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99A" w:rsidRPr="000D3C67" w:rsidRDefault="000D3C67">
      <w:pPr>
        <w:spacing w:before="120" w:after="120"/>
        <w:rPr>
          <w:rFonts w:ascii="Times New Roman" w:hAnsi="Times New Roman" w:cs="Times New Roman"/>
          <w:bCs/>
          <w:sz w:val="36"/>
          <w:szCs w:val="36"/>
        </w:rPr>
      </w:pPr>
      <w:bookmarkStart w:id="0" w:name="OLE_LINK784"/>
      <w:bookmarkStart w:id="1" w:name="OLE_LINK747"/>
      <w:bookmarkStart w:id="2" w:name="OLE_LINK74"/>
      <w:bookmarkStart w:id="3" w:name="OLE_LINK3"/>
      <w:bookmarkStart w:id="4" w:name="OLE_LINK1"/>
      <w:bookmarkStart w:id="5" w:name="OLE_LINK83"/>
      <w:bookmarkStart w:id="6" w:name="OLE_LINK392"/>
      <w:bookmarkStart w:id="7" w:name="OLE_LINK24"/>
      <w:bookmarkStart w:id="8" w:name="OLE_LINK754"/>
      <w:bookmarkStart w:id="9" w:name="OLE_LINK289"/>
      <w:bookmarkStart w:id="10" w:name="OLE_LINK420"/>
      <w:bookmarkStart w:id="11" w:name="OLE_LINK391"/>
      <w:bookmarkStart w:id="12" w:name="OLE_LINK393"/>
      <w:bookmarkStart w:id="13" w:name="OLE_LINK21"/>
      <w:bookmarkStart w:id="14" w:name="OLE_LINK755"/>
      <w:bookmarkStart w:id="15" w:name="OLE_LINK48"/>
      <w:bookmarkStart w:id="16" w:name="OLE_LINK82"/>
      <w:bookmarkStart w:id="17" w:name="OLE_LINK73"/>
      <w:bookmarkStart w:id="18" w:name="OLE_LINK397"/>
      <w:r w:rsidRPr="000D3C67">
        <w:rPr>
          <w:rFonts w:ascii="Times New Roman" w:hAnsi="Times New Roman" w:cs="Times New Roman"/>
          <w:bCs/>
        </w:rPr>
        <w:t>Supporting Information</w:t>
      </w:r>
      <w:bookmarkStart w:id="19" w:name="OLE_LINK105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0D3C67">
        <w:rPr>
          <w:rFonts w:ascii="Times New Roman" w:hAnsi="Times New Roman" w:cs="Times New Roman"/>
          <w:bCs/>
        </w:rPr>
        <w:t xml:space="preserve"> for</w:t>
      </w:r>
    </w:p>
    <w:p w:rsidR="008D699A" w:rsidRPr="000D3C67" w:rsidRDefault="000D3C67">
      <w:pPr>
        <w:spacing w:before="120" w:after="120"/>
        <w:jc w:val="both"/>
        <w:rPr>
          <w:rFonts w:ascii="Times New Roman" w:eastAsia="MS Mincho" w:hAnsi="Times New Roman" w:cs="Times New Roman"/>
          <w:b/>
          <w:sz w:val="28"/>
          <w:szCs w:val="28"/>
          <w:lang w:val="de-DE" w:eastAsia="ja-JP"/>
        </w:rPr>
      </w:pPr>
      <w:bookmarkStart w:id="20" w:name="OLE_LINK1087"/>
      <w:bookmarkStart w:id="21" w:name="OLE_LINK568"/>
      <w:bookmarkEnd w:id="19"/>
      <w:r w:rsidRPr="000D3C67">
        <w:rPr>
          <w:rFonts w:ascii="Times New Roman" w:eastAsia="MS Mincho" w:hAnsi="Times New Roman" w:cs="Times New Roman"/>
          <w:b/>
          <w:sz w:val="28"/>
          <w:szCs w:val="28"/>
          <w:lang w:val="de-DE" w:eastAsia="ja-JP"/>
        </w:rPr>
        <w:t xml:space="preserve">Bi-Polar Bioenergetic Intervention via a </w:t>
      </w:r>
      <w:bookmarkStart w:id="22" w:name="OLE_LINK95"/>
      <w:bookmarkStart w:id="23" w:name="OLE_LINK427"/>
      <w:bookmarkStart w:id="24" w:name="OLE_LINK486"/>
      <w:r w:rsidRPr="000D3C67">
        <w:rPr>
          <w:rFonts w:ascii="Times New Roman" w:eastAsia="MS Mincho" w:hAnsi="Times New Roman" w:cs="Times New Roman"/>
          <w:b/>
          <w:sz w:val="28"/>
          <w:szCs w:val="28"/>
          <w:lang w:val="de-DE" w:eastAsia="ja-JP"/>
        </w:rPr>
        <w:t>Pathology</w:t>
      </w:r>
      <w:bookmarkEnd w:id="22"/>
      <w:r w:rsidRPr="000D3C67">
        <w:rPr>
          <w:rFonts w:ascii="Times New Roman" w:eastAsia="MS Mincho" w:hAnsi="Times New Roman" w:cs="Times New Roman"/>
          <w:b/>
          <w:sz w:val="28"/>
          <w:szCs w:val="28"/>
          <w:lang w:val="de-DE" w:eastAsia="ja-JP"/>
        </w:rPr>
        <w:t xml:space="preserve"> Self-</w:t>
      </w:r>
      <w:bookmarkStart w:id="25" w:name="OLE_LINK69"/>
      <w:r w:rsidRPr="000D3C67">
        <w:rPr>
          <w:rFonts w:ascii="Times New Roman" w:eastAsia="MS Mincho" w:hAnsi="Times New Roman" w:cs="Times New Roman"/>
          <w:b/>
          <w:sz w:val="28"/>
          <w:szCs w:val="28"/>
          <w:lang w:val="de-DE" w:eastAsia="ja-JP"/>
        </w:rPr>
        <w:t>Adaptive</w:t>
      </w:r>
      <w:bookmarkEnd w:id="23"/>
      <w:bookmarkEnd w:id="25"/>
      <w:r w:rsidRPr="000D3C67">
        <w:rPr>
          <w:rFonts w:ascii="Times New Roman" w:eastAsia="MS Mincho" w:hAnsi="Times New Roman" w:cs="Times New Roman"/>
          <w:b/>
          <w:sz w:val="28"/>
          <w:szCs w:val="28"/>
          <w:lang w:val="de-DE" w:eastAsia="ja-JP"/>
        </w:rPr>
        <w:t xml:space="preserve"> Single-Atom Nanocatalyst </w:t>
      </w:r>
      <w:bookmarkEnd w:id="24"/>
      <w:r w:rsidRPr="000D3C67">
        <w:rPr>
          <w:rFonts w:ascii="Times New Roman" w:eastAsia="MS Mincho" w:hAnsi="Times New Roman" w:cs="Times New Roman"/>
          <w:b/>
          <w:sz w:val="28"/>
          <w:szCs w:val="28"/>
          <w:lang w:val="de-DE" w:eastAsia="ja-JP"/>
        </w:rPr>
        <w:t xml:space="preserve">for Diabetic Tumor Postoperative </w:t>
      </w:r>
      <w:bookmarkStart w:id="26" w:name="OLE_LINK1101"/>
      <w:r w:rsidRPr="000D3C67">
        <w:rPr>
          <w:rFonts w:ascii="Times New Roman" w:eastAsia="MS Mincho" w:hAnsi="Times New Roman" w:cs="Times New Roman"/>
          <w:b/>
          <w:sz w:val="28"/>
          <w:szCs w:val="28"/>
          <w:lang w:val="de-DE" w:eastAsia="ja-JP"/>
        </w:rPr>
        <w:t>Management</w:t>
      </w:r>
      <w:bookmarkEnd w:id="26"/>
      <w:r w:rsidRPr="000D3C67">
        <w:rPr>
          <w:rFonts w:ascii="Times New Roman" w:eastAsia="MS Mincho" w:hAnsi="Times New Roman" w:cs="Times New Roman"/>
          <w:b/>
          <w:sz w:val="28"/>
          <w:szCs w:val="28"/>
          <w:lang w:val="de-DE" w:eastAsia="ja-JP"/>
        </w:rPr>
        <w:t xml:space="preserve"> </w:t>
      </w:r>
    </w:p>
    <w:p w:rsidR="008D699A" w:rsidRPr="000D3C67" w:rsidRDefault="000D3C67">
      <w:pPr>
        <w:spacing w:before="120" w:after="120"/>
        <w:jc w:val="both"/>
        <w:rPr>
          <w:rFonts w:ascii="Times New Roman" w:eastAsia="MS Mincho" w:hAnsi="Times New Roman" w:cs="Times New Roman"/>
          <w:lang w:val="de-DE" w:eastAsia="ja-JP"/>
        </w:rPr>
      </w:pPr>
      <w:bookmarkStart w:id="27" w:name="OLE_LINK1073"/>
      <w:bookmarkEnd w:id="20"/>
      <w:r w:rsidRPr="000D3C67">
        <w:rPr>
          <w:rFonts w:ascii="Times New Roman" w:eastAsia="MS Mincho" w:hAnsi="Times New Roman" w:cs="Times New Roman"/>
          <w:lang w:val="de-DE" w:eastAsia="ja-JP"/>
        </w:rPr>
        <w:t>Jiajie Chen</w:t>
      </w:r>
      <w:r w:rsidRPr="000D3C67">
        <w:rPr>
          <w:rFonts w:ascii="Times New Roman" w:eastAsia="MS Mincho" w:hAnsi="Times New Roman" w:cs="Times New Roman"/>
          <w:vertAlign w:val="superscript"/>
          <w:lang w:val="de-DE" w:eastAsia="ja-JP"/>
        </w:rPr>
        <w:t>1,3,</w:t>
      </w:r>
      <w:r w:rsidRPr="000D3C67">
        <w:rPr>
          <w:rFonts w:ascii="Times New Roman" w:eastAsia="MS Mincho" w:hAnsi="Times New Roman" w:cs="Times New Roman"/>
          <w:vertAlign w:val="superscript"/>
          <w:lang w:val="de-DE" w:eastAsia="ja-JP"/>
        </w:rPr>
        <w:t>#</w:t>
      </w:r>
      <w:bookmarkStart w:id="28" w:name="OLE_LINK4"/>
      <w:r w:rsidRPr="000D3C67">
        <w:rPr>
          <w:rFonts w:ascii="Times New Roman" w:eastAsia="MS Mincho" w:hAnsi="Times New Roman" w:cs="Times New Roman"/>
          <w:lang w:val="de-DE" w:eastAsia="ja-JP"/>
        </w:rPr>
        <w:t>,</w:t>
      </w:r>
      <w:bookmarkEnd w:id="28"/>
      <w:r w:rsidRPr="000D3C67">
        <w:rPr>
          <w:rFonts w:ascii="Times New Roman" w:eastAsia="MS Mincho" w:hAnsi="Times New Roman" w:cs="Times New Roman"/>
          <w:lang w:val="de-DE" w:eastAsia="ja-JP"/>
        </w:rPr>
        <w:t xml:space="preserve"> Jimin Huang</w:t>
      </w:r>
      <w:r w:rsidRPr="000D3C67">
        <w:rPr>
          <w:rFonts w:ascii="Times New Roman" w:eastAsia="MS Mincho" w:hAnsi="Times New Roman" w:cs="Times New Roman"/>
          <w:vertAlign w:val="superscript"/>
          <w:lang w:val="de-DE" w:eastAsia="ja-JP"/>
        </w:rPr>
        <w:t xml:space="preserve"> </w:t>
      </w:r>
      <w:r w:rsidRPr="000D3C67">
        <w:rPr>
          <w:rFonts w:ascii="Times New Roman" w:eastAsia="MS Mincho" w:hAnsi="Times New Roman" w:cs="Times New Roman"/>
          <w:vertAlign w:val="superscript"/>
          <w:lang w:val="de-DE" w:eastAsia="ja-JP"/>
        </w:rPr>
        <w:t>1,6</w:t>
      </w:r>
      <w:r w:rsidRPr="000D3C67">
        <w:rPr>
          <w:rFonts w:ascii="Times New Roman" w:eastAsia="MS Mincho" w:hAnsi="Times New Roman" w:cs="Times New Roman"/>
          <w:vertAlign w:val="superscript"/>
          <w:lang w:val="de-DE" w:eastAsia="ja-JP"/>
        </w:rPr>
        <w:t>,#</w:t>
      </w:r>
      <w:r w:rsidRPr="000D3C67">
        <w:rPr>
          <w:rFonts w:ascii="Times New Roman" w:eastAsia="MS Mincho" w:hAnsi="Times New Roman" w:cs="Times New Roman"/>
          <w:lang w:val="de-DE" w:eastAsia="ja-JP"/>
        </w:rPr>
        <w:t>, Zhibo Yang</w:t>
      </w:r>
      <w:r w:rsidRPr="000D3C67">
        <w:rPr>
          <w:rFonts w:ascii="Times New Roman" w:eastAsia="MS Mincho" w:hAnsi="Times New Roman" w:cs="Times New Roman"/>
          <w:vertAlign w:val="superscript"/>
          <w:lang w:val="de-DE" w:eastAsia="ja-JP"/>
        </w:rPr>
        <w:t>1</w:t>
      </w:r>
      <w:r w:rsidRPr="000D3C67">
        <w:rPr>
          <w:rFonts w:ascii="Times New Roman" w:eastAsia="MS Mincho" w:hAnsi="Times New Roman" w:cs="Times New Roman"/>
          <w:lang w:val="de-DE" w:eastAsia="ja-JP"/>
        </w:rPr>
        <w:t>, Kai Tang</w:t>
      </w:r>
      <w:r w:rsidRPr="000D3C67">
        <w:rPr>
          <w:rFonts w:ascii="Times New Roman" w:eastAsia="MS Mincho" w:hAnsi="Times New Roman" w:cs="Times New Roman"/>
          <w:vertAlign w:val="superscript"/>
          <w:lang w:val="de-DE" w:eastAsia="ja-JP"/>
        </w:rPr>
        <w:t>1,2</w:t>
      </w:r>
      <w:r w:rsidRPr="000D3C67">
        <w:rPr>
          <w:rFonts w:ascii="Times New Roman" w:eastAsia="MS Mincho" w:hAnsi="Times New Roman" w:cs="Times New Roman"/>
          <w:lang w:val="de-DE" w:eastAsia="ja-JP"/>
        </w:rPr>
        <w:t>, Chengtie Wu</w:t>
      </w:r>
      <w:r w:rsidRPr="000D3C67">
        <w:rPr>
          <w:rFonts w:ascii="Times New Roman" w:eastAsia="MS Mincho" w:hAnsi="Times New Roman" w:cs="Times New Roman"/>
          <w:vertAlign w:val="superscript"/>
          <w:lang w:val="de-DE" w:eastAsia="ja-JP"/>
        </w:rPr>
        <w:t>1,2</w:t>
      </w:r>
      <w:r w:rsidRPr="000D3C67">
        <w:rPr>
          <w:rFonts w:ascii="Times New Roman" w:eastAsia="MS Mincho" w:hAnsi="Times New Roman" w:cs="Times New Roman"/>
          <w:lang w:val="de-DE" w:eastAsia="ja-JP"/>
        </w:rPr>
        <w:t>, Huamao Ye</w:t>
      </w:r>
      <w:r w:rsidRPr="000D3C67">
        <w:rPr>
          <w:rFonts w:ascii="Times New Roman" w:eastAsia="MS Mincho" w:hAnsi="Times New Roman" w:cs="Times New Roman"/>
          <w:vertAlign w:val="superscript"/>
          <w:lang w:val="de-DE" w:eastAsia="ja-JP"/>
        </w:rPr>
        <w:t>5</w:t>
      </w:r>
      <w:r w:rsidRPr="000D3C67">
        <w:rPr>
          <w:rFonts w:ascii="Times New Roman" w:eastAsia="MS Mincho" w:hAnsi="Times New Roman" w:cs="Times New Roman"/>
          <w:lang w:val="de-DE" w:eastAsia="ja-JP"/>
        </w:rPr>
        <w:t xml:space="preserve">*, </w:t>
      </w:r>
      <w:r w:rsidRPr="000D3C67">
        <w:rPr>
          <w:rFonts w:ascii="Times New Roman" w:eastAsia="MS Mincho" w:hAnsi="Times New Roman" w:cs="Times New Roman"/>
          <w:lang w:val="de-DE" w:eastAsia="ja-JP"/>
        </w:rPr>
        <w:t>Jianlin Shi</w:t>
      </w:r>
      <w:r w:rsidRPr="000D3C67">
        <w:rPr>
          <w:rFonts w:ascii="Times New Roman" w:eastAsia="MS Mincho" w:hAnsi="Times New Roman" w:cs="Times New Roman"/>
          <w:vertAlign w:val="superscript"/>
          <w:lang w:val="de-DE" w:eastAsia="ja-JP"/>
        </w:rPr>
        <w:t>1,4</w:t>
      </w:r>
      <w:r w:rsidRPr="000D3C67">
        <w:rPr>
          <w:rFonts w:ascii="Times New Roman" w:eastAsia="MS Mincho" w:hAnsi="Times New Roman" w:cs="Times New Roman"/>
          <w:lang w:val="de-DE" w:eastAsia="ja-JP"/>
        </w:rPr>
        <w:t>*, and Yufang Zhu</w:t>
      </w:r>
      <w:r w:rsidRPr="000D3C67">
        <w:rPr>
          <w:rFonts w:ascii="Times New Roman" w:eastAsia="MS Mincho" w:hAnsi="Times New Roman" w:cs="Times New Roman"/>
          <w:vertAlign w:val="superscript"/>
          <w:lang w:val="de-DE" w:eastAsia="ja-JP"/>
        </w:rPr>
        <w:t>1,2</w:t>
      </w:r>
      <w:r w:rsidRPr="000D3C67">
        <w:rPr>
          <w:rFonts w:ascii="Times New Roman" w:eastAsia="MS Mincho" w:hAnsi="Times New Roman" w:cs="Times New Roman"/>
          <w:lang w:val="de-DE" w:eastAsia="ja-JP"/>
        </w:rPr>
        <w:t>*</w:t>
      </w:r>
    </w:p>
    <w:p w:rsidR="008D699A" w:rsidRPr="000D3C67" w:rsidRDefault="000D3C67">
      <w:pPr>
        <w:spacing w:before="120" w:after="120"/>
        <w:jc w:val="both"/>
        <w:rPr>
          <w:rFonts w:ascii="Times New Roman" w:eastAsia="MS Mincho" w:hAnsi="Times New Roman" w:cs="Times New Roman"/>
          <w:iCs/>
          <w:lang w:val="de-DE"/>
        </w:rPr>
      </w:pPr>
      <w:bookmarkStart w:id="29" w:name="_Hlk108597307"/>
      <w:bookmarkEnd w:id="27"/>
      <w:r w:rsidRPr="000D3C67">
        <w:rPr>
          <w:rFonts w:ascii="Times New Roman" w:eastAsia="MS Mincho" w:hAnsi="Times New Roman" w:cs="Times New Roman"/>
          <w:iCs/>
          <w:vertAlign w:val="superscript"/>
          <w:lang w:val="de-DE" w:eastAsia="ja-JP"/>
        </w:rPr>
        <w:t>1</w:t>
      </w:r>
      <w:r w:rsidRPr="000D3C67">
        <w:rPr>
          <w:rFonts w:ascii="Times New Roman" w:eastAsia="MS Mincho" w:hAnsi="Times New Roman" w:cs="Times New Roman"/>
          <w:iCs/>
          <w:lang w:val="de-DE" w:eastAsia="ja-JP"/>
        </w:rPr>
        <w:t xml:space="preserve"> State Key Laboratory of High Performance Ceramics, Shanghai Institute of Ceramics, Chinese Academy of Sciences, Shanghai 200050, P. R. China</w:t>
      </w:r>
    </w:p>
    <w:p w:rsidR="008D699A" w:rsidRPr="000D3C67" w:rsidRDefault="000D3C67">
      <w:pPr>
        <w:spacing w:before="120" w:after="120"/>
        <w:jc w:val="both"/>
        <w:rPr>
          <w:rFonts w:ascii="Times New Roman" w:eastAsia="MS Mincho" w:hAnsi="Times New Roman" w:cs="Times New Roman"/>
          <w:iCs/>
          <w:lang w:val="de-DE"/>
        </w:rPr>
      </w:pPr>
      <w:r w:rsidRPr="000D3C67">
        <w:rPr>
          <w:rFonts w:ascii="Times New Roman" w:eastAsia="MS Mincho" w:hAnsi="Times New Roman" w:cs="Times New Roman"/>
          <w:iCs/>
          <w:vertAlign w:val="superscript"/>
          <w:lang w:val="de-DE" w:eastAsia="ja-JP"/>
        </w:rPr>
        <w:t>2</w:t>
      </w:r>
      <w:r w:rsidRPr="000D3C67">
        <w:rPr>
          <w:rFonts w:ascii="Times New Roman" w:eastAsia="MS Mincho" w:hAnsi="Times New Roman" w:cs="Times New Roman"/>
          <w:iCs/>
          <w:lang w:val="de-DE" w:eastAsia="ja-JP"/>
        </w:rPr>
        <w:t xml:space="preserve"> Center of Materials Science and Optoelectronics Engineering, University of </w:t>
      </w:r>
      <w:r w:rsidRPr="000D3C67">
        <w:rPr>
          <w:rFonts w:ascii="Times New Roman" w:eastAsia="MS Mincho" w:hAnsi="Times New Roman" w:cs="Times New Roman"/>
          <w:iCs/>
          <w:lang w:val="de-DE" w:eastAsia="ja-JP"/>
        </w:rPr>
        <w:t>Ch</w:t>
      </w:r>
      <w:bookmarkStart w:id="30" w:name="_GoBack"/>
      <w:bookmarkEnd w:id="30"/>
      <w:r w:rsidRPr="000D3C67">
        <w:rPr>
          <w:rFonts w:ascii="Times New Roman" w:eastAsia="MS Mincho" w:hAnsi="Times New Roman" w:cs="Times New Roman"/>
          <w:iCs/>
          <w:lang w:val="de-DE" w:eastAsia="ja-JP"/>
        </w:rPr>
        <w:t>inese Academy of Sciences, Beijing 100049, P. R. China</w:t>
      </w:r>
    </w:p>
    <w:p w:rsidR="008D699A" w:rsidRPr="000D3C67" w:rsidRDefault="000D3C67">
      <w:pPr>
        <w:spacing w:before="120" w:after="120"/>
        <w:jc w:val="both"/>
        <w:rPr>
          <w:rFonts w:ascii="Times New Roman" w:eastAsia="MS Mincho" w:hAnsi="Times New Roman" w:cs="Times New Roman"/>
          <w:iCs/>
          <w:lang w:val="de-DE"/>
        </w:rPr>
      </w:pPr>
      <w:r w:rsidRPr="000D3C67">
        <w:rPr>
          <w:rFonts w:ascii="Times New Roman" w:eastAsia="MS Mincho" w:hAnsi="Times New Roman" w:cs="Times New Roman"/>
          <w:iCs/>
          <w:vertAlign w:val="superscript"/>
          <w:lang w:val="de-DE" w:eastAsia="ja-JP"/>
        </w:rPr>
        <w:t>3</w:t>
      </w:r>
      <w:r w:rsidRPr="000D3C67">
        <w:rPr>
          <w:rFonts w:ascii="Times New Roman" w:eastAsia="MS Mincho" w:hAnsi="Times New Roman" w:cs="Times New Roman"/>
          <w:iCs/>
          <w:lang w:val="de-DE" w:eastAsia="ja-JP"/>
        </w:rPr>
        <w:t xml:space="preserve"> </w:t>
      </w:r>
      <w:r w:rsidRPr="000D3C67">
        <w:rPr>
          <w:rFonts w:ascii="Times New Roman" w:hAnsi="Times New Roman" w:cs="Times New Roman" w:hint="eastAsia"/>
          <w:iCs/>
        </w:rPr>
        <w:t>Chair of</w:t>
      </w:r>
      <w:r w:rsidRPr="000D3C67">
        <w:rPr>
          <w:rFonts w:ascii="Times New Roman" w:hAnsi="Times New Roman" w:cs="Times New Roman" w:hint="eastAsia"/>
          <w:iCs/>
        </w:rPr>
        <w:t xml:space="preserve"> </w:t>
      </w:r>
      <w:r w:rsidRPr="000D3C67">
        <w:rPr>
          <w:rFonts w:ascii="Times New Roman" w:eastAsia="MS Mincho" w:hAnsi="Times New Roman" w:cs="Times New Roman"/>
          <w:iCs/>
          <w:lang w:val="de-DE" w:eastAsia="ja-JP"/>
        </w:rPr>
        <w:t>Inorganic Chemistry I, Technische Universität Dresden, Bergstrasse 66, Dresden, 01069, Germany</w:t>
      </w:r>
    </w:p>
    <w:p w:rsidR="008D699A" w:rsidRPr="000D3C67" w:rsidRDefault="000D3C67">
      <w:pPr>
        <w:spacing w:before="120" w:after="120"/>
        <w:jc w:val="both"/>
        <w:rPr>
          <w:rFonts w:ascii="Times New Roman" w:eastAsia="MS Mincho" w:hAnsi="Times New Roman" w:cs="Times New Roman"/>
          <w:iCs/>
          <w:lang w:val="de-DE"/>
        </w:rPr>
      </w:pPr>
      <w:r w:rsidRPr="000D3C67">
        <w:rPr>
          <w:rFonts w:ascii="Times New Roman" w:eastAsia="MS Mincho" w:hAnsi="Times New Roman" w:cs="Times New Roman"/>
          <w:iCs/>
          <w:vertAlign w:val="superscript"/>
          <w:lang w:val="de-DE" w:eastAsia="ja-JP"/>
        </w:rPr>
        <w:t>4</w:t>
      </w:r>
      <w:r w:rsidRPr="000D3C67">
        <w:rPr>
          <w:rFonts w:ascii="Times New Roman" w:eastAsia="MS Mincho" w:hAnsi="Times New Roman" w:cs="Times New Roman"/>
          <w:iCs/>
          <w:lang w:val="de-DE" w:eastAsia="ja-JP"/>
        </w:rPr>
        <w:t xml:space="preserve"> Shanghai Frontiers Science Center of Nanocatalytic Medicine, Shanghai Tenth People’s Hospital, School of Medicine, Tongji University, Shanghai 200331, P. R. China</w:t>
      </w:r>
    </w:p>
    <w:p w:rsidR="008D699A" w:rsidRPr="000D3C67" w:rsidRDefault="000D3C67">
      <w:pPr>
        <w:spacing w:before="120" w:after="120"/>
        <w:jc w:val="both"/>
        <w:rPr>
          <w:rFonts w:ascii="Times New Roman" w:eastAsia="MS Mincho" w:hAnsi="Times New Roman" w:cs="Times New Roman"/>
          <w:iCs/>
          <w:lang w:val="de-DE"/>
        </w:rPr>
      </w:pPr>
      <w:r w:rsidRPr="000D3C67">
        <w:rPr>
          <w:rFonts w:ascii="Times New Roman" w:eastAsia="MS Mincho" w:hAnsi="Times New Roman" w:cs="Times New Roman"/>
          <w:iCs/>
          <w:vertAlign w:val="superscript"/>
          <w:lang w:val="de-DE" w:eastAsia="ja-JP"/>
        </w:rPr>
        <w:t>5</w:t>
      </w:r>
      <w:r w:rsidRPr="000D3C67">
        <w:rPr>
          <w:rFonts w:ascii="Times New Roman" w:eastAsia="MS Mincho" w:hAnsi="Times New Roman" w:cs="Times New Roman"/>
          <w:iCs/>
          <w:lang w:val="de-DE" w:eastAsia="ja-JP"/>
        </w:rPr>
        <w:t xml:space="preserve"> Department of Urology, Changhai Hospital, Second Military Medical University, Shanghai 200</w:t>
      </w:r>
      <w:r w:rsidRPr="000D3C67">
        <w:rPr>
          <w:rFonts w:ascii="Times New Roman" w:eastAsia="MS Mincho" w:hAnsi="Times New Roman" w:cs="Times New Roman"/>
          <w:iCs/>
          <w:lang w:val="de-DE" w:eastAsia="ja-JP"/>
        </w:rPr>
        <w:t>433, P. R. China</w:t>
      </w:r>
    </w:p>
    <w:p w:rsidR="008D699A" w:rsidRPr="000D3C67" w:rsidRDefault="000D3C67">
      <w:pPr>
        <w:spacing w:before="120" w:after="120"/>
        <w:jc w:val="both"/>
        <w:rPr>
          <w:rFonts w:ascii="Times New Roman" w:eastAsia="MS Mincho" w:hAnsi="Times New Roman" w:cs="Times New Roman"/>
          <w:iCs/>
          <w:lang w:val="de-DE" w:eastAsia="ja-JP"/>
        </w:rPr>
      </w:pPr>
      <w:r w:rsidRPr="000D3C67">
        <w:rPr>
          <w:rFonts w:ascii="Times New Roman" w:eastAsia="MS Mincho" w:hAnsi="Times New Roman" w:cs="Times New Roman"/>
          <w:iCs/>
          <w:vertAlign w:val="superscript"/>
          <w:lang w:val="de-DE" w:eastAsia="ja-JP"/>
        </w:rPr>
        <w:t>6</w:t>
      </w:r>
      <w:r w:rsidRPr="000D3C67">
        <w:rPr>
          <w:rFonts w:ascii="Times New Roman" w:eastAsia="MS Mincho" w:hAnsi="Times New Roman" w:cs="Times New Roman"/>
          <w:iCs/>
          <w:lang w:val="de-DE" w:eastAsia="ja-JP"/>
        </w:rPr>
        <w:t xml:space="preserve"> School of Pharmacy, Xuzhou Medical University, Xuzhou 221004, P. R. China</w:t>
      </w:r>
    </w:p>
    <w:bookmarkEnd w:id="29"/>
    <w:p w:rsidR="008D699A" w:rsidRPr="000D3C67" w:rsidRDefault="000D3C67">
      <w:pPr>
        <w:spacing w:before="120" w:after="120"/>
        <w:jc w:val="both"/>
        <w:rPr>
          <w:rFonts w:ascii="Times New Roman" w:eastAsia="楷体" w:hAnsi="Times New Roman" w:cs="Times New Roman"/>
          <w:lang w:val="de-DE" w:eastAsia="ja-JP"/>
        </w:rPr>
      </w:pPr>
      <w:r w:rsidRPr="000D3C67">
        <w:rPr>
          <w:rFonts w:ascii="Times New Roman" w:eastAsia="楷体" w:hAnsi="Times New Roman" w:cs="Times New Roman"/>
          <w:vertAlign w:val="superscript"/>
          <w:lang w:val="de-DE" w:eastAsia="ja-JP"/>
        </w:rPr>
        <w:t xml:space="preserve"># </w:t>
      </w:r>
      <w:r w:rsidRPr="000D3C67">
        <w:rPr>
          <w:rFonts w:ascii="Times New Roman" w:eastAsia="MS Mincho" w:hAnsi="Times New Roman" w:cs="Times New Roman"/>
          <w:lang w:val="de-DE" w:eastAsia="ja-JP"/>
        </w:rPr>
        <w:t xml:space="preserve">Jiajie Chen and Jimin Huang </w:t>
      </w:r>
      <w:r w:rsidRPr="000D3C67">
        <w:rPr>
          <w:rFonts w:ascii="Times New Roman" w:eastAsia="楷体" w:hAnsi="Times New Roman" w:cs="Times New Roman"/>
          <w:lang w:val="de-DE" w:eastAsia="ja-JP"/>
        </w:rPr>
        <w:t>contributed equally to this work.</w:t>
      </w:r>
    </w:p>
    <w:p w:rsidR="008D699A" w:rsidRPr="000D3C67" w:rsidRDefault="000D3C67">
      <w:pPr>
        <w:autoSpaceDE w:val="0"/>
        <w:autoSpaceDN w:val="0"/>
        <w:spacing w:before="120" w:after="120"/>
        <w:rPr>
          <w:rFonts w:ascii="Times New Roman" w:eastAsia="MS Mincho" w:hAnsi="Times New Roman" w:cs="Times New Roman"/>
          <w:lang w:val="de-DE" w:eastAsia="ja-JP"/>
        </w:rPr>
      </w:pPr>
      <w:r w:rsidRPr="000D3C67">
        <w:rPr>
          <w:rFonts w:ascii="Times New Roman" w:eastAsia="MS Mincho" w:hAnsi="Times New Roman" w:cs="Times New Roman"/>
          <w:lang w:val="de-DE" w:eastAsia="ja-JP"/>
        </w:rPr>
        <w:t>*</w:t>
      </w:r>
      <w:r w:rsidRPr="000D3C67">
        <w:rPr>
          <w:rFonts w:ascii="Times New Roman" w:eastAsia="MS Mincho" w:hAnsi="Times New Roman" w:cs="Times New Roman"/>
          <w:vertAlign w:val="superscript"/>
          <w:lang w:val="de-DE" w:eastAsia="ja-JP"/>
        </w:rPr>
        <w:t xml:space="preserve"> </w:t>
      </w:r>
      <w:r w:rsidRPr="000D3C67">
        <w:rPr>
          <w:rFonts w:ascii="Times New Roman" w:eastAsia="MS Mincho" w:hAnsi="Times New Roman" w:cs="Times New Roman"/>
          <w:lang w:val="de-DE" w:eastAsia="ja-JP"/>
        </w:rPr>
        <w:t>Corresponding authors.</w:t>
      </w:r>
      <w:r w:rsidRPr="000D3C67">
        <w:rPr>
          <w:rFonts w:ascii="Times New Roman" w:eastAsia="MS Mincho" w:hAnsi="Times New Roman" w:cs="Times New Roman"/>
          <w:lang w:val="de-DE"/>
        </w:rPr>
        <w:t xml:space="preserve"> </w:t>
      </w:r>
      <w:r w:rsidRPr="000D3C67">
        <w:rPr>
          <w:rFonts w:ascii="Times New Roman" w:eastAsia="MS Mincho" w:hAnsi="Times New Roman" w:cs="Times New Roman"/>
          <w:lang w:val="de-DE" w:eastAsia="ja-JP"/>
        </w:rPr>
        <w:t xml:space="preserve">E-mail: </w:t>
      </w:r>
      <w:hyperlink r:id="rId8" w:history="1">
        <w:r w:rsidRPr="000D3C67">
          <w:rPr>
            <w:rFonts w:ascii="Times New Roman" w:eastAsia="MS Mincho" w:hAnsi="Times New Roman" w:cs="Times New Roman"/>
            <w:color w:val="0000FF"/>
            <w:u w:val="single"/>
            <w:lang w:val="de-DE" w:eastAsia="ja-JP"/>
          </w:rPr>
          <w:t>yhm@smmu.edu.cn</w:t>
        </w:r>
      </w:hyperlink>
      <w:r w:rsidRPr="000D3C67">
        <w:rPr>
          <w:rFonts w:ascii="Times New Roman" w:eastAsia="MS Mincho" w:hAnsi="Times New Roman" w:cs="Times New Roman"/>
          <w:lang w:val="de-DE" w:eastAsia="ja-JP"/>
        </w:rPr>
        <w:t xml:space="preserve"> (Huamao Ye); </w:t>
      </w:r>
      <w:hyperlink r:id="rId9" w:history="1">
        <w:r w:rsidRPr="000D3C67">
          <w:rPr>
            <w:rFonts w:ascii="Times New Roman" w:eastAsia="MS Mincho" w:hAnsi="Times New Roman" w:cs="Times New Roman"/>
            <w:color w:val="0000FF"/>
            <w:u w:val="single"/>
            <w:lang w:val="de-DE" w:eastAsia="ja-JP"/>
          </w:rPr>
          <w:t>jlshi@mail.sic.ac.cn</w:t>
        </w:r>
      </w:hyperlink>
      <w:r w:rsidRPr="000D3C67">
        <w:rPr>
          <w:rFonts w:ascii="Times New Roman" w:eastAsia="MS Mincho" w:hAnsi="Times New Roman" w:cs="Times New Roman"/>
          <w:lang w:val="de-DE" w:eastAsia="ja-JP"/>
        </w:rPr>
        <w:t xml:space="preserve"> (Jianlin Shi);</w:t>
      </w:r>
      <w:r w:rsidRPr="000D3C67">
        <w:rPr>
          <w:rFonts w:ascii="Times New Roman" w:eastAsia="MS Mincho" w:hAnsi="Times New Roman" w:cs="Times New Roman"/>
          <w:lang w:val="de-DE"/>
        </w:rPr>
        <w:t xml:space="preserve"> </w:t>
      </w:r>
      <w:hyperlink r:id="rId10" w:history="1">
        <w:r w:rsidRPr="000D3C67">
          <w:rPr>
            <w:rFonts w:ascii="Times New Roman" w:eastAsia="MS Mincho" w:hAnsi="Times New Roman" w:cs="Times New Roman"/>
            <w:color w:val="0000FF"/>
            <w:u w:val="single"/>
            <w:lang w:val="de-DE" w:eastAsia="ja-JP"/>
          </w:rPr>
          <w:t>zjf2412@163.com</w:t>
        </w:r>
      </w:hyperlink>
      <w:r w:rsidRPr="000D3C67">
        <w:rPr>
          <w:rFonts w:ascii="Times New Roman" w:eastAsia="MS Mincho" w:hAnsi="Times New Roman" w:cs="Times New Roman"/>
          <w:lang w:val="de-DE" w:eastAsia="ja-JP"/>
        </w:rPr>
        <w:t xml:space="preserve"> (Yufang Zhu)</w:t>
      </w:r>
    </w:p>
    <w:p w:rsidR="008D699A" w:rsidRPr="000D3C67" w:rsidRDefault="000D3C67">
      <w:pPr>
        <w:spacing w:before="120" w:after="120"/>
        <w:jc w:val="both"/>
        <w:rPr>
          <w:rFonts w:ascii="Times New Roman" w:hAnsi="Times New Roman" w:cs="Times New Roman"/>
          <w:b/>
          <w:sz w:val="32"/>
          <w:szCs w:val="32"/>
        </w:rPr>
      </w:pPr>
      <w:r w:rsidRPr="000D3C67">
        <w:rPr>
          <w:rFonts w:ascii="Times New Roman" w:hAnsi="Times New Roman" w:cs="Times New Roman"/>
          <w:b/>
          <w:sz w:val="28"/>
          <w:szCs w:val="28"/>
        </w:rPr>
        <w:t>S1 S</w:t>
      </w:r>
      <w:bookmarkStart w:id="31" w:name="OLE_LINK294"/>
      <w:r w:rsidRPr="000D3C67">
        <w:rPr>
          <w:rFonts w:ascii="Times New Roman" w:hAnsi="Times New Roman" w:cs="Times New Roman"/>
          <w:b/>
          <w:sz w:val="28"/>
          <w:szCs w:val="28"/>
        </w:rPr>
        <w:t>upplementary Methods</w:t>
      </w:r>
      <w:bookmarkEnd w:id="21"/>
      <w:bookmarkEnd w:id="31"/>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 Characterizations</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Transmission electron microscopy (TEM) and hi</w:t>
      </w:r>
      <w:r w:rsidRPr="000D3C67">
        <w:rPr>
          <w:rFonts w:ascii="Times New Roman" w:hAnsi="Times New Roman" w:cs="Times New Roman"/>
        </w:rPr>
        <w:t>gh-resolution TEM (HRTEM) images with selected-area electron diffraction (SAED) patterns were acquired using JEM-2100F electron microscope (JEOL, Japan). Spherical aberration-corrected high-angle annular dark-field scanning TEM (HAADF-STEM), energy-dispers</w:t>
      </w:r>
      <w:r w:rsidRPr="000D3C67">
        <w:rPr>
          <w:rFonts w:ascii="Times New Roman" w:hAnsi="Times New Roman" w:cs="Times New Roman"/>
        </w:rPr>
        <w:t xml:space="preserve">ive X-ray spectroscopy (EDS) profiles, and elemental mapping were performed on Hitachi-HF5000 (Japan). Scanning electron microscopy (SEM) images and associated EDS profiles were obtained using SU9000 electron microscope (Hitachi, Japan). X-ray diffraction </w:t>
      </w:r>
      <w:r w:rsidRPr="000D3C67">
        <w:rPr>
          <w:rFonts w:ascii="Times New Roman" w:hAnsi="Times New Roman" w:cs="Times New Roman"/>
        </w:rPr>
        <w:t>(XRD) patterns were recorded on Ultima IV X-ray diffractometer (Rigaku, Japan). Raman spectra were obtained from in Via spectrometer (Renishaw, UK). X-ray photoelectron spectroscopy (XPS) measurements were conducted on K-Alpha instrument (Thermo Fisher Sci</w:t>
      </w:r>
      <w:r w:rsidRPr="000D3C67">
        <w:rPr>
          <w:rFonts w:ascii="Times New Roman" w:hAnsi="Times New Roman" w:cs="Times New Roman"/>
        </w:rPr>
        <w:t>entific, USA), and corresponding analyses were performed employing XPSPEAK software (version 4.0). Inductively coupled plasma mass spectrometry (ICP-MS) test was carried out using Agilent 7850 system (USA). Fourier-transform infrared (FTIR) spectra were co</w:t>
      </w:r>
      <w:r w:rsidRPr="000D3C67">
        <w:rPr>
          <w:rFonts w:ascii="Times New Roman" w:hAnsi="Times New Roman" w:cs="Times New Roman"/>
        </w:rPr>
        <w:t>llected on Nicolet iS10 spectrometer (Thermo Fisher Scientific, USA).</w:t>
      </w:r>
      <w:bookmarkStart w:id="32" w:name="OLE_LINK1225"/>
      <w:r w:rsidRPr="000D3C67">
        <w:rPr>
          <w:rFonts w:ascii="Times New Roman" w:hAnsi="Times New Roman" w:cs="Times New Roman"/>
        </w:rPr>
        <w:t xml:space="preserve"> In situ diffuse reflectance infrared Fourier-transform </w:t>
      </w:r>
      <w:bookmarkStart w:id="33" w:name="OLE_LINK1223"/>
      <w:r w:rsidRPr="000D3C67">
        <w:rPr>
          <w:rFonts w:ascii="Times New Roman" w:hAnsi="Times New Roman" w:cs="Times New Roman"/>
        </w:rPr>
        <w:t>spectroscopy</w:t>
      </w:r>
      <w:bookmarkEnd w:id="33"/>
      <w:r w:rsidRPr="000D3C67">
        <w:rPr>
          <w:rFonts w:ascii="Times New Roman" w:hAnsi="Times New Roman" w:cs="Times New Roman"/>
        </w:rPr>
        <w:t xml:space="preserve"> (DRIFTS) measurements were carried out on VERTEX 80v spectrometer (Bruker, Germany), where the sample was </w:t>
      </w:r>
      <w:bookmarkStart w:id="34" w:name="OLE_LINK1224"/>
      <w:r w:rsidRPr="000D3C67">
        <w:rPr>
          <w:rFonts w:ascii="Times New Roman" w:hAnsi="Times New Roman" w:cs="Times New Roman"/>
        </w:rPr>
        <w:t>swept</w:t>
      </w:r>
      <w:bookmarkEnd w:id="34"/>
      <w:r w:rsidRPr="000D3C67">
        <w:rPr>
          <w:rFonts w:ascii="Times New Roman" w:hAnsi="Times New Roman" w:cs="Times New Roman"/>
        </w:rPr>
        <w:t xml:space="preserve"> by H</w:t>
      </w:r>
      <w:r w:rsidRPr="000D3C67">
        <w:rPr>
          <w:rFonts w:ascii="Times New Roman" w:hAnsi="Times New Roman" w:cs="Times New Roman"/>
          <w:vertAlign w:val="subscript"/>
        </w:rPr>
        <w:t>2</w:t>
      </w:r>
      <w:r w:rsidRPr="000D3C67">
        <w:rPr>
          <w:rFonts w:ascii="Times New Roman" w:hAnsi="Times New Roman" w:cs="Times New Roman"/>
        </w:rPr>
        <w:t>O</w:t>
      </w:r>
      <w:r w:rsidRPr="000D3C67">
        <w:rPr>
          <w:rFonts w:ascii="Times New Roman" w:hAnsi="Times New Roman" w:cs="Times New Roman"/>
        </w:rPr>
        <w:t xml:space="preserve"> and O</w:t>
      </w:r>
      <w:r w:rsidRPr="000D3C67">
        <w:rPr>
          <w:rFonts w:ascii="Times New Roman" w:hAnsi="Times New Roman" w:cs="Times New Roman"/>
          <w:vertAlign w:val="subscript"/>
        </w:rPr>
        <w:t>2</w:t>
      </w:r>
      <w:r w:rsidRPr="000D3C67">
        <w:rPr>
          <w:rFonts w:ascii="Times New Roman" w:hAnsi="Times New Roman" w:cs="Times New Roman"/>
        </w:rPr>
        <w:t xml:space="preserve"> gas at 310 K in the dark for 60 min and the data were recorded in real time.</w:t>
      </w:r>
      <w:bookmarkEnd w:id="32"/>
      <w:r w:rsidRPr="000D3C67">
        <w:rPr>
          <w:rFonts w:ascii="Times New Roman" w:hAnsi="Times New Roman" w:cs="Times New Roman"/>
        </w:rPr>
        <w:t xml:space="preserve"> Hydrodynamic diameter and zeta potential measurements were performed using Zetasizer Nano ZS90 system (Malvern Instruments, UK). UV-vis absorption spectra and values were </w:t>
      </w:r>
      <w:r w:rsidRPr="000D3C67">
        <w:rPr>
          <w:rFonts w:ascii="Times New Roman" w:hAnsi="Times New Roman" w:cs="Times New Roman"/>
        </w:rPr>
        <w:t>acquired with either an ultraviolet spectrophotometer (UV-2550, Shimadzu Corporation, Japan) using quartz cuvettes or a microplate reader (Epoch, BIO-TEK, USA) using multi-orifice plates. Electron spin resonance (ESR) spectroscopy was performed on EMXplus-</w:t>
      </w:r>
      <w:r w:rsidRPr="000D3C67">
        <w:rPr>
          <w:rFonts w:ascii="Times New Roman" w:hAnsi="Times New Roman" w:cs="Times New Roman"/>
        </w:rPr>
        <w:t>6/1 spectrometer (Bruker, Germany). Biological TEM (Bio-TEM) imaging of cellular ultrastructure was conducted using HT7800 electron microscope (Hitachi, Japan). Confocal laser scanning microscopy (CLSM) images was obtained from TCS SP8 confocal fluorescenc</w:t>
      </w:r>
      <w:r w:rsidRPr="000D3C67">
        <w:rPr>
          <w:rFonts w:ascii="Times New Roman" w:hAnsi="Times New Roman" w:cs="Times New Roman"/>
        </w:rPr>
        <w:t>e microscope (Leica, Germany). Cell and tissue observations were made with DMi8 inverted microscope (Leica, Germany).</w:t>
      </w:r>
    </w:p>
    <w:p w:rsidR="008D699A" w:rsidRPr="000D3C67" w:rsidRDefault="000D3C67">
      <w:pPr>
        <w:spacing w:before="240" w:after="120"/>
        <w:jc w:val="both"/>
        <w:rPr>
          <w:rFonts w:ascii="Times New Roman" w:hAnsi="Times New Roman" w:cs="Times New Roman"/>
          <w:b/>
          <w:bCs/>
          <w:color w:val="000000" w:themeColor="text1"/>
        </w:rPr>
      </w:pPr>
      <w:r w:rsidRPr="000D3C67">
        <w:rPr>
          <w:rFonts w:ascii="Times New Roman" w:hAnsi="Times New Roman" w:cs="Times New Roman"/>
          <w:b/>
          <w:bCs/>
          <w:color w:val="000000" w:themeColor="text1"/>
        </w:rPr>
        <w:t>S1.2 X-ray absorption fine structure (XAFS) measurements</w:t>
      </w:r>
    </w:p>
    <w:p w:rsidR="008D699A" w:rsidRPr="000D3C67" w:rsidRDefault="000D3C67">
      <w:pPr>
        <w:spacing w:before="240" w:after="120"/>
        <w:ind w:firstLine="420"/>
        <w:jc w:val="both"/>
        <w:rPr>
          <w:rFonts w:ascii="Times New Roman" w:hAnsi="Times New Roman" w:cs="Times New Roman"/>
        </w:rPr>
      </w:pPr>
      <w:r w:rsidRPr="000D3C67">
        <w:rPr>
          <w:rFonts w:ascii="Times New Roman" w:hAnsi="Times New Roman" w:cs="Times New Roman"/>
          <w:color w:val="000000" w:themeColor="text1"/>
        </w:rPr>
        <w:t xml:space="preserve">Pt L3-edge XAFS measurements, </w:t>
      </w:r>
      <w:r w:rsidRPr="000D3C67">
        <w:rPr>
          <w:rFonts w:ascii="Times New Roman" w:hAnsi="Times New Roman" w:cs="Times New Roman"/>
        </w:rPr>
        <w:t xml:space="preserve">including X-ray absorption near-edge structure (XANES) and extended X-ray absorption fine structure (EXAFS), </w:t>
      </w:r>
      <w:r w:rsidRPr="000D3C67">
        <w:rPr>
          <w:rFonts w:ascii="Times New Roman" w:hAnsi="Times New Roman" w:cs="Times New Roman"/>
          <w:color w:val="000000" w:themeColor="text1"/>
        </w:rPr>
        <w:t xml:space="preserve">were performed at the beamline BL11B (Shanghai Synchrotron Radiation Facility, China). Powder samples </w:t>
      </w:r>
      <w:r w:rsidRPr="000D3C67">
        <w:rPr>
          <w:rFonts w:ascii="Times New Roman" w:hAnsi="Times New Roman" w:cs="Times New Roman"/>
        </w:rPr>
        <w:t>were pressed into thin sheets with 1 cm in di</w:t>
      </w:r>
      <w:r w:rsidRPr="000D3C67">
        <w:rPr>
          <w:rFonts w:ascii="Times New Roman" w:hAnsi="Times New Roman" w:cs="Times New Roman"/>
        </w:rPr>
        <w:t>ameter and sealed using Kapton tape film</w:t>
      </w:r>
      <w:r w:rsidRPr="000D3C67">
        <w:rPr>
          <w:rFonts w:ascii="Times New Roman" w:hAnsi="Times New Roman" w:cs="Times New Roman"/>
          <w:color w:val="000000" w:themeColor="text1"/>
        </w:rPr>
        <w:t xml:space="preserve">, and then recorded in transmission mode using a Bruker 5040 </w:t>
      </w:r>
      <w:r w:rsidRPr="000D3C67">
        <w:rPr>
          <w:rFonts w:ascii="Times New Roman" w:hAnsi="Times New Roman" w:cs="Times New Roman"/>
        </w:rPr>
        <w:t>4-channel Silicon Drift Detector (SDD)</w:t>
      </w:r>
      <w:r w:rsidRPr="000D3C67">
        <w:rPr>
          <w:rFonts w:ascii="Times New Roman" w:hAnsi="Times New Roman" w:cs="Times New Roman"/>
          <w:color w:val="000000" w:themeColor="text1"/>
        </w:rPr>
        <w:t xml:space="preserve">. </w:t>
      </w:r>
      <w:r w:rsidRPr="000D3C67">
        <w:rPr>
          <w:rFonts w:ascii="Times New Roman" w:hAnsi="Times New Roman" w:cs="Times New Roman"/>
        </w:rPr>
        <w:t>Negligible changes in the line-shape and peak position of Pt L3-edge XANES spectra were found between two scans tak</w:t>
      </w:r>
      <w:r w:rsidRPr="000D3C67">
        <w:rPr>
          <w:rFonts w:ascii="Times New Roman" w:hAnsi="Times New Roman" w:cs="Times New Roman"/>
        </w:rPr>
        <w:t xml:space="preserve">en for a specific sample. </w:t>
      </w:r>
      <w:r w:rsidRPr="000D3C67">
        <w:rPr>
          <w:rFonts w:ascii="Times New Roman" w:hAnsi="Times New Roman" w:cs="Times New Roman"/>
          <w:color w:val="000000" w:themeColor="text1"/>
        </w:rPr>
        <w:t>Raw data were processed using Athena software (</w:t>
      </w:r>
      <w:r w:rsidRPr="000D3C67">
        <w:rPr>
          <w:rFonts w:ascii="Times New Roman" w:hAnsi="Times New Roman" w:cs="Times New Roman"/>
        </w:rPr>
        <w:t>version</w:t>
      </w:r>
      <w:r w:rsidRPr="000D3C67">
        <w:rPr>
          <w:rFonts w:ascii="Times New Roman" w:hAnsi="Times New Roman" w:cs="Times New Roman"/>
          <w:color w:val="000000" w:themeColor="text1"/>
        </w:rPr>
        <w:t xml:space="preserve"> 0.9.26) for </w:t>
      </w:r>
      <w:r w:rsidRPr="000D3C67">
        <w:rPr>
          <w:rFonts w:ascii="Times New Roman" w:hAnsi="Times New Roman" w:cs="Times New Roman"/>
        </w:rPr>
        <w:t>background, pre-edge line and post-edge line calibrations. The Fourier transformed fitting was conducted in Artemis software (version 0.9.26) [S1, S2]. The paramet</w:t>
      </w:r>
      <w:r w:rsidRPr="000D3C67">
        <w:rPr>
          <w:rFonts w:ascii="Times New Roman" w:hAnsi="Times New Roman" w:cs="Times New Roman"/>
        </w:rPr>
        <w:t xml:space="preserve">ers were listed as follow: </w:t>
      </w:r>
      <w:r w:rsidRPr="000D3C67">
        <w:rPr>
          <w:rFonts w:ascii="Times New Roman" w:hAnsi="Times New Roman" w:cs="Times New Roman"/>
          <w:i/>
          <w:iCs/>
        </w:rPr>
        <w:t>R</w:t>
      </w:r>
      <w:r w:rsidRPr="000D3C67">
        <w:rPr>
          <w:rFonts w:ascii="Times New Roman" w:hAnsi="Times New Roman" w:cs="Times New Roman"/>
        </w:rPr>
        <w:t xml:space="preserve"> range, 1.0-2.4 Å; </w:t>
      </w:r>
      <w:r w:rsidRPr="000D3C67">
        <w:rPr>
          <w:rFonts w:ascii="Times New Roman" w:hAnsi="Times New Roman" w:cs="Times New Roman"/>
          <w:i/>
          <w:iCs/>
        </w:rPr>
        <w:t>k</w:t>
      </w:r>
      <w:r w:rsidRPr="000D3C67">
        <w:rPr>
          <w:rFonts w:ascii="Times New Roman" w:hAnsi="Times New Roman" w:cs="Times New Roman"/>
        </w:rPr>
        <w:t xml:space="preserve"> range, 3.0-10.8 Å</w:t>
      </w:r>
      <w:r w:rsidRPr="000D3C67">
        <w:rPr>
          <w:rFonts w:ascii="Times New Roman" w:hAnsi="Times New Roman" w:cs="Times New Roman"/>
          <w:vertAlign w:val="superscript"/>
        </w:rPr>
        <w:t>-1</w:t>
      </w:r>
      <w:r w:rsidRPr="000D3C67">
        <w:rPr>
          <w:rFonts w:ascii="Times New Roman" w:hAnsi="Times New Roman" w:cs="Times New Roman"/>
        </w:rPr>
        <w:t xml:space="preserve">; </w:t>
      </w:r>
      <w:r w:rsidRPr="000D3C67">
        <w:rPr>
          <w:rFonts w:ascii="Times New Roman" w:hAnsi="Times New Roman" w:cs="Times New Roman"/>
          <w:i/>
          <w:iCs/>
        </w:rPr>
        <w:t>k</w:t>
      </w:r>
      <w:r w:rsidRPr="000D3C67">
        <w:rPr>
          <w:rFonts w:ascii="Times New Roman" w:hAnsi="Times New Roman" w:cs="Times New Roman"/>
          <w:i/>
          <w:iCs/>
          <w:vertAlign w:val="superscript"/>
        </w:rPr>
        <w:t>3</w:t>
      </w:r>
      <w:r w:rsidRPr="000D3C67">
        <w:rPr>
          <w:rFonts w:ascii="Times New Roman" w:hAnsi="Times New Roman" w:cs="Times New Roman"/>
        </w:rPr>
        <w:t xml:space="preserve">-weighting. </w:t>
      </w:r>
      <w:r w:rsidRPr="000D3C67">
        <w:rPr>
          <w:rFonts w:ascii="Times New Roman" w:hAnsi="Times New Roman" w:cs="Times New Roman"/>
          <w:color w:val="000000" w:themeColor="text1"/>
        </w:rPr>
        <w:t>Reference models included Pt foil (Pt-Pt), PtO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 (Pt-O), and TCPP(Pt) (Pt-N). </w:t>
      </w:r>
      <w:r w:rsidRPr="000D3C67">
        <w:rPr>
          <w:rFonts w:ascii="Times New Roman" w:hAnsi="Times New Roman" w:cs="Times New Roman"/>
        </w:rPr>
        <w:t>The four parameters involving coordination number (CN), bond length (</w:t>
      </w:r>
      <w:r w:rsidRPr="000D3C67">
        <w:rPr>
          <w:rFonts w:ascii="Times New Roman" w:hAnsi="Times New Roman" w:cs="Times New Roman"/>
          <w:i/>
          <w:iCs/>
        </w:rPr>
        <w:t>R</w:t>
      </w:r>
      <w:r w:rsidRPr="000D3C67">
        <w:rPr>
          <w:rFonts w:ascii="Times New Roman" w:hAnsi="Times New Roman" w:cs="Times New Roman"/>
        </w:rPr>
        <w:t>), Debye-Waller factor (</w:t>
      </w:r>
      <w:r w:rsidRPr="000D3C67">
        <w:rPr>
          <w:rFonts w:ascii="Times New Roman" w:hAnsi="Times New Roman" w:cs="Times New Roman"/>
          <w:i/>
          <w:iCs/>
          <w:color w:val="000000" w:themeColor="text1"/>
        </w:rPr>
        <w:t>σ</w:t>
      </w:r>
      <w:r w:rsidRPr="000D3C67">
        <w:rPr>
          <w:rFonts w:ascii="Times New Roman" w:hAnsi="Times New Roman" w:cs="Times New Roman"/>
          <w:color w:val="000000" w:themeColor="text1"/>
          <w:vertAlign w:val="superscript"/>
        </w:rPr>
        <w:t>2</w:t>
      </w:r>
      <w:r w:rsidRPr="000D3C67">
        <w:rPr>
          <w:rFonts w:ascii="Times New Roman" w:hAnsi="Times New Roman" w:cs="Times New Roman"/>
        </w:rPr>
        <w:t>), and E</w:t>
      </w:r>
      <w:r w:rsidRPr="000D3C67">
        <w:rPr>
          <w:rFonts w:ascii="Times New Roman" w:hAnsi="Times New Roman" w:cs="Times New Roman"/>
          <w:vertAlign w:val="subscript"/>
        </w:rPr>
        <w:t>0</w:t>
      </w:r>
      <w:r w:rsidRPr="000D3C67">
        <w:rPr>
          <w:rFonts w:ascii="Times New Roman" w:hAnsi="Times New Roman" w:cs="Times New Roman"/>
        </w:rPr>
        <w:t xml:space="preserve"> shift (ΔE</w:t>
      </w:r>
      <w:r w:rsidRPr="000D3C67">
        <w:rPr>
          <w:rFonts w:ascii="Times New Roman" w:hAnsi="Times New Roman" w:cs="Times New Roman"/>
          <w:vertAlign w:val="subscript"/>
        </w:rPr>
        <w:t>0</w:t>
      </w:r>
      <w:r w:rsidRPr="000D3C67">
        <w:rPr>
          <w:rFonts w:ascii="Times New Roman" w:hAnsi="Times New Roman" w:cs="Times New Roman"/>
        </w:rPr>
        <w:t xml:space="preserve">) were fitted and partially fixed. Furthermore, for wavelet transformation analysis, the </w:t>
      </w:r>
      <w:r w:rsidRPr="000D3C67">
        <w:rPr>
          <w:rFonts w:ascii="Times New Roman" w:hAnsi="Times New Roman" w:cs="Times New Roman"/>
          <w:i/>
          <w:iCs/>
        </w:rPr>
        <w:t>χ</w:t>
      </w:r>
      <w:r w:rsidRPr="000D3C67">
        <w:rPr>
          <w:rFonts w:ascii="Times New Roman" w:hAnsi="Times New Roman" w:cs="Times New Roman"/>
        </w:rPr>
        <w:t>(</w:t>
      </w:r>
      <w:r w:rsidRPr="000D3C67">
        <w:rPr>
          <w:rFonts w:ascii="Times New Roman" w:hAnsi="Times New Roman" w:cs="Times New Roman"/>
          <w:i/>
          <w:iCs/>
        </w:rPr>
        <w:t>k</w:t>
      </w:r>
      <w:r w:rsidRPr="000D3C67">
        <w:rPr>
          <w:rFonts w:ascii="Times New Roman" w:hAnsi="Times New Roman" w:cs="Times New Roman"/>
        </w:rPr>
        <w:t xml:space="preserve">) exported from Athena was imported into the Hama Fortran code, and the parameters were listed as follow: </w:t>
      </w:r>
      <w:r w:rsidRPr="000D3C67">
        <w:rPr>
          <w:rFonts w:ascii="Times New Roman" w:hAnsi="Times New Roman" w:cs="Times New Roman"/>
          <w:i/>
          <w:iCs/>
        </w:rPr>
        <w:t>R</w:t>
      </w:r>
      <w:r w:rsidRPr="000D3C67">
        <w:rPr>
          <w:rFonts w:ascii="Times New Roman" w:hAnsi="Times New Roman" w:cs="Times New Roman"/>
        </w:rPr>
        <w:t xml:space="preserve"> range, 1.0-3.0 Å; </w:t>
      </w:r>
      <w:r w:rsidRPr="000D3C67">
        <w:rPr>
          <w:rFonts w:ascii="Times New Roman" w:hAnsi="Times New Roman" w:cs="Times New Roman"/>
          <w:i/>
          <w:iCs/>
        </w:rPr>
        <w:t>k</w:t>
      </w:r>
      <w:r w:rsidRPr="000D3C67">
        <w:rPr>
          <w:rFonts w:ascii="Times New Roman" w:hAnsi="Times New Roman" w:cs="Times New Roman"/>
        </w:rPr>
        <w:t xml:space="preserve"> range, 0-13.9 Å</w:t>
      </w:r>
      <w:r w:rsidRPr="000D3C67">
        <w:rPr>
          <w:rFonts w:ascii="Times New Roman" w:hAnsi="Times New Roman" w:cs="Times New Roman"/>
          <w:vertAlign w:val="superscript"/>
        </w:rPr>
        <w:t>-1</w:t>
      </w:r>
      <w:r w:rsidRPr="000D3C67">
        <w:rPr>
          <w:rFonts w:ascii="Times New Roman" w:hAnsi="Times New Roman" w:cs="Times New Roman"/>
        </w:rPr>
        <w:t xml:space="preserve">; </w:t>
      </w:r>
      <w:r w:rsidRPr="000D3C67">
        <w:rPr>
          <w:rFonts w:ascii="Times New Roman" w:hAnsi="Times New Roman" w:cs="Times New Roman"/>
          <w:i/>
          <w:iCs/>
        </w:rPr>
        <w:t>k</w:t>
      </w:r>
      <w:r w:rsidRPr="000D3C67">
        <w:rPr>
          <w:rFonts w:ascii="Times New Roman" w:hAnsi="Times New Roman" w:cs="Times New Roman"/>
        </w:rPr>
        <w:t xml:space="preserve"> weight, 3. The Morlet function with </w:t>
      </w:r>
      <w:r w:rsidRPr="000D3C67">
        <w:rPr>
          <w:rFonts w:ascii="Times New Roman" w:hAnsi="Times New Roman" w:cs="Times New Roman"/>
          <w:i/>
          <w:iCs/>
        </w:rPr>
        <w:t>κ</w:t>
      </w:r>
      <w:r w:rsidRPr="000D3C67">
        <w:rPr>
          <w:rFonts w:ascii="Times New Roman" w:hAnsi="Times New Roman" w:cs="Times New Roman"/>
        </w:rPr>
        <w:t xml:space="preserve"> = 5, </w:t>
      </w:r>
      <w:r w:rsidRPr="000D3C67">
        <w:rPr>
          <w:rFonts w:ascii="Times New Roman" w:hAnsi="Times New Roman" w:cs="Times New Roman"/>
          <w:i/>
          <w:iCs/>
        </w:rPr>
        <w:t>σ</w:t>
      </w:r>
      <w:r w:rsidRPr="000D3C67">
        <w:rPr>
          <w:rFonts w:ascii="Times New Roman" w:hAnsi="Times New Roman" w:cs="Times New Roman"/>
        </w:rPr>
        <w:t xml:space="preserve"> = 1 was used as the mother wavelet to offer the overall distribution. The authors would like to thank Shiyanjia Lab (www.shiyanjia.com) for the support of XAFS </w:t>
      </w:r>
      <w:r w:rsidRPr="000D3C67">
        <w:rPr>
          <w:rFonts w:ascii="Times New Roman" w:hAnsi="Times New Roman" w:cs="Times New Roman"/>
          <w:color w:val="000000" w:themeColor="text1"/>
        </w:rPr>
        <w:t>measurements</w:t>
      </w:r>
      <w:r w:rsidRPr="000D3C67">
        <w:rPr>
          <w:rFonts w:ascii="Times New Roman" w:hAnsi="Times New Roman" w:cs="Times New Roman"/>
        </w:rPr>
        <w:t>.</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S1.3 Total antioxidant performa</w:t>
      </w:r>
      <w:r w:rsidRPr="000D3C67">
        <w:rPr>
          <w:rFonts w:ascii="Times New Roman" w:hAnsi="Times New Roman" w:cs="Times New Roman"/>
          <w:b/>
          <w:bCs/>
        </w:rPr>
        <w:t>nce of PtSNC</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The total antioxidant capacity of PtSNC was evaluated via ABTS radical scavenging assay. ABTS working solution was prepared by mixing 38.4 mg mL</w:t>
      </w:r>
      <w:r w:rsidRPr="000D3C67">
        <w:rPr>
          <w:rFonts w:ascii="Times New Roman" w:hAnsi="Times New Roman" w:cs="Times New Roman"/>
          <w:vertAlign w:val="superscript"/>
        </w:rPr>
        <w:t>-1</w:t>
      </w:r>
      <w:r w:rsidRPr="000D3C67">
        <w:rPr>
          <w:rFonts w:ascii="Times New Roman" w:hAnsi="Times New Roman" w:cs="Times New Roman"/>
        </w:rPr>
        <w:t xml:space="preserve"> ABTS (reagent I) with 13.4 mg mL</w:t>
      </w:r>
      <w:r w:rsidRPr="000D3C67">
        <w:rPr>
          <w:rFonts w:ascii="Times New Roman" w:hAnsi="Times New Roman" w:cs="Times New Roman"/>
          <w:vertAlign w:val="superscript"/>
        </w:rPr>
        <w:t>-1</w:t>
      </w:r>
      <w:r w:rsidRPr="000D3C67">
        <w:rPr>
          <w:rFonts w:ascii="Times New Roman" w:hAnsi="Times New Roman" w:cs="Times New Roman"/>
        </w:rPr>
        <w:t xml:space="preserve"> potassium persulfate (reagent II) at 1:1 v/v, followed by 12 h dark incubation. PtSNC (100 </w:t>
      </w:r>
      <w:bookmarkStart w:id="35" w:name="OLE_LINK1330"/>
      <w:r w:rsidRPr="000D3C67">
        <w:rPr>
          <w:rFonts w:ascii="Times New Roman" w:hAnsi="Times New Roman" w:cs="Times New Roman"/>
        </w:rPr>
        <w:t>μg mL</w:t>
      </w:r>
      <w:r w:rsidRPr="000D3C67">
        <w:rPr>
          <w:rFonts w:ascii="Times New Roman" w:hAnsi="Times New Roman" w:cs="Times New Roman"/>
          <w:vertAlign w:val="superscript"/>
        </w:rPr>
        <w:t>-1</w:t>
      </w:r>
      <w:bookmarkEnd w:id="35"/>
      <w:r w:rsidRPr="000D3C67">
        <w:rPr>
          <w:rFonts w:ascii="Times New Roman" w:hAnsi="Times New Roman" w:cs="Times New Roman"/>
        </w:rPr>
        <w:t xml:space="preserve">) was incubated with 4 μL ABTS solution in the sodium acetate buffers (1 mL, pH 4.0-9.0) for 30 min in the dark. After centrifugation, the 730 nm absorbance </w:t>
      </w:r>
      <w:r w:rsidRPr="000D3C67">
        <w:rPr>
          <w:rFonts w:ascii="Times New Roman" w:hAnsi="Times New Roman" w:cs="Times New Roman"/>
        </w:rPr>
        <w:t>of obtained supernatant (100 μL) was measured with the untreated ABTS solution as a control. ABTS radical scavenging capacity (i.e., total antioxidant activity) was quantified by the absorbance-reducing percentage.</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S1.4 ESR test</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The •OH generation was det</w:t>
      </w:r>
      <w:r w:rsidRPr="000D3C67">
        <w:rPr>
          <w:rFonts w:ascii="Times New Roman" w:hAnsi="Times New Roman" w:cs="Times New Roman"/>
        </w:rPr>
        <w:t>ected by ESR spectroscopy. PtSNC (25 μg mL</w:t>
      </w:r>
      <w:r w:rsidRPr="000D3C67">
        <w:rPr>
          <w:rFonts w:ascii="Times New Roman" w:hAnsi="Times New Roman" w:cs="Times New Roman"/>
          <w:vertAlign w:val="superscript"/>
        </w:rPr>
        <w:t>-1</w:t>
      </w:r>
      <w:r w:rsidRPr="000D3C67">
        <w:rPr>
          <w:rFonts w:ascii="Times New Roman" w:hAnsi="Times New Roman" w:cs="Times New Roman"/>
        </w:rPr>
        <w:t>) was dispersed in the sodium acetate buffer (pH 5.2) with or without H</w:t>
      </w:r>
      <w:r w:rsidRPr="000D3C67">
        <w:rPr>
          <w:rFonts w:ascii="Times New Roman" w:hAnsi="Times New Roman" w:cs="Times New Roman"/>
          <w:vertAlign w:val="subscript"/>
        </w:rPr>
        <w:t>2</w:t>
      </w:r>
      <w:r w:rsidRPr="000D3C67">
        <w:rPr>
          <w:rFonts w:ascii="Times New Roman" w:hAnsi="Times New Roman" w:cs="Times New Roman"/>
        </w:rPr>
        <w:t>O</w:t>
      </w:r>
      <w:r w:rsidRPr="000D3C67">
        <w:rPr>
          <w:rFonts w:ascii="Times New Roman" w:hAnsi="Times New Roman" w:cs="Times New Roman"/>
          <w:vertAlign w:val="subscript"/>
        </w:rPr>
        <w:t>2</w:t>
      </w:r>
      <w:r w:rsidRPr="000D3C67">
        <w:rPr>
          <w:rFonts w:ascii="Times New Roman" w:hAnsi="Times New Roman" w:cs="Times New Roman"/>
        </w:rPr>
        <w:t xml:space="preserve"> (10 mM). The mixture was treated with an equal volume of 5,5-dimethyl-1-pyrroline-</w:t>
      </w:r>
      <w:r w:rsidRPr="000D3C67">
        <w:rPr>
          <w:rFonts w:ascii="Times New Roman" w:hAnsi="Times New Roman" w:cs="Times New Roman"/>
          <w:i/>
          <w:iCs/>
        </w:rPr>
        <w:t>N</w:t>
      </w:r>
      <w:r w:rsidRPr="000D3C67">
        <w:rPr>
          <w:rFonts w:ascii="Times New Roman" w:hAnsi="Times New Roman" w:cs="Times New Roman"/>
        </w:rPr>
        <w:t>-oxide (DMPO) (100 mM in H</w:t>
      </w:r>
      <w:r w:rsidRPr="000D3C67">
        <w:rPr>
          <w:rFonts w:ascii="Times New Roman" w:hAnsi="Times New Roman" w:cs="Times New Roman"/>
          <w:vertAlign w:val="subscript"/>
        </w:rPr>
        <w:t>2</w:t>
      </w:r>
      <w:r w:rsidRPr="000D3C67">
        <w:rPr>
          <w:rFonts w:ascii="Times New Roman" w:hAnsi="Times New Roman" w:cs="Times New Roman"/>
        </w:rPr>
        <w:t>O) as a spin-trapping agent</w:t>
      </w:r>
      <w:r w:rsidRPr="000D3C67">
        <w:rPr>
          <w:rFonts w:ascii="Times New Roman" w:hAnsi="Times New Roman" w:cs="Times New Roman"/>
        </w:rPr>
        <w:t xml:space="preserve"> before the ESR test.</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S1.5 Catalytic GSH oxidation</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The catalytic GSH oxidation by PtSNC was tested using Ellman’s assay. In details, PtSNC (0-200 μg mL</w:t>
      </w:r>
      <w:r w:rsidRPr="000D3C67">
        <w:rPr>
          <w:rFonts w:ascii="Times New Roman" w:hAnsi="Times New Roman" w:cs="Times New Roman"/>
          <w:vertAlign w:val="superscript"/>
        </w:rPr>
        <w:t>-1</w:t>
      </w:r>
      <w:r w:rsidRPr="000D3C67">
        <w:rPr>
          <w:rFonts w:ascii="Times New Roman" w:hAnsi="Times New Roman" w:cs="Times New Roman"/>
        </w:rPr>
        <w:t xml:space="preserve">) was incubated with GSH (0.2 mM) in the Tris-HCl buffers (10 </w:t>
      </w:r>
      <w:bookmarkStart w:id="36" w:name="OLE_LINK1221"/>
      <w:r w:rsidRPr="000D3C67">
        <w:rPr>
          <w:rFonts w:ascii="Times New Roman" w:hAnsi="Times New Roman" w:cs="Times New Roman"/>
        </w:rPr>
        <w:t>mM) a</w:t>
      </w:r>
      <w:bookmarkEnd w:id="36"/>
      <w:r w:rsidRPr="000D3C67">
        <w:rPr>
          <w:rFonts w:ascii="Times New Roman" w:hAnsi="Times New Roman" w:cs="Times New Roman"/>
        </w:rPr>
        <w:t xml:space="preserve">t 37 °C for 30 min. Besides, PtSNC </w:t>
      </w:r>
      <w:r w:rsidRPr="000D3C67">
        <w:rPr>
          <w:rFonts w:ascii="Times New Roman" w:hAnsi="Times New Roman" w:cs="Times New Roman"/>
        </w:rPr>
        <w:t>(50 μg mL</w:t>
      </w:r>
      <w:r w:rsidRPr="000D3C67">
        <w:rPr>
          <w:rFonts w:ascii="Times New Roman" w:hAnsi="Times New Roman" w:cs="Times New Roman"/>
          <w:vertAlign w:val="superscript"/>
        </w:rPr>
        <w:t>-1</w:t>
      </w:r>
      <w:r w:rsidRPr="000D3C67">
        <w:rPr>
          <w:rFonts w:ascii="Times New Roman" w:hAnsi="Times New Roman" w:cs="Times New Roman"/>
        </w:rPr>
        <w:t xml:space="preserve">) was reacted with GSH (0.2 mM) in the Tris-HCl buffers at 37 °C for different durations (0, 5, 15, 30, 60, and 90 min). Post-reaction mixtures were treated with 10 μL DTNB test solution (10 mM in DMSO) for 3 min at room temperature. The UV-vis </w:t>
      </w:r>
      <w:r w:rsidRPr="000D3C67">
        <w:rPr>
          <w:rFonts w:ascii="Times New Roman" w:hAnsi="Times New Roman" w:cs="Times New Roman"/>
        </w:rPr>
        <w:t>spectra (300-550 nm) were acquired, and GSH-eliminating rate was calculated from the 412 nm absorbance reduction.</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S1.6 Computational details</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 xml:space="preserve">All DFT calculations were carried out using the Vienna </w:t>
      </w:r>
      <w:r w:rsidRPr="000D3C67">
        <w:rPr>
          <w:rFonts w:ascii="Times New Roman" w:hAnsi="Times New Roman" w:cs="Times New Roman"/>
          <w:i/>
          <w:iCs/>
        </w:rPr>
        <w:t>Ab-initio</w:t>
      </w:r>
      <w:r w:rsidRPr="000D3C67">
        <w:rPr>
          <w:rFonts w:ascii="Times New Roman" w:hAnsi="Times New Roman" w:cs="Times New Roman"/>
        </w:rPr>
        <w:t xml:space="preserve"> Simulation Package (VASP), employing the projecto</w:t>
      </w:r>
      <w:r w:rsidRPr="000D3C67">
        <w:rPr>
          <w:rFonts w:ascii="Times New Roman" w:hAnsi="Times New Roman" w:cs="Times New Roman"/>
        </w:rPr>
        <w:t>r augmented-wave method [S3]. The generalized gradient approximation proposed by Perdew, Burke, and Ernzerhof was chose for the exchange-correlation potential [S4]. The long-range van der Waals interactions were described by the DFT-D3 method [S5]. A plane</w:t>
      </w:r>
      <w:r w:rsidRPr="000D3C67">
        <w:rPr>
          <w:rFonts w:ascii="Times New Roman" w:hAnsi="Times New Roman" w:cs="Times New Roman"/>
        </w:rPr>
        <w:t>-wave cutoff energy of 400 eV was applied, and the electronic energy convergence criterion was set to 10</w:t>
      </w:r>
      <w:r w:rsidRPr="000D3C67">
        <w:rPr>
          <w:rFonts w:ascii="Times New Roman" w:hAnsi="Times New Roman" w:cs="Times New Roman"/>
          <w:vertAlign w:val="superscript"/>
        </w:rPr>
        <w:t>-6</w:t>
      </w:r>
      <w:r w:rsidRPr="000D3C67">
        <w:rPr>
          <w:rFonts w:ascii="Times New Roman" w:hAnsi="Times New Roman" w:cs="Times New Roman"/>
        </w:rPr>
        <w:t xml:space="preserve"> eV during iterative solution of the Kohn-Sham equation. To avoid artificial interaction between periodic images, a vacuum layer of 15 Å was introduce</w:t>
      </w:r>
      <w:r w:rsidRPr="000D3C67">
        <w:rPr>
          <w:rFonts w:ascii="Times New Roman" w:hAnsi="Times New Roman" w:cs="Times New Roman"/>
        </w:rPr>
        <w:t>d normal to the sheet. The Brillouin zone integration was carried out using k-mesh with the K-spacing value of 0.04. Structural relaxations were considered complete when residual atomic forces fell below 0.03 eV Å</w:t>
      </w:r>
      <w:r w:rsidRPr="000D3C67">
        <w:rPr>
          <w:rFonts w:ascii="Times New Roman" w:hAnsi="Times New Roman" w:cs="Times New Roman"/>
          <w:vertAlign w:val="superscript"/>
        </w:rPr>
        <w:t>-1</w:t>
      </w:r>
      <w:r w:rsidRPr="000D3C67">
        <w:rPr>
          <w:rFonts w:ascii="Times New Roman" w:hAnsi="Times New Roman" w:cs="Times New Roman"/>
        </w:rPr>
        <w:t>.</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S1.7 Tumor cell-killing effect of PtSNC</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r>
      <w:bookmarkStart w:id="37" w:name="OLE_LINK1249"/>
      <w:r w:rsidRPr="000D3C67">
        <w:rPr>
          <w:rFonts w:ascii="Times New Roman" w:hAnsi="Times New Roman" w:cs="Times New Roman"/>
        </w:rPr>
        <w:t>B16F10 cells</w:t>
      </w:r>
      <w:bookmarkEnd w:id="37"/>
      <w:r w:rsidRPr="000D3C67">
        <w:rPr>
          <w:rFonts w:ascii="Times New Roman" w:hAnsi="Times New Roman" w:cs="Times New Roman"/>
        </w:rPr>
        <w:t xml:space="preserve"> were seeded in 96-well plates at 1 × 10</w:t>
      </w:r>
      <w:r w:rsidRPr="000D3C67">
        <w:rPr>
          <w:rFonts w:ascii="Times New Roman" w:hAnsi="Times New Roman" w:cs="Times New Roman"/>
          <w:vertAlign w:val="superscript"/>
        </w:rPr>
        <w:t>4</w:t>
      </w:r>
      <w:r w:rsidRPr="000D3C67">
        <w:rPr>
          <w:rFonts w:ascii="Times New Roman" w:hAnsi="Times New Roman" w:cs="Times New Roman"/>
        </w:rPr>
        <w:t xml:space="preserve"> cells per well and cultured for 24 h. The medium was replaced with 100 μL fresh HG medium (pH 7.4) containing varying concentrations of PtSNC, followed by 24 h incubation before viability </w:t>
      </w:r>
      <w:bookmarkStart w:id="38" w:name="OLE_LINK1254"/>
      <w:r w:rsidRPr="000D3C67">
        <w:rPr>
          <w:rFonts w:ascii="Times New Roman" w:hAnsi="Times New Roman" w:cs="Times New Roman"/>
        </w:rPr>
        <w:t>measurement</w:t>
      </w:r>
      <w:bookmarkEnd w:id="38"/>
      <w:r w:rsidRPr="000D3C67">
        <w:rPr>
          <w:rFonts w:ascii="Times New Roman" w:hAnsi="Times New Roman" w:cs="Times New Roman"/>
        </w:rPr>
        <w:t>.</w:t>
      </w:r>
      <w:r w:rsidRPr="000D3C67">
        <w:rPr>
          <w:rFonts w:ascii="Times New Roman" w:hAnsi="Times New Roman" w:cs="Times New Roman"/>
        </w:rPr>
        <w:t xml:space="preserve"> In addition, the mildly acidic HG medium (pH 6.0) supplemented with H</w:t>
      </w:r>
      <w:r w:rsidRPr="000D3C67">
        <w:rPr>
          <w:rFonts w:ascii="Times New Roman" w:hAnsi="Times New Roman" w:cs="Times New Roman"/>
          <w:vertAlign w:val="subscript"/>
        </w:rPr>
        <w:t>2</w:t>
      </w:r>
      <w:r w:rsidRPr="000D3C67">
        <w:rPr>
          <w:rFonts w:ascii="Times New Roman" w:hAnsi="Times New Roman" w:cs="Times New Roman"/>
        </w:rPr>
        <w:t>O</w:t>
      </w:r>
      <w:r w:rsidRPr="000D3C67">
        <w:rPr>
          <w:rFonts w:ascii="Times New Roman" w:hAnsi="Times New Roman" w:cs="Times New Roman"/>
          <w:vertAlign w:val="subscript"/>
        </w:rPr>
        <w:t>2</w:t>
      </w:r>
      <w:r w:rsidRPr="000D3C67">
        <w:rPr>
          <w:rFonts w:ascii="Times New Roman" w:hAnsi="Times New Roman" w:cs="Times New Roman"/>
        </w:rPr>
        <w:t xml:space="preserve"> (100 μM) as the simulated TME were prepared to treat B16F10 cells for comparisons. To further elucidate the cell death pathways, rescue experiments were performed using specific inhi</w:t>
      </w:r>
      <w:r w:rsidRPr="000D3C67">
        <w:rPr>
          <w:rFonts w:ascii="Times New Roman" w:hAnsi="Times New Roman" w:cs="Times New Roman"/>
        </w:rPr>
        <w:t>bitors: B16F10 cells were pre-treated for 2 h with ferrostatin‑1 (</w:t>
      </w:r>
      <w:bookmarkStart w:id="39" w:name="OLE_LINK1258"/>
      <w:r w:rsidRPr="000D3C67">
        <w:rPr>
          <w:rFonts w:ascii="Times New Roman" w:hAnsi="Times New Roman" w:cs="Times New Roman"/>
        </w:rPr>
        <w:t>1 μM</w:t>
      </w:r>
      <w:bookmarkEnd w:id="39"/>
      <w:r w:rsidRPr="000D3C67">
        <w:rPr>
          <w:rFonts w:ascii="Times New Roman" w:hAnsi="Times New Roman" w:cs="Times New Roman"/>
        </w:rPr>
        <w:t xml:space="preserve">), </w:t>
      </w:r>
      <w:bookmarkStart w:id="40" w:name="OLE_LINK1252"/>
      <w:r w:rsidRPr="000D3C67">
        <w:rPr>
          <w:rFonts w:ascii="Times New Roman" w:hAnsi="Times New Roman" w:cs="Times New Roman"/>
        </w:rPr>
        <w:t>Z‑VAD‑FMK</w:t>
      </w:r>
      <w:bookmarkEnd w:id="40"/>
      <w:r w:rsidRPr="000D3C67">
        <w:rPr>
          <w:rFonts w:ascii="Times New Roman" w:hAnsi="Times New Roman" w:cs="Times New Roman"/>
        </w:rPr>
        <w:t xml:space="preserve"> (20 μM), necrostatin‑1 (20 μM), or </w:t>
      </w:r>
      <w:bookmarkStart w:id="41" w:name="OLE_LINK1250"/>
      <w:r w:rsidRPr="000D3C67">
        <w:rPr>
          <w:rFonts w:ascii="Times New Roman" w:hAnsi="Times New Roman" w:cs="Times New Roman"/>
          <w:i/>
          <w:iCs/>
        </w:rPr>
        <w:t>N</w:t>
      </w:r>
      <w:r w:rsidRPr="000D3C67">
        <w:rPr>
          <w:rFonts w:ascii="Times New Roman" w:hAnsi="Times New Roman" w:cs="Times New Roman"/>
        </w:rPr>
        <w:t>‑</w:t>
      </w:r>
      <w:r w:rsidRPr="000D3C67">
        <w:rPr>
          <w:rFonts w:ascii="Times New Roman" w:hAnsi="Times New Roman" w:cs="Times New Roman"/>
        </w:rPr>
        <w:t>acetyl‑L‑cysteine</w:t>
      </w:r>
      <w:bookmarkEnd w:id="41"/>
      <w:r w:rsidRPr="000D3C67">
        <w:rPr>
          <w:rFonts w:ascii="Times New Roman" w:hAnsi="Times New Roman" w:cs="Times New Roman"/>
        </w:rPr>
        <w:t xml:space="preserve"> (</w:t>
      </w:r>
      <w:bookmarkStart w:id="42" w:name="OLE_LINK1251"/>
      <w:r w:rsidRPr="000D3C67">
        <w:rPr>
          <w:rFonts w:ascii="Times New Roman" w:hAnsi="Times New Roman" w:cs="Times New Roman"/>
        </w:rPr>
        <w:t>NAC</w:t>
      </w:r>
      <w:bookmarkEnd w:id="42"/>
      <w:r w:rsidRPr="000D3C67">
        <w:rPr>
          <w:rFonts w:ascii="Times New Roman" w:hAnsi="Times New Roman" w:cs="Times New Roman"/>
        </w:rPr>
        <w:t>, 2 mM), followed by co‑incubation with PtSNC (100 μg mL</w:t>
      </w:r>
      <w:r w:rsidRPr="000D3C67">
        <w:rPr>
          <w:rFonts w:ascii="Times New Roman" w:hAnsi="Times New Roman" w:cs="Times New Roman"/>
          <w:vertAlign w:val="superscript"/>
        </w:rPr>
        <w:t>-1</w:t>
      </w:r>
      <w:r w:rsidRPr="000D3C67">
        <w:rPr>
          <w:rFonts w:ascii="Times New Roman" w:hAnsi="Times New Roman" w:cs="Times New Roman"/>
        </w:rPr>
        <w:t>) for 24 h prior to viability measurement.</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S1.8 Intracel</w:t>
      </w:r>
      <w:r w:rsidRPr="000D3C67">
        <w:rPr>
          <w:rFonts w:ascii="Times New Roman" w:hAnsi="Times New Roman" w:cs="Times New Roman"/>
          <w:b/>
          <w:bCs/>
        </w:rPr>
        <w:t>lular ROS staining</w:t>
      </w:r>
    </w:p>
    <w:p w:rsidR="008D699A" w:rsidRPr="000D3C67" w:rsidRDefault="000D3C67">
      <w:pPr>
        <w:spacing w:before="240" w:after="120"/>
        <w:ind w:firstLineChars="200" w:firstLine="480"/>
        <w:jc w:val="both"/>
        <w:rPr>
          <w:rFonts w:ascii="Times New Roman" w:hAnsi="Times New Roman" w:cs="Times New Roman"/>
        </w:rPr>
      </w:pPr>
      <w:r w:rsidRPr="000D3C67">
        <w:rPr>
          <w:rFonts w:ascii="Times New Roman" w:hAnsi="Times New Roman" w:cs="Times New Roman"/>
        </w:rPr>
        <w:t>HUVECs were seeded in 24-well plates and cultured for 72 h in the HG medium (the NG medium as a control). After different treatments for additional 12 h, these cells in different groups were incubated with DCFH-DA (10 μM) for 20 min at 3</w:t>
      </w:r>
      <w:r w:rsidRPr="000D3C67">
        <w:rPr>
          <w:rFonts w:ascii="Times New Roman" w:hAnsi="Times New Roman" w:cs="Times New Roman"/>
        </w:rPr>
        <w:t xml:space="preserve">7 °C. After three washes with PBS, intracellular ROS levels were measured via fluorescence microscope. </w:t>
      </w:r>
      <w:bookmarkStart w:id="43" w:name="OLE_LINK1638"/>
      <w:r w:rsidRPr="000D3C67">
        <w:rPr>
          <w:rFonts w:ascii="Times New Roman" w:hAnsi="Times New Roman" w:cs="Times New Roman"/>
        </w:rPr>
        <w:t>Differently, B16F10 cells were seeded in 24-well plates and cultured for 24 h, and subsequently the medium was replaced with the fresh HG medium (pH 7.4)</w:t>
      </w:r>
      <w:r w:rsidRPr="000D3C67">
        <w:rPr>
          <w:rFonts w:ascii="Times New Roman" w:hAnsi="Times New Roman" w:cs="Times New Roman"/>
        </w:rPr>
        <w:t xml:space="preserve"> or the TME-simulated HG medium (pH 6.0, 100 μM H</w:t>
      </w:r>
      <w:r w:rsidRPr="000D3C67">
        <w:rPr>
          <w:rFonts w:ascii="Times New Roman" w:hAnsi="Times New Roman" w:cs="Times New Roman"/>
          <w:vertAlign w:val="subscript"/>
        </w:rPr>
        <w:t>2</w:t>
      </w:r>
      <w:r w:rsidRPr="000D3C67">
        <w:rPr>
          <w:rFonts w:ascii="Times New Roman" w:hAnsi="Times New Roman" w:cs="Times New Roman"/>
        </w:rPr>
        <w:t>O</w:t>
      </w:r>
      <w:r w:rsidRPr="000D3C67">
        <w:rPr>
          <w:rFonts w:ascii="Times New Roman" w:hAnsi="Times New Roman" w:cs="Times New Roman"/>
          <w:vertAlign w:val="subscript"/>
        </w:rPr>
        <w:t>2</w:t>
      </w:r>
      <w:r w:rsidRPr="000D3C67">
        <w:rPr>
          <w:rFonts w:ascii="Times New Roman" w:hAnsi="Times New Roman" w:cs="Times New Roman"/>
        </w:rPr>
        <w:t>) containing PtSNC (</w:t>
      </w:r>
      <w:bookmarkStart w:id="44" w:name="OLE_LINK1255"/>
      <w:r w:rsidRPr="000D3C67">
        <w:rPr>
          <w:rFonts w:ascii="Times New Roman" w:hAnsi="Times New Roman" w:cs="Times New Roman"/>
        </w:rPr>
        <w:t>50 μg mL</w:t>
      </w:r>
      <w:r w:rsidRPr="000D3C67">
        <w:rPr>
          <w:rFonts w:ascii="Times New Roman" w:hAnsi="Times New Roman" w:cs="Times New Roman"/>
          <w:vertAlign w:val="superscript"/>
        </w:rPr>
        <w:t>-1</w:t>
      </w:r>
      <w:bookmarkEnd w:id="44"/>
      <w:r w:rsidRPr="000D3C67">
        <w:rPr>
          <w:rFonts w:ascii="Times New Roman" w:hAnsi="Times New Roman" w:cs="Times New Roman"/>
        </w:rPr>
        <w:t>) followed by 5 h incubation before DCFH-DA treatment and fluorescence observation.</w:t>
      </w:r>
      <w:bookmarkEnd w:id="43"/>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S1.9 Mitochondrial tracking in HUVECs</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 xml:space="preserve">Following the same cell treatments applied for ROS </w:t>
      </w:r>
      <w:r w:rsidRPr="000D3C67">
        <w:rPr>
          <w:rFonts w:ascii="Times New Roman" w:hAnsi="Times New Roman" w:cs="Times New Roman"/>
        </w:rPr>
        <w:t>staining assay, HUVECs were co-stained with Mito-Tracker Deep Red 633 (200 nM, Beyotime)—a novel deep red fluorescent probe that can specifically label mitochondria in live cells and indicate mitochondrial membrane potential—and Hoechst 33342 (5 μg mL</w:t>
      </w:r>
      <w:r w:rsidRPr="000D3C67">
        <w:rPr>
          <w:rFonts w:ascii="Times New Roman" w:hAnsi="Times New Roman" w:cs="Times New Roman"/>
          <w:vertAlign w:val="superscript"/>
        </w:rPr>
        <w:t>-1</w:t>
      </w:r>
      <w:r w:rsidRPr="000D3C67">
        <w:rPr>
          <w:rFonts w:ascii="Times New Roman" w:hAnsi="Times New Roman" w:cs="Times New Roman"/>
        </w:rPr>
        <w:t>, B</w:t>
      </w:r>
      <w:r w:rsidRPr="000D3C67">
        <w:rPr>
          <w:rFonts w:ascii="Times New Roman" w:hAnsi="Times New Roman" w:cs="Times New Roman"/>
        </w:rPr>
        <w:t>eyotime) for mitochondrial and nuclear labeling before fluorescence observation.</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S1.10 JC-1 assay</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 xml:space="preserve">Based on JC-1 probe, red fluorescence can be detected in normal mitochondrial membranes with high potential (JC-1 aggregate) while green fluorescence can be </w:t>
      </w:r>
      <w:r w:rsidRPr="000D3C67">
        <w:rPr>
          <w:rFonts w:ascii="Times New Roman" w:hAnsi="Times New Roman" w:cs="Times New Roman"/>
        </w:rPr>
        <w:t>found in damaged mitochondrial membranes with low potential (JC-1 monomer). In details, after treated with PtSNC (50 μg mL</w:t>
      </w:r>
      <w:r w:rsidRPr="000D3C67">
        <w:rPr>
          <w:rFonts w:ascii="Times New Roman" w:hAnsi="Times New Roman" w:cs="Times New Roman"/>
          <w:vertAlign w:val="superscript"/>
        </w:rPr>
        <w:t>-1</w:t>
      </w:r>
      <w:r w:rsidRPr="000D3C67">
        <w:rPr>
          <w:rFonts w:ascii="Times New Roman" w:hAnsi="Times New Roman" w:cs="Times New Roman"/>
        </w:rPr>
        <w:t>) in the HG medium (pH 7.4) or the TME-simulated HG medium (pH 6.0, 100 μM H</w:t>
      </w:r>
      <w:r w:rsidRPr="000D3C67">
        <w:rPr>
          <w:rFonts w:ascii="Times New Roman" w:hAnsi="Times New Roman" w:cs="Times New Roman"/>
          <w:vertAlign w:val="subscript"/>
        </w:rPr>
        <w:t>2</w:t>
      </w:r>
      <w:r w:rsidRPr="000D3C67">
        <w:rPr>
          <w:rFonts w:ascii="Times New Roman" w:hAnsi="Times New Roman" w:cs="Times New Roman"/>
        </w:rPr>
        <w:t>O</w:t>
      </w:r>
      <w:r w:rsidRPr="000D3C67">
        <w:rPr>
          <w:rFonts w:ascii="Times New Roman" w:hAnsi="Times New Roman" w:cs="Times New Roman"/>
          <w:vertAlign w:val="subscript"/>
        </w:rPr>
        <w:t>2</w:t>
      </w:r>
      <w:r w:rsidRPr="000D3C67">
        <w:rPr>
          <w:rFonts w:ascii="Times New Roman" w:hAnsi="Times New Roman" w:cs="Times New Roman"/>
        </w:rPr>
        <w:t xml:space="preserve">) for 5 h, B16F10 cells were incubated with JC-1 </w:t>
      </w:r>
      <w:r w:rsidRPr="000D3C67">
        <w:rPr>
          <w:rFonts w:ascii="Times New Roman" w:hAnsi="Times New Roman" w:cs="Times New Roman"/>
        </w:rPr>
        <w:t>working solution according to the manufacturer’s protocol before fluorescence observation and imaging.</w:t>
      </w:r>
    </w:p>
    <w:p w:rsidR="008D699A" w:rsidRPr="000D3C67" w:rsidRDefault="000D3C67">
      <w:pPr>
        <w:adjustRightInd w:val="0"/>
        <w:spacing w:before="240" w:after="120"/>
        <w:jc w:val="both"/>
        <w:rPr>
          <w:rFonts w:ascii="Times New Roman" w:hAnsi="Times New Roman" w:cs="Times New Roman"/>
          <w:b/>
          <w:bCs/>
        </w:rPr>
      </w:pPr>
      <w:r w:rsidRPr="000D3C67">
        <w:rPr>
          <w:rFonts w:ascii="Times New Roman" w:hAnsi="Times New Roman" w:cs="Times New Roman"/>
          <w:b/>
          <w:bCs/>
        </w:rPr>
        <w:t>S1.11 Visualization of mitochondrial morphology</w:t>
      </w:r>
    </w:p>
    <w:p w:rsidR="008D699A" w:rsidRPr="000D3C67" w:rsidRDefault="000D3C67">
      <w:pPr>
        <w:pStyle w:val="p1"/>
        <w:adjustRightInd w:val="0"/>
        <w:spacing w:before="240" w:after="120"/>
        <w:jc w:val="both"/>
        <w:rPr>
          <w:rFonts w:ascii="Times New Roman" w:hAnsi="Times New Roman" w:cs="Times New Roman"/>
          <w:sz w:val="24"/>
          <w:szCs w:val="24"/>
        </w:rPr>
      </w:pPr>
      <w:r w:rsidRPr="000D3C67">
        <w:rPr>
          <w:rFonts w:ascii="Times New Roman" w:hAnsi="Times New Roman" w:cs="Times New Roman"/>
          <w:sz w:val="24"/>
          <w:szCs w:val="24"/>
        </w:rPr>
        <w:tab/>
        <w:t xml:space="preserve">For </w:t>
      </w:r>
      <w:r w:rsidRPr="000D3C67">
        <w:rPr>
          <w:rFonts w:ascii="Times New Roman" w:hAnsi="Times New Roman" w:cs="Times New Roman"/>
          <w:sz w:val="24"/>
        </w:rPr>
        <w:t xml:space="preserve">fluorescence imaging, </w:t>
      </w:r>
      <w:r w:rsidRPr="000D3C67">
        <w:rPr>
          <w:rFonts w:ascii="Times New Roman" w:hAnsi="Times New Roman" w:cs="Times New Roman"/>
          <w:sz w:val="24"/>
          <w:szCs w:val="24"/>
        </w:rPr>
        <w:t xml:space="preserve">as-treated </w:t>
      </w:r>
      <w:bookmarkStart w:id="45" w:name="OLE_LINK1632"/>
      <w:r w:rsidRPr="000D3C67">
        <w:rPr>
          <w:rFonts w:ascii="Times New Roman" w:hAnsi="Times New Roman" w:cs="Times New Roman"/>
          <w:sz w:val="24"/>
          <w:szCs w:val="24"/>
        </w:rPr>
        <w:t xml:space="preserve">HUVECs and </w:t>
      </w:r>
      <w:r w:rsidRPr="000D3C67">
        <w:rPr>
          <w:rFonts w:ascii="Times New Roman" w:hAnsi="Times New Roman" w:cs="Times New Roman"/>
          <w:sz w:val="24"/>
        </w:rPr>
        <w:t>B16F10 cells</w:t>
      </w:r>
      <w:r w:rsidRPr="000D3C67">
        <w:rPr>
          <w:rFonts w:ascii="Times New Roman" w:hAnsi="Times New Roman" w:cs="Times New Roman"/>
          <w:sz w:val="24"/>
          <w:szCs w:val="24"/>
        </w:rPr>
        <w:t xml:space="preserve"> were incubated with MitoTracker Red CMXRos </w:t>
      </w:r>
      <w:r w:rsidRPr="000D3C67">
        <w:rPr>
          <w:rFonts w:ascii="Times New Roman" w:hAnsi="Times New Roman" w:cs="Times New Roman"/>
          <w:sz w:val="24"/>
          <w:szCs w:val="24"/>
        </w:rPr>
        <w:t xml:space="preserve">(50 nM, Invitrogen) for 20 min at </w:t>
      </w:r>
      <w:r w:rsidRPr="000D3C67">
        <w:rPr>
          <w:rFonts w:ascii="Times New Roman" w:hAnsi="Times New Roman" w:cs="Times New Roman"/>
          <w:sz w:val="24"/>
        </w:rPr>
        <w:t>37 °C,</w:t>
      </w:r>
      <w:bookmarkEnd w:id="45"/>
      <w:r w:rsidRPr="000D3C67">
        <w:rPr>
          <w:rFonts w:ascii="Times New Roman" w:hAnsi="Times New Roman" w:cs="Times New Roman"/>
          <w:sz w:val="24"/>
        </w:rPr>
        <w:t xml:space="preserve"> and then stained with Hoechst 33342 </w:t>
      </w:r>
      <w:r w:rsidRPr="000D3C67">
        <w:rPr>
          <w:rFonts w:ascii="Times New Roman" w:hAnsi="Times New Roman" w:cs="Times New Roman"/>
          <w:sz w:val="24"/>
          <w:szCs w:val="24"/>
        </w:rPr>
        <w:t xml:space="preserve">for 5 min at </w:t>
      </w:r>
      <w:r w:rsidRPr="000D3C67">
        <w:rPr>
          <w:rFonts w:ascii="Times New Roman" w:hAnsi="Times New Roman" w:cs="Times New Roman"/>
          <w:sz w:val="24"/>
        </w:rPr>
        <w:t xml:space="preserve">37 °C before observation. Additionally, </w:t>
      </w:r>
      <w:r w:rsidRPr="000D3C67">
        <w:rPr>
          <w:rFonts w:ascii="Times New Roman" w:hAnsi="Times New Roman" w:cs="Times New Roman"/>
          <w:sz w:val="24"/>
          <w:szCs w:val="24"/>
        </w:rPr>
        <w:t>these cells were also collected by centrifugation and fixed with glutaraldehyde fixative (2.5%) for embedding, sectioning, sta</w:t>
      </w:r>
      <w:r w:rsidRPr="000D3C67">
        <w:rPr>
          <w:rFonts w:ascii="Times New Roman" w:hAnsi="Times New Roman" w:cs="Times New Roman"/>
          <w:sz w:val="24"/>
          <w:szCs w:val="24"/>
        </w:rPr>
        <w:t xml:space="preserve">ining, and </w:t>
      </w:r>
      <w:r w:rsidRPr="000D3C67">
        <w:rPr>
          <w:rFonts w:ascii="Times New Roman" w:hAnsi="Times New Roman" w:cs="Times New Roman"/>
          <w:sz w:val="24"/>
        </w:rPr>
        <w:t>bio-TEM imaging</w:t>
      </w:r>
      <w:r w:rsidRPr="000D3C67">
        <w:rPr>
          <w:rFonts w:ascii="Times New Roman" w:hAnsi="Times New Roman" w:cs="Times New Roman"/>
          <w:sz w:val="24"/>
          <w:szCs w:val="24"/>
        </w:rPr>
        <w:t>.</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S1.12 Detection of intracellular oxygenation in HUVECs</w:t>
      </w:r>
    </w:p>
    <w:p w:rsidR="008D699A" w:rsidRPr="000D3C67" w:rsidRDefault="000D3C67">
      <w:pPr>
        <w:spacing w:before="240" w:after="120"/>
        <w:jc w:val="both"/>
        <w:rPr>
          <w:rFonts w:ascii="Times New Roman" w:hAnsi="Times New Roman" w:cs="Times New Roman"/>
          <w:color w:val="FF0000"/>
        </w:rPr>
      </w:pPr>
      <w:r w:rsidRPr="000D3C67">
        <w:rPr>
          <w:rFonts w:ascii="Times New Roman" w:hAnsi="Times New Roman" w:cs="Times New Roman"/>
          <w:color w:val="FF0000"/>
        </w:rPr>
        <w:tab/>
      </w:r>
      <w:r w:rsidRPr="000D3C67">
        <w:rPr>
          <w:rFonts w:ascii="Times New Roman" w:hAnsi="Times New Roman" w:cs="Times New Roman"/>
          <w:color w:val="000000" w:themeColor="text1"/>
        </w:rPr>
        <w:t>The oxygen sensor [Ru(dpp)</w:t>
      </w:r>
      <w:r w:rsidRPr="000D3C67">
        <w:rPr>
          <w:rFonts w:ascii="Times New Roman" w:hAnsi="Times New Roman" w:cs="Times New Roman"/>
          <w:color w:val="000000" w:themeColor="text1"/>
          <w:vertAlign w:val="subscript"/>
        </w:rPr>
        <w:t>3</w:t>
      </w:r>
      <w:r w:rsidRPr="000D3C67">
        <w:rPr>
          <w:rFonts w:ascii="Times New Roman" w:hAnsi="Times New Roman" w:cs="Times New Roman"/>
          <w:color w:val="000000" w:themeColor="text1"/>
        </w:rPr>
        <w:t>]Cl</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 was employed to detect intracellular 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 generation, leveraging its 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-dependent fluorescence quenching performance. HUVECs were seeded in </w:t>
      </w:r>
      <w:r w:rsidRPr="000D3C67">
        <w:rPr>
          <w:rFonts w:ascii="Times New Roman" w:hAnsi="Times New Roman" w:cs="Times New Roman"/>
          <w:color w:val="000000" w:themeColor="text1"/>
        </w:rPr>
        <w:t>24-well plates and cultured in the HG medium for 48 h, and then these cells were exposed to the H</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 (100 μM)-containing HG medium for 12 h under four conditions: 1) normoxia (21% 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2) hypoxia (2% 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3) hypoxia + 0.1 mM Vc; 4) hypoxia + 8 μg mL</w:t>
      </w:r>
      <w:r w:rsidRPr="000D3C67">
        <w:rPr>
          <w:rFonts w:ascii="Times New Roman" w:hAnsi="Times New Roman" w:cs="Times New Roman"/>
          <w:color w:val="000000" w:themeColor="text1"/>
          <w:vertAlign w:val="superscript"/>
        </w:rPr>
        <w:t>-1</w:t>
      </w:r>
      <w:r w:rsidRPr="000D3C67">
        <w:rPr>
          <w:rFonts w:ascii="Times New Roman" w:hAnsi="Times New Roman" w:cs="Times New Roman"/>
          <w:color w:val="000000" w:themeColor="text1"/>
        </w:rPr>
        <w:t xml:space="preserve"> PtSN</w:t>
      </w:r>
      <w:r w:rsidRPr="000D3C67">
        <w:rPr>
          <w:rFonts w:ascii="Times New Roman" w:hAnsi="Times New Roman" w:cs="Times New Roman"/>
          <w:color w:val="000000" w:themeColor="text1"/>
        </w:rPr>
        <w:t>C. Subsequently, the treated cells were incubated with [Ru(dpp)</w:t>
      </w:r>
      <w:r w:rsidRPr="000D3C67">
        <w:rPr>
          <w:rFonts w:ascii="Times New Roman" w:hAnsi="Times New Roman" w:cs="Times New Roman"/>
          <w:color w:val="000000" w:themeColor="text1"/>
          <w:vertAlign w:val="subscript"/>
        </w:rPr>
        <w:t>3</w:t>
      </w:r>
      <w:r w:rsidRPr="000D3C67">
        <w:rPr>
          <w:rFonts w:ascii="Times New Roman" w:hAnsi="Times New Roman" w:cs="Times New Roman"/>
          <w:color w:val="000000" w:themeColor="text1"/>
        </w:rPr>
        <w:t>]Cl</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 (8 μg mL</w:t>
      </w:r>
      <w:r w:rsidRPr="000D3C67">
        <w:rPr>
          <w:rFonts w:ascii="Times New Roman" w:hAnsi="Times New Roman" w:cs="Times New Roman"/>
          <w:color w:val="000000" w:themeColor="text1"/>
          <w:vertAlign w:val="superscript"/>
        </w:rPr>
        <w:t>-1</w:t>
      </w:r>
      <w:r w:rsidRPr="000D3C67">
        <w:rPr>
          <w:rFonts w:ascii="Times New Roman" w:hAnsi="Times New Roman" w:cs="Times New Roman"/>
          <w:color w:val="000000" w:themeColor="text1"/>
        </w:rPr>
        <w:t>) for 4 h at 37 °C. After three PBS washes, these cells were fixed with 4 wt% paraformaldehyde solution (10 min) and further stained with 4′,6-diamidino-2-phenylindole (DAPI) (5</w:t>
      </w:r>
      <w:r w:rsidRPr="000D3C67">
        <w:rPr>
          <w:rFonts w:ascii="Times New Roman" w:hAnsi="Times New Roman" w:cs="Times New Roman"/>
          <w:color w:val="000000" w:themeColor="text1"/>
        </w:rPr>
        <w:t xml:space="preserve"> min) before fluorescence imaging on microscope.</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S1.13 Test of cellular GSH level in tumor cells</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B16F10 cells were seeded in 12-well plates at 5 × 10</w:t>
      </w:r>
      <w:r w:rsidRPr="000D3C67">
        <w:rPr>
          <w:rFonts w:ascii="Times New Roman" w:hAnsi="Times New Roman" w:cs="Times New Roman"/>
          <w:vertAlign w:val="superscript"/>
        </w:rPr>
        <w:t>4</w:t>
      </w:r>
      <w:r w:rsidRPr="000D3C67">
        <w:rPr>
          <w:rFonts w:ascii="Times New Roman" w:hAnsi="Times New Roman" w:cs="Times New Roman"/>
        </w:rPr>
        <w:t xml:space="preserve"> cells per well and treated with varying concentrations of PtSNC for 5 h. After treatments, cells were wa</w:t>
      </w:r>
      <w:r w:rsidRPr="000D3C67">
        <w:rPr>
          <w:rFonts w:ascii="Times New Roman" w:hAnsi="Times New Roman" w:cs="Times New Roman"/>
        </w:rPr>
        <w:t>shed with PBS and lysed in 0.4% Triton-X-100 buffer (4 °C, 10 min). Lysates were centrifuged (4 °C, 12000 rpm, 5 min), and supernatants were reacted with 10 μL DTNB test solution (10 mM in DMSO) for 3 min. The relative GSH levels were quantified by measuri</w:t>
      </w:r>
      <w:r w:rsidRPr="000D3C67">
        <w:rPr>
          <w:rFonts w:ascii="Times New Roman" w:hAnsi="Times New Roman" w:cs="Times New Roman"/>
        </w:rPr>
        <w:t>ng characteristic absorbance at 412 nm.</w:t>
      </w:r>
    </w:p>
    <w:p w:rsidR="008D699A" w:rsidRPr="000D3C67" w:rsidRDefault="000D3C67">
      <w:pPr>
        <w:spacing w:before="240" w:after="120"/>
        <w:jc w:val="both"/>
        <w:rPr>
          <w:rFonts w:ascii="Times New Roman" w:hAnsi="Times New Roman" w:cs="Times New Roman"/>
          <w:b/>
          <w:bCs/>
        </w:rPr>
      </w:pPr>
      <w:bookmarkStart w:id="46" w:name="OLE_LINK1629"/>
      <w:r w:rsidRPr="000D3C67">
        <w:rPr>
          <w:rFonts w:ascii="Times New Roman" w:hAnsi="Times New Roman" w:cs="Times New Roman"/>
          <w:b/>
          <w:bCs/>
        </w:rPr>
        <w:t>S1.14 Western blot</w:t>
      </w:r>
      <w:bookmarkEnd w:id="46"/>
      <w:r w:rsidRPr="000D3C67">
        <w:rPr>
          <w:rFonts w:ascii="Times New Roman" w:hAnsi="Times New Roman" w:cs="Times New Roman"/>
          <w:b/>
          <w:bCs/>
        </w:rPr>
        <w:t xml:space="preserve"> assay</w:t>
      </w:r>
    </w:p>
    <w:p w:rsidR="008D699A" w:rsidRPr="000D3C67" w:rsidRDefault="000D3C67">
      <w:pPr>
        <w:spacing w:before="240" w:after="120"/>
        <w:jc w:val="both"/>
        <w:rPr>
          <w:rFonts w:ascii="Times New Roman" w:hAnsi="Times New Roman" w:cs="Times New Roman"/>
        </w:rPr>
      </w:pPr>
      <w:bookmarkStart w:id="47" w:name="OLE_LINK1641"/>
      <w:r w:rsidRPr="000D3C67">
        <w:rPr>
          <w:rFonts w:ascii="Times New Roman" w:hAnsi="Times New Roman" w:cs="Times New Roman"/>
        </w:rPr>
        <w:tab/>
        <w:t xml:space="preserve">For GPX4 protein analysis, B16F10 cells were incubated with or without PtSNC </w:t>
      </w:r>
      <w:bookmarkStart w:id="48" w:name="OLE_LINK1256"/>
      <w:r w:rsidRPr="000D3C67">
        <w:rPr>
          <w:rFonts w:ascii="Times New Roman" w:hAnsi="Times New Roman" w:cs="Times New Roman"/>
        </w:rPr>
        <w:t>(100 μg mL</w:t>
      </w:r>
      <w:r w:rsidRPr="000D3C67">
        <w:rPr>
          <w:rFonts w:ascii="Times New Roman" w:hAnsi="Times New Roman" w:cs="Times New Roman"/>
          <w:vertAlign w:val="superscript"/>
        </w:rPr>
        <w:t>-1</w:t>
      </w:r>
      <w:r w:rsidRPr="000D3C67">
        <w:rPr>
          <w:rFonts w:ascii="Times New Roman" w:hAnsi="Times New Roman" w:cs="Times New Roman"/>
        </w:rPr>
        <w:t>)</w:t>
      </w:r>
      <w:bookmarkEnd w:id="48"/>
      <w:r w:rsidRPr="000D3C67">
        <w:rPr>
          <w:rFonts w:ascii="Times New Roman" w:hAnsi="Times New Roman" w:cs="Times New Roman"/>
        </w:rPr>
        <w:t xml:space="preserve"> for 24 h. </w:t>
      </w:r>
      <w:bookmarkStart w:id="49" w:name="OLE_LINK1642"/>
      <w:r w:rsidRPr="000D3C67">
        <w:rPr>
          <w:rFonts w:ascii="Times New Roman" w:hAnsi="Times New Roman" w:cs="Times New Roman"/>
        </w:rPr>
        <w:t xml:space="preserve">In the function-blocking experiments using FK866, HUVECs were </w:t>
      </w:r>
      <w:bookmarkStart w:id="50" w:name="OLE_LINK1644"/>
      <w:r w:rsidRPr="000D3C67">
        <w:rPr>
          <w:rFonts w:ascii="Times New Roman" w:hAnsi="Times New Roman" w:cs="Times New Roman"/>
        </w:rPr>
        <w:t xml:space="preserve">preconditioned </w:t>
      </w:r>
      <w:bookmarkEnd w:id="50"/>
      <w:r w:rsidRPr="000D3C67">
        <w:rPr>
          <w:rFonts w:ascii="Times New Roman" w:hAnsi="Times New Roman" w:cs="Times New Roman"/>
        </w:rPr>
        <w:t>in the HG me</w:t>
      </w:r>
      <w:r w:rsidRPr="000D3C67">
        <w:rPr>
          <w:rFonts w:ascii="Times New Roman" w:hAnsi="Times New Roman" w:cs="Times New Roman"/>
        </w:rPr>
        <w:t xml:space="preserve">dium for 48 h, followed by 3 days of different treatments </w:t>
      </w:r>
      <w:bookmarkStart w:id="51" w:name="OLE_LINK1645"/>
      <w:r w:rsidRPr="000D3C67">
        <w:rPr>
          <w:rFonts w:ascii="Times New Roman" w:hAnsi="Times New Roman" w:cs="Times New Roman"/>
        </w:rPr>
        <w:t>before ATP level and specific protein analyses</w:t>
      </w:r>
      <w:bookmarkEnd w:id="51"/>
      <w:r w:rsidRPr="000D3C67">
        <w:rPr>
          <w:rFonts w:ascii="Times New Roman" w:hAnsi="Times New Roman" w:cs="Times New Roman"/>
        </w:rPr>
        <w:t>. In the function‑rescuing experiments using NMN, B16F10 cells in the TME-simulated HG medium accepted different treatments for 24 h before ATP level an</w:t>
      </w:r>
      <w:r w:rsidRPr="000D3C67">
        <w:rPr>
          <w:rFonts w:ascii="Times New Roman" w:hAnsi="Times New Roman" w:cs="Times New Roman"/>
        </w:rPr>
        <w:t xml:space="preserve">d specific protein analyses. </w:t>
      </w:r>
      <w:bookmarkEnd w:id="49"/>
      <w:r w:rsidRPr="000D3C67">
        <w:rPr>
          <w:rFonts w:ascii="Times New Roman" w:hAnsi="Times New Roman" w:cs="Times New Roman"/>
        </w:rPr>
        <w:t>After these different treatment processes, the total proteins of cells were extracted by RIPA lysis buffer (Beyotime) and further quantified using a bicinchoninic acid (BCA) assay kit (Thermo Fisher Scientific Inc.). Then, typi</w:t>
      </w:r>
      <w:r w:rsidRPr="000D3C67">
        <w:rPr>
          <w:rFonts w:ascii="Times New Roman" w:hAnsi="Times New Roman" w:cs="Times New Roman"/>
        </w:rPr>
        <w:t>cal Western blot assay was performed by electrophoresis run on denaturing polyacrylamide gels to visualize the comparable results with a Tanon 4800 imaging system (China).</w:t>
      </w:r>
    </w:p>
    <w:bookmarkEnd w:id="47"/>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S1.15 Cell proliferation, migration, and invasion assessments</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For cell proliferatio</w:t>
      </w:r>
      <w:r w:rsidRPr="000D3C67">
        <w:rPr>
          <w:rFonts w:ascii="Times New Roman" w:hAnsi="Times New Roman" w:cs="Times New Roman"/>
        </w:rPr>
        <w:t xml:space="preserve">n assay, HUVECs seeded in 96-well plates were preconditioned in the HG medium for 48 h, followed by 5-day treatments: 1) NG; 2) HG; 3) HG + 0.1 mM Vc; 4) HG + 8 </w:t>
      </w:r>
      <w:bookmarkStart w:id="52" w:name="OLE_LINK749"/>
      <w:r w:rsidRPr="000D3C67">
        <w:rPr>
          <w:rFonts w:ascii="Times New Roman" w:hAnsi="Times New Roman" w:cs="Times New Roman"/>
        </w:rPr>
        <w:t>μ</w:t>
      </w:r>
      <w:bookmarkEnd w:id="52"/>
      <w:r w:rsidRPr="000D3C67">
        <w:rPr>
          <w:rFonts w:ascii="Times New Roman" w:hAnsi="Times New Roman" w:cs="Times New Roman"/>
        </w:rPr>
        <w:t>g mL</w:t>
      </w:r>
      <w:r w:rsidRPr="000D3C67">
        <w:rPr>
          <w:rFonts w:ascii="Times New Roman" w:hAnsi="Times New Roman" w:cs="Times New Roman"/>
          <w:vertAlign w:val="superscript"/>
        </w:rPr>
        <w:t xml:space="preserve">-1 </w:t>
      </w:r>
      <w:r w:rsidRPr="000D3C67">
        <w:rPr>
          <w:rFonts w:ascii="Times New Roman" w:hAnsi="Times New Roman" w:cs="Times New Roman"/>
        </w:rPr>
        <w:t>PtSNC. Cell viability was quantified at days 1, 3, and 5 by CCK-8 assay. Cell migration</w:t>
      </w:r>
      <w:r w:rsidRPr="000D3C67">
        <w:rPr>
          <w:rFonts w:ascii="Times New Roman" w:hAnsi="Times New Roman" w:cs="Times New Roman"/>
        </w:rPr>
        <w:t xml:space="preserve"> ability was evaluated by an in vitro wound healing assay. HUVECs in 6-well plates were preconditioned in the HG medium for 48 h. Then, uniform scratches were created using a sterile 200 μL pipette tip, debris was removed with PBS, and scratches were image</w:t>
      </w:r>
      <w:r w:rsidRPr="000D3C67">
        <w:rPr>
          <w:rFonts w:ascii="Times New Roman" w:hAnsi="Times New Roman" w:cs="Times New Roman"/>
        </w:rPr>
        <w:t>d using inverted microscope. After different treatments as above for 24 h, these cells were fixed with 4 wt% paraformaldehyde solution (10 min), stained with 0.1 wt% crystal violet solution (3 min), and finally imaged. The migration ratio was calculated as</w:t>
      </w:r>
      <w:r w:rsidRPr="000D3C67">
        <w:rPr>
          <w:rFonts w:ascii="Times New Roman" w:hAnsi="Times New Roman" w:cs="Times New Roman"/>
        </w:rPr>
        <w:t xml:space="preserve"> follows: migration radio = (A</w:t>
      </w:r>
      <w:r w:rsidRPr="000D3C67">
        <w:rPr>
          <w:rFonts w:ascii="Times New Roman" w:hAnsi="Times New Roman" w:cs="Times New Roman"/>
          <w:vertAlign w:val="subscript"/>
        </w:rPr>
        <w:t>0</w:t>
      </w:r>
      <w:r w:rsidRPr="000D3C67">
        <w:rPr>
          <w:rFonts w:ascii="Times New Roman" w:hAnsi="Times New Roman" w:cs="Times New Roman"/>
        </w:rPr>
        <w:t>-A</w:t>
      </w:r>
      <w:r w:rsidRPr="000D3C67">
        <w:rPr>
          <w:rFonts w:ascii="Times New Roman" w:hAnsi="Times New Roman" w:cs="Times New Roman"/>
          <w:vertAlign w:val="subscript"/>
        </w:rPr>
        <w:t>1</w:t>
      </w:r>
      <w:r w:rsidRPr="000D3C67">
        <w:rPr>
          <w:rFonts w:ascii="Times New Roman" w:hAnsi="Times New Roman" w:cs="Times New Roman"/>
        </w:rPr>
        <w:t>)/A</w:t>
      </w:r>
      <w:r w:rsidRPr="000D3C67">
        <w:rPr>
          <w:rFonts w:ascii="Times New Roman" w:hAnsi="Times New Roman" w:cs="Times New Roman"/>
          <w:vertAlign w:val="subscript"/>
        </w:rPr>
        <w:t>0</w:t>
      </w:r>
      <w:r w:rsidRPr="000D3C67">
        <w:rPr>
          <w:rFonts w:ascii="Times New Roman" w:hAnsi="Times New Roman" w:cs="Times New Roman"/>
        </w:rPr>
        <w:t xml:space="preserve"> × 100%, where A</w:t>
      </w:r>
      <w:r w:rsidRPr="000D3C67">
        <w:rPr>
          <w:rFonts w:ascii="Times New Roman" w:hAnsi="Times New Roman" w:cs="Times New Roman"/>
          <w:vertAlign w:val="subscript"/>
        </w:rPr>
        <w:t>0</w:t>
      </w:r>
      <w:r w:rsidRPr="000D3C67">
        <w:rPr>
          <w:rFonts w:ascii="Times New Roman" w:hAnsi="Times New Roman" w:cs="Times New Roman"/>
        </w:rPr>
        <w:t xml:space="preserve"> = initial scratch area and A</w:t>
      </w:r>
      <w:r w:rsidRPr="000D3C67">
        <w:rPr>
          <w:rFonts w:ascii="Times New Roman" w:hAnsi="Times New Roman" w:cs="Times New Roman"/>
          <w:vertAlign w:val="subscript"/>
        </w:rPr>
        <w:t>1</w:t>
      </w:r>
      <w:r w:rsidRPr="000D3C67">
        <w:rPr>
          <w:rFonts w:ascii="Times New Roman" w:hAnsi="Times New Roman" w:cs="Times New Roman"/>
        </w:rPr>
        <w:t xml:space="preserve"> = residual scratch area. In addition, Transwell invasion assay was further performed. After 48 h incubation in the HG medium, HUVECs were digested and seeded onto the upp</w:t>
      </w:r>
      <w:r w:rsidRPr="000D3C67">
        <w:rPr>
          <w:rFonts w:ascii="Times New Roman" w:hAnsi="Times New Roman" w:cs="Times New Roman"/>
        </w:rPr>
        <w:t>er chamber of Transwell inserts with different incubations as above for 24 h. Afterwards, the non-invaded cells in the upper chamber were wiped off while the invaded cells on the lower surface were fixed with 4 wt% paraformaldehyde solution and stained wit</w:t>
      </w:r>
      <w:r w:rsidRPr="000D3C67">
        <w:rPr>
          <w:rFonts w:ascii="Times New Roman" w:hAnsi="Times New Roman" w:cs="Times New Roman"/>
        </w:rPr>
        <w:t>h 0.1 wt% crystal violet solution. The stained cells were imaged and counted in the randomly selected areas.</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S1.16 Analysis of LPO and Caspase-3 activations in tumor cells</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Following the same cell treatments applied for ROS staining assay, B16F10 cells wer</w:t>
      </w:r>
      <w:r w:rsidRPr="000D3C67">
        <w:rPr>
          <w:rFonts w:ascii="Times New Roman" w:hAnsi="Times New Roman" w:cs="Times New Roman"/>
        </w:rPr>
        <w:t>e treated with BODIPY™ 581/591 C11 and GreenNuc™ Caspase-3 detection agents, respectively, following the manufacturer’s protocols for fluorescent analysis of cellular LPO and Caspase-3 activations.</w:t>
      </w:r>
    </w:p>
    <w:p w:rsidR="008D699A" w:rsidRPr="000D3C67" w:rsidRDefault="008D699A">
      <w:pPr>
        <w:spacing w:before="240" w:after="120"/>
        <w:jc w:val="both"/>
        <w:rPr>
          <w:rFonts w:ascii="Times New Roman" w:hAnsi="Times New Roman" w:cs="Times New Roman"/>
        </w:rPr>
      </w:pP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S1.17 Live/dead cell staining assay</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After treated with P</w:t>
      </w:r>
      <w:r w:rsidRPr="000D3C67">
        <w:rPr>
          <w:rFonts w:ascii="Times New Roman" w:hAnsi="Times New Roman" w:cs="Times New Roman"/>
        </w:rPr>
        <w:t>tSNC (50 μg mL</w:t>
      </w:r>
      <w:r w:rsidRPr="000D3C67">
        <w:rPr>
          <w:rFonts w:ascii="Times New Roman" w:hAnsi="Times New Roman" w:cs="Times New Roman"/>
          <w:vertAlign w:val="superscript"/>
        </w:rPr>
        <w:t>-1</w:t>
      </w:r>
      <w:r w:rsidRPr="000D3C67">
        <w:rPr>
          <w:rFonts w:ascii="Times New Roman" w:hAnsi="Times New Roman" w:cs="Times New Roman"/>
        </w:rPr>
        <w:t xml:space="preserve">) in the HG medium (pH 7.4) or the TME-simulated HG medium (pH 6.0, </w:t>
      </w:r>
      <w:bookmarkStart w:id="53" w:name="OLE_LINK751"/>
      <w:r w:rsidRPr="000D3C67">
        <w:rPr>
          <w:rFonts w:ascii="Times New Roman" w:hAnsi="Times New Roman" w:cs="Times New Roman"/>
        </w:rPr>
        <w:t>100 μM</w:t>
      </w:r>
      <w:bookmarkEnd w:id="53"/>
      <w:r w:rsidRPr="000D3C67">
        <w:rPr>
          <w:rFonts w:ascii="Times New Roman" w:hAnsi="Times New Roman" w:cs="Times New Roman"/>
        </w:rPr>
        <w:t xml:space="preserve"> H</w:t>
      </w:r>
      <w:r w:rsidRPr="000D3C67">
        <w:rPr>
          <w:rFonts w:ascii="Times New Roman" w:hAnsi="Times New Roman" w:cs="Times New Roman"/>
          <w:vertAlign w:val="subscript"/>
        </w:rPr>
        <w:t>2</w:t>
      </w:r>
      <w:r w:rsidRPr="000D3C67">
        <w:rPr>
          <w:rFonts w:ascii="Times New Roman" w:hAnsi="Times New Roman" w:cs="Times New Roman"/>
        </w:rPr>
        <w:t>O</w:t>
      </w:r>
      <w:r w:rsidRPr="000D3C67">
        <w:rPr>
          <w:rFonts w:ascii="Times New Roman" w:hAnsi="Times New Roman" w:cs="Times New Roman"/>
          <w:vertAlign w:val="subscript"/>
        </w:rPr>
        <w:t>2</w:t>
      </w:r>
      <w:r w:rsidRPr="000D3C67">
        <w:rPr>
          <w:rFonts w:ascii="Times New Roman" w:hAnsi="Times New Roman" w:cs="Times New Roman"/>
        </w:rPr>
        <w:t>) for 24 h, live and dead B16F10 cells were stained by Calcein-AM and propidium iodide (PI), respectively, before fluorescence observation and imaging.</w:t>
      </w:r>
    </w:p>
    <w:p w:rsidR="008D699A" w:rsidRPr="000D3C67" w:rsidRDefault="000D3C67">
      <w:pPr>
        <w:spacing w:before="240" w:after="120"/>
        <w:jc w:val="both"/>
        <w:rPr>
          <w:rFonts w:ascii="Times New Roman" w:hAnsi="Times New Roman" w:cs="Times New Roman"/>
          <w:b/>
          <w:bCs/>
        </w:rPr>
      </w:pPr>
      <w:r w:rsidRPr="000D3C67">
        <w:rPr>
          <w:rFonts w:ascii="Times New Roman" w:hAnsi="Times New Roman" w:cs="Times New Roman"/>
          <w:b/>
          <w:bCs/>
        </w:rPr>
        <w:t xml:space="preserve">S1.18 In </w:t>
      </w:r>
      <w:r w:rsidRPr="000D3C67">
        <w:rPr>
          <w:rFonts w:ascii="Times New Roman" w:hAnsi="Times New Roman" w:cs="Times New Roman"/>
          <w:b/>
          <w:bCs/>
        </w:rPr>
        <w:t>vivo anti-tumor evaluation</w:t>
      </w:r>
    </w:p>
    <w:p w:rsidR="008D699A" w:rsidRPr="000D3C67" w:rsidRDefault="000D3C67">
      <w:pPr>
        <w:spacing w:before="240" w:after="120"/>
        <w:jc w:val="both"/>
        <w:rPr>
          <w:rFonts w:ascii="Times New Roman" w:hAnsi="Times New Roman" w:cs="Times New Roman"/>
        </w:rPr>
      </w:pPr>
      <w:r w:rsidRPr="000D3C67">
        <w:rPr>
          <w:rFonts w:ascii="Times New Roman" w:hAnsi="Times New Roman" w:cs="Times New Roman"/>
        </w:rPr>
        <w:tab/>
        <w:t xml:space="preserve">B16F10 cells suspended in PBS were injected intradermally into the right back of hind leg area of BALB/c nude mice for in vivo orthotopic melanoma model building. Four days post-inoculation, these tumor-bearing mice were </w:t>
      </w:r>
      <w:r w:rsidRPr="000D3C67">
        <w:rPr>
          <w:rFonts w:ascii="Times New Roman" w:hAnsi="Times New Roman" w:cs="Times New Roman"/>
        </w:rPr>
        <w:t>randomized into three groups (</w:t>
      </w:r>
      <w:r w:rsidRPr="000D3C67">
        <w:rPr>
          <w:rFonts w:ascii="Times New Roman" w:hAnsi="Times New Roman" w:cs="Times New Roman"/>
          <w:i/>
          <w:iCs/>
        </w:rPr>
        <w:t>n</w:t>
      </w:r>
      <w:r w:rsidRPr="000D3C67">
        <w:rPr>
          <w:rFonts w:ascii="Times New Roman" w:hAnsi="Times New Roman" w:cs="Times New Roman"/>
        </w:rPr>
        <w:t xml:space="preserve"> = 6) for intratumoral injections as interventional treatments: 1) PBS (as a control group); 2) DOX (2 mg kg</w:t>
      </w:r>
      <w:r w:rsidRPr="000D3C67">
        <w:rPr>
          <w:rFonts w:ascii="Times New Roman" w:hAnsi="Times New Roman" w:cs="Times New Roman"/>
          <w:vertAlign w:val="superscript"/>
        </w:rPr>
        <w:t>-1</w:t>
      </w:r>
      <w:r w:rsidRPr="000D3C67">
        <w:rPr>
          <w:rFonts w:ascii="Times New Roman" w:hAnsi="Times New Roman" w:cs="Times New Roman"/>
        </w:rPr>
        <w:t>, a clinically relevant dose [S6]); 3) PtSNC (10 mg kg</w:t>
      </w:r>
      <w:r w:rsidRPr="000D3C67">
        <w:rPr>
          <w:rFonts w:ascii="Times New Roman" w:hAnsi="Times New Roman" w:cs="Times New Roman"/>
          <w:vertAlign w:val="superscript"/>
        </w:rPr>
        <w:t>-1</w:t>
      </w:r>
      <w:r w:rsidRPr="000D3C67">
        <w:rPr>
          <w:rFonts w:ascii="Times New Roman" w:hAnsi="Times New Roman" w:cs="Times New Roman"/>
        </w:rPr>
        <w:t>). The treatments were administered on days 0, 2, and 4. Tu</w:t>
      </w:r>
      <w:r w:rsidRPr="000D3C67">
        <w:rPr>
          <w:rFonts w:ascii="Times New Roman" w:hAnsi="Times New Roman" w:cs="Times New Roman"/>
        </w:rPr>
        <w:t>mor volumes and body weights were continuously measured until day 14, when mice were euthanized and their tumors were harvested, weighed, and finally sectioned for H&amp;E/Ki67/TUNEL staining and GPX4 immuno</w:t>
      </w:r>
      <w:bookmarkStart w:id="54" w:name="OLE_LINK752"/>
      <w:r w:rsidRPr="000D3C67">
        <w:rPr>
          <w:rFonts w:ascii="Times New Roman" w:hAnsi="Times New Roman" w:cs="Times New Roman"/>
        </w:rPr>
        <w:t>fluorescence</w:t>
      </w:r>
      <w:bookmarkEnd w:id="54"/>
      <w:r w:rsidRPr="000D3C67">
        <w:rPr>
          <w:rFonts w:ascii="Times New Roman" w:hAnsi="Times New Roman" w:cs="Times New Roman"/>
        </w:rPr>
        <w:t xml:space="preserve"> analyses. Besides, major organs were har</w:t>
      </w:r>
      <w:r w:rsidRPr="000D3C67">
        <w:rPr>
          <w:rFonts w:ascii="Times New Roman" w:hAnsi="Times New Roman" w:cs="Times New Roman"/>
        </w:rPr>
        <w:t>vested and sectioned for H&amp;E staining analysis. In the parallel experiments, the treated mice were monitored for 30 days, with survival defined as tumor volume ≤ 1000 mm</w:t>
      </w:r>
      <w:r w:rsidRPr="000D3C67">
        <w:rPr>
          <w:rFonts w:ascii="Times New Roman" w:hAnsi="Times New Roman" w:cs="Times New Roman"/>
          <w:vertAlign w:val="superscript"/>
        </w:rPr>
        <w:t>3</w:t>
      </w:r>
      <w:r w:rsidRPr="000D3C67">
        <w:rPr>
          <w:rFonts w:ascii="Times New Roman" w:hAnsi="Times New Roman" w:cs="Times New Roman"/>
        </w:rPr>
        <w:t xml:space="preserve">. In addition, </w:t>
      </w:r>
      <w:bookmarkStart w:id="55" w:name="OLE_LINK744"/>
      <w:r w:rsidRPr="000D3C67">
        <w:rPr>
          <w:rFonts w:ascii="Times New Roman" w:hAnsi="Times New Roman" w:cs="Times New Roman"/>
        </w:rPr>
        <w:t xml:space="preserve">at 48 h </w:t>
      </w:r>
      <w:bookmarkStart w:id="56" w:name="OLE_LINK745"/>
      <w:r w:rsidRPr="000D3C67">
        <w:rPr>
          <w:rFonts w:ascii="Times New Roman" w:hAnsi="Times New Roman" w:cs="Times New Roman"/>
        </w:rPr>
        <w:t>post-treatment</w:t>
      </w:r>
      <w:bookmarkEnd w:id="56"/>
      <w:r w:rsidRPr="000D3C67">
        <w:rPr>
          <w:rFonts w:ascii="Times New Roman" w:hAnsi="Times New Roman" w:cs="Times New Roman"/>
        </w:rPr>
        <w:t>,</w:t>
      </w:r>
      <w:bookmarkStart w:id="57" w:name="OLE_LINK748"/>
      <w:r w:rsidRPr="000D3C67">
        <w:rPr>
          <w:rFonts w:ascii="Times New Roman" w:hAnsi="Times New Roman" w:cs="Times New Roman"/>
        </w:rPr>
        <w:t xml:space="preserve"> </w:t>
      </w:r>
      <w:bookmarkStart w:id="58" w:name="OLE_LINK746"/>
      <w:r w:rsidRPr="000D3C67">
        <w:rPr>
          <w:rFonts w:ascii="Times New Roman" w:hAnsi="Times New Roman" w:cs="Times New Roman"/>
        </w:rPr>
        <w:t>tumors from each group</w:t>
      </w:r>
      <w:bookmarkEnd w:id="57"/>
      <w:r w:rsidRPr="000D3C67">
        <w:rPr>
          <w:rFonts w:ascii="Times New Roman" w:hAnsi="Times New Roman" w:cs="Times New Roman"/>
        </w:rPr>
        <w:t xml:space="preserve"> were homogenized, and th</w:t>
      </w:r>
      <w:r w:rsidRPr="000D3C67">
        <w:rPr>
          <w:rFonts w:ascii="Times New Roman" w:hAnsi="Times New Roman" w:cs="Times New Roman"/>
        </w:rPr>
        <w:t>en intratumoral GSH levels and NAD</w:t>
      </w:r>
      <w:r w:rsidRPr="000D3C67">
        <w:rPr>
          <w:rFonts w:ascii="Times New Roman" w:hAnsi="Times New Roman" w:cs="Times New Roman"/>
          <w:vertAlign w:val="superscript"/>
        </w:rPr>
        <w:t>+</w:t>
      </w:r>
      <w:r w:rsidRPr="000D3C67">
        <w:rPr>
          <w:rFonts w:ascii="Times New Roman" w:hAnsi="Times New Roman" w:cs="Times New Roman"/>
        </w:rPr>
        <w:t>/NADH ratios were quantified using methods consistent with the in vitro assays</w:t>
      </w:r>
      <w:bookmarkEnd w:id="55"/>
      <w:bookmarkEnd w:id="58"/>
      <w:r w:rsidRPr="000D3C67">
        <w:rPr>
          <w:rFonts w:ascii="Times New Roman" w:hAnsi="Times New Roman" w:cs="Times New Roman"/>
        </w:rPr>
        <w:t>; at 24 h post-treatment, the tumor regions in the different groups were</w:t>
      </w:r>
      <w:bookmarkStart w:id="59" w:name="OLE_LINK753"/>
      <w:r w:rsidRPr="000D3C67">
        <w:rPr>
          <w:rFonts w:ascii="Times New Roman" w:hAnsi="Times New Roman" w:cs="Times New Roman"/>
        </w:rPr>
        <w:t xml:space="preserve"> in situ</w:t>
      </w:r>
      <w:bookmarkEnd w:id="59"/>
      <w:r w:rsidRPr="000D3C67">
        <w:rPr>
          <w:rFonts w:ascii="Times New Roman" w:hAnsi="Times New Roman" w:cs="Times New Roman"/>
        </w:rPr>
        <w:t xml:space="preserve"> injected with 100 μL of DCFH-DA/PBS solution (10 μM) for 30 mi</w:t>
      </w:r>
      <w:r w:rsidRPr="000D3C67">
        <w:rPr>
          <w:rFonts w:ascii="Times New Roman" w:hAnsi="Times New Roman" w:cs="Times New Roman"/>
        </w:rPr>
        <w:t xml:space="preserve">n before frozen slicing and fluorescent observation. </w:t>
      </w:r>
    </w:p>
    <w:p w:rsidR="008D699A" w:rsidRPr="000D3C67" w:rsidRDefault="000D3C67">
      <w:pPr>
        <w:spacing w:before="120" w:after="120"/>
        <w:jc w:val="both"/>
        <w:rPr>
          <w:rFonts w:ascii="Times New Roman" w:hAnsi="Times New Roman" w:cs="Times New Roman"/>
          <w:b/>
          <w:sz w:val="32"/>
          <w:szCs w:val="32"/>
        </w:rPr>
      </w:pPr>
      <w:r w:rsidRPr="000D3C67">
        <w:rPr>
          <w:rFonts w:ascii="Times New Roman" w:hAnsi="Times New Roman" w:cs="Times New Roman"/>
          <w:b/>
          <w:sz w:val="28"/>
          <w:szCs w:val="28"/>
        </w:rPr>
        <w:t>S2 Supplementary Figures</w:t>
      </w:r>
    </w:p>
    <w:p w:rsidR="008D699A" w:rsidRPr="000D3C67" w:rsidRDefault="000D3C67">
      <w:pPr>
        <w:spacing w:before="120" w:after="120"/>
        <w:jc w:val="center"/>
        <w:rPr>
          <w:rFonts w:ascii="Times New Roman" w:hAnsi="Times New Roman" w:cs="Times New Roman"/>
        </w:rPr>
      </w:pPr>
      <w:r w:rsidRPr="000D3C67">
        <w:rPr>
          <w:rFonts w:ascii="Times New Roman" w:hAnsi="Times New Roman" w:cs="Times New Roman"/>
          <w:noProof/>
          <w:lang w:val="en-IN" w:eastAsia="en-IN"/>
        </w:rPr>
        <w:drawing>
          <wp:inline distT="0" distB="0" distL="0" distR="0">
            <wp:extent cx="4095750" cy="3360420"/>
            <wp:effectExtent l="0" t="0" r="0" b="0"/>
            <wp:docPr id="66391863" name="图片 3"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1863" name="图片 3" descr="图示, 工程绘图&#10;&#10;描述已自动生成"/>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6996" cy="337792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S1 </w:t>
      </w:r>
      <w:r w:rsidRPr="000D3C67">
        <w:rPr>
          <w:rFonts w:ascii="Times New Roman" w:hAnsi="Times New Roman" w:cs="Times New Roman"/>
          <w:color w:val="000000" w:themeColor="text1"/>
        </w:rPr>
        <w:t xml:space="preserve">Schematic </w:t>
      </w:r>
      <w:r w:rsidRPr="000D3C67">
        <w:rPr>
          <w:rFonts w:ascii="Times New Roman" w:hAnsi="Times New Roman" w:cs="Times New Roman"/>
          <w:szCs w:val="21"/>
        </w:rPr>
        <w:t>illustrations of the structures of a) PCN-224 with TCPP as ligand and b) PCN-224-Pt with TCPP(Pt) as ligand (d</w:t>
      </w:r>
      <w:r w:rsidRPr="000D3C67">
        <w:rPr>
          <w:rFonts w:ascii="Times New Roman" w:hAnsi="Times New Roman" w:cs="Times New Roman"/>
          <w:szCs w:val="21"/>
          <w:vertAlign w:val="subscript"/>
        </w:rPr>
        <w:t>1-7</w:t>
      </w:r>
      <w:r w:rsidRPr="000D3C67">
        <w:rPr>
          <w:rFonts w:ascii="Times New Roman" w:hAnsi="Times New Roman" w:cs="Times New Roman"/>
          <w:szCs w:val="21"/>
        </w:rPr>
        <w:t xml:space="preserve">: the possible distances between two Pt </w:t>
      </w:r>
      <w:r w:rsidRPr="000D3C67">
        <w:rPr>
          <w:rFonts w:ascii="Times New Roman" w:hAnsi="Times New Roman" w:cs="Times New Roman"/>
          <w:szCs w:val="21"/>
        </w:rPr>
        <w:t>atoms in the adjacent TCPP(Pt) ligands in a PCN-224-Pt</w:t>
      </w:r>
      <w:r w:rsidRPr="000D3C67">
        <w:rPr>
          <w:rFonts w:ascii="Times New Roman" w:hAnsi="Times New Roman" w:cs="Times New Roman"/>
          <w:szCs w:val="21"/>
          <w:vertAlign w:val="subscript"/>
        </w:rPr>
        <w:t>x</w:t>
      </w:r>
      <w:r w:rsidRPr="000D3C67">
        <w:rPr>
          <w:rFonts w:ascii="Times New Roman" w:hAnsi="Times New Roman" w:cs="Times New Roman"/>
          <w:szCs w:val="21"/>
        </w:rPr>
        <w:t xml:space="preserve"> nanoparticle)</w:t>
      </w:r>
    </w:p>
    <w:p w:rsidR="008D699A" w:rsidRPr="000D3C67" w:rsidRDefault="000D3C67">
      <w:pPr>
        <w:spacing w:before="120" w:after="120"/>
        <w:jc w:val="center"/>
        <w:rPr>
          <w:rFonts w:ascii="Times New Roman" w:hAnsi="Times New Roman" w:cs="Times New Roman"/>
        </w:rPr>
      </w:pPr>
      <w:r w:rsidRPr="000D3C67">
        <w:rPr>
          <w:rFonts w:ascii="Times New Roman" w:hAnsi="Times New Roman" w:cs="Times New Roman"/>
          <w:noProof/>
          <w:lang w:val="en-IN" w:eastAsia="en-IN"/>
        </w:rPr>
        <w:drawing>
          <wp:inline distT="0" distB="0" distL="0" distR="0">
            <wp:extent cx="5092700" cy="2859405"/>
            <wp:effectExtent l="0" t="0" r="0" b="0"/>
            <wp:docPr id="743776170" name="图片 4" descr="社交网络的手机截图&#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76170" name="图片 4" descr="社交网络的手机截图&#10;&#10;低可信度描述已自动生成"/>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97991" cy="286286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S2 </w:t>
      </w:r>
      <w:r w:rsidRPr="000D3C67">
        <w:rPr>
          <w:rFonts w:ascii="Times New Roman" w:hAnsi="Times New Roman" w:cs="Times New Roman"/>
          <w:color w:val="000000" w:themeColor="text1"/>
        </w:rPr>
        <w:t>Powder photographs and ethanol dispersion liquids of a) PCN-224, d) PCN-224-Pt</w:t>
      </w:r>
      <w:r w:rsidRPr="000D3C67">
        <w:rPr>
          <w:rFonts w:ascii="Times New Roman" w:hAnsi="Times New Roman" w:cs="Times New Roman"/>
          <w:color w:val="000000" w:themeColor="text1"/>
          <w:vertAlign w:val="subscript"/>
        </w:rPr>
        <w:t>20</w:t>
      </w:r>
      <w:r w:rsidRPr="000D3C67">
        <w:rPr>
          <w:rFonts w:ascii="Times New Roman" w:hAnsi="Times New Roman" w:cs="Times New Roman"/>
          <w:color w:val="000000" w:themeColor="text1"/>
        </w:rPr>
        <w:t>, and g) PCN-224-Pt</w:t>
      </w:r>
      <w:r w:rsidRPr="000D3C67">
        <w:rPr>
          <w:rFonts w:ascii="Times New Roman" w:hAnsi="Times New Roman" w:cs="Times New Roman"/>
          <w:color w:val="000000" w:themeColor="text1"/>
          <w:vertAlign w:val="subscript"/>
        </w:rPr>
        <w:t>40</w:t>
      </w:r>
      <w:r w:rsidRPr="000D3C67">
        <w:rPr>
          <w:rFonts w:ascii="Times New Roman" w:hAnsi="Times New Roman" w:cs="Times New Roman"/>
          <w:color w:val="000000" w:themeColor="text1"/>
        </w:rPr>
        <w:t xml:space="preserve">. SEM images and </w:t>
      </w:r>
      <w:r w:rsidRPr="000D3C67">
        <w:rPr>
          <w:rFonts w:ascii="Times New Roman" w:hAnsi="Times New Roman" w:cs="Times New Roman"/>
          <w:szCs w:val="21"/>
        </w:rPr>
        <w:t>corresponding</w:t>
      </w:r>
      <w:r w:rsidRPr="000D3C67">
        <w:rPr>
          <w:rFonts w:ascii="Times New Roman" w:hAnsi="Times New Roman" w:cs="Times New Roman"/>
          <w:color w:val="000000" w:themeColor="text1"/>
        </w:rPr>
        <w:t xml:space="preserve"> EDS</w:t>
      </w:r>
      <w:r w:rsidRPr="000D3C67">
        <w:rPr>
          <w:rFonts w:ascii="Times New Roman" w:hAnsi="Times New Roman" w:cs="Times New Roman"/>
        </w:rPr>
        <w:t xml:space="preserve"> </w:t>
      </w:r>
      <w:r w:rsidRPr="000D3C67">
        <w:rPr>
          <w:rFonts w:ascii="Times New Roman" w:hAnsi="Times New Roman" w:cs="Times New Roman"/>
          <w:color w:val="000000" w:themeColor="text1"/>
        </w:rPr>
        <w:t>profiles of b, c) PCN-224, e, f) PCN-224</w:t>
      </w:r>
      <w:r w:rsidRPr="000D3C67">
        <w:rPr>
          <w:rFonts w:ascii="Times New Roman" w:hAnsi="Times New Roman" w:cs="Times New Roman"/>
          <w:color w:val="000000" w:themeColor="text1"/>
        </w:rPr>
        <w:t>-Pt</w:t>
      </w:r>
      <w:r w:rsidRPr="000D3C67">
        <w:rPr>
          <w:rFonts w:ascii="Times New Roman" w:hAnsi="Times New Roman" w:cs="Times New Roman"/>
          <w:color w:val="000000" w:themeColor="text1"/>
          <w:vertAlign w:val="subscript"/>
        </w:rPr>
        <w:t>20</w:t>
      </w:r>
      <w:r w:rsidRPr="000D3C67">
        <w:rPr>
          <w:rFonts w:ascii="Times New Roman" w:hAnsi="Times New Roman" w:cs="Times New Roman"/>
          <w:color w:val="000000" w:themeColor="text1"/>
        </w:rPr>
        <w:t>, and h, i) PCN-224-Pt</w:t>
      </w:r>
      <w:r w:rsidRPr="000D3C67">
        <w:rPr>
          <w:rFonts w:ascii="Times New Roman" w:hAnsi="Times New Roman" w:cs="Times New Roman"/>
          <w:color w:val="000000" w:themeColor="text1"/>
          <w:vertAlign w:val="subscript"/>
        </w:rPr>
        <w:t>40</w:t>
      </w:r>
      <w:r w:rsidRPr="000D3C67">
        <w:rPr>
          <w:rFonts w:ascii="Times New Roman" w:hAnsi="Times New Roman" w:cs="Times New Roman"/>
          <w:szCs w:val="21"/>
        </w:rPr>
        <w:t>. Notably, the product color progressively shifted from yellowish-brown to reddish-brown with increasing TCPP(Pt) incorporation during synthesis, while these SEM images reveal no significant alterations in nanoparticle morpholo</w:t>
      </w:r>
      <w:r w:rsidRPr="000D3C67">
        <w:rPr>
          <w:rFonts w:ascii="Times New Roman" w:hAnsi="Times New Roman" w:cs="Times New Roman"/>
          <w:szCs w:val="21"/>
        </w:rPr>
        <w:t>gy.</w:t>
      </w:r>
    </w:p>
    <w:p w:rsidR="008D699A" w:rsidRPr="000D3C67" w:rsidRDefault="000D3C67">
      <w:pPr>
        <w:spacing w:before="120" w:after="120"/>
        <w:jc w:val="center"/>
        <w:rPr>
          <w:rFonts w:ascii="Times New Roman" w:hAnsi="Times New Roman" w:cs="Times New Roman"/>
        </w:rPr>
      </w:pPr>
      <w:r w:rsidRPr="000D3C67">
        <w:rPr>
          <w:rFonts w:ascii="Times New Roman" w:hAnsi="Times New Roman" w:cs="Times New Roman"/>
          <w:noProof/>
          <w:lang w:val="en-IN" w:eastAsia="en-IN"/>
        </w:rPr>
        <w:drawing>
          <wp:inline distT="0" distB="0" distL="0" distR="0">
            <wp:extent cx="2637790" cy="2387600"/>
            <wp:effectExtent l="0" t="0" r="0" b="0"/>
            <wp:docPr id="387094682" name="图片 5"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94682" name="图片 5" descr="图表, 直方图&#10;&#10;描述已自动生成"/>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93033" cy="2437033"/>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vertAlign w:val="subscript"/>
        </w:rPr>
      </w:pPr>
      <w:r w:rsidRPr="000D3C67">
        <w:rPr>
          <w:rFonts w:ascii="Times New Roman" w:hAnsi="Times New Roman" w:cs="Times New Roman"/>
          <w:b/>
          <w:bCs/>
          <w:color w:val="000000" w:themeColor="text1"/>
        </w:rPr>
        <w:t xml:space="preserve">Fig. S3 </w:t>
      </w:r>
      <w:r w:rsidRPr="000D3C67">
        <w:rPr>
          <w:rFonts w:ascii="Times New Roman" w:hAnsi="Times New Roman" w:cs="Times New Roman"/>
          <w:color w:val="000000" w:themeColor="text1"/>
        </w:rPr>
        <w:t>XRD patterns of PCN-224, PCN-224-Pt</w:t>
      </w:r>
      <w:r w:rsidRPr="000D3C67">
        <w:rPr>
          <w:rFonts w:ascii="Times New Roman" w:hAnsi="Times New Roman" w:cs="Times New Roman"/>
          <w:color w:val="000000" w:themeColor="text1"/>
          <w:vertAlign w:val="subscript"/>
        </w:rPr>
        <w:t>20</w:t>
      </w:r>
      <w:r w:rsidRPr="000D3C67">
        <w:rPr>
          <w:rFonts w:ascii="Times New Roman" w:hAnsi="Times New Roman" w:cs="Times New Roman"/>
          <w:color w:val="000000" w:themeColor="text1"/>
        </w:rPr>
        <w:t>, and PCN-224-Pt</w:t>
      </w:r>
      <w:r w:rsidRPr="000D3C67">
        <w:rPr>
          <w:rFonts w:ascii="Times New Roman" w:hAnsi="Times New Roman" w:cs="Times New Roman"/>
          <w:color w:val="000000" w:themeColor="text1"/>
          <w:vertAlign w:val="subscript"/>
        </w:rPr>
        <w:t>40</w:t>
      </w:r>
    </w:p>
    <w:p w:rsidR="008D699A" w:rsidRPr="000D3C67" w:rsidRDefault="008D699A">
      <w:pPr>
        <w:spacing w:before="120" w:after="120"/>
        <w:jc w:val="both"/>
        <w:rPr>
          <w:rFonts w:ascii="Times New Roman" w:hAnsi="Times New Roman" w:cs="Times New Roman"/>
          <w:color w:val="000000" w:themeColor="text1"/>
          <w:vertAlign w:val="subscript"/>
        </w:rPr>
      </w:pPr>
    </w:p>
    <w:p w:rsidR="008D699A" w:rsidRPr="000D3C67" w:rsidRDefault="008D699A">
      <w:pPr>
        <w:spacing w:before="120" w:after="120"/>
        <w:jc w:val="both"/>
        <w:rPr>
          <w:rFonts w:ascii="Times New Roman" w:hAnsi="Times New Roman" w:cs="Times New Roman"/>
        </w:rPr>
      </w:pPr>
    </w:p>
    <w:p w:rsidR="008D699A" w:rsidRPr="000D3C67" w:rsidRDefault="000D3C67">
      <w:pPr>
        <w:spacing w:before="120" w:after="120"/>
        <w:jc w:val="center"/>
        <w:rPr>
          <w:rFonts w:ascii="Times New Roman" w:hAnsi="Times New Roman" w:cs="Times New Roman"/>
        </w:rPr>
      </w:pPr>
      <w:r w:rsidRPr="000D3C67">
        <w:rPr>
          <w:rFonts w:ascii="Times New Roman" w:hAnsi="Times New Roman" w:cs="Times New Roman"/>
          <w:noProof/>
          <w:lang w:val="en-IN" w:eastAsia="en-IN"/>
        </w:rPr>
        <w:drawing>
          <wp:inline distT="0" distB="0" distL="0" distR="0">
            <wp:extent cx="4102735" cy="3670300"/>
            <wp:effectExtent l="0" t="0" r="0" b="6350"/>
            <wp:docPr id="1801474185" name="图片 1"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74185" name="图片 1" descr="图形用户界面&#10;&#10;中度可信度描述已自动生成"/>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38536" cy="3702243"/>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bookmarkStart w:id="60" w:name="OLE_LINK35"/>
      <w:bookmarkStart w:id="61" w:name="OLE_LINK34"/>
      <w:r w:rsidRPr="000D3C67">
        <w:rPr>
          <w:rFonts w:ascii="Times New Roman" w:hAnsi="Times New Roman" w:cs="Times New Roman"/>
          <w:b/>
          <w:bCs/>
          <w:color w:val="000000" w:themeColor="text1"/>
        </w:rPr>
        <w:t xml:space="preserve">Fig. S4 </w:t>
      </w:r>
      <w:r w:rsidRPr="000D3C67">
        <w:rPr>
          <w:rFonts w:ascii="Times New Roman" w:hAnsi="Times New Roman" w:cs="Times New Roman"/>
          <w:color w:val="000000" w:themeColor="text1"/>
        </w:rPr>
        <w:t>a) SEM image, b) HRTEM image, and c) XRD pattern of PCN-224-Pt</w:t>
      </w:r>
      <w:r w:rsidRPr="000D3C67">
        <w:rPr>
          <w:rFonts w:ascii="Times New Roman" w:hAnsi="Times New Roman" w:cs="Times New Roman"/>
          <w:color w:val="000000" w:themeColor="text1"/>
          <w:vertAlign w:val="subscript"/>
        </w:rPr>
        <w:t>20</w:t>
      </w:r>
      <w:r w:rsidRPr="000D3C67">
        <w:rPr>
          <w:rFonts w:ascii="Times New Roman" w:hAnsi="Times New Roman" w:cs="Times New Roman"/>
          <w:color w:val="000000" w:themeColor="text1"/>
        </w:rPr>
        <w:t xml:space="preserve"> after pyrolysis (i.e., ZrO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-containing PtSNC)</w:t>
      </w:r>
      <w:bookmarkEnd w:id="60"/>
      <w:bookmarkEnd w:id="61"/>
      <w:r w:rsidRPr="000D3C67">
        <w:rPr>
          <w:rFonts w:ascii="Times New Roman" w:hAnsi="Times New Roman" w:cs="Times New Roman"/>
          <w:color w:val="000000" w:themeColor="text1"/>
        </w:rPr>
        <w:br w:type="page"/>
      </w:r>
    </w:p>
    <w:p w:rsidR="008D699A" w:rsidRPr="000D3C67" w:rsidRDefault="000D3C67">
      <w:pPr>
        <w:spacing w:before="120" w:after="120"/>
        <w:jc w:val="center"/>
        <w:rPr>
          <w:rFonts w:ascii="Times New Roman" w:hAnsi="Times New Roman" w:cs="Times New Roman"/>
        </w:rPr>
      </w:pPr>
      <w:r w:rsidRPr="000D3C67">
        <w:rPr>
          <w:rFonts w:ascii="Times New Roman" w:hAnsi="Times New Roman" w:cs="Times New Roman"/>
          <w:noProof/>
          <w:lang w:val="en-IN" w:eastAsia="en-IN"/>
        </w:rPr>
        <w:drawing>
          <wp:inline distT="0" distB="0" distL="0" distR="0">
            <wp:extent cx="3696970" cy="3324860"/>
            <wp:effectExtent l="0" t="0" r="0" b="0"/>
            <wp:docPr id="82101173" name="图片 7"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01173" name="图片 7" descr="图表&#10;&#10;中度可信度描述已自动生成"/>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64855" cy="3385646"/>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S5 </w:t>
      </w:r>
      <w:r w:rsidRPr="000D3C67">
        <w:rPr>
          <w:rFonts w:ascii="Times New Roman" w:hAnsi="Times New Roman" w:cs="Times New Roman"/>
          <w:color w:val="000000" w:themeColor="text1"/>
        </w:rPr>
        <w:t xml:space="preserve">Spherical aberration-corrected TEM images of PtSNC </w:t>
      </w:r>
      <w:r w:rsidRPr="000D3C67">
        <w:rPr>
          <w:rFonts w:ascii="Times New Roman" w:hAnsi="Times New Roman" w:cs="Times New Roman"/>
          <w:color w:val="000000" w:themeColor="text1"/>
        </w:rPr>
        <w:t>in a) bright field and b) secondary electron modes. c) XRD pattern of PtSNC</w:t>
      </w:r>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2361565"/>
            <wp:effectExtent l="0" t="0" r="0" b="0"/>
            <wp:docPr id="11359002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00227" name="图片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0500" cy="236156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S6 </w:t>
      </w:r>
      <w:r w:rsidRPr="000D3C67">
        <w:rPr>
          <w:rFonts w:ascii="Times New Roman" w:hAnsi="Times New Roman" w:cs="Times New Roman"/>
          <w:color w:val="000000" w:themeColor="text1"/>
        </w:rPr>
        <w:t>Powder photographs and SEM images of a) PCN-224, b) PCN-224-Pt</w:t>
      </w:r>
      <w:r w:rsidRPr="000D3C67">
        <w:rPr>
          <w:rFonts w:ascii="Times New Roman" w:hAnsi="Times New Roman" w:cs="Times New Roman"/>
          <w:color w:val="000000" w:themeColor="text1"/>
          <w:vertAlign w:val="subscript"/>
        </w:rPr>
        <w:t>20</w:t>
      </w:r>
      <w:r w:rsidRPr="000D3C67">
        <w:rPr>
          <w:rFonts w:ascii="Times New Roman" w:hAnsi="Times New Roman" w:cs="Times New Roman"/>
          <w:color w:val="000000" w:themeColor="text1"/>
        </w:rPr>
        <w:t>, and c) PCN-224-Pt</w:t>
      </w:r>
      <w:r w:rsidRPr="000D3C67">
        <w:rPr>
          <w:rFonts w:ascii="Times New Roman" w:hAnsi="Times New Roman" w:cs="Times New Roman"/>
          <w:color w:val="000000" w:themeColor="text1"/>
          <w:vertAlign w:val="subscript"/>
        </w:rPr>
        <w:t>40</w:t>
      </w:r>
      <w:r w:rsidRPr="000D3C67">
        <w:rPr>
          <w:rFonts w:ascii="Times New Roman" w:hAnsi="Times New Roman" w:cs="Times New Roman"/>
          <w:color w:val="000000" w:themeColor="text1"/>
        </w:rPr>
        <w:t xml:space="preserve"> after post-pyrolysis and acid etching </w:t>
      </w:r>
      <w:r w:rsidRPr="000D3C67">
        <w:rPr>
          <w:rFonts w:ascii="Times New Roman" w:hAnsi="Times New Roman" w:cs="Times New Roman"/>
        </w:rPr>
        <w:t>procedures</w:t>
      </w:r>
    </w:p>
    <w:p w:rsidR="008D699A" w:rsidRPr="000D3C67" w:rsidRDefault="008D699A">
      <w:pPr>
        <w:spacing w:before="120" w:after="120"/>
        <w:rPr>
          <w:rFonts w:ascii="Times New Roman" w:hAnsi="Times New Roman" w:cs="Times New Roman"/>
          <w:color w:val="000000" w:themeColor="text1"/>
        </w:rPr>
      </w:pPr>
    </w:p>
    <w:p w:rsidR="008D699A" w:rsidRPr="000D3C67" w:rsidRDefault="000D3C67">
      <w:pPr>
        <w:spacing w:before="120" w:after="120"/>
        <w:rPr>
          <w:rFonts w:ascii="Times New Roman" w:hAnsi="Times New Roman" w:cs="Times New Roman"/>
          <w:color w:val="000000" w:themeColor="text1"/>
        </w:rPr>
      </w:pPr>
      <w:r w:rsidRPr="000D3C67">
        <w:rPr>
          <w:rFonts w:ascii="Times New Roman" w:hAnsi="Times New Roman" w:cs="Times New Roman"/>
          <w:color w:val="000000" w:themeColor="text1"/>
        </w:rPr>
        <w:br w:type="page"/>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2298700" cy="2091690"/>
            <wp:effectExtent l="0" t="0" r="6350" b="3810"/>
            <wp:docPr id="1660372067" name="图片 10"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72067" name="图片 10" descr="图表, 直方图&#10;&#10;描述已自动生成"/>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5779" cy="2143759"/>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S7 </w:t>
      </w:r>
      <w:r w:rsidRPr="000D3C67">
        <w:rPr>
          <w:rFonts w:ascii="Times New Roman" w:hAnsi="Times New Roman" w:cs="Times New Roman"/>
          <w:color w:val="000000" w:themeColor="text1"/>
        </w:rPr>
        <w:t xml:space="preserve">Raman spectra of PCN-224-derived </w:t>
      </w:r>
      <w:r w:rsidRPr="000D3C67">
        <w:rPr>
          <w:rFonts w:ascii="Times New Roman" w:hAnsi="Times New Roman" w:cs="Times New Roman"/>
        </w:rPr>
        <w:t>Pt-free N-doped carbon</w:t>
      </w:r>
      <w:r w:rsidRPr="000D3C67">
        <w:rPr>
          <w:rFonts w:ascii="Times New Roman" w:hAnsi="Times New Roman" w:cs="Times New Roman"/>
          <w:color w:val="000000" w:themeColor="text1"/>
        </w:rPr>
        <w:t xml:space="preserve"> nanoparticles and PtSNC</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1484630"/>
            <wp:effectExtent l="0" t="0" r="0" b="0"/>
            <wp:docPr id="1287423941" name="图片 11" descr="图形用户界面, 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23941" name="图片 11" descr="图形用户界面, 图表, 直方图&#10;&#10;描述已自动生成"/>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0500" cy="148463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S8 </w:t>
      </w:r>
      <w:r w:rsidRPr="000D3C67">
        <w:rPr>
          <w:rFonts w:ascii="Times New Roman" w:hAnsi="Times New Roman" w:cs="Times New Roman"/>
          <w:color w:val="000000" w:themeColor="text1"/>
        </w:rPr>
        <w:t>a) Full survey XPS spectra of different nanoparticles. b) Pt 4</w:t>
      </w:r>
      <w:r w:rsidRPr="000D3C67">
        <w:rPr>
          <w:rFonts w:ascii="Times New Roman" w:hAnsi="Times New Roman" w:cs="Times New Roman"/>
          <w:i/>
          <w:iCs/>
          <w:color w:val="000000" w:themeColor="text1"/>
        </w:rPr>
        <w:t>f</w:t>
      </w:r>
      <w:r w:rsidRPr="000D3C67">
        <w:rPr>
          <w:rFonts w:ascii="Times New Roman" w:hAnsi="Times New Roman" w:cs="Times New Roman"/>
          <w:color w:val="000000" w:themeColor="text1"/>
        </w:rPr>
        <w:t xml:space="preserve"> XPS spectrum of </w:t>
      </w:r>
      <w:r w:rsidRPr="000D3C67">
        <w:rPr>
          <w:rFonts w:ascii="Times New Roman" w:hAnsi="Times New Roman" w:cs="Times New Roman"/>
          <w:szCs w:val="21"/>
        </w:rPr>
        <w:t>PtSNC</w:t>
      </w:r>
      <w:r w:rsidRPr="000D3C67">
        <w:rPr>
          <w:rFonts w:ascii="Times New Roman" w:hAnsi="Times New Roman" w:cs="Times New Roman"/>
          <w:color w:val="000000" w:themeColor="text1"/>
        </w:rPr>
        <w:t>.</w:t>
      </w:r>
      <w:r w:rsidRPr="000D3C67">
        <w:rPr>
          <w:rFonts w:ascii="Times New Roman" w:hAnsi="Times New Roman" w:cs="Times New Roman"/>
          <w:szCs w:val="21"/>
        </w:rPr>
        <w:t xml:space="preserve"> c) N 1</w:t>
      </w:r>
      <w:r w:rsidRPr="000D3C67">
        <w:rPr>
          <w:rFonts w:ascii="Times New Roman" w:hAnsi="Times New Roman" w:cs="Times New Roman"/>
          <w:i/>
          <w:iCs/>
          <w:szCs w:val="21"/>
        </w:rPr>
        <w:t>s</w:t>
      </w:r>
      <w:r w:rsidRPr="000D3C67">
        <w:rPr>
          <w:rFonts w:ascii="Times New Roman" w:hAnsi="Times New Roman" w:cs="Times New Roman"/>
          <w:szCs w:val="21"/>
        </w:rPr>
        <w:t xml:space="preserve"> XPS spectrum of </w:t>
      </w:r>
      <w:r w:rsidRPr="000D3C67">
        <w:rPr>
          <w:rFonts w:ascii="Times New Roman" w:hAnsi="Times New Roman" w:cs="Times New Roman"/>
          <w:color w:val="000000" w:themeColor="text1"/>
        </w:rPr>
        <w:t xml:space="preserve">PCN-224-derived </w:t>
      </w:r>
      <w:r w:rsidRPr="000D3C67">
        <w:rPr>
          <w:rFonts w:ascii="Times New Roman" w:hAnsi="Times New Roman" w:cs="Times New Roman"/>
        </w:rPr>
        <w:t>Pt-free N-doped carbon</w:t>
      </w:r>
      <w:r w:rsidRPr="000D3C67">
        <w:rPr>
          <w:rFonts w:ascii="Times New Roman" w:hAnsi="Times New Roman" w:cs="Times New Roman"/>
          <w:color w:val="000000" w:themeColor="text1"/>
        </w:rPr>
        <w:t xml:space="preserve"> nanoparticles</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4159250" cy="2760345"/>
            <wp:effectExtent l="0" t="0" r="0" b="1905"/>
            <wp:docPr id="344721447" name="图片 12"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21447" name="图片 12" descr="图片包含 图形用户界面&#10;&#10;描述已自动生成"/>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01982" cy="2789002"/>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S9 </w:t>
      </w:r>
      <w:r w:rsidRPr="000D3C67">
        <w:rPr>
          <w:rFonts w:ascii="Times New Roman" w:hAnsi="Times New Roman" w:cs="Times New Roman"/>
          <w:color w:val="000000" w:themeColor="text1"/>
        </w:rPr>
        <w:t xml:space="preserve">a) TEM image and corresponding SAED pattern of PCN-224-derived </w:t>
      </w:r>
      <w:r w:rsidRPr="000D3C67">
        <w:rPr>
          <w:rFonts w:ascii="Times New Roman" w:hAnsi="Times New Roman" w:cs="Times New Roman"/>
        </w:rPr>
        <w:t>Pt-free N-doped carbon</w:t>
      </w:r>
      <w:r w:rsidRPr="000D3C67">
        <w:rPr>
          <w:rFonts w:ascii="Times New Roman" w:hAnsi="Times New Roman" w:cs="Times New Roman"/>
          <w:color w:val="000000" w:themeColor="text1"/>
        </w:rPr>
        <w:t xml:space="preserve"> nanoparticles</w:t>
      </w:r>
      <w:r w:rsidRPr="000D3C67">
        <w:rPr>
          <w:rFonts w:ascii="Times New Roman" w:hAnsi="Times New Roman" w:cs="Times New Roman"/>
          <w:szCs w:val="21"/>
        </w:rPr>
        <w:t xml:space="preserve">. </w:t>
      </w:r>
      <w:r w:rsidRPr="000D3C67">
        <w:rPr>
          <w:rFonts w:ascii="Times New Roman" w:hAnsi="Times New Roman" w:cs="Times New Roman"/>
          <w:color w:val="000000" w:themeColor="text1"/>
        </w:rPr>
        <w:t>b) TEM image, HRTEM image, and corresponding SAED pattern of PCN-224-Pt</w:t>
      </w:r>
      <w:r w:rsidRPr="000D3C67">
        <w:rPr>
          <w:rFonts w:ascii="Times New Roman" w:hAnsi="Times New Roman" w:cs="Times New Roman"/>
          <w:color w:val="000000" w:themeColor="text1"/>
          <w:vertAlign w:val="subscript"/>
        </w:rPr>
        <w:t>40</w:t>
      </w:r>
      <w:r w:rsidRPr="000D3C67">
        <w:rPr>
          <w:rFonts w:ascii="Times New Roman" w:hAnsi="Times New Roman" w:cs="Times New Roman"/>
          <w:color w:val="000000" w:themeColor="text1"/>
        </w:rPr>
        <w:t xml:space="preserve">-derived </w:t>
      </w:r>
      <w:r w:rsidRPr="000D3C67">
        <w:rPr>
          <w:rFonts w:ascii="Times New Roman" w:hAnsi="Times New Roman" w:cs="Times New Roman"/>
        </w:rPr>
        <w:t>N-doped carbon</w:t>
      </w:r>
      <w:r w:rsidRPr="000D3C67">
        <w:rPr>
          <w:rFonts w:ascii="Times New Roman" w:hAnsi="Times New Roman" w:cs="Times New Roman"/>
          <w:color w:val="000000" w:themeColor="text1"/>
        </w:rPr>
        <w:t xml:space="preserve"> nanoparticles</w:t>
      </w:r>
      <w:r w:rsidRPr="000D3C67">
        <w:rPr>
          <w:rFonts w:ascii="Times New Roman" w:hAnsi="Times New Roman" w:cs="Times New Roman"/>
          <w:color w:val="000000" w:themeColor="text1"/>
        </w:rPr>
        <w:br w:type="page"/>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4813300" cy="2667000"/>
            <wp:effectExtent l="0" t="0" r="6350" b="0"/>
            <wp:docPr id="1210246438" name="图片 1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46438" name="图片 13" descr="图示&#10;&#10;描述已自动生成"/>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20828" cy="2671203"/>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S10 </w:t>
      </w:r>
      <w:r w:rsidRPr="000D3C67">
        <w:rPr>
          <w:rFonts w:ascii="Times New Roman" w:hAnsi="Times New Roman" w:cs="Times New Roman"/>
          <w:szCs w:val="21"/>
        </w:rPr>
        <w:t>The</w:t>
      </w:r>
      <w:r w:rsidRPr="000D3C67">
        <w:rPr>
          <w:rFonts w:ascii="Times New Roman" w:hAnsi="Times New Roman" w:cs="Times New Roman"/>
          <w:i/>
          <w:iCs/>
          <w:szCs w:val="21"/>
        </w:rPr>
        <w:t xml:space="preserve"> </w:t>
      </w:r>
      <w:r w:rsidRPr="000D3C67">
        <w:rPr>
          <w:rFonts w:ascii="Times New Roman" w:hAnsi="Times New Roman" w:cs="Times New Roman"/>
          <w:szCs w:val="21"/>
        </w:rPr>
        <w:t xml:space="preserve">a,c,e) </w:t>
      </w:r>
      <w:r w:rsidRPr="000D3C67">
        <w:rPr>
          <w:rFonts w:ascii="Times New Roman" w:hAnsi="Times New Roman" w:cs="Times New Roman"/>
          <w:i/>
          <w:iCs/>
          <w:szCs w:val="21"/>
        </w:rPr>
        <w:t>k</w:t>
      </w:r>
      <w:r w:rsidRPr="000D3C67">
        <w:rPr>
          <w:rFonts w:ascii="Times New Roman" w:hAnsi="Times New Roman" w:cs="Times New Roman"/>
          <w:szCs w:val="21"/>
        </w:rPr>
        <w:t xml:space="preserve">-space and b,d,f) </w:t>
      </w:r>
      <w:r w:rsidRPr="000D3C67">
        <w:rPr>
          <w:rFonts w:ascii="Times New Roman" w:hAnsi="Times New Roman" w:cs="Times New Roman"/>
          <w:i/>
          <w:iCs/>
          <w:szCs w:val="21"/>
        </w:rPr>
        <w:t>R</w:t>
      </w:r>
      <w:r w:rsidRPr="000D3C67">
        <w:rPr>
          <w:rFonts w:ascii="Times New Roman" w:hAnsi="Times New Roman" w:cs="Times New Roman"/>
          <w:szCs w:val="21"/>
        </w:rPr>
        <w:t>-space fitting results of Pt foil, PtO</w:t>
      </w:r>
      <w:r w:rsidRPr="000D3C67">
        <w:rPr>
          <w:rFonts w:ascii="Times New Roman" w:hAnsi="Times New Roman" w:cs="Times New Roman"/>
          <w:szCs w:val="21"/>
          <w:vertAlign w:val="subscript"/>
        </w:rPr>
        <w:t>2</w:t>
      </w:r>
      <w:r w:rsidRPr="000D3C67">
        <w:rPr>
          <w:rFonts w:ascii="Times New Roman" w:hAnsi="Times New Roman" w:cs="Times New Roman"/>
          <w:szCs w:val="21"/>
        </w:rPr>
        <w:t>, and TCPP(Pt)</w:t>
      </w: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4641850" cy="3455035"/>
            <wp:effectExtent l="0" t="0" r="6350" b="0"/>
            <wp:docPr id="1643308459" name="图片 1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08459" name="图片 14" descr="图示&#10;&#10;描述已自动生成"/>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57753" cy="346750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S11 </w:t>
      </w:r>
      <w:r w:rsidRPr="000D3C67">
        <w:rPr>
          <w:rFonts w:ascii="Times New Roman" w:hAnsi="Times New Roman" w:cs="Times New Roman"/>
          <w:color w:val="000000" w:themeColor="text1"/>
        </w:rPr>
        <w:t>a) FTIR spectra, b) hydrodynamic size distributions, and c) zeta potentials</w:t>
      </w:r>
      <w:r w:rsidRPr="000D3C67">
        <w:rPr>
          <w:rFonts w:ascii="Times New Roman" w:hAnsi="Times New Roman" w:cs="Times New Roman"/>
          <w:szCs w:val="21"/>
        </w:rPr>
        <w:t xml:space="preserve"> of the PtSNC before and after </w:t>
      </w:r>
      <w:r w:rsidRPr="000D3C67">
        <w:rPr>
          <w:rFonts w:ascii="Times New Roman" w:hAnsi="Times New Roman" w:cs="Times New Roman"/>
        </w:rPr>
        <w:t>PEGylation.</w:t>
      </w:r>
      <w:r w:rsidRPr="000D3C67">
        <w:rPr>
          <w:rFonts w:ascii="Times New Roman" w:hAnsi="Times New Roman" w:cs="Times New Roman"/>
          <w:szCs w:val="21"/>
        </w:rPr>
        <w:t xml:space="preserve"> PDI: polydispersity index. A smaller PDI means better uniformity and narrower dispersity width. d) Photographs of the PtSNC with or without PEG decoration dispersed in water before and after 24 h. The PEGylated PtSNC still remained stable after 24 h of in</w:t>
      </w:r>
      <w:r w:rsidRPr="000D3C67">
        <w:rPr>
          <w:rFonts w:ascii="Times New Roman" w:hAnsi="Times New Roman" w:cs="Times New Roman"/>
          <w:szCs w:val="21"/>
        </w:rPr>
        <w:t xml:space="preserve">cubation, while an obvious agglomeration phenomenon was observed for bare PtSNC, confirming the enhanced colloidal stability after </w:t>
      </w:r>
      <w:r w:rsidRPr="000D3C67">
        <w:rPr>
          <w:rFonts w:ascii="Times New Roman" w:hAnsi="Times New Roman" w:cs="Times New Roman"/>
        </w:rPr>
        <w:t>PEGylation</w:t>
      </w:r>
      <w:r w:rsidRPr="000D3C67">
        <w:rPr>
          <w:rFonts w:ascii="Times New Roman" w:hAnsi="Times New Roman" w:cs="Times New Roman"/>
          <w:szCs w:val="21"/>
        </w:rPr>
        <w:t>.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w:t>
      </w:r>
    </w:p>
    <w:p w:rsidR="008D699A" w:rsidRPr="000D3C67" w:rsidRDefault="000D3C67">
      <w:pPr>
        <w:spacing w:before="120" w:after="120"/>
        <w:rPr>
          <w:rFonts w:ascii="Times New Roman" w:hAnsi="Times New Roman" w:cs="Times New Roman"/>
          <w:szCs w:val="21"/>
        </w:rPr>
      </w:pPr>
      <w:r w:rsidRPr="000D3C67">
        <w:rPr>
          <w:rFonts w:ascii="Times New Roman" w:hAnsi="Times New Roman" w:cs="Times New Roman"/>
          <w:szCs w:val="21"/>
        </w:rPr>
        <w:br w:type="page"/>
      </w:r>
    </w:p>
    <w:p w:rsidR="008D699A" w:rsidRPr="000D3C67" w:rsidRDefault="008D699A">
      <w:pPr>
        <w:spacing w:before="120" w:after="120"/>
        <w:jc w:val="center"/>
        <w:rPr>
          <w:rFonts w:ascii="Times New Roman" w:hAnsi="Times New Roman" w:cs="Times New Roman"/>
          <w:szCs w:val="21"/>
        </w:rPr>
      </w:pPr>
    </w:p>
    <w:p w:rsidR="008D699A" w:rsidRPr="000D3C67" w:rsidRDefault="008D699A">
      <w:pPr>
        <w:spacing w:before="120" w:after="120"/>
        <w:jc w:val="center"/>
        <w:rPr>
          <w:rFonts w:ascii="Times New Roman" w:hAnsi="Times New Roman" w:cs="Times New Roman"/>
          <w:szCs w:val="21"/>
        </w:rPr>
      </w:pP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270500" cy="2185670"/>
            <wp:effectExtent l="0" t="0" r="6350" b="5080"/>
            <wp:docPr id="116861273" name="图片 1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1273" name="图片 16" descr="图表&#10;&#10;描述已自动生成"/>
                    <pic:cNvPicPr>
                      <a:picLocks noChangeAspect="1"/>
                    </pic:cNvPicPr>
                  </pic:nvPicPr>
                  <pic:blipFill>
                    <a:blip r:embed="rId22" cstate="print">
                      <a:extLst>
                        <a:ext uri="{28A0092B-C50C-407E-A947-70E740481C1C}">
                          <a14:useLocalDpi xmlns:a14="http://schemas.microsoft.com/office/drawing/2010/main" val="0"/>
                        </a:ext>
                      </a:extLst>
                    </a:blip>
                    <a:srcRect t="2271"/>
                    <a:stretch>
                      <a:fillRect/>
                    </a:stretch>
                  </pic:blipFill>
                  <pic:spPr>
                    <a:xfrm>
                      <a:off x="0" y="0"/>
                      <a:ext cx="5270500" cy="2185670"/>
                    </a:xfrm>
                    <a:prstGeom prst="rect">
                      <a:avLst/>
                    </a:prstGeom>
                    <a:ln>
                      <a:noFill/>
                    </a:ln>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S12 </w:t>
      </w:r>
      <w:r w:rsidRPr="000D3C67">
        <w:rPr>
          <w:rFonts w:ascii="Times New Roman" w:hAnsi="Times New Roman" w:cs="Times New Roman"/>
          <w:color w:val="000000" w:themeColor="text1"/>
        </w:rPr>
        <w:t>a) The linearly fitted standar</w:t>
      </w:r>
      <w:r w:rsidRPr="000D3C67">
        <w:rPr>
          <w:rFonts w:ascii="Times New Roman" w:hAnsi="Times New Roman" w:cs="Times New Roman"/>
          <w:color w:val="000000" w:themeColor="text1"/>
        </w:rPr>
        <w:t xml:space="preserve">d curve of NADH characteristic absorption intensity at 340 nm </w:t>
      </w:r>
      <w:r w:rsidRPr="000D3C67">
        <w:rPr>
          <w:rFonts w:ascii="Times New Roman" w:hAnsi="Times New Roman" w:cs="Times New Roman"/>
          <w:i/>
          <w:iCs/>
          <w:color w:val="000000" w:themeColor="text1"/>
        </w:rPr>
        <w:t>vs</w:t>
      </w:r>
      <w:r w:rsidRPr="000D3C67">
        <w:rPr>
          <w:rFonts w:ascii="Times New Roman" w:hAnsi="Times New Roman" w:cs="Times New Roman"/>
          <w:color w:val="000000" w:themeColor="text1"/>
        </w:rPr>
        <w:t xml:space="preserve"> concentration. </w:t>
      </w:r>
      <w:r w:rsidRPr="000D3C67">
        <w:rPr>
          <w:rFonts w:ascii="Times New Roman" w:hAnsi="Times New Roman" w:cs="Times New Roman"/>
          <w:szCs w:val="21"/>
        </w:rPr>
        <w:t xml:space="preserve">b) PtSNC-catalytic NADH depletion </w:t>
      </w:r>
      <w:r w:rsidRPr="000D3C67">
        <w:rPr>
          <w:rFonts w:ascii="Times New Roman" w:hAnsi="Times New Roman" w:cs="Times New Roman"/>
          <w:color w:val="000000" w:themeColor="text1"/>
          <w:szCs w:val="21"/>
        </w:rPr>
        <w:t xml:space="preserve">at different pH conditions. </w:t>
      </w:r>
      <w:r w:rsidRPr="000D3C67">
        <w:rPr>
          <w:rFonts w:ascii="Times New Roman" w:hAnsi="Times New Roman" w:cs="Times New Roman"/>
          <w:szCs w:val="21"/>
        </w:rPr>
        <w:t>Data are expressed as mean</w:t>
      </w:r>
      <w:r w:rsidRPr="000D3C67">
        <w:rPr>
          <w:rFonts w:ascii="Times New Roman" w:hAnsi="Times New Roman" w:cs="Times New Roman"/>
          <w:color w:val="000000" w:themeColor="text1"/>
          <w:szCs w:val="21"/>
        </w:rPr>
        <w:t xml:space="preserve"> ± s.e.m. (</w:t>
      </w:r>
      <w:r w:rsidRPr="000D3C67">
        <w:rPr>
          <w:rFonts w:ascii="Times New Roman" w:hAnsi="Times New Roman" w:cs="Times New Roman"/>
          <w:i/>
          <w:iCs/>
          <w:color w:val="000000" w:themeColor="text1"/>
          <w:szCs w:val="21"/>
        </w:rPr>
        <w:t>n</w:t>
      </w:r>
      <w:r w:rsidRPr="000D3C67">
        <w:rPr>
          <w:rFonts w:ascii="Times New Roman" w:hAnsi="Times New Roman" w:cs="Times New Roman"/>
          <w:color w:val="000000" w:themeColor="text1"/>
          <w:szCs w:val="21"/>
        </w:rPr>
        <w:t xml:space="preserve"> = 3 independent experiments in (a); </w:t>
      </w:r>
      <w:r w:rsidRPr="000D3C67">
        <w:rPr>
          <w:rFonts w:ascii="Times New Roman" w:hAnsi="Times New Roman" w:cs="Times New Roman"/>
          <w:i/>
          <w:iCs/>
          <w:color w:val="000000" w:themeColor="text1"/>
          <w:szCs w:val="21"/>
        </w:rPr>
        <w:t>n</w:t>
      </w:r>
      <w:r w:rsidRPr="000D3C67">
        <w:rPr>
          <w:rFonts w:ascii="Times New Roman" w:hAnsi="Times New Roman" w:cs="Times New Roman"/>
          <w:color w:val="000000" w:themeColor="text1"/>
          <w:szCs w:val="21"/>
        </w:rPr>
        <w:t xml:space="preserve"> = 4 independent experiments in (b))</w:t>
      </w: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270500" cy="1457325"/>
            <wp:effectExtent l="0" t="0" r="0" b="0"/>
            <wp:docPr id="1434686875"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86875" name="图片 1" descr="图表&#10;&#10;AI 生成的内容可能不正确。"/>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0500" cy="145732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S13 </w:t>
      </w:r>
      <w:r w:rsidRPr="000D3C67">
        <w:rPr>
          <w:rFonts w:ascii="Times New Roman" w:hAnsi="Times New Roman" w:cs="Times New Roman"/>
          <w:color w:val="000000" w:themeColor="text1"/>
        </w:rPr>
        <w:t>a) The initial 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-generating rates of CAT-like catalysis of PtSNC at different pH conditions. b) The calculated inhibition rates of SOD u</w:t>
      </w:r>
      <w:r w:rsidRPr="000D3C67">
        <w:rPr>
          <w:rFonts w:ascii="Times New Roman" w:hAnsi="Times New Roman" w:cs="Times New Roman"/>
        </w:rPr>
        <w:t>sing a total SOD assay kit with WST-8 (Beyotime)</w:t>
      </w:r>
      <w:r w:rsidRPr="000D3C67">
        <w:rPr>
          <w:rFonts w:ascii="Times New Roman" w:hAnsi="Times New Roman" w:cs="Times New Roman"/>
          <w:color w:val="000000" w:themeColor="text1"/>
        </w:rPr>
        <w:t xml:space="preserve">. A higher inhibition rate means better SOD-like activity. c) The calculated total </w:t>
      </w:r>
      <w:r w:rsidRPr="000D3C67">
        <w:rPr>
          <w:rFonts w:ascii="Times New Roman" w:hAnsi="Times New Roman" w:cs="Times New Roman"/>
        </w:rPr>
        <w:t xml:space="preserve">antioxidant activities of PtSNC </w:t>
      </w:r>
      <w:r w:rsidRPr="000D3C67">
        <w:rPr>
          <w:rFonts w:ascii="Times New Roman" w:hAnsi="Times New Roman" w:cs="Times New Roman"/>
          <w:color w:val="000000" w:themeColor="text1"/>
        </w:rPr>
        <w:t xml:space="preserve">at different pH conditions in the </w:t>
      </w:r>
      <w:r w:rsidRPr="000D3C67">
        <w:rPr>
          <w:rFonts w:ascii="Times New Roman" w:hAnsi="Times New Roman" w:cs="Times New Roman"/>
          <w:color w:val="000000" w:themeColor="text1"/>
          <w:szCs w:val="21"/>
        </w:rPr>
        <w:t xml:space="preserve">ABTS radical scavenging assay.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 in (b);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in (c)).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r w:rsidRPr="000D3C67">
        <w:rPr>
          <w:rFonts w:ascii="Times New Roman" w:hAnsi="Times New Roman" w:cs="Times New Roman"/>
        </w:rPr>
        <w:br w:type="page"/>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1859280"/>
            <wp:effectExtent l="0" t="0" r="0" b="0"/>
            <wp:docPr id="359874461" name="图片 18" descr="图表,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74461" name="图片 18" descr="图表, 图示&#10;&#10;描述已自动生成"/>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0500" cy="185928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S14 </w:t>
      </w:r>
      <w:r w:rsidRPr="000D3C67">
        <w:rPr>
          <w:rFonts w:ascii="Times New Roman" w:hAnsi="Times New Roman" w:cs="Times New Roman"/>
          <w:color w:val="000000" w:themeColor="text1"/>
        </w:rPr>
        <w:t xml:space="preserve">a) </w:t>
      </w:r>
      <w:r w:rsidRPr="000D3C67">
        <w:rPr>
          <w:rFonts w:ascii="Times New Roman" w:hAnsi="Times New Roman" w:cs="Times New Roman"/>
          <w:color w:val="000000" w:themeColor="text1"/>
          <w:szCs w:val="21"/>
        </w:rPr>
        <w:t>Proposed heterolytic path for CAT-like catalysis and the DFT-determined free energy diagram. b) Comparison of the rate-</w:t>
      </w:r>
      <w:r w:rsidRPr="000D3C67">
        <w:rPr>
          <w:rFonts w:ascii="Times New Roman" w:hAnsi="Times New Roman" w:cs="Times New Roman"/>
          <w:color w:val="000000" w:themeColor="text1"/>
          <w:szCs w:val="21"/>
        </w:rPr>
        <w:t>determining step free energy variations between proposed homolytic and heterolytic paths</w:t>
      </w: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2301240"/>
            <wp:effectExtent l="0" t="0" r="0" b="0"/>
            <wp:docPr id="1898537768" name="图片 20" descr="图表, 折线图,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37768" name="图片 20" descr="图表, 折线图, 散点图&#10;&#10;描述已自动生成"/>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0500" cy="230124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S15 </w:t>
      </w:r>
      <w:r w:rsidRPr="000D3C67">
        <w:rPr>
          <w:rFonts w:ascii="Times New Roman" w:hAnsi="Times New Roman" w:cs="Times New Roman"/>
          <w:color w:val="000000" w:themeColor="text1"/>
        </w:rPr>
        <w:t xml:space="preserve">a) OXD-like catalysis of PtSNC with different concentrations of TMB as the reaction substrate. </w:t>
      </w:r>
      <w:r w:rsidRPr="000D3C67">
        <w:rPr>
          <w:rFonts w:ascii="Times New Roman" w:hAnsi="Times New Roman" w:cs="Times New Roman"/>
          <w:color w:val="000000" w:themeColor="text1"/>
          <w:szCs w:val="21"/>
        </w:rPr>
        <w:t xml:space="preserve">Inset: display of the test solutions after reactions. </w:t>
      </w:r>
      <w:r w:rsidRPr="000D3C67">
        <w:rPr>
          <w:rFonts w:ascii="Times New Roman" w:hAnsi="Times New Roman" w:cs="Times New Roman"/>
          <w:color w:val="000000" w:themeColor="text1"/>
        </w:rPr>
        <w:t>b) Mic</w:t>
      </w:r>
      <w:r w:rsidRPr="000D3C67">
        <w:rPr>
          <w:rFonts w:ascii="Times New Roman" w:hAnsi="Times New Roman" w:cs="Times New Roman"/>
          <w:color w:val="000000" w:themeColor="text1"/>
        </w:rPr>
        <w:t xml:space="preserve">haelis-Menten kinetic analysis and Lineweaver-Burk plot of OXD-like activity of PtSNC.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w:t>
      </w:r>
      <w:r w:rsidRPr="000D3C67">
        <w:rPr>
          <w:rFonts w:ascii="Times New Roman" w:hAnsi="Times New Roman" w:cs="Times New Roman"/>
          <w:color w:val="000000" w:themeColor="text1"/>
          <w:szCs w:val="21"/>
        </w:rPr>
        <w:br w:type="page"/>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864735" cy="2895600"/>
            <wp:effectExtent l="0" t="0" r="0" b="0"/>
            <wp:docPr id="1397143432" name="图片 2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43432" name="图片 21" descr="图表&#10;&#10;描述已自动生成"/>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74586" cy="290126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S16 </w:t>
      </w:r>
      <w:r w:rsidRPr="000D3C67">
        <w:rPr>
          <w:rFonts w:ascii="Times New Roman" w:hAnsi="Times New Roman" w:cs="Times New Roman"/>
          <w:color w:val="000000" w:themeColor="text1"/>
        </w:rPr>
        <w:t xml:space="preserve">a) Time-dependent </w:t>
      </w:r>
      <w:r w:rsidRPr="000D3C67">
        <w:rPr>
          <w:rFonts w:ascii="Times New Roman" w:hAnsi="Times New Roman" w:cs="Times New Roman"/>
          <w:color w:val="000000" w:themeColor="text1"/>
          <w:szCs w:val="21"/>
        </w:rPr>
        <w:t>TMB oxidation process by PtSNC without or with adding H</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 xml:space="preserve">. b) </w:t>
      </w:r>
      <w:r w:rsidRPr="000D3C67">
        <w:rPr>
          <w:rFonts w:ascii="Times New Roman" w:hAnsi="Times New Roman" w:cs="Times New Roman"/>
          <w:color w:val="000000" w:themeColor="text1"/>
        </w:rPr>
        <w:t xml:space="preserve">POD-like catalysis of PtSNC with different concentrations of TMB as the reaction substrate, and c) corresponding Michaelis-Menten kinetic analysis and Lineweaver-Burk plot. </w:t>
      </w:r>
      <w:r w:rsidRPr="000D3C67">
        <w:rPr>
          <w:rFonts w:ascii="Times New Roman" w:hAnsi="Times New Roman" w:cs="Times New Roman"/>
          <w:color w:val="000000" w:themeColor="text1"/>
          <w:szCs w:val="21"/>
        </w:rPr>
        <w:t xml:space="preserve">d) </w:t>
      </w:r>
      <w:r w:rsidRPr="000D3C67">
        <w:rPr>
          <w:rFonts w:ascii="Times New Roman" w:hAnsi="Times New Roman" w:cs="Times New Roman"/>
          <w:color w:val="000000" w:themeColor="text1"/>
        </w:rPr>
        <w:t>POD-like catalysis of PtSNC with different concentrations of H</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O</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rPr>
        <w:t xml:space="preserve"> as the reaction substrate, and e) corresponding Michaelis-Menten kinetic analysis and Lineweaver-Burk plot. </w:t>
      </w:r>
      <w:r w:rsidRPr="000D3C67">
        <w:rPr>
          <w:rFonts w:ascii="Times New Roman" w:hAnsi="Times New Roman" w:cs="Times New Roman"/>
          <w:color w:val="000000" w:themeColor="text1"/>
          <w:szCs w:val="21"/>
        </w:rPr>
        <w:t xml:space="preserve">Inset: display of the test solutions after reactions.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w:t>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327525" cy="3600450"/>
            <wp:effectExtent l="0" t="0" r="0" b="0"/>
            <wp:docPr id="1864503842" name="图片 23" descr="图表,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03842" name="图片 23" descr="图表, 图示&#10;&#10;描述已自动生成"/>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69279" cy="3634923"/>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S17 </w:t>
      </w:r>
      <w:r w:rsidRPr="000D3C67">
        <w:rPr>
          <w:rFonts w:ascii="Times New Roman" w:hAnsi="Times New Roman" w:cs="Times New Roman"/>
          <w:color w:val="000000" w:themeColor="text1"/>
        </w:rPr>
        <w:t xml:space="preserve">a) </w:t>
      </w:r>
      <w:r w:rsidRPr="000D3C67">
        <w:rPr>
          <w:rFonts w:ascii="Times New Roman" w:hAnsi="Times New Roman" w:cs="Times New Roman"/>
          <w:color w:val="000000" w:themeColor="text1"/>
          <w:szCs w:val="21"/>
        </w:rPr>
        <w:t xml:space="preserve">Verification of PtSNC-catalytic </w:t>
      </w:r>
      <w:r w:rsidRPr="000D3C67">
        <w:rPr>
          <w:rFonts w:ascii="Times New Roman" w:hAnsi="Times New Roman" w:cs="Times New Roman"/>
          <w:color w:val="000000" w:themeColor="text1"/>
          <w:szCs w:val="21"/>
          <w:vertAlign w:val="superscript"/>
        </w:rPr>
        <w:t>1</w:t>
      </w:r>
      <w:r w:rsidRPr="000D3C67">
        <w:rPr>
          <w:rFonts w:ascii="Times New Roman" w:hAnsi="Times New Roman" w:cs="Times New Roman"/>
          <w:color w:val="000000" w:themeColor="text1"/>
          <w:szCs w:val="21"/>
        </w:rPr>
        <w:t>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 xml:space="preserve"> generation using DPBF as a specific probe. </w:t>
      </w:r>
      <w:r w:rsidRPr="000D3C67">
        <w:rPr>
          <w:rFonts w:ascii="Times New Roman" w:hAnsi="Times New Roman" w:cs="Times New Roman"/>
          <w:color w:val="000000" w:themeColor="text1"/>
        </w:rPr>
        <w:t xml:space="preserve">b) </w:t>
      </w:r>
      <w:r w:rsidRPr="000D3C67">
        <w:rPr>
          <w:rFonts w:ascii="Times New Roman" w:hAnsi="Times New Roman" w:cs="Times New Roman"/>
          <w:color w:val="000000" w:themeColor="text1"/>
          <w:szCs w:val="21"/>
        </w:rPr>
        <w:t>Verification of PtSNC-catalytic 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w:t>
      </w:r>
      <w:r w:rsidRPr="000D3C67">
        <w:rPr>
          <w:rFonts w:ascii="Times New Roman" w:hAnsi="Times New Roman" w:cs="Times New Roman"/>
          <w:color w:val="000000" w:themeColor="text1"/>
          <w:szCs w:val="21"/>
          <w:vertAlign w:val="superscript"/>
        </w:rPr>
        <w:t xml:space="preserve">- </w:t>
      </w:r>
      <w:r w:rsidRPr="000D3C67">
        <w:rPr>
          <w:rFonts w:ascii="Times New Roman" w:hAnsi="Times New Roman" w:cs="Times New Roman"/>
          <w:color w:val="000000" w:themeColor="text1"/>
          <w:szCs w:val="21"/>
        </w:rPr>
        <w:t xml:space="preserve">generation using WST-8 from </w:t>
      </w:r>
      <w:r w:rsidRPr="000D3C67">
        <w:rPr>
          <w:rFonts w:ascii="Times New Roman" w:hAnsi="Times New Roman" w:cs="Times New Roman"/>
        </w:rPr>
        <w:t xml:space="preserve">a total SOD assay kit (Beyotime) </w:t>
      </w:r>
      <w:r w:rsidRPr="000D3C67">
        <w:rPr>
          <w:rFonts w:ascii="Times New Roman" w:hAnsi="Times New Roman" w:cs="Times New Roman"/>
          <w:color w:val="000000" w:themeColor="text1"/>
          <w:szCs w:val="21"/>
        </w:rPr>
        <w:t>as a specific probe.</w:t>
      </w:r>
      <w:r w:rsidRPr="000D3C67">
        <w:rPr>
          <w:rFonts w:ascii="Times New Roman" w:hAnsi="Times New Roman" w:cs="Times New Roman"/>
          <w:color w:val="000000" w:themeColor="text1"/>
        </w:rPr>
        <w:t xml:space="preserve"> c) </w:t>
      </w:r>
      <w:r w:rsidRPr="000D3C67">
        <w:rPr>
          <w:rFonts w:ascii="Times New Roman" w:hAnsi="Times New Roman" w:cs="Times New Roman"/>
          <w:color w:val="000000" w:themeColor="text1"/>
          <w:szCs w:val="21"/>
        </w:rPr>
        <w:t xml:space="preserve">Verification of PtSNC-catalytic </w:t>
      </w:r>
      <w:r w:rsidRPr="000D3C67">
        <w:rPr>
          <w:rFonts w:ascii="Times New Roman" w:hAnsi="Times New Roman" w:cs="Times New Roman"/>
        </w:rPr>
        <w:t>•OH</w:t>
      </w:r>
      <w:r w:rsidRPr="000D3C67">
        <w:rPr>
          <w:rFonts w:ascii="Times New Roman" w:hAnsi="Times New Roman" w:cs="Times New Roman"/>
          <w:color w:val="000000" w:themeColor="text1"/>
          <w:szCs w:val="21"/>
        </w:rPr>
        <w:t xml:space="preserve"> generation using salicylic acid as a specific probe. d) ESR spectra evaluating PtSNC-catalytic </w:t>
      </w:r>
      <w:r w:rsidRPr="000D3C67">
        <w:rPr>
          <w:rFonts w:ascii="Times New Roman" w:hAnsi="Times New Roman" w:cs="Times New Roman"/>
        </w:rPr>
        <w:t>•OH</w:t>
      </w:r>
      <w:r w:rsidRPr="000D3C67">
        <w:rPr>
          <w:rFonts w:ascii="Times New Roman" w:hAnsi="Times New Roman" w:cs="Times New Roman"/>
          <w:color w:val="000000" w:themeColor="text1"/>
          <w:szCs w:val="21"/>
        </w:rPr>
        <w:t xml:space="preserve"> generation using DMPO</w:t>
      </w:r>
      <w:r w:rsidRPr="000D3C67">
        <w:rPr>
          <w:rFonts w:ascii="Times New Roman" w:hAnsi="Times New Roman" w:cs="Times New Roman"/>
        </w:rPr>
        <w:t xml:space="preserve"> as a spin-trapping agent. All the detection results demonstrate no </w:t>
      </w:r>
      <w:bookmarkStart w:id="62" w:name="OLE_LINK1090"/>
      <w:bookmarkStart w:id="63" w:name="OLE_LINK1089"/>
      <w:r w:rsidRPr="000D3C67">
        <w:rPr>
          <w:rFonts w:ascii="Times New Roman" w:hAnsi="Times New Roman" w:cs="Times New Roman"/>
        </w:rPr>
        <w:t>free ROS</w:t>
      </w:r>
      <w:bookmarkEnd w:id="62"/>
      <w:bookmarkEnd w:id="63"/>
      <w:r w:rsidRPr="000D3C67">
        <w:rPr>
          <w:rFonts w:ascii="Times New Roman" w:hAnsi="Times New Roman" w:cs="Times New Roman"/>
        </w:rPr>
        <w:t xml:space="preserve"> including </w:t>
      </w:r>
      <w:r w:rsidRPr="000D3C67">
        <w:rPr>
          <w:rFonts w:ascii="Times New Roman" w:hAnsi="Times New Roman" w:cs="Times New Roman"/>
          <w:color w:val="000000" w:themeColor="text1"/>
          <w:szCs w:val="21"/>
          <w:vertAlign w:val="superscript"/>
        </w:rPr>
        <w:t>1</w:t>
      </w:r>
      <w:r w:rsidRPr="000D3C67">
        <w:rPr>
          <w:rFonts w:ascii="Times New Roman" w:hAnsi="Times New Roman" w:cs="Times New Roman"/>
          <w:color w:val="000000" w:themeColor="text1"/>
          <w:szCs w:val="21"/>
        </w:rPr>
        <w:t>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 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w:t>
      </w:r>
      <w:r w:rsidRPr="000D3C67">
        <w:rPr>
          <w:rFonts w:ascii="Times New Roman" w:hAnsi="Times New Roman" w:cs="Times New Roman"/>
          <w:color w:val="000000" w:themeColor="text1"/>
          <w:szCs w:val="21"/>
          <w:vertAlign w:val="superscript"/>
        </w:rPr>
        <w:t>-</w:t>
      </w:r>
      <w:r w:rsidRPr="000D3C67">
        <w:rPr>
          <w:rFonts w:ascii="Times New Roman" w:hAnsi="Times New Roman" w:cs="Times New Roman"/>
          <w:color w:val="000000" w:themeColor="text1"/>
          <w:szCs w:val="21"/>
        </w:rPr>
        <w:t xml:space="preserve">, and </w:t>
      </w:r>
      <w:r w:rsidRPr="000D3C67">
        <w:rPr>
          <w:rFonts w:ascii="Times New Roman" w:hAnsi="Times New Roman" w:cs="Times New Roman"/>
        </w:rPr>
        <w:t>•OH, generated in the PtSNC-media</w:t>
      </w:r>
      <w:r w:rsidRPr="000D3C67">
        <w:rPr>
          <w:rFonts w:ascii="Times New Roman" w:hAnsi="Times New Roman" w:cs="Times New Roman"/>
        </w:rPr>
        <w:t>ted catalytic processes.</w:t>
      </w: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2653030" cy="2228215"/>
            <wp:effectExtent l="0" t="0" r="0" b="0"/>
            <wp:docPr id="180170387" name="图片 22" descr="图表, 折线图,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0387" name="图片 22" descr="图表, 折线图, 直方图&#10;&#10;描述已自动生成"/>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01625" cy="2269039"/>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bookmarkStart w:id="64" w:name="OLE_LINK1226"/>
      <w:r w:rsidRPr="000D3C67">
        <w:rPr>
          <w:rFonts w:ascii="Times New Roman" w:hAnsi="Times New Roman" w:cs="Times New Roman"/>
          <w:b/>
          <w:bCs/>
          <w:color w:val="000000" w:themeColor="text1"/>
        </w:rPr>
        <w:t xml:space="preserve">Fig. S18 </w:t>
      </w:r>
      <w:r w:rsidRPr="000D3C67">
        <w:rPr>
          <w:rFonts w:ascii="Times New Roman" w:hAnsi="Times New Roman" w:cs="Times New Roman"/>
          <w:color w:val="000000" w:themeColor="text1"/>
          <w:szCs w:val="21"/>
        </w:rPr>
        <w:t>UV-Vis absorption spectra of PtSNC-treated H</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/TMB solutions with and without the addition of KSCN. The POD-like activity of PtSNC was significantly impaired after</w:t>
      </w:r>
      <w:bookmarkEnd w:id="64"/>
      <w:r w:rsidRPr="000D3C67">
        <w:rPr>
          <w:rFonts w:ascii="Times New Roman" w:hAnsi="Times New Roman" w:cs="Times New Roman"/>
          <w:color w:val="000000" w:themeColor="text1"/>
          <w:szCs w:val="21"/>
        </w:rPr>
        <w:t xml:space="preserve"> KSCN treatment, due to the strong coordination of SCN</w:t>
      </w:r>
      <w:r w:rsidRPr="000D3C67">
        <w:rPr>
          <w:rFonts w:ascii="Times New Roman" w:hAnsi="Times New Roman" w:cs="Times New Roman"/>
          <w:color w:val="000000" w:themeColor="text1"/>
          <w:szCs w:val="21"/>
          <w:vertAlign w:val="superscript"/>
        </w:rPr>
        <w:t>-</w:t>
      </w:r>
      <w:r w:rsidRPr="000D3C67">
        <w:rPr>
          <w:rFonts w:ascii="Times New Roman" w:hAnsi="Times New Roman" w:cs="Times New Roman"/>
          <w:color w:val="000000" w:themeColor="text1"/>
          <w:szCs w:val="21"/>
        </w:rPr>
        <w:t xml:space="preserve"> with the Pt of PtSNC. It indicates that atomically dispersed Pt-N</w:t>
      </w:r>
      <w:r w:rsidRPr="000D3C67">
        <w:rPr>
          <w:rFonts w:ascii="Times New Roman" w:hAnsi="Times New Roman" w:cs="Times New Roman"/>
          <w:color w:val="000000" w:themeColor="text1"/>
          <w:szCs w:val="21"/>
          <w:vertAlign w:val="subscript"/>
        </w:rPr>
        <w:t>4</w:t>
      </w:r>
      <w:r w:rsidRPr="000D3C67">
        <w:rPr>
          <w:rFonts w:ascii="Times New Roman" w:hAnsi="Times New Roman" w:cs="Times New Roman"/>
          <w:color w:val="000000" w:themeColor="text1"/>
          <w:szCs w:val="21"/>
        </w:rPr>
        <w:t xml:space="preserve"> sites in the PtSNC are actual active catalytic centers in catalysis [S7]</w:t>
      </w:r>
    </w:p>
    <w:p w:rsidR="008D699A" w:rsidRPr="000D3C67" w:rsidRDefault="000D3C67">
      <w:pPr>
        <w:spacing w:before="120" w:after="120"/>
        <w:jc w:val="center"/>
        <w:rPr>
          <w:rFonts w:ascii="Times New Roman" w:hAnsi="Times New Roman" w:cs="Times New Roman"/>
          <w:b/>
          <w:bCs/>
          <w:color w:val="000000" w:themeColor="text1"/>
        </w:rPr>
      </w:pPr>
      <w:bookmarkStart w:id="65" w:name="OLE_LINK1229"/>
      <w:r w:rsidRPr="000D3C67">
        <w:rPr>
          <w:rFonts w:ascii="Times New Roman" w:hAnsi="Times New Roman" w:cs="Times New Roman"/>
          <w:b/>
          <w:bCs/>
          <w:noProof/>
          <w:color w:val="000000" w:themeColor="text1"/>
          <w:lang w:val="en-IN" w:eastAsia="en-IN"/>
        </w:rPr>
        <w:drawing>
          <wp:inline distT="0" distB="0" distL="0" distR="0">
            <wp:extent cx="2766695" cy="2362835"/>
            <wp:effectExtent l="0" t="0" r="0" b="0"/>
            <wp:docPr id="437477418" name="图片 1" descr="图表, 雷达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77418" name="图片 1" descr="图表, 雷达图&#10;&#10;AI 生成的内容可能不正确。"/>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78322" cy="237262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bookmarkStart w:id="66" w:name="OLE_LINK1244"/>
      <w:r w:rsidRPr="000D3C67">
        <w:rPr>
          <w:rFonts w:ascii="Times New Roman" w:hAnsi="Times New Roman" w:cs="Times New Roman"/>
          <w:b/>
          <w:bCs/>
          <w:color w:val="000000" w:themeColor="text1"/>
        </w:rPr>
        <w:t xml:space="preserve">Fig. S19 </w:t>
      </w:r>
      <w:bookmarkStart w:id="67" w:name="OLE_LINK1228"/>
      <w:r w:rsidRPr="000D3C67">
        <w:rPr>
          <w:rFonts w:ascii="Times New Roman" w:hAnsi="Times New Roman" w:cs="Times New Roman"/>
          <w:color w:val="000000" w:themeColor="text1"/>
          <w:szCs w:val="21"/>
        </w:rPr>
        <w:t>In situ DRIFTS spectra of the PtSNC-H</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O interface collected at different time intervals at 310 K under 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 xml:space="preserve"> for 60 min.</w:t>
      </w:r>
      <w:bookmarkEnd w:id="67"/>
      <w:r w:rsidRPr="000D3C67">
        <w:rPr>
          <w:rFonts w:ascii="Times New Roman" w:hAnsi="Times New Roman" w:cs="Times New Roman"/>
          <w:color w:val="000000" w:themeColor="text1"/>
          <w:szCs w:val="21"/>
        </w:rPr>
        <w:t xml:space="preserve"> The bands corresponding to adsorbed H</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O/hydroxyl-related species (3140 and 1410 cm</w:t>
      </w:r>
      <w:r w:rsidRPr="000D3C67">
        <w:rPr>
          <w:rFonts w:ascii="Times New Roman" w:hAnsi="Times New Roman" w:cs="Times New Roman"/>
          <w:color w:val="000000" w:themeColor="text1"/>
          <w:szCs w:val="21"/>
          <w:vertAlign w:val="superscript"/>
        </w:rPr>
        <w:t>-1</w:t>
      </w:r>
      <w:r w:rsidRPr="000D3C67">
        <w:rPr>
          <w:rFonts w:ascii="Times New Roman" w:hAnsi="Times New Roman" w:cs="Times New Roman"/>
          <w:color w:val="000000" w:themeColor="text1"/>
          <w:szCs w:val="21"/>
        </w:rPr>
        <w:t xml:space="preserve">) gradually appeared, accompanied by features associated with oxygen activation precursors </w:t>
      </w:r>
      <w:bookmarkStart w:id="68" w:name="OLE_LINK1215"/>
      <w:r w:rsidRPr="000D3C67">
        <w:rPr>
          <w:rFonts w:ascii="Times New Roman" w:hAnsi="Times New Roman" w:cs="Times New Roman"/>
          <w:color w:val="000000" w:themeColor="text1"/>
          <w:szCs w:val="21"/>
        </w:rPr>
        <w:t>Pt-O(H)/Pt-OO*</w:t>
      </w:r>
      <w:bookmarkEnd w:id="68"/>
      <w:r w:rsidRPr="000D3C67">
        <w:rPr>
          <w:rFonts w:ascii="Times New Roman" w:hAnsi="Times New Roman" w:cs="Times New Roman"/>
          <w:color w:val="000000" w:themeColor="text1"/>
          <w:szCs w:val="21"/>
        </w:rPr>
        <w:t xml:space="preserve"> (762 cm</w:t>
      </w:r>
      <w:r w:rsidRPr="000D3C67">
        <w:rPr>
          <w:rFonts w:ascii="Times New Roman" w:hAnsi="Times New Roman" w:cs="Times New Roman"/>
          <w:color w:val="000000" w:themeColor="text1"/>
          <w:szCs w:val="21"/>
          <w:vertAlign w:val="superscript"/>
        </w:rPr>
        <w:t>-1</w:t>
      </w:r>
      <w:r w:rsidRPr="000D3C67">
        <w:rPr>
          <w:rFonts w:ascii="Times New Roman" w:hAnsi="Times New Roman" w:cs="Times New Roman"/>
          <w:color w:val="000000" w:themeColor="text1"/>
          <w:szCs w:val="21"/>
        </w:rPr>
        <w:t xml:space="preserve">). Concurrently, a broad band in the </w:t>
      </w:r>
      <w:r w:rsidRPr="000D3C67">
        <w:rPr>
          <w:rFonts w:ascii="Times New Roman" w:hAnsi="Times New Roman" w:cs="Times New Roman"/>
          <w:color w:val="000000" w:themeColor="text1"/>
          <w:szCs w:val="21"/>
        </w:rPr>
        <w:t>860-1210 cm</w:t>
      </w:r>
      <w:r w:rsidRPr="000D3C67">
        <w:rPr>
          <w:rFonts w:ascii="Times New Roman" w:hAnsi="Times New Roman" w:cs="Times New Roman"/>
          <w:color w:val="000000" w:themeColor="text1"/>
          <w:szCs w:val="21"/>
          <w:vertAlign w:val="superscript"/>
        </w:rPr>
        <w:t>-1</w:t>
      </w:r>
      <w:r w:rsidRPr="000D3C67">
        <w:rPr>
          <w:rFonts w:ascii="Times New Roman" w:hAnsi="Times New Roman" w:cs="Times New Roman"/>
          <w:color w:val="000000" w:themeColor="text1"/>
          <w:szCs w:val="21"/>
        </w:rPr>
        <w:t xml:space="preserve"> range emerged, indicating the formation of strongly bound Pt-O species associated with the proposed Pt=O intermediates</w:t>
      </w:r>
    </w:p>
    <w:bookmarkEnd w:id="65"/>
    <w:bookmarkEnd w:id="66"/>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399915" cy="3804285"/>
            <wp:effectExtent l="0" t="0" r="0" b="0"/>
            <wp:docPr id="10403959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95907" name="图片 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35430" cy="3835312"/>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S20 </w:t>
      </w:r>
      <w:r w:rsidRPr="000D3C67">
        <w:rPr>
          <w:rFonts w:ascii="Times New Roman" w:hAnsi="Times New Roman" w:cs="Times New Roman"/>
          <w:color w:val="000000" w:themeColor="text1"/>
        </w:rPr>
        <w:t xml:space="preserve">a) UV-Vis absorption spectra of the PtSNC-reacted GSH-containing test solutions with DTNB as a colorimetric GSH </w:t>
      </w:r>
      <w:r w:rsidRPr="000D3C67">
        <w:rPr>
          <w:rFonts w:ascii="Times New Roman" w:hAnsi="Times New Roman" w:cs="Times New Roman"/>
          <w:color w:val="000000" w:themeColor="text1"/>
        </w:rPr>
        <w:t xml:space="preserve">detection agent. The decrease in 412 nm characteristic absorption indicates a reduction in the concentration of GSH. b) The calculated GSH-eliminating rates after reaction with different concentrations of PtSNC. c) Time-dependent GSH oxidation mediated by </w:t>
      </w:r>
      <w:r w:rsidRPr="000D3C67">
        <w:rPr>
          <w:rFonts w:ascii="Times New Roman" w:hAnsi="Times New Roman" w:cs="Times New Roman"/>
          <w:color w:val="000000" w:themeColor="text1"/>
        </w:rPr>
        <w:t xml:space="preserve">PtSNC. d) Time-dependent changes of the characteristic absorption at 412 nm of the test solutions reacted with and without PtSNC.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1969135"/>
            <wp:effectExtent l="0" t="0" r="0" b="0"/>
            <wp:docPr id="633581934" name="图片 26"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81934" name="图片 26" descr="图片包含 图表&#10;&#10;描述已自动生成"/>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0500" cy="196913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S21 </w:t>
      </w:r>
      <w:r w:rsidRPr="000D3C67">
        <w:rPr>
          <w:rFonts w:ascii="Times New Roman" w:hAnsi="Times New Roman" w:cs="Times New Roman"/>
          <w:color w:val="000000" w:themeColor="text1"/>
        </w:rPr>
        <w:t xml:space="preserve">a) </w:t>
      </w:r>
      <w:r w:rsidRPr="000D3C67">
        <w:rPr>
          <w:rFonts w:ascii="Times New Roman" w:hAnsi="Times New Roman" w:cs="Times New Roman"/>
          <w:szCs w:val="21"/>
        </w:rPr>
        <w:t xml:space="preserve">Proposed catalytic pathway for GSH oxidation on the PtSNC model with highly active Pt=O intermediate, and b) </w:t>
      </w:r>
      <w:r w:rsidRPr="000D3C67">
        <w:rPr>
          <w:rFonts w:ascii="Times New Roman" w:hAnsi="Times New Roman" w:cs="Times New Roman"/>
          <w:color w:val="000000" w:themeColor="text1"/>
          <w:szCs w:val="21"/>
        </w:rPr>
        <w:t>the free energy di</w:t>
      </w:r>
      <w:r w:rsidRPr="000D3C67">
        <w:rPr>
          <w:rFonts w:ascii="Times New Roman" w:hAnsi="Times New Roman" w:cs="Times New Roman"/>
          <w:color w:val="000000" w:themeColor="text1"/>
          <w:szCs w:val="21"/>
        </w:rPr>
        <w:t>agram</w:t>
      </w:r>
      <w:r w:rsidRPr="000D3C67">
        <w:rPr>
          <w:rFonts w:ascii="Times New Roman" w:hAnsi="Times New Roman" w:cs="Times New Roman"/>
          <w:szCs w:val="21"/>
        </w:rPr>
        <w:t xml:space="preserve"> determined by the DFT calculations</w:t>
      </w:r>
    </w:p>
    <w:p w:rsidR="008D699A" w:rsidRPr="000D3C67" w:rsidRDefault="008D699A">
      <w:pPr>
        <w:spacing w:before="120" w:after="120"/>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1501140"/>
            <wp:effectExtent l="0" t="0" r="0" b="0"/>
            <wp:docPr id="131388721" name="图片 27"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8721" name="图片 27" descr="图表, 条形图&#10;&#10;描述已自动生成"/>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0500" cy="150114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S22 </w:t>
      </w:r>
      <w:r w:rsidRPr="000D3C67">
        <w:rPr>
          <w:rFonts w:ascii="Times New Roman" w:hAnsi="Times New Roman" w:cs="Times New Roman"/>
          <w:color w:val="000000" w:themeColor="text1"/>
        </w:rPr>
        <w:t>Cell viabilities of a) HaCaTs, b) HUVECs, and c) HDFs after incubation with different concentrations of PtSNC for 24 h</w:t>
      </w:r>
      <w:r w:rsidRPr="000D3C67">
        <w:rPr>
          <w:rFonts w:ascii="Times New Roman" w:hAnsi="Times New Roman" w:cs="Times New Roman"/>
          <w:szCs w:val="21"/>
        </w:rPr>
        <w:t>.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w:t>
      </w: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1426210"/>
            <wp:effectExtent l="0" t="0" r="0" b="0"/>
            <wp:docPr id="1320273692"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73692" name="图片 1" descr="图表&#10;&#10;AI 生成的内容可能不正确。"/>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70500" cy="142621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S23 </w:t>
      </w:r>
      <w:r w:rsidRPr="000D3C67">
        <w:rPr>
          <w:rFonts w:ascii="Times New Roman" w:hAnsi="Times New Roman" w:cs="Times New Roman"/>
          <w:color w:val="000000" w:themeColor="text1"/>
          <w:szCs w:val="21"/>
        </w:rPr>
        <w:t>The</w:t>
      </w:r>
      <w:r w:rsidRPr="000D3C67">
        <w:rPr>
          <w:rFonts w:ascii="Times New Roman" w:hAnsi="Times New Roman" w:cs="Times New Roman"/>
          <w:color w:val="000000" w:themeColor="text1"/>
          <w:szCs w:val="21"/>
        </w:rPr>
        <w:t xml:space="preserve"> relative NAD</w:t>
      </w:r>
      <w:r w:rsidRPr="000D3C67">
        <w:rPr>
          <w:rFonts w:ascii="Times New Roman" w:hAnsi="Times New Roman" w:cs="Times New Roman"/>
          <w:color w:val="000000" w:themeColor="text1"/>
          <w:szCs w:val="21"/>
          <w:vertAlign w:val="superscript"/>
        </w:rPr>
        <w:t>+</w:t>
      </w:r>
      <w:r w:rsidRPr="000D3C67">
        <w:rPr>
          <w:rFonts w:ascii="Times New Roman" w:hAnsi="Times New Roman" w:cs="Times New Roman"/>
          <w:color w:val="000000" w:themeColor="text1"/>
          <w:szCs w:val="21"/>
        </w:rPr>
        <w:t>/NADH ratios</w:t>
      </w:r>
      <w:r w:rsidRPr="000D3C67">
        <w:rPr>
          <w:rFonts w:ascii="Times New Roman" w:hAnsi="Times New Roman" w:cs="Times New Roman"/>
          <w:color w:val="000000" w:themeColor="text1"/>
        </w:rPr>
        <w:t xml:space="preserve"> in different kinds of cells including a) HaCaTs, b) HUVECs, and c) HDFs, after incubation with different concentrations of PtSNC for 24 h</w:t>
      </w:r>
      <w:r w:rsidRPr="000D3C67">
        <w:rPr>
          <w:rFonts w:ascii="Times New Roman" w:hAnsi="Times New Roman" w:cs="Times New Roman"/>
          <w:szCs w:val="21"/>
        </w:rPr>
        <w:t>.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2520950" cy="2120265"/>
            <wp:effectExtent l="0" t="0" r="0" b="0"/>
            <wp:docPr id="701939136" name="图片 2"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39136" name="图片 2" descr="图表, 条形图&#10;&#10;AI 生成的内容可能不正确。"/>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65030" cy="2157716"/>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S24 </w:t>
      </w:r>
      <w:r w:rsidRPr="000D3C67">
        <w:rPr>
          <w:rFonts w:ascii="Times New Roman" w:hAnsi="Times New Roman" w:cs="Times New Roman"/>
          <w:color w:val="000000" w:themeColor="text1"/>
        </w:rPr>
        <w:t>Cell viabilities of the HUVECs incubated with different concentrations of glucose for 48 h</w:t>
      </w:r>
      <w:r w:rsidRPr="000D3C67">
        <w:rPr>
          <w:rFonts w:ascii="Times New Roman" w:hAnsi="Times New Roman" w:cs="Times New Roman"/>
          <w:szCs w:val="21"/>
        </w:rPr>
        <w:t>.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p>
    <w:p w:rsidR="008D699A" w:rsidRPr="000D3C67" w:rsidRDefault="008D699A">
      <w:pPr>
        <w:spacing w:before="120" w:after="120"/>
        <w:rPr>
          <w:rFonts w:ascii="Times New Roman" w:hAnsi="Times New Roman" w:cs="Times New Roman"/>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832985" cy="1979295"/>
            <wp:effectExtent l="0" t="0" r="0" b="0"/>
            <wp:docPr id="346947463" name="图片 30"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47463" name="图片 30" descr="图表, 直方图&#10;&#10;描述已自动生成"/>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877508" cy="1997428"/>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S25 </w:t>
      </w:r>
      <w:r w:rsidRPr="000D3C67">
        <w:rPr>
          <w:rFonts w:ascii="Times New Roman" w:hAnsi="Times New Roman" w:cs="Times New Roman"/>
          <w:color w:val="000000" w:themeColor="text1"/>
        </w:rPr>
        <w:t>a)</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The total antioxidant capacity of Vc at different pH conditions tested by ABTS radical scavenging assay. b) UV-Vis absorption s</w:t>
      </w:r>
      <w:r w:rsidRPr="000D3C67">
        <w:rPr>
          <w:rFonts w:ascii="Times New Roman" w:hAnsi="Times New Roman" w:cs="Times New Roman"/>
          <w:color w:val="000000" w:themeColor="text1"/>
        </w:rPr>
        <w:t xml:space="preserve">pectra of NADH before and after 8 h reaction with Vc. The results indicate that Vc possesses </w:t>
      </w:r>
      <w:r w:rsidRPr="000D3C67">
        <w:rPr>
          <w:rFonts w:ascii="Times New Roman" w:hAnsi="Times New Roman" w:cs="Times New Roman"/>
        </w:rPr>
        <w:t>potent antioxidant property over a broad pH range (4-9), but has no effect on NADH</w:t>
      </w:r>
    </w:p>
    <w:p w:rsidR="008D699A" w:rsidRPr="000D3C67" w:rsidRDefault="008D699A">
      <w:pPr>
        <w:spacing w:before="120" w:after="120"/>
        <w:jc w:val="both"/>
        <w:rPr>
          <w:rFonts w:ascii="Times New Roman" w:hAnsi="Times New Roman" w:cs="Times New Roman"/>
        </w:rPr>
      </w:pP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270500" cy="3275965"/>
            <wp:effectExtent l="0" t="0" r="0" b="0"/>
            <wp:docPr id="1126803079" name="图片 6"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03079" name="图片 6" descr="图形用户界面&#10;&#10;AI 生成的内容可能不正确。"/>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0500" cy="327596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bookmarkStart w:id="69" w:name="OLE_LINK1618"/>
      <w:r w:rsidRPr="000D3C67">
        <w:rPr>
          <w:rFonts w:ascii="Times New Roman" w:hAnsi="Times New Roman" w:cs="Times New Roman"/>
          <w:b/>
          <w:bCs/>
          <w:color w:val="000000" w:themeColor="text1"/>
        </w:rPr>
        <w:t xml:space="preserve">Fig. S26 </w:t>
      </w:r>
      <w:r w:rsidRPr="000D3C67">
        <w:rPr>
          <w:rFonts w:ascii="Times New Roman" w:hAnsi="Times New Roman" w:cs="Times New Roman"/>
        </w:rPr>
        <w:t xml:space="preserve">Luminescent oxygen sensor </w:t>
      </w:r>
      <w:r w:rsidRPr="000D3C67">
        <w:rPr>
          <w:rFonts w:ascii="Times New Roman" w:hAnsi="Times New Roman" w:cs="Times New Roman"/>
          <w:color w:val="000000" w:themeColor="text1"/>
        </w:rPr>
        <w:t>[Ru(dpp)</w:t>
      </w:r>
      <w:r w:rsidRPr="000D3C67">
        <w:rPr>
          <w:rFonts w:ascii="Times New Roman" w:hAnsi="Times New Roman" w:cs="Times New Roman"/>
          <w:color w:val="000000" w:themeColor="text1"/>
          <w:vertAlign w:val="subscript"/>
        </w:rPr>
        <w:t>3</w:t>
      </w:r>
      <w:r w:rsidRPr="000D3C67">
        <w:rPr>
          <w:rFonts w:ascii="Times New Roman" w:hAnsi="Times New Roman" w:cs="Times New Roman"/>
          <w:color w:val="000000" w:themeColor="text1"/>
        </w:rPr>
        <w:t>]Cl</w:t>
      </w:r>
      <w:r w:rsidRPr="000D3C67">
        <w:rPr>
          <w:rFonts w:ascii="Times New Roman" w:hAnsi="Times New Roman" w:cs="Times New Roman"/>
          <w:color w:val="000000" w:themeColor="text1"/>
          <w:vertAlign w:val="subscript"/>
        </w:rPr>
        <w:t>2</w:t>
      </w:r>
      <w:r w:rsidRPr="000D3C67">
        <w:rPr>
          <w:rFonts w:ascii="Times New Roman" w:hAnsi="Times New Roman" w:cs="Times New Roman"/>
          <w:color w:val="000000" w:themeColor="text1"/>
          <w:szCs w:val="21"/>
        </w:rPr>
        <w:t>-based 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 xml:space="preserve"> detection fluorescence a) images and b) intensities.</w:t>
      </w:r>
      <w:r w:rsidRPr="000D3C67">
        <w:rPr>
          <w:rFonts w:ascii="Times New Roman" w:hAnsi="Times New Roman" w:cs="Times New Roman"/>
          <w:color w:val="000000" w:themeColor="text1"/>
        </w:rPr>
        <w:t xml:space="preserve"> The red </w:t>
      </w:r>
      <w:r w:rsidRPr="000D3C67">
        <w:rPr>
          <w:rFonts w:ascii="Times New Roman" w:hAnsi="Times New Roman" w:cs="Times New Roman"/>
          <w:color w:val="000000" w:themeColor="text1"/>
          <w:szCs w:val="21"/>
        </w:rPr>
        <w:t xml:space="preserve">fluorescence </w:t>
      </w:r>
      <w:r w:rsidRPr="000D3C67">
        <w:rPr>
          <w:rFonts w:ascii="Times New Roman" w:hAnsi="Times New Roman" w:cs="Times New Roman"/>
          <w:color w:val="000000" w:themeColor="text1"/>
        </w:rPr>
        <w:t>quenching</w:t>
      </w:r>
      <w:r w:rsidRPr="000D3C67">
        <w:rPr>
          <w:rFonts w:ascii="Times New Roman" w:hAnsi="Times New Roman" w:cs="Times New Roman"/>
          <w:color w:val="000000" w:themeColor="text1"/>
          <w:szCs w:val="21"/>
        </w:rPr>
        <w:t xml:space="preserve"> indicates the alleviation of </w:t>
      </w:r>
      <w:r w:rsidRPr="000D3C67">
        <w:rPr>
          <w:rFonts w:ascii="Times New Roman" w:hAnsi="Times New Roman" w:cs="Times New Roman"/>
        </w:rPr>
        <w:t xml:space="preserve">hypoxia condition and the </w:t>
      </w:r>
      <w:r w:rsidRPr="000D3C67">
        <w:rPr>
          <w:rFonts w:ascii="Times New Roman" w:hAnsi="Times New Roman" w:cs="Times New Roman"/>
          <w:color w:val="000000" w:themeColor="text1"/>
        </w:rPr>
        <w:t xml:space="preserve">generation of </w:t>
      </w:r>
      <w:r w:rsidRPr="000D3C67">
        <w:rPr>
          <w:rFonts w:ascii="Times New Roman" w:hAnsi="Times New Roman" w:cs="Times New Roman"/>
          <w:color w:val="000000" w:themeColor="text1"/>
          <w:szCs w:val="21"/>
        </w:rPr>
        <w:t>O</w:t>
      </w:r>
      <w:r w:rsidRPr="000D3C67">
        <w:rPr>
          <w:rFonts w:ascii="Times New Roman" w:hAnsi="Times New Roman" w:cs="Times New Roman"/>
          <w:color w:val="000000" w:themeColor="text1"/>
          <w:szCs w:val="21"/>
          <w:vertAlign w:val="subscript"/>
        </w:rPr>
        <w:t>2</w:t>
      </w:r>
      <w:r w:rsidRPr="000D3C67">
        <w:rPr>
          <w:rFonts w:ascii="Times New Roman" w:hAnsi="Times New Roman" w:cs="Times New Roman"/>
          <w:color w:val="000000" w:themeColor="text1"/>
          <w:szCs w:val="21"/>
        </w:rPr>
        <w:t xml:space="preserve"> within cells.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w:t>
      </w:r>
      <w:bookmarkEnd w:id="69"/>
      <w:r w:rsidRPr="000D3C67">
        <w:rPr>
          <w:rFonts w:ascii="Times New Roman" w:hAnsi="Times New Roman" w:cs="Times New Roman"/>
          <w:szCs w:val="21"/>
        </w:rPr>
        <w:t>xperiments). Statistical sign</w:t>
      </w:r>
      <w:r w:rsidRPr="000D3C67">
        <w:rPr>
          <w:rFonts w:ascii="Times New Roman" w:hAnsi="Times New Roman" w:cs="Times New Roman"/>
          <w:szCs w:val="21"/>
        </w:rPr>
        <w:t xml:space="preserve">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p>
    <w:p w:rsidR="008D699A" w:rsidRPr="000D3C67" w:rsidRDefault="000D3C67">
      <w:pPr>
        <w:spacing w:before="120" w:after="120"/>
        <w:rPr>
          <w:rFonts w:ascii="Times New Roman" w:hAnsi="Times New Roman" w:cs="Times New Roman"/>
          <w:color w:val="000000" w:themeColor="text1"/>
          <w:szCs w:val="21"/>
        </w:rPr>
      </w:pPr>
      <w:r w:rsidRPr="000D3C67">
        <w:rPr>
          <w:rFonts w:ascii="Times New Roman" w:hAnsi="Times New Roman" w:cs="Times New Roman"/>
          <w:color w:val="000000" w:themeColor="text1"/>
          <w:szCs w:val="21"/>
        </w:rPr>
        <w:br w:type="page"/>
      </w:r>
    </w:p>
    <w:p w:rsidR="008D699A" w:rsidRPr="000D3C67" w:rsidRDefault="000D3C67">
      <w:pPr>
        <w:spacing w:before="120" w:after="120"/>
        <w:jc w:val="center"/>
        <w:rPr>
          <w:rFonts w:ascii="Times New Roman" w:hAnsi="Times New Roman" w:cs="Times New Roman"/>
          <w:b/>
          <w:bCs/>
          <w:color w:val="000000" w:themeColor="text1"/>
        </w:rPr>
      </w:pPr>
      <w:bookmarkStart w:id="70" w:name="OLE_LINK1623"/>
      <w:r w:rsidRPr="000D3C67">
        <w:rPr>
          <w:rFonts w:ascii="Times New Roman" w:hAnsi="Times New Roman" w:cs="Times New Roman"/>
          <w:b/>
          <w:bCs/>
          <w:noProof/>
          <w:color w:val="000000" w:themeColor="text1"/>
          <w:lang w:val="en-IN" w:eastAsia="en-IN"/>
        </w:rPr>
        <w:drawing>
          <wp:inline distT="0" distB="0" distL="0" distR="0">
            <wp:extent cx="4098290" cy="2073275"/>
            <wp:effectExtent l="0" t="0" r="0" b="0"/>
            <wp:docPr id="1423194076" name="图片 7"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94076" name="图片 7" descr="图表, 条形图&#10;&#10;AI 生成的内容可能不正确。"/>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47277" cy="2098122"/>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S27 </w:t>
      </w:r>
      <w:bookmarkStart w:id="71" w:name="OLE_LINK1620"/>
      <w:r w:rsidRPr="000D3C67">
        <w:rPr>
          <w:rFonts w:ascii="Times New Roman" w:hAnsi="Times New Roman" w:cs="Times New Roman"/>
        </w:rPr>
        <w:t>a</w:t>
      </w:r>
      <w:r w:rsidRPr="000D3C67">
        <w:rPr>
          <w:rFonts w:ascii="Times New Roman" w:hAnsi="Times New Roman" w:cs="Times New Roman"/>
          <w:szCs w:val="21"/>
        </w:rPr>
        <w:t>) The relative ATP levels in the HUVECs with different incubations</w:t>
      </w:r>
      <w:bookmarkEnd w:id="71"/>
      <w:r w:rsidRPr="000D3C67">
        <w:rPr>
          <w:rFonts w:ascii="Times New Roman" w:hAnsi="Times New Roman" w:cs="Times New Roman"/>
          <w:szCs w:val="21"/>
        </w:rPr>
        <w:t xml:space="preserve">. b) Western blot analysis of key proteins involved in energy sensing and production, including AMPK, IDH1, </w:t>
      </w:r>
      <w:r w:rsidRPr="000D3C67">
        <w:rPr>
          <w:rFonts w:ascii="Times New Roman" w:hAnsi="Times New Roman" w:cs="Times New Roman"/>
          <w:szCs w:val="21"/>
        </w:rPr>
        <w:t>and OGDH, in the HUVECs with different incubations.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bookmarkEnd w:id="70"/>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3875405"/>
            <wp:effectExtent l="0" t="0" r="0" b="0"/>
            <wp:docPr id="7878177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17711" name="图片 9"/>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0500" cy="387540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S28 </w:t>
      </w:r>
      <w:bookmarkStart w:id="72" w:name="OLE_LINK1621"/>
      <w:r w:rsidRPr="000D3C67">
        <w:rPr>
          <w:rFonts w:ascii="Times New Roman" w:hAnsi="Times New Roman" w:cs="Times New Roman"/>
          <w:color w:val="000000" w:themeColor="text1"/>
        </w:rPr>
        <w:t>a)</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 xml:space="preserve">Cell migration images of </w:t>
      </w:r>
      <w:bookmarkStart w:id="73" w:name="OLE_LINK872"/>
      <w:bookmarkStart w:id="74" w:name="OLE_LINK871"/>
      <w:bookmarkStart w:id="75" w:name="OLE_LINK793"/>
      <w:r w:rsidRPr="000D3C67">
        <w:rPr>
          <w:rFonts w:ascii="Times New Roman" w:hAnsi="Times New Roman" w:cs="Times New Roman"/>
        </w:rPr>
        <w:t>HUVECs</w:t>
      </w:r>
      <w:bookmarkEnd w:id="73"/>
      <w:bookmarkEnd w:id="74"/>
      <w:bookmarkEnd w:id="75"/>
      <w:r w:rsidRPr="000D3C67">
        <w:rPr>
          <w:rFonts w:ascii="Times New Roman" w:hAnsi="Times New Roman" w:cs="Times New Roman"/>
          <w:color w:val="000000" w:themeColor="text1"/>
        </w:rPr>
        <w:t xml:space="preserve"> with different incubations, and b) corresponding migration ratio analysis.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bookmarkEnd w:id="72"/>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2831465"/>
            <wp:effectExtent l="0" t="0" r="0" b="0"/>
            <wp:docPr id="1099982682" name="图片 10"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82682" name="图片 10" descr="图片包含 图形用户界面&#10;&#10;AI 生成的内容可能不正确。"/>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70500" cy="283146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S29 </w:t>
      </w:r>
      <w:r w:rsidRPr="000D3C67">
        <w:rPr>
          <w:rFonts w:ascii="Times New Roman" w:hAnsi="Times New Roman" w:cs="Times New Roman"/>
          <w:color w:val="000000" w:themeColor="text1"/>
        </w:rPr>
        <w:t>a)</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 xml:space="preserve">Cell invasion assay of </w:t>
      </w:r>
      <w:r w:rsidRPr="000D3C67">
        <w:rPr>
          <w:rFonts w:ascii="Times New Roman" w:hAnsi="Times New Roman" w:cs="Times New Roman"/>
        </w:rPr>
        <w:t>HUVECs</w:t>
      </w:r>
      <w:r w:rsidRPr="000D3C67">
        <w:rPr>
          <w:rFonts w:ascii="Times New Roman" w:hAnsi="Times New Roman" w:cs="Times New Roman"/>
          <w:color w:val="000000" w:themeColor="text1"/>
        </w:rPr>
        <w:t xml:space="preserve"> with different incubations using Transwell, and b) corresponding relative invasive ability evaluation. </w:t>
      </w:r>
      <w:r w:rsidRPr="000D3C67">
        <w:rPr>
          <w:rFonts w:ascii="Times New Roman" w:hAnsi="Times New Roman" w:cs="Times New Roman"/>
          <w:color w:val="000000" w:themeColor="text1"/>
          <w:szCs w:val="21"/>
        </w:rPr>
        <w:t>Data are expressed as mean ± s.e.m. (</w:t>
      </w:r>
      <w:r w:rsidRPr="000D3C67">
        <w:rPr>
          <w:rFonts w:ascii="Times New Roman" w:hAnsi="Times New Roman" w:cs="Times New Roman"/>
          <w:i/>
          <w:iCs/>
          <w:color w:val="000000" w:themeColor="text1"/>
          <w:szCs w:val="21"/>
        </w:rPr>
        <w:t>n</w:t>
      </w:r>
      <w:r w:rsidRPr="000D3C67">
        <w:rPr>
          <w:rFonts w:ascii="Times New Roman" w:hAnsi="Times New Roman" w:cs="Times New Roman"/>
          <w:color w:val="000000" w:themeColor="text1"/>
          <w:szCs w:val="21"/>
        </w:rPr>
        <w:t xml:space="preserve"> = 4 independent experiments). Statistical significance was determined by one-way ANOVA with Tukey’s </w:t>
      </w:r>
      <w:r w:rsidRPr="000D3C67">
        <w:rPr>
          <w:rFonts w:ascii="Times New Roman" w:hAnsi="Times New Roman" w:cs="Times New Roman"/>
          <w:i/>
          <w:iCs/>
          <w:color w:val="000000" w:themeColor="text1"/>
          <w:szCs w:val="21"/>
        </w:rPr>
        <w:t>post-hoc</w:t>
      </w:r>
      <w:r w:rsidRPr="000D3C67">
        <w:rPr>
          <w:rFonts w:ascii="Times New Roman" w:hAnsi="Times New Roman" w:cs="Times New Roman"/>
          <w:color w:val="000000" w:themeColor="text1"/>
          <w:szCs w:val="21"/>
        </w:rPr>
        <w:t xml:space="preserve"> test</w:t>
      </w:r>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2803525"/>
            <wp:effectExtent l="0" t="0" r="0" b="0"/>
            <wp:docPr id="302902828" name="图片 58"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02828" name="图片 58" descr="图表&#10;&#10;中度可信度描述已自动生成"/>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70500" cy="280352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S30 </w:t>
      </w:r>
      <w:r w:rsidRPr="000D3C67">
        <w:rPr>
          <w:rFonts w:ascii="Times New Roman" w:hAnsi="Times New Roman" w:cs="Times New Roman"/>
          <w:color w:val="000000" w:themeColor="text1"/>
        </w:rPr>
        <w:t>a)</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 xml:space="preserve">The differential statistics between the </w:t>
      </w:r>
      <w:r w:rsidRPr="000D3C67">
        <w:rPr>
          <w:rFonts w:ascii="Times New Roman" w:hAnsi="Times New Roman" w:cs="Times New Roman"/>
        </w:rPr>
        <w:t>HG-impaired HUV</w:t>
      </w:r>
      <w:r w:rsidRPr="000D3C67">
        <w:rPr>
          <w:rFonts w:ascii="Times New Roman" w:hAnsi="Times New Roman" w:cs="Times New Roman"/>
          <w:color w:val="000000" w:themeColor="text1"/>
        </w:rPr>
        <w:t>ECs with and without PtSNC treatment. b) The heatmap of DEGs (</w:t>
      </w:r>
      <w:r w:rsidRPr="000D3C67">
        <w:rPr>
          <w:rFonts w:ascii="Times New Roman" w:hAnsi="Times New Roman" w:cs="Times New Roman"/>
          <w:i/>
          <w:iCs/>
          <w:color w:val="000000" w:themeColor="text1"/>
        </w:rPr>
        <w:t>n</w:t>
      </w:r>
      <w:r w:rsidRPr="000D3C67">
        <w:rPr>
          <w:rFonts w:ascii="Times New Roman" w:hAnsi="Times New Roman" w:cs="Times New Roman"/>
          <w:color w:val="000000" w:themeColor="text1"/>
        </w:rPr>
        <w:t xml:space="preserve"> = 3).</w:t>
      </w:r>
    </w:p>
    <w:p w:rsidR="008D699A" w:rsidRPr="000D3C67" w:rsidRDefault="000D3C67">
      <w:pPr>
        <w:spacing w:before="120" w:after="120"/>
        <w:rPr>
          <w:rFonts w:ascii="Times New Roman" w:hAnsi="Times New Roman" w:cs="Times New Roman"/>
          <w:color w:val="000000" w:themeColor="text1"/>
        </w:rPr>
      </w:pPr>
      <w:r w:rsidRPr="000D3C67">
        <w:rPr>
          <w:rFonts w:ascii="Times New Roman" w:hAnsi="Times New Roman" w:cs="Times New Roman"/>
          <w:color w:val="000000" w:themeColor="text1"/>
        </w:rPr>
        <w:br w:type="page"/>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4425950" cy="2900045"/>
            <wp:effectExtent l="0" t="0" r="0" b="0"/>
            <wp:docPr id="1643348560" name="图片 59"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48560" name="图片 59" descr="图表, 条形图&#10;&#10;描述已自动生成"/>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430880" cy="290356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S31 </w:t>
      </w:r>
      <w:r w:rsidRPr="000D3C67">
        <w:rPr>
          <w:rFonts w:ascii="Times New Roman" w:hAnsi="Times New Roman" w:cs="Times New Roman"/>
          <w:color w:val="000000" w:themeColor="text1"/>
        </w:rPr>
        <w:t>GO annotation analysis for presenting the biological process, cellular component, and molecular function associated genes</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4744085" cy="4495800"/>
            <wp:effectExtent l="0" t="0" r="0" b="0"/>
            <wp:docPr id="1519197440" name="图片 65"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197440" name="图片 65" descr="图片包含 图示&#10;&#10;描述已自动生成"/>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757277" cy="450795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S32 </w:t>
      </w:r>
      <w:r w:rsidRPr="000D3C67">
        <w:rPr>
          <w:rFonts w:ascii="Times New Roman" w:hAnsi="Times New Roman" w:cs="Times New Roman"/>
          <w:color w:val="000000" w:themeColor="text1"/>
          <w:szCs w:val="21"/>
        </w:rPr>
        <w:t xml:space="preserve">GSEA of specific pathways between </w:t>
      </w:r>
      <w:r w:rsidRPr="000D3C67">
        <w:rPr>
          <w:rFonts w:ascii="Times New Roman" w:hAnsi="Times New Roman" w:cs="Times New Roman"/>
          <w:color w:val="000000" w:themeColor="text1"/>
        </w:rPr>
        <w:t xml:space="preserve">the </w:t>
      </w:r>
      <w:r w:rsidRPr="000D3C67">
        <w:rPr>
          <w:rFonts w:ascii="Times New Roman" w:hAnsi="Times New Roman" w:cs="Times New Roman"/>
        </w:rPr>
        <w:t>HG-impaired HUV</w:t>
      </w:r>
      <w:r w:rsidRPr="000D3C67">
        <w:rPr>
          <w:rFonts w:ascii="Times New Roman" w:hAnsi="Times New Roman" w:cs="Times New Roman"/>
          <w:color w:val="000000" w:themeColor="text1"/>
        </w:rPr>
        <w:t>ECs with and without PtSNC treatment</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hint="eastAsia"/>
          <w:noProof/>
          <w:color w:val="000000" w:themeColor="text1"/>
          <w:lang w:val="en-IN" w:eastAsia="en-IN"/>
        </w:rPr>
        <w:drawing>
          <wp:inline distT="0" distB="0" distL="0" distR="0">
            <wp:extent cx="2438400" cy="2032000"/>
            <wp:effectExtent l="0" t="0" r="0" b="6350"/>
            <wp:docPr id="1670445495" name="图片 13" descr="图表, 条形图,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45495" name="图片 13" descr="图表, 条形图, 直方图&#10;&#10;AI 生成的内容可能不正确。"/>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79885" cy="206667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S33 </w:t>
      </w:r>
      <w:r w:rsidRPr="000D3C67">
        <w:rPr>
          <w:rFonts w:ascii="Times New Roman" w:hAnsi="Times New Roman" w:cs="Times New Roman"/>
          <w:color w:val="000000" w:themeColor="text1"/>
        </w:rPr>
        <w:t>a)</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 xml:space="preserve">Cell viabilities of the </w:t>
      </w:r>
      <w:r w:rsidRPr="000D3C67">
        <w:rPr>
          <w:rFonts w:ascii="Times New Roman" w:hAnsi="Times New Roman" w:cs="Times New Roman"/>
          <w:color w:val="000000" w:themeColor="text1"/>
          <w:szCs w:val="21"/>
        </w:rPr>
        <w:t>B16F10 cells</w:t>
      </w:r>
      <w:r w:rsidRPr="000D3C67">
        <w:rPr>
          <w:rFonts w:ascii="Times New Roman" w:hAnsi="Times New Roman" w:cs="Times New Roman"/>
          <w:color w:val="000000" w:themeColor="text1"/>
        </w:rPr>
        <w:t xml:space="preserve"> incubated with different concentrations of glucose for 48 h</w:t>
      </w:r>
      <w:r w:rsidRPr="000D3C67">
        <w:rPr>
          <w:rFonts w:ascii="Times New Roman" w:hAnsi="Times New Roman" w:cs="Times New Roman"/>
          <w:szCs w:val="21"/>
        </w:rPr>
        <w:t>.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2355850" cy="2012950"/>
            <wp:effectExtent l="0" t="0" r="6350" b="6350"/>
            <wp:docPr id="1066067365" name="图片 37"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67365" name="图片 37" descr="图表, 条形图&#10;&#10;描述已自动生成"/>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14381" cy="2062987"/>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S34 </w:t>
      </w:r>
      <w:r w:rsidRPr="000D3C67">
        <w:rPr>
          <w:rFonts w:ascii="Times New Roman" w:hAnsi="Times New Roman" w:cs="Times New Roman"/>
          <w:szCs w:val="21"/>
        </w:rPr>
        <w:t xml:space="preserve">Relative fluorescence </w:t>
      </w:r>
      <w:r w:rsidRPr="000D3C67">
        <w:rPr>
          <w:rFonts w:ascii="Times New Roman" w:hAnsi="Times New Roman" w:cs="Times New Roman"/>
          <w:color w:val="000000" w:themeColor="text1"/>
          <w:szCs w:val="21"/>
        </w:rPr>
        <w:t xml:space="preserve">intensity </w:t>
      </w:r>
      <w:r w:rsidRPr="000D3C67">
        <w:rPr>
          <w:rFonts w:ascii="Times New Roman" w:hAnsi="Times New Roman" w:cs="Times New Roman"/>
          <w:szCs w:val="21"/>
        </w:rPr>
        <w:t xml:space="preserve">analysis of JC-1 staining of the </w:t>
      </w:r>
      <w:bookmarkStart w:id="76" w:name="OLE_LINK1624"/>
      <w:r w:rsidRPr="000D3C67">
        <w:rPr>
          <w:rFonts w:ascii="Times New Roman" w:hAnsi="Times New Roman" w:cs="Times New Roman"/>
          <w:szCs w:val="21"/>
        </w:rPr>
        <w:t>B16F10 cells</w:t>
      </w:r>
      <w:bookmarkEnd w:id="76"/>
      <w:r w:rsidRPr="000D3C67">
        <w:rPr>
          <w:rFonts w:ascii="Times New Roman" w:hAnsi="Times New Roman" w:cs="Times New Roman"/>
          <w:szCs w:val="21"/>
        </w:rPr>
        <w:t xml:space="preserve"> incubated </w:t>
      </w:r>
      <w:bookmarkStart w:id="77" w:name="OLE_LINK1625"/>
      <w:r w:rsidRPr="000D3C67">
        <w:rPr>
          <w:rFonts w:ascii="Times New Roman" w:hAnsi="Times New Roman" w:cs="Times New Roman"/>
          <w:szCs w:val="21"/>
        </w:rPr>
        <w:t>under different conditions</w:t>
      </w:r>
      <w:bookmarkEnd w:id="77"/>
      <w:r w:rsidRPr="000D3C67">
        <w:rPr>
          <w:rFonts w:ascii="Times New Roman" w:hAnsi="Times New Roman" w:cs="Times New Roman"/>
          <w:szCs w:val="21"/>
        </w:rPr>
        <w:t xml:space="preserve">, corresponding to </w:t>
      </w:r>
      <w:r w:rsidRPr="000D3C67">
        <w:rPr>
          <w:rFonts w:ascii="Times New Roman" w:hAnsi="Times New Roman" w:cs="Times New Roman"/>
          <w:b/>
          <w:bCs/>
          <w:szCs w:val="21"/>
        </w:rPr>
        <w:t>Fig. 6j</w:t>
      </w:r>
      <w:r w:rsidRPr="000D3C67">
        <w:rPr>
          <w:rFonts w:ascii="Times New Roman" w:hAnsi="Times New Roman" w:cs="Times New Roman"/>
          <w:szCs w:val="21"/>
        </w:rPr>
        <w:t>. The red fluorescent JC-1 aggregate indicates normal mitochondrial membrane potential, but the green fluor</w:t>
      </w:r>
      <w:r w:rsidRPr="000D3C67">
        <w:rPr>
          <w:rFonts w:ascii="Times New Roman" w:hAnsi="Times New Roman" w:cs="Times New Roman"/>
          <w:szCs w:val="21"/>
        </w:rPr>
        <w:t>escent JC-1 monomer represents the depolarized mitochondrial membrane</w:t>
      </w:r>
    </w:p>
    <w:p w:rsidR="008D699A" w:rsidRPr="000D3C67" w:rsidRDefault="000D3C67">
      <w:pPr>
        <w:spacing w:before="120" w:after="120"/>
        <w:jc w:val="center"/>
        <w:rPr>
          <w:rFonts w:ascii="Times New Roman" w:hAnsi="Times New Roman" w:cs="Times New Roman"/>
          <w:b/>
          <w:bCs/>
          <w:color w:val="000000" w:themeColor="text1"/>
        </w:rPr>
      </w:pPr>
      <w:bookmarkStart w:id="78" w:name="OLE_LINK1222"/>
      <w:r w:rsidRPr="000D3C67">
        <w:rPr>
          <w:rFonts w:ascii="Times New Roman" w:hAnsi="Times New Roman" w:cs="Times New Roman"/>
          <w:b/>
          <w:bCs/>
          <w:noProof/>
          <w:color w:val="000000" w:themeColor="text1"/>
          <w:lang w:val="en-IN" w:eastAsia="en-IN"/>
        </w:rPr>
        <w:drawing>
          <wp:inline distT="0" distB="0" distL="0" distR="0">
            <wp:extent cx="3895090" cy="2108200"/>
            <wp:effectExtent l="0" t="0" r="0" b="6350"/>
            <wp:docPr id="1908944380" name="图片 12"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44380" name="图片 12" descr="图表, 条形图&#10;&#10;AI 生成的内容可能不正确。"/>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981510" cy="2154813"/>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S35 </w:t>
      </w:r>
      <w:r w:rsidRPr="000D3C67">
        <w:rPr>
          <w:rFonts w:ascii="Times New Roman" w:hAnsi="Times New Roman" w:cs="Times New Roman"/>
        </w:rPr>
        <w:t>a</w:t>
      </w:r>
      <w:r w:rsidRPr="000D3C67">
        <w:rPr>
          <w:rFonts w:ascii="Times New Roman" w:hAnsi="Times New Roman" w:cs="Times New Roman"/>
          <w:szCs w:val="21"/>
        </w:rPr>
        <w:t xml:space="preserve">) The relative ATP levels in the </w:t>
      </w:r>
      <w:bookmarkStart w:id="79" w:name="OLE_LINK1627"/>
      <w:r w:rsidRPr="000D3C67">
        <w:rPr>
          <w:rFonts w:ascii="Times New Roman" w:hAnsi="Times New Roman" w:cs="Times New Roman"/>
          <w:szCs w:val="21"/>
        </w:rPr>
        <w:t xml:space="preserve">B16F10 </w:t>
      </w:r>
      <w:bookmarkEnd w:id="79"/>
      <w:r w:rsidRPr="000D3C67">
        <w:rPr>
          <w:rFonts w:ascii="Times New Roman" w:hAnsi="Times New Roman" w:cs="Times New Roman"/>
          <w:szCs w:val="21"/>
        </w:rPr>
        <w:t xml:space="preserve">cells with different incubations </w:t>
      </w:r>
      <w:bookmarkStart w:id="80" w:name="OLE_LINK1628"/>
      <w:r w:rsidRPr="000D3C67">
        <w:rPr>
          <w:rFonts w:ascii="Times New Roman" w:hAnsi="Times New Roman" w:cs="Times New Roman"/>
          <w:szCs w:val="21"/>
        </w:rPr>
        <w:t>under STM conditions.</w:t>
      </w:r>
      <w:bookmarkEnd w:id="80"/>
      <w:r w:rsidRPr="000D3C67">
        <w:rPr>
          <w:rFonts w:ascii="Times New Roman" w:hAnsi="Times New Roman" w:cs="Times New Roman"/>
          <w:szCs w:val="21"/>
        </w:rPr>
        <w:t xml:space="preserve"> b) Western blot analysis of </w:t>
      </w:r>
      <w:r w:rsidRPr="000D3C67">
        <w:rPr>
          <w:rFonts w:ascii="Times New Roman" w:hAnsi="Times New Roman" w:cs="Times New Roman"/>
          <w:bCs/>
          <w:color w:val="000000" w:themeColor="text1"/>
        </w:rPr>
        <w:t>proteins (PI3K, AKT, IDH1, and OGDH)</w:t>
      </w:r>
      <w:r w:rsidRPr="000D3C67">
        <w:rPr>
          <w:rFonts w:ascii="Times New Roman" w:hAnsi="Times New Roman" w:cs="Times New Roman"/>
          <w:szCs w:val="21"/>
        </w:rPr>
        <w:t xml:space="preserve"> in the B16F10 with different incubations under STM conditions.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bookmarkEnd w:id="78"/>
    </w:p>
    <w:p w:rsidR="008D699A" w:rsidRPr="000D3C67" w:rsidRDefault="008D699A">
      <w:pPr>
        <w:spacing w:before="120" w:after="120"/>
        <w:jc w:val="both"/>
        <w:rPr>
          <w:rFonts w:ascii="Times New Roman" w:hAnsi="Times New Roman" w:cs="Times New Roman"/>
          <w:szCs w:val="21"/>
        </w:rPr>
      </w:pP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2664460" cy="2330450"/>
            <wp:effectExtent l="0" t="0" r="2540" b="0"/>
            <wp:docPr id="1052533165" name="图片 3"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33165" name="图片 3" descr="图表, 条形图&#10;&#10;AI 生成的内容可能不正确。"/>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10179" cy="2369937"/>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S36 </w:t>
      </w:r>
      <w:r w:rsidRPr="000D3C67">
        <w:rPr>
          <w:rFonts w:ascii="Times New Roman" w:hAnsi="Times New Roman" w:cs="Times New Roman"/>
          <w:color w:val="000000" w:themeColor="text1"/>
          <w:szCs w:val="21"/>
        </w:rPr>
        <w:t xml:space="preserve">The relative GSH levels in </w:t>
      </w:r>
      <w:r w:rsidRPr="000D3C67">
        <w:rPr>
          <w:rFonts w:ascii="Times New Roman" w:hAnsi="Times New Roman" w:cs="Times New Roman"/>
          <w:color w:val="000000" w:themeColor="text1"/>
          <w:szCs w:val="21"/>
        </w:rPr>
        <w:t xml:space="preserve">the B16F10 cells after incubation with different concentrations of PtSNC. </w:t>
      </w:r>
      <w:bookmarkStart w:id="81" w:name="OLE_LINK1297"/>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bookmarkEnd w:id="81"/>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2614295" cy="2266950"/>
            <wp:effectExtent l="0" t="0" r="0" b="0"/>
            <wp:docPr id="488721235" name="图片 39"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21235" name="图片 39" descr="图表, 条形图&#10;&#10;描述已自动生成"/>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68460" cy="2313524"/>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bookmarkStart w:id="82" w:name="OLE_LINK1630"/>
      <w:r w:rsidRPr="000D3C67">
        <w:rPr>
          <w:rFonts w:ascii="Times New Roman" w:hAnsi="Times New Roman" w:cs="Times New Roman"/>
          <w:b/>
          <w:bCs/>
          <w:color w:val="000000" w:themeColor="text1"/>
        </w:rPr>
        <w:t xml:space="preserve">Fig. S37 </w:t>
      </w:r>
      <w:r w:rsidRPr="000D3C67">
        <w:rPr>
          <w:rFonts w:ascii="Times New Roman" w:hAnsi="Times New Roman" w:cs="Times New Roman"/>
          <w:color w:val="000000" w:themeColor="text1"/>
          <w:szCs w:val="21"/>
        </w:rPr>
        <w:t xml:space="preserve">Western blot </w:t>
      </w:r>
      <w:r w:rsidRPr="000D3C67">
        <w:rPr>
          <w:rFonts w:ascii="Times New Roman" w:hAnsi="Times New Roman" w:cs="Times New Roman"/>
          <w:color w:val="000000" w:themeColor="text1"/>
          <w:szCs w:val="21"/>
        </w:rPr>
        <w:t>analysis of the GPX4 expressions in the B16F10 cells with and without PtSNC treatment</w:t>
      </w:r>
      <w:bookmarkEnd w:id="82"/>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270500" cy="2938780"/>
            <wp:effectExtent l="0" t="0" r="0" b="0"/>
            <wp:docPr id="1646201970" name="图片 40"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01970" name="图片 40" descr="图片包含 日历&#10;&#10;描述已自动生成"/>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270500" cy="293878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S38 </w:t>
      </w:r>
      <w:r w:rsidRPr="000D3C67">
        <w:rPr>
          <w:rFonts w:ascii="Times New Roman" w:hAnsi="Times New Roman" w:cs="Times New Roman"/>
          <w:color w:val="000000" w:themeColor="text1"/>
          <w:szCs w:val="21"/>
        </w:rPr>
        <w:t xml:space="preserve">Fluorescence images of BODIPY™ 581/591 C11 staining of the B16F10 cells </w:t>
      </w:r>
      <w:r w:rsidRPr="000D3C67">
        <w:rPr>
          <w:rFonts w:ascii="Times New Roman" w:hAnsi="Times New Roman" w:cs="Times New Roman"/>
          <w:szCs w:val="21"/>
        </w:rPr>
        <w:t>incubated under different conditions</w:t>
      </w:r>
      <w:r w:rsidRPr="000D3C67">
        <w:rPr>
          <w:rFonts w:ascii="Times New Roman" w:hAnsi="Times New Roman" w:cs="Times New Roman"/>
          <w:color w:val="000000" w:themeColor="text1"/>
          <w:szCs w:val="21"/>
        </w:rPr>
        <w:t>. The green fluorescence represents cellular LPO</w:t>
      </w:r>
    </w:p>
    <w:p w:rsidR="008D699A" w:rsidRPr="000D3C67" w:rsidRDefault="008D699A">
      <w:pPr>
        <w:spacing w:before="120" w:after="120"/>
        <w:jc w:val="both"/>
        <w:rPr>
          <w:rFonts w:ascii="Times New Roman" w:hAnsi="Times New Roman" w:cs="Times New Roman"/>
          <w:szCs w:val="21"/>
        </w:rPr>
      </w:pP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270500" cy="2769870"/>
            <wp:effectExtent l="0" t="0" r="0" b="0"/>
            <wp:docPr id="163046440" name="图片 41"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6440" name="图片 41" descr="图片包含 日历&#10;&#10;描述已自动生成"/>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270500" cy="276987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S39 </w:t>
      </w:r>
      <w:r w:rsidRPr="000D3C67">
        <w:rPr>
          <w:rFonts w:ascii="Times New Roman" w:hAnsi="Times New Roman" w:cs="Times New Roman"/>
          <w:color w:val="000000" w:themeColor="text1"/>
          <w:szCs w:val="21"/>
        </w:rPr>
        <w:t xml:space="preserve">Fluorescence images of </w:t>
      </w:r>
      <w:r w:rsidRPr="000D3C67">
        <w:rPr>
          <w:rFonts w:ascii="Times New Roman" w:hAnsi="Times New Roman" w:cs="Times New Roman"/>
        </w:rPr>
        <w:t>GreenNuc™</w:t>
      </w:r>
      <w:r w:rsidRPr="000D3C67">
        <w:rPr>
          <w:rFonts w:ascii="Times New Roman" w:hAnsi="Times New Roman" w:cs="Times New Roman"/>
          <w:color w:val="000000" w:themeColor="text1"/>
          <w:szCs w:val="21"/>
        </w:rPr>
        <w:t xml:space="preserve"> staining of the B16F10 cells </w:t>
      </w:r>
      <w:r w:rsidRPr="000D3C67">
        <w:rPr>
          <w:rFonts w:ascii="Times New Roman" w:hAnsi="Times New Roman" w:cs="Times New Roman"/>
          <w:szCs w:val="21"/>
        </w:rPr>
        <w:t>incubated under different conditions</w:t>
      </w:r>
      <w:r w:rsidRPr="000D3C67">
        <w:rPr>
          <w:rFonts w:ascii="Times New Roman" w:hAnsi="Times New Roman" w:cs="Times New Roman"/>
          <w:color w:val="000000" w:themeColor="text1"/>
          <w:szCs w:val="21"/>
        </w:rPr>
        <w:t xml:space="preserve">. The green fluorescence represents the </w:t>
      </w:r>
      <w:bookmarkStart w:id="83" w:name="OLE_LINK1262"/>
      <w:r w:rsidRPr="000D3C67">
        <w:rPr>
          <w:rFonts w:ascii="Times New Roman" w:hAnsi="Times New Roman" w:cs="Times New Roman"/>
        </w:rPr>
        <w:t xml:space="preserve">Caspase-3 activation </w:t>
      </w:r>
      <w:bookmarkEnd w:id="83"/>
      <w:r w:rsidRPr="000D3C67">
        <w:rPr>
          <w:rFonts w:ascii="Times New Roman" w:hAnsi="Times New Roman" w:cs="Times New Roman"/>
        </w:rPr>
        <w:t>within cells</w:t>
      </w:r>
      <w:r w:rsidRPr="000D3C67">
        <w:rPr>
          <w:rFonts w:ascii="Times New Roman" w:hAnsi="Times New Roman" w:cs="Times New Roman"/>
        </w:rPr>
        <w:br w:type="page"/>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3087370"/>
            <wp:effectExtent l="0" t="0" r="0" b="0"/>
            <wp:docPr id="1512011229" name="图片 42"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11229" name="图片 42" descr="图片包含 图形用户界面&#10;&#10;描述已自动生成"/>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270500" cy="308737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 xml:space="preserve">Fig. S40 </w:t>
      </w:r>
      <w:r w:rsidRPr="000D3C67">
        <w:rPr>
          <w:rFonts w:ascii="Times New Roman" w:hAnsi="Times New Roman" w:cs="Times New Roman"/>
          <w:color w:val="000000" w:themeColor="text1"/>
          <w:szCs w:val="21"/>
        </w:rPr>
        <w:t xml:space="preserve">Fluorescence images of </w:t>
      </w:r>
      <w:r w:rsidRPr="000D3C67">
        <w:rPr>
          <w:rFonts w:ascii="Times New Roman" w:hAnsi="Times New Roman" w:cs="Times New Roman"/>
        </w:rPr>
        <w:t>live/dead cell staining</w:t>
      </w:r>
      <w:r w:rsidRPr="000D3C67">
        <w:rPr>
          <w:rFonts w:ascii="Times New Roman" w:hAnsi="Times New Roman" w:cs="Times New Roman"/>
          <w:color w:val="000000" w:themeColor="text1"/>
          <w:szCs w:val="21"/>
        </w:rPr>
        <w:t xml:space="preserve"> of the B16F10 cells </w:t>
      </w:r>
      <w:r w:rsidRPr="000D3C67">
        <w:rPr>
          <w:rFonts w:ascii="Times New Roman" w:hAnsi="Times New Roman" w:cs="Times New Roman"/>
          <w:szCs w:val="21"/>
        </w:rPr>
        <w:t>incubated under different conditions</w:t>
      </w:r>
      <w:r w:rsidRPr="000D3C67">
        <w:rPr>
          <w:rFonts w:ascii="Times New Roman" w:hAnsi="Times New Roman" w:cs="Times New Roman"/>
          <w:color w:val="000000" w:themeColor="text1"/>
          <w:szCs w:val="21"/>
        </w:rPr>
        <w:t xml:space="preserve">. The green fluorescence represents the live cells while the red fluorescence represents the </w:t>
      </w:r>
      <w:r w:rsidRPr="000D3C67">
        <w:rPr>
          <w:rFonts w:ascii="Times New Roman" w:hAnsi="Times New Roman" w:cs="Times New Roman"/>
        </w:rPr>
        <w:t>dead cells</w:t>
      </w:r>
    </w:p>
    <w:p w:rsidR="008D699A" w:rsidRPr="000D3C67" w:rsidRDefault="008D699A">
      <w:pPr>
        <w:spacing w:before="120" w:after="120"/>
        <w:jc w:val="both"/>
        <w:rPr>
          <w:rFonts w:ascii="Times New Roman" w:hAnsi="Times New Roman" w:cs="Times New Roman"/>
        </w:rPr>
      </w:pPr>
    </w:p>
    <w:p w:rsidR="008D699A" w:rsidRPr="000D3C67" w:rsidRDefault="000D3C67">
      <w:pPr>
        <w:spacing w:before="120" w:after="120"/>
        <w:jc w:val="center"/>
        <w:rPr>
          <w:rFonts w:ascii="Times New Roman" w:hAnsi="Times New Roman" w:cs="Times New Roman"/>
          <w:b/>
          <w:bCs/>
          <w:color w:val="000000" w:themeColor="text1"/>
        </w:rPr>
      </w:pPr>
      <w:bookmarkStart w:id="84" w:name="OLE_LINK1227"/>
      <w:r w:rsidRPr="000D3C67">
        <w:rPr>
          <w:rFonts w:ascii="Times New Roman" w:hAnsi="Times New Roman" w:cs="Times New Roman"/>
          <w:b/>
          <w:bCs/>
          <w:noProof/>
          <w:color w:val="000000" w:themeColor="text1"/>
          <w:lang w:val="en-IN" w:eastAsia="en-IN"/>
        </w:rPr>
        <w:drawing>
          <wp:inline distT="0" distB="0" distL="0" distR="0">
            <wp:extent cx="2680970" cy="2292350"/>
            <wp:effectExtent l="0" t="0" r="5080" b="0"/>
            <wp:docPr id="15890391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39121" name="图片 15"/>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48466" cy="2349773"/>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bookmarkStart w:id="85" w:name="OLE_LINK1298"/>
      <w:r w:rsidRPr="000D3C67">
        <w:rPr>
          <w:rFonts w:ascii="Times New Roman" w:hAnsi="Times New Roman" w:cs="Times New Roman"/>
          <w:b/>
          <w:bCs/>
          <w:color w:val="000000" w:themeColor="text1"/>
        </w:rPr>
        <w:t xml:space="preserve">Fig. S41 </w:t>
      </w:r>
      <w:bookmarkStart w:id="86" w:name="OLE_LINK1299"/>
      <w:r w:rsidRPr="000D3C67">
        <w:rPr>
          <w:rFonts w:ascii="Times New Roman" w:hAnsi="Times New Roman" w:cs="Times New Roman"/>
          <w:color w:val="000000" w:themeColor="text1"/>
          <w:szCs w:val="21"/>
        </w:rPr>
        <w:t>Relative cell viabilities of the PtSNC-treated B16F10 cells with the additions of d</w:t>
      </w:r>
      <w:r w:rsidRPr="000D3C67">
        <w:rPr>
          <w:rFonts w:ascii="Times New Roman" w:hAnsi="Times New Roman" w:cs="Times New Roman"/>
          <w:color w:val="000000" w:themeColor="text1"/>
          <w:szCs w:val="21"/>
        </w:rPr>
        <w:t xml:space="preserve">ifferent inhibitors.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bookmarkEnd w:id="84"/>
      <w:bookmarkEnd w:id="85"/>
      <w:bookmarkEnd w:id="86"/>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2586355"/>
            <wp:effectExtent l="0" t="0" r="0" b="0"/>
            <wp:docPr id="177610695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06955" name="图片 6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270500" cy="258635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S42 </w:t>
      </w:r>
      <w:r w:rsidRPr="000D3C67">
        <w:rPr>
          <w:rFonts w:ascii="Times New Roman" w:hAnsi="Times New Roman" w:cs="Times New Roman"/>
          <w:color w:val="000000" w:themeColor="text1"/>
        </w:rPr>
        <w:t>a)</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 xml:space="preserve">The differential statistics between the </w:t>
      </w:r>
      <w:r w:rsidRPr="000D3C67">
        <w:rPr>
          <w:rFonts w:ascii="Times New Roman" w:hAnsi="Times New Roman" w:cs="Times New Roman"/>
        </w:rPr>
        <w:t xml:space="preserve">melanoma cells </w:t>
      </w:r>
      <w:r w:rsidRPr="000D3C67">
        <w:rPr>
          <w:rFonts w:ascii="Times New Roman" w:hAnsi="Times New Roman" w:cs="Times New Roman"/>
          <w:color w:val="000000" w:themeColor="text1"/>
        </w:rPr>
        <w:t xml:space="preserve">with and </w:t>
      </w:r>
      <w:r w:rsidRPr="000D3C67">
        <w:rPr>
          <w:rFonts w:ascii="Times New Roman" w:hAnsi="Times New Roman" w:cs="Times New Roman"/>
          <w:color w:val="000000" w:themeColor="text1"/>
        </w:rPr>
        <w:t>without PtSNC treatment. b) The heatmap of DEGs (</w:t>
      </w:r>
      <w:r w:rsidRPr="000D3C67">
        <w:rPr>
          <w:rFonts w:ascii="Times New Roman" w:hAnsi="Times New Roman" w:cs="Times New Roman"/>
          <w:i/>
          <w:iCs/>
          <w:color w:val="000000" w:themeColor="text1"/>
        </w:rPr>
        <w:t>n</w:t>
      </w:r>
      <w:r w:rsidRPr="000D3C67">
        <w:rPr>
          <w:rFonts w:ascii="Times New Roman" w:hAnsi="Times New Roman" w:cs="Times New Roman"/>
          <w:color w:val="000000" w:themeColor="text1"/>
        </w:rPr>
        <w:t xml:space="preserve"> = 3)</w:t>
      </w:r>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466715" cy="3619500"/>
            <wp:effectExtent l="0" t="0" r="635" b="0"/>
            <wp:docPr id="666444900" name="图片 63"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444900" name="图片 63" descr="图表, 条形图&#10;&#10;描述已自动生成"/>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68909" cy="362068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S43 </w:t>
      </w:r>
      <w:r w:rsidRPr="000D3C67">
        <w:rPr>
          <w:rFonts w:ascii="Times New Roman" w:hAnsi="Times New Roman" w:cs="Times New Roman"/>
          <w:color w:val="000000" w:themeColor="text1"/>
        </w:rPr>
        <w:t>GO annotation analysis for presenting the biological process, cellular component, and molecular function associated genes</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365115" cy="4813300"/>
            <wp:effectExtent l="0" t="0" r="6985" b="6350"/>
            <wp:docPr id="1021731332" name="图片 66" descr="图表&#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31332" name="图片 66" descr="图表&#10;&#10;低可信度描述已自动生成"/>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366799" cy="481460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S44 </w:t>
      </w:r>
      <w:r w:rsidRPr="000D3C67">
        <w:rPr>
          <w:rFonts w:ascii="Times New Roman" w:hAnsi="Times New Roman" w:cs="Times New Roman"/>
          <w:color w:val="000000" w:themeColor="text1"/>
          <w:szCs w:val="21"/>
        </w:rPr>
        <w:t xml:space="preserve">GSEA of specific pathways between </w:t>
      </w:r>
      <w:r w:rsidRPr="000D3C67">
        <w:rPr>
          <w:rFonts w:ascii="Times New Roman" w:hAnsi="Times New Roman" w:cs="Times New Roman"/>
          <w:color w:val="000000" w:themeColor="text1"/>
        </w:rPr>
        <w:t xml:space="preserve">the </w:t>
      </w:r>
      <w:r w:rsidRPr="000D3C67">
        <w:rPr>
          <w:rFonts w:ascii="Times New Roman" w:hAnsi="Times New Roman" w:cs="Times New Roman"/>
        </w:rPr>
        <w:t xml:space="preserve">melanoma cells </w:t>
      </w:r>
      <w:r w:rsidRPr="000D3C67">
        <w:rPr>
          <w:rFonts w:ascii="Times New Roman" w:hAnsi="Times New Roman" w:cs="Times New Roman"/>
          <w:color w:val="000000" w:themeColor="text1"/>
        </w:rPr>
        <w:t>with and without PtSNC treatment</w:t>
      </w:r>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1197610"/>
            <wp:effectExtent l="0" t="0" r="0" b="0"/>
            <wp:docPr id="358738453" name="图片 4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38453" name="图片 46" descr="图形用户界面, 应用程序&#10;&#10;描述已自动生成"/>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70500" cy="119761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S45 </w:t>
      </w:r>
      <w:r w:rsidRPr="000D3C67">
        <w:rPr>
          <w:rFonts w:ascii="Times New Roman" w:hAnsi="Times New Roman" w:cs="Times New Roman"/>
          <w:color w:val="000000" w:themeColor="text1"/>
        </w:rPr>
        <w:t xml:space="preserve">Treatment procedures for promoting </w:t>
      </w:r>
      <w:r w:rsidRPr="000D3C67">
        <w:rPr>
          <w:rFonts w:ascii="Times New Roman" w:hAnsi="Times New Roman" w:cs="Times New Roman"/>
          <w:color w:val="000000" w:themeColor="text1"/>
          <w:szCs w:val="21"/>
        </w:rPr>
        <w:t>chronic wound healing on diabetic skin wound-inducing mice</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4645025" cy="1957705"/>
            <wp:effectExtent l="0" t="0" r="0" b="0"/>
            <wp:docPr id="804082454" name="图片 18"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82454" name="图片 18" descr="图表&#10;&#10;AI 生成的内容可能不正确。"/>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674800" cy="1970737"/>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S46 </w:t>
      </w:r>
      <w:r w:rsidRPr="000D3C67">
        <w:rPr>
          <w:rFonts w:ascii="Times New Roman" w:hAnsi="Times New Roman" w:cs="Times New Roman"/>
          <w:color w:val="000000" w:themeColor="text1"/>
          <w:szCs w:val="21"/>
        </w:rPr>
        <w:t xml:space="preserve">a) </w:t>
      </w:r>
      <w:bookmarkStart w:id="87" w:name="OLE_LINK1431"/>
      <w:r w:rsidRPr="000D3C67">
        <w:rPr>
          <w:rFonts w:ascii="Times New Roman" w:hAnsi="Times New Roman" w:cs="Times New Roman"/>
          <w:color w:val="000000" w:themeColor="text1"/>
          <w:szCs w:val="21"/>
        </w:rPr>
        <w:t xml:space="preserve">Blood glucose level and b) body weight changes during different treatments for chronic wound healing.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5 independent experiments). Statistical significance was determined by </w:t>
      </w:r>
      <w:r w:rsidRPr="000D3C67">
        <w:rPr>
          <w:rFonts w:ascii="Times New Roman" w:hAnsi="Times New Roman" w:cs="Times New Roman"/>
          <w:color w:val="000000" w:themeColor="text1"/>
          <w:szCs w:val="21"/>
        </w:rPr>
        <w:t xml:space="preserve">two-way ANOVA with Bonferroni’s </w:t>
      </w:r>
      <w:r w:rsidRPr="000D3C67">
        <w:rPr>
          <w:rFonts w:ascii="Times New Roman" w:hAnsi="Times New Roman" w:cs="Times New Roman"/>
          <w:i/>
          <w:iCs/>
          <w:color w:val="000000" w:themeColor="text1"/>
          <w:szCs w:val="21"/>
        </w:rPr>
        <w:t>post-hoc</w:t>
      </w:r>
      <w:r w:rsidRPr="000D3C67">
        <w:rPr>
          <w:rFonts w:ascii="Times New Roman" w:hAnsi="Times New Roman" w:cs="Times New Roman"/>
          <w:color w:val="000000" w:themeColor="text1"/>
          <w:szCs w:val="21"/>
        </w:rPr>
        <w:t xml:space="preserve"> test</w:t>
      </w:r>
      <w:bookmarkEnd w:id="87"/>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3629660" cy="3093085"/>
            <wp:effectExtent l="0" t="0" r="0" b="0"/>
            <wp:docPr id="1034300089" name="图片 48"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00089" name="图片 48" descr="图表, 条形图&#10;&#10;描述已自动生成"/>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49974" cy="3110394"/>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bookmarkStart w:id="88" w:name="OLE_LINK1434"/>
      <w:r w:rsidRPr="000D3C67">
        <w:rPr>
          <w:rFonts w:ascii="Times New Roman" w:hAnsi="Times New Roman" w:cs="Times New Roman"/>
          <w:b/>
          <w:bCs/>
          <w:color w:val="000000" w:themeColor="text1"/>
        </w:rPr>
        <w:t xml:space="preserve">Fig. S47 </w:t>
      </w:r>
      <w:r w:rsidRPr="000D3C67">
        <w:rPr>
          <w:rFonts w:ascii="Times New Roman" w:hAnsi="Times New Roman" w:cs="Times New Roman"/>
          <w:color w:val="000000" w:themeColor="text1"/>
          <w:szCs w:val="21"/>
        </w:rPr>
        <w:t>Blood-related parameter analysis of the diabetic skin wound-inducing mice on day 15 post-different treatments. PLT: platelet count; RDW: red cell distribution width; MCHC: mean corpuscular hemoglobin concentration; MCH: mean red blood cell hemoglobin; MCV:</w:t>
      </w:r>
      <w:r w:rsidRPr="000D3C67">
        <w:rPr>
          <w:rFonts w:ascii="Times New Roman" w:hAnsi="Times New Roman" w:cs="Times New Roman"/>
          <w:color w:val="000000" w:themeColor="text1"/>
          <w:szCs w:val="21"/>
        </w:rPr>
        <w:t xml:space="preserve"> mean red blood cell volume; HCT: haematocrit; HGB: hemoglobin; RBC: red blood cell count; Gran: percentage of neutrophils; Mon: percentage of monocytes; Lymph: percentage of lymphocytes; WBC: white blood cell count.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w:t>
      </w:r>
      <w:r w:rsidRPr="000D3C67">
        <w:rPr>
          <w:rFonts w:ascii="Times New Roman" w:hAnsi="Times New Roman" w:cs="Times New Roman"/>
          <w:szCs w:val="21"/>
        </w:rPr>
        <w:t>= 3 independent experiments)</w:t>
      </w:r>
      <w:bookmarkEnd w:id="88"/>
    </w:p>
    <w:p w:rsidR="008D699A" w:rsidRPr="000D3C67" w:rsidRDefault="008D699A">
      <w:pPr>
        <w:spacing w:before="120" w:after="120"/>
        <w:jc w:val="center"/>
        <w:rPr>
          <w:rFonts w:ascii="Times New Roman" w:hAnsi="Times New Roman" w:cs="Times New Roman"/>
          <w:color w:val="000000" w:themeColor="text1"/>
          <w:szCs w:val="21"/>
        </w:rPr>
      </w:pPr>
    </w:p>
    <w:p w:rsidR="008D699A" w:rsidRPr="000D3C67" w:rsidRDefault="008D699A">
      <w:pPr>
        <w:spacing w:before="120" w:after="120"/>
        <w:jc w:val="center"/>
        <w:rPr>
          <w:rFonts w:ascii="Times New Roman" w:hAnsi="Times New Roman" w:cs="Times New Roman"/>
          <w:color w:val="000000" w:themeColor="text1"/>
        </w:rPr>
      </w:pPr>
    </w:p>
    <w:p w:rsidR="008D699A" w:rsidRPr="000D3C67" w:rsidRDefault="000D3C67">
      <w:pPr>
        <w:spacing w:before="120" w:after="120"/>
        <w:rPr>
          <w:rFonts w:ascii="Times New Roman" w:hAnsi="Times New Roman" w:cs="Times New Roman"/>
          <w:color w:val="000000" w:themeColor="text1"/>
        </w:rPr>
      </w:pPr>
      <w:r w:rsidRPr="000D3C67">
        <w:rPr>
          <w:rFonts w:ascii="Times New Roman" w:hAnsi="Times New Roman" w:cs="Times New Roman"/>
          <w:color w:val="000000" w:themeColor="text1"/>
        </w:rPr>
        <w:br w:type="page"/>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4794250" cy="2640965"/>
            <wp:effectExtent l="0" t="0" r="6350" b="6985"/>
            <wp:docPr id="136042310" name="图片 21"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2310" name="图片 21" descr="图形用户界面, 应用程序&#10;&#10;AI 生成的内容可能不正确。"/>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803383" cy="264649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sz w:val="21"/>
          <w:szCs w:val="21"/>
        </w:rPr>
        <w:t xml:space="preserve">Fig. S48 </w:t>
      </w:r>
      <w:bookmarkStart w:id="89" w:name="OLE_LINK1435"/>
      <w:r w:rsidRPr="000D3C67">
        <w:rPr>
          <w:rFonts w:ascii="Times New Roman" w:hAnsi="Times New Roman" w:cs="Times New Roman"/>
          <w:color w:val="000000" w:themeColor="text1"/>
          <w:sz w:val="21"/>
          <w:szCs w:val="21"/>
        </w:rPr>
        <w:t xml:space="preserve">a-c) </w:t>
      </w:r>
      <w:r w:rsidRPr="000D3C67">
        <w:rPr>
          <w:rFonts w:ascii="Times New Roman" w:hAnsi="Times New Roman" w:cs="Times New Roman"/>
          <w:sz w:val="21"/>
          <w:szCs w:val="21"/>
        </w:rPr>
        <w:t>Liver (ALT: alanine aminotransferase; ALP: alkaline phosphatase; AST:</w:t>
      </w:r>
      <w:r w:rsidRPr="000D3C67">
        <w:rPr>
          <w:rFonts w:ascii="Times New Roman" w:hAnsi="Times New Roman" w:cs="Times New Roman"/>
        </w:rPr>
        <w:t xml:space="preserve"> </w:t>
      </w:r>
      <w:r w:rsidRPr="000D3C67">
        <w:rPr>
          <w:rFonts w:ascii="Times New Roman" w:hAnsi="Times New Roman" w:cs="Times New Roman"/>
          <w:sz w:val="21"/>
          <w:szCs w:val="21"/>
        </w:rPr>
        <w:t xml:space="preserve">aspartate aminotransferase) function, d,e) kidney (CREA: creatinine; UA: uric acid) function, and f) blood glucose analyses of </w:t>
      </w:r>
      <w:r w:rsidRPr="000D3C67">
        <w:rPr>
          <w:rFonts w:ascii="Times New Roman" w:hAnsi="Times New Roman" w:cs="Times New Roman"/>
          <w:color w:val="000000" w:themeColor="text1"/>
          <w:sz w:val="21"/>
          <w:szCs w:val="21"/>
        </w:rPr>
        <w:t>the diabetic skin wound-inducing mice on day 15 post-different treatments. Lighter gray bars represent the range of normal values obtained from the healthy mice. All the liver/kidney function parameters in these groups were within the normal range while th</w:t>
      </w:r>
      <w:r w:rsidRPr="000D3C67">
        <w:rPr>
          <w:rFonts w:ascii="Times New Roman" w:hAnsi="Times New Roman" w:cs="Times New Roman"/>
          <w:color w:val="000000" w:themeColor="text1"/>
          <w:sz w:val="21"/>
          <w:szCs w:val="21"/>
        </w:rPr>
        <w:t xml:space="preserve">e blood glucose levels in the diabetic groups were much higher than </w:t>
      </w:r>
      <w:r w:rsidRPr="000D3C67">
        <w:rPr>
          <w:rFonts w:ascii="Times New Roman" w:hAnsi="Times New Roman" w:cs="Times New Roman"/>
          <w:sz w:val="21"/>
          <w:szCs w:val="21"/>
        </w:rPr>
        <w:t>the non-diabetic group.</w:t>
      </w:r>
      <w:r w:rsidRPr="000D3C67">
        <w:rPr>
          <w:rFonts w:ascii="Times New Roman" w:hAnsi="Times New Roman" w:cs="Times New Roman"/>
          <w:color w:val="000000" w:themeColor="text1"/>
          <w:sz w:val="21"/>
          <w:szCs w:val="21"/>
        </w:rPr>
        <w:t xml:space="preserve"> The result indicates the high biosafety of PtSNC. Compared with the </w:t>
      </w:r>
      <w:r w:rsidRPr="000D3C67">
        <w:rPr>
          <w:rFonts w:ascii="Times New Roman" w:hAnsi="Times New Roman" w:cs="Times New Roman"/>
          <w:sz w:val="21"/>
          <w:szCs w:val="21"/>
        </w:rPr>
        <w:t>non-diabetic group, several</w:t>
      </w:r>
      <w:r w:rsidRPr="000D3C67">
        <w:rPr>
          <w:rFonts w:ascii="Times New Roman" w:hAnsi="Times New Roman" w:cs="Times New Roman"/>
          <w:color w:val="000000" w:themeColor="text1"/>
          <w:sz w:val="21"/>
          <w:szCs w:val="21"/>
        </w:rPr>
        <w:t xml:space="preserve"> liver/kidney function parameters in the </w:t>
      </w:r>
      <w:r w:rsidRPr="000D3C67">
        <w:rPr>
          <w:rFonts w:ascii="Times New Roman" w:hAnsi="Times New Roman" w:cs="Times New Roman"/>
          <w:sz w:val="21"/>
          <w:szCs w:val="21"/>
        </w:rPr>
        <w:t>diabetic group</w:t>
      </w:r>
      <w:r w:rsidRPr="000D3C67">
        <w:rPr>
          <w:rFonts w:ascii="Times New Roman" w:hAnsi="Times New Roman" w:cs="Times New Roman"/>
          <w:color w:val="000000" w:themeColor="text1"/>
          <w:sz w:val="21"/>
          <w:szCs w:val="21"/>
        </w:rPr>
        <w:t>s were slightl</w:t>
      </w:r>
      <w:r w:rsidRPr="000D3C67">
        <w:rPr>
          <w:rFonts w:ascii="Times New Roman" w:hAnsi="Times New Roman" w:cs="Times New Roman"/>
          <w:color w:val="000000" w:themeColor="text1"/>
          <w:sz w:val="21"/>
          <w:szCs w:val="21"/>
        </w:rPr>
        <w:t xml:space="preserve">y higher, meaning that hyperglycemia affects the liver/kidney functions which is consistent with the symptoms of metabolic diseases. </w:t>
      </w:r>
      <w:r w:rsidRPr="000D3C67">
        <w:rPr>
          <w:rFonts w:ascii="Times New Roman" w:hAnsi="Times New Roman" w:cs="Times New Roman"/>
          <w:sz w:val="21"/>
          <w:szCs w:val="21"/>
        </w:rPr>
        <w:t>Data are expressed as mean ± s.e.m. (</w:t>
      </w:r>
      <w:r w:rsidRPr="000D3C67">
        <w:rPr>
          <w:rFonts w:ascii="Times New Roman" w:hAnsi="Times New Roman" w:cs="Times New Roman"/>
          <w:i/>
          <w:iCs/>
          <w:sz w:val="21"/>
          <w:szCs w:val="21"/>
        </w:rPr>
        <w:t>n</w:t>
      </w:r>
      <w:r w:rsidRPr="000D3C67">
        <w:rPr>
          <w:rFonts w:ascii="Times New Roman" w:hAnsi="Times New Roman" w:cs="Times New Roman"/>
          <w:sz w:val="21"/>
          <w:szCs w:val="21"/>
        </w:rPr>
        <w:t xml:space="preserve"> = 3 independent experiments). Statistical significance was determined by </w:t>
      </w:r>
      <w:r w:rsidRPr="000D3C67">
        <w:rPr>
          <w:rFonts w:ascii="Times New Roman" w:hAnsi="Times New Roman" w:cs="Times New Roman"/>
          <w:color w:val="000000" w:themeColor="text1"/>
          <w:sz w:val="21"/>
          <w:szCs w:val="21"/>
        </w:rPr>
        <w:t xml:space="preserve">one-way ANOVA with Tukey’s </w:t>
      </w:r>
      <w:r w:rsidRPr="000D3C67">
        <w:rPr>
          <w:rFonts w:ascii="Times New Roman" w:hAnsi="Times New Roman" w:cs="Times New Roman"/>
          <w:i/>
          <w:iCs/>
          <w:color w:val="000000" w:themeColor="text1"/>
          <w:sz w:val="21"/>
          <w:szCs w:val="21"/>
        </w:rPr>
        <w:t>post-hoc</w:t>
      </w:r>
      <w:r w:rsidRPr="000D3C67">
        <w:rPr>
          <w:rFonts w:ascii="Times New Roman" w:hAnsi="Times New Roman" w:cs="Times New Roman"/>
          <w:color w:val="000000" w:themeColor="text1"/>
          <w:sz w:val="21"/>
          <w:szCs w:val="21"/>
        </w:rPr>
        <w:t xml:space="preserve"> test</w:t>
      </w:r>
      <w:bookmarkEnd w:id="89"/>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911090" cy="3054350"/>
            <wp:effectExtent l="0" t="0" r="3810" b="0"/>
            <wp:docPr id="212381347" name="图片 50" descr="图片包含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1347" name="图片 50" descr="图片包含 应用程序&#10;&#10;描述已自动生成"/>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920765" cy="306036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bookmarkStart w:id="90" w:name="OLE_LINK1439"/>
      <w:r w:rsidRPr="000D3C67">
        <w:rPr>
          <w:rFonts w:ascii="Times New Roman" w:hAnsi="Times New Roman" w:cs="Times New Roman"/>
          <w:b/>
          <w:bCs/>
          <w:color w:val="000000" w:themeColor="text1"/>
        </w:rPr>
        <w:t xml:space="preserve">Fig. S49 </w:t>
      </w:r>
      <w:r w:rsidRPr="000D3C67">
        <w:rPr>
          <w:rFonts w:ascii="Times New Roman" w:hAnsi="Times New Roman" w:cs="Times New Roman"/>
          <w:color w:val="000000" w:themeColor="text1"/>
        </w:rPr>
        <w:t>H&amp;E staining images of the tissues (heart, liver, spleen, lung, and kidney) obtained from the diabetic skin wound-inducing mice post-different treatments</w:t>
      </w:r>
    </w:p>
    <w:bookmarkEnd w:id="90"/>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826000" cy="1565275"/>
            <wp:effectExtent l="0" t="0" r="0" b="0"/>
            <wp:docPr id="67919864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98644" name="图片 51"/>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839267" cy="1570138"/>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S50 </w:t>
      </w:r>
      <w:r w:rsidRPr="000D3C67">
        <w:rPr>
          <w:rFonts w:ascii="Times New Roman" w:hAnsi="Times New Roman" w:cs="Times New Roman"/>
          <w:color w:val="000000" w:themeColor="text1"/>
          <w:szCs w:val="21"/>
        </w:rPr>
        <w:t>H&amp;E/Masson staining images of the wound</w:t>
      </w:r>
      <w:r w:rsidRPr="000D3C67">
        <w:rPr>
          <w:rFonts w:ascii="Times New Roman" w:hAnsi="Times New Roman" w:cs="Times New Roman"/>
          <w:color w:val="000000" w:themeColor="text1"/>
          <w:szCs w:val="21"/>
        </w:rPr>
        <w:t xml:space="preserve"> skin tissues harvested at day 6</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5270500" cy="1457325"/>
            <wp:effectExtent l="0" t="0" r="0" b="0"/>
            <wp:docPr id="669522773" name="图片 22"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22773" name="图片 22" descr="图表, 条形图&#10;&#10;AI 生成的内容可能不正确。"/>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270500" cy="145732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Fig. S51 </w:t>
      </w:r>
      <w:r w:rsidRPr="000D3C67">
        <w:rPr>
          <w:rFonts w:ascii="Times New Roman" w:hAnsi="Times New Roman" w:cs="Times New Roman"/>
          <w:color w:val="000000" w:themeColor="text1"/>
          <w:szCs w:val="21"/>
        </w:rPr>
        <w:t>The relative NAD</w:t>
      </w:r>
      <w:r w:rsidRPr="000D3C67">
        <w:rPr>
          <w:rFonts w:ascii="Times New Roman" w:hAnsi="Times New Roman" w:cs="Times New Roman"/>
          <w:color w:val="000000" w:themeColor="text1"/>
          <w:szCs w:val="21"/>
          <w:vertAlign w:val="superscript"/>
        </w:rPr>
        <w:t>+</w:t>
      </w:r>
      <w:r w:rsidRPr="000D3C67">
        <w:rPr>
          <w:rFonts w:ascii="Times New Roman" w:hAnsi="Times New Roman" w:cs="Times New Roman"/>
          <w:color w:val="000000" w:themeColor="text1"/>
          <w:szCs w:val="21"/>
        </w:rPr>
        <w:t xml:space="preserve">/NADH ratios in the newly formed skin tissues in the wounds harvested at a) day 6, b) day 9, and c) day15.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w:t>
      </w:r>
      <w:r w:rsidRPr="000D3C67">
        <w:rPr>
          <w:rFonts w:ascii="Times New Roman" w:hAnsi="Times New Roman" w:cs="Times New Roman"/>
          <w:color w:val="000000" w:themeColor="text1"/>
          <w:szCs w:val="21"/>
        </w:rPr>
        <w:t xml:space="preserve">one-way ANOVA with Tukey’s </w:t>
      </w:r>
      <w:r w:rsidRPr="000D3C67">
        <w:rPr>
          <w:rFonts w:ascii="Times New Roman" w:hAnsi="Times New Roman" w:cs="Times New Roman"/>
          <w:i/>
          <w:iCs/>
          <w:color w:val="000000" w:themeColor="text1"/>
          <w:szCs w:val="21"/>
        </w:rPr>
        <w:t>post-hoc</w:t>
      </w:r>
      <w:r w:rsidRPr="000D3C67">
        <w:rPr>
          <w:rFonts w:ascii="Times New Roman" w:hAnsi="Times New Roman" w:cs="Times New Roman"/>
          <w:color w:val="000000" w:themeColor="text1"/>
          <w:szCs w:val="21"/>
        </w:rPr>
        <w:t xml:space="preserve"> test</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3746500" cy="3209925"/>
            <wp:effectExtent l="0" t="0" r="6350" b="9525"/>
            <wp:docPr id="1269195513" name="图片 23"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95513" name="图片 23" descr="图表, 条形图&#10;&#10;AI 生成的内容可能不正确。"/>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805047" cy="326042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bookmarkStart w:id="91" w:name="OLE_LINK972"/>
      <w:r w:rsidRPr="000D3C67">
        <w:rPr>
          <w:rFonts w:ascii="Times New Roman" w:hAnsi="Times New Roman" w:cs="Times New Roman"/>
          <w:b/>
          <w:bCs/>
          <w:color w:val="000000" w:themeColor="text1"/>
        </w:rPr>
        <w:t xml:space="preserve">Fig. S52 </w:t>
      </w:r>
      <w:r w:rsidRPr="000D3C67">
        <w:rPr>
          <w:rFonts w:ascii="Times New Roman" w:hAnsi="Times New Roman" w:cs="Times New Roman"/>
          <w:color w:val="000000" w:themeColor="text1"/>
          <w:szCs w:val="21"/>
        </w:rPr>
        <w:t xml:space="preserve">The relative ATP levels in the newly formed skin tissues in the wounds harvested at a) day 3, b) day 6, c) day 9, and d) day15. </w:t>
      </w:r>
      <w:bookmarkStart w:id="92" w:name="OLE_LINK986"/>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w:t>
      </w:r>
      <w:bookmarkEnd w:id="91"/>
      <w:r w:rsidRPr="000D3C67">
        <w:rPr>
          <w:rFonts w:ascii="Times New Roman" w:hAnsi="Times New Roman" w:cs="Times New Roman"/>
          <w:szCs w:val="21"/>
        </w:rPr>
        <w:t xml:space="preserve">pendent experiments). Statistical significance was determined by </w:t>
      </w:r>
      <w:r w:rsidRPr="000D3C67">
        <w:rPr>
          <w:rFonts w:ascii="Times New Roman" w:hAnsi="Times New Roman" w:cs="Times New Roman"/>
          <w:color w:val="000000" w:themeColor="text1"/>
          <w:szCs w:val="21"/>
        </w:rPr>
        <w:t xml:space="preserve">one-way ANOVA with Tukey’s </w:t>
      </w:r>
      <w:r w:rsidRPr="000D3C67">
        <w:rPr>
          <w:rFonts w:ascii="Times New Roman" w:hAnsi="Times New Roman" w:cs="Times New Roman"/>
          <w:i/>
          <w:iCs/>
          <w:color w:val="000000" w:themeColor="text1"/>
          <w:szCs w:val="21"/>
        </w:rPr>
        <w:t>post-hoc</w:t>
      </w:r>
      <w:r w:rsidRPr="000D3C67">
        <w:rPr>
          <w:rFonts w:ascii="Times New Roman" w:hAnsi="Times New Roman" w:cs="Times New Roman"/>
          <w:color w:val="000000" w:themeColor="text1"/>
          <w:szCs w:val="21"/>
        </w:rPr>
        <w:t xml:space="preserve"> test</w:t>
      </w:r>
      <w:r w:rsidRPr="000D3C67">
        <w:rPr>
          <w:rFonts w:ascii="Times New Roman" w:hAnsi="Times New Roman" w:cs="Times New Roman"/>
          <w:szCs w:val="21"/>
        </w:rPr>
        <w:t>.</w:t>
      </w:r>
      <w:bookmarkEnd w:id="92"/>
    </w:p>
    <w:p w:rsidR="008D699A" w:rsidRPr="000D3C67" w:rsidRDefault="008D699A">
      <w:pPr>
        <w:spacing w:before="120" w:after="120"/>
        <w:rPr>
          <w:rFonts w:ascii="Times New Roman" w:hAnsi="Times New Roman" w:cs="Times New Roman"/>
          <w:szCs w:val="21"/>
        </w:rPr>
      </w:pPr>
    </w:p>
    <w:p w:rsidR="008D699A" w:rsidRPr="000D3C67" w:rsidRDefault="000D3C67">
      <w:pPr>
        <w:spacing w:before="120" w:after="120"/>
        <w:jc w:val="center"/>
        <w:rPr>
          <w:rFonts w:ascii="Times New Roman" w:hAnsi="Times New Roman" w:cs="Times New Roman"/>
          <w:b/>
          <w:bCs/>
          <w:color w:val="000000" w:themeColor="text1"/>
        </w:rPr>
      </w:pPr>
      <w:bookmarkStart w:id="93" w:name="OLE_LINK988"/>
      <w:r w:rsidRPr="000D3C67">
        <w:rPr>
          <w:rFonts w:ascii="Times New Roman" w:hAnsi="Times New Roman" w:cs="Times New Roman"/>
          <w:b/>
          <w:bCs/>
          <w:noProof/>
          <w:color w:val="000000" w:themeColor="text1"/>
          <w:lang w:val="en-IN" w:eastAsia="en-IN"/>
        </w:rPr>
        <w:drawing>
          <wp:inline distT="0" distB="0" distL="0" distR="0">
            <wp:extent cx="5270500" cy="1787525"/>
            <wp:effectExtent l="0" t="0" r="0" b="0"/>
            <wp:docPr id="1404977584" name="图片 19"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77584" name="图片 19" descr="图片包含 图示&#10;&#10;AI 生成的内容可能不正确。"/>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270500" cy="178752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Fig. S53</w:t>
      </w:r>
      <w:r w:rsidRPr="000D3C67">
        <w:rPr>
          <w:rFonts w:ascii="Times New Roman" w:hAnsi="Times New Roman" w:cs="Times New Roman"/>
          <w:color w:val="000000" w:themeColor="text1"/>
        </w:rPr>
        <w:t xml:space="preserve"> a) </w:t>
      </w:r>
      <w:r w:rsidRPr="000D3C67">
        <w:rPr>
          <w:rFonts w:ascii="Times New Roman" w:hAnsi="Times New Roman" w:cs="Times New Roman"/>
          <w:szCs w:val="21"/>
        </w:rPr>
        <w:t>Fluorescence images for DHE-based ROS (</w:t>
      </w:r>
      <w:r w:rsidRPr="000D3C67">
        <w:rPr>
          <w:rFonts w:ascii="Times New Roman" w:hAnsi="Times New Roman" w:cs="Times New Roman"/>
          <w:bCs/>
          <w:color w:val="000000" w:themeColor="text1"/>
        </w:rPr>
        <w:t>O</w:t>
      </w:r>
      <w:r w:rsidRPr="000D3C67">
        <w:rPr>
          <w:rFonts w:ascii="Times New Roman" w:hAnsi="Times New Roman" w:cs="Times New Roman"/>
          <w:bCs/>
          <w:color w:val="000000" w:themeColor="text1"/>
          <w:vertAlign w:val="subscript"/>
        </w:rPr>
        <w:t>2</w:t>
      </w:r>
      <w:r w:rsidRPr="000D3C67">
        <w:rPr>
          <w:rFonts w:ascii="Times New Roman" w:hAnsi="Times New Roman" w:cs="Times New Roman"/>
          <w:bCs/>
          <w:color w:val="000000" w:themeColor="text1"/>
        </w:rPr>
        <w:t>•</w:t>
      </w:r>
      <w:r w:rsidRPr="000D3C67">
        <w:rPr>
          <w:rFonts w:ascii="Times New Roman" w:hAnsi="Times New Roman" w:cs="Times New Roman"/>
          <w:bCs/>
          <w:color w:val="000000" w:themeColor="text1"/>
          <w:vertAlign w:val="superscript"/>
        </w:rPr>
        <w:t>-</w:t>
      </w:r>
      <w:r w:rsidRPr="000D3C67">
        <w:rPr>
          <w:rFonts w:ascii="Times New Roman" w:hAnsi="Times New Roman" w:cs="Times New Roman"/>
          <w:szCs w:val="21"/>
        </w:rPr>
        <w:t xml:space="preserve">) detection in the </w:t>
      </w:r>
      <w:r w:rsidRPr="000D3C67">
        <w:rPr>
          <w:rFonts w:ascii="Times New Roman" w:hAnsi="Times New Roman" w:cs="Times New Roman"/>
          <w:bCs/>
          <w:color w:val="000000" w:themeColor="text1"/>
        </w:rPr>
        <w:t>diabetic wound sections</w:t>
      </w:r>
      <w:r w:rsidRPr="000D3C67">
        <w:rPr>
          <w:rFonts w:ascii="Times New Roman" w:hAnsi="Times New Roman" w:cs="Times New Roman"/>
          <w:szCs w:val="21"/>
        </w:rPr>
        <w:t xml:space="preserve"> and b) corresponding intensity analysis.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 Statistical significance was determined by</w:t>
      </w:r>
      <w:r w:rsidRPr="000D3C67">
        <w:rPr>
          <w:rFonts w:ascii="Times New Roman" w:hAnsi="Times New Roman" w:cs="Times New Roman"/>
        </w:rPr>
        <w:t xml:space="preserve"> </w:t>
      </w:r>
      <w:r w:rsidRPr="000D3C67">
        <w:rPr>
          <w:rFonts w:ascii="Times New Roman" w:hAnsi="Times New Roman" w:cs="Times New Roman"/>
          <w:szCs w:val="21"/>
        </w:rPr>
        <w:t xml:space="preserve">two-tailed Student’s </w:t>
      </w:r>
      <w:r w:rsidRPr="000D3C67">
        <w:rPr>
          <w:rFonts w:ascii="Times New Roman" w:hAnsi="Times New Roman" w:cs="Times New Roman"/>
          <w:i/>
          <w:iCs/>
          <w:szCs w:val="21"/>
        </w:rPr>
        <w:t>t</w:t>
      </w:r>
      <w:r w:rsidRPr="000D3C67">
        <w:rPr>
          <w:rFonts w:ascii="Times New Roman" w:hAnsi="Times New Roman" w:cs="Times New Roman"/>
          <w:szCs w:val="21"/>
        </w:rPr>
        <w:t>-test</w:t>
      </w:r>
      <w:bookmarkEnd w:id="93"/>
    </w:p>
    <w:p w:rsidR="008D699A" w:rsidRPr="000D3C67" w:rsidRDefault="008D699A">
      <w:pPr>
        <w:spacing w:before="120" w:after="120"/>
        <w:jc w:val="both"/>
        <w:rPr>
          <w:rFonts w:ascii="Times New Roman" w:hAnsi="Times New Roman" w:cs="Times New Roman"/>
          <w:szCs w:val="21"/>
        </w:rPr>
      </w:pPr>
    </w:p>
    <w:p w:rsidR="008D699A" w:rsidRPr="000D3C67" w:rsidRDefault="008D699A">
      <w:pPr>
        <w:spacing w:before="120" w:after="120"/>
        <w:jc w:val="both"/>
        <w:rPr>
          <w:rFonts w:ascii="Times New Roman" w:hAnsi="Times New Roman" w:cs="Times New Roman"/>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2997200"/>
            <wp:effectExtent l="0" t="0" r="0" b="0"/>
            <wp:docPr id="56925673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256731" name="图片 16"/>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270500" cy="299720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S54 </w:t>
      </w:r>
      <w:r w:rsidRPr="000D3C67">
        <w:rPr>
          <w:rFonts w:ascii="Times New Roman" w:hAnsi="Times New Roman" w:cs="Times New Roman"/>
          <w:color w:val="000000" w:themeColor="text1"/>
          <w:szCs w:val="21"/>
        </w:rPr>
        <w:t>a) Body weight changes during different anti-tumor treatments. b) Calculated tumor inhibition rates for the DOX and PtSNC treatment groups. c) Survival curves of the mice in different groups. d) Photographs of these melanoma-bearing mice post-different tre</w:t>
      </w:r>
      <w:r w:rsidRPr="000D3C67">
        <w:rPr>
          <w:rFonts w:ascii="Times New Roman" w:hAnsi="Times New Roman" w:cs="Times New Roman"/>
          <w:color w:val="000000" w:themeColor="text1"/>
          <w:szCs w:val="21"/>
        </w:rPr>
        <w:t xml:space="preserve">atments.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6 independent experiments). Statistical significance was determined by </w:t>
      </w:r>
      <w:r w:rsidRPr="000D3C67">
        <w:rPr>
          <w:rFonts w:ascii="Times New Roman" w:hAnsi="Times New Roman" w:cs="Times New Roman"/>
          <w:color w:val="000000" w:themeColor="text1"/>
          <w:szCs w:val="21"/>
        </w:rPr>
        <w:t xml:space="preserve">two-tailed Student’s </w:t>
      </w:r>
      <w:r w:rsidRPr="000D3C67">
        <w:rPr>
          <w:rFonts w:ascii="Times New Roman" w:hAnsi="Times New Roman" w:cs="Times New Roman"/>
          <w:i/>
          <w:iCs/>
          <w:color w:val="000000" w:themeColor="text1"/>
          <w:szCs w:val="21"/>
        </w:rPr>
        <w:t>t</w:t>
      </w:r>
      <w:r w:rsidRPr="000D3C67">
        <w:rPr>
          <w:rFonts w:ascii="Times New Roman" w:hAnsi="Times New Roman" w:cs="Times New Roman"/>
          <w:color w:val="000000" w:themeColor="text1"/>
          <w:szCs w:val="21"/>
        </w:rPr>
        <w:t>-test</w:t>
      </w:r>
      <w:r w:rsidRPr="000D3C67">
        <w:rPr>
          <w:rFonts w:ascii="Times New Roman" w:hAnsi="Times New Roman" w:cs="Times New Roman"/>
          <w:szCs w:val="21"/>
        </w:rPr>
        <w:t>.</w:t>
      </w:r>
    </w:p>
    <w:p w:rsidR="008D699A" w:rsidRPr="000D3C67" w:rsidRDefault="000D3C67">
      <w:pPr>
        <w:spacing w:before="120" w:after="120"/>
        <w:rPr>
          <w:rFonts w:ascii="Times New Roman" w:hAnsi="Times New Roman" w:cs="Times New Roman"/>
          <w:szCs w:val="21"/>
        </w:rPr>
      </w:pPr>
      <w:r w:rsidRPr="000D3C67">
        <w:rPr>
          <w:rFonts w:ascii="Times New Roman" w:hAnsi="Times New Roman" w:cs="Times New Roman"/>
          <w:szCs w:val="21"/>
        </w:rPr>
        <w:br w:type="page"/>
      </w:r>
    </w:p>
    <w:p w:rsidR="008D699A" w:rsidRPr="000D3C67" w:rsidRDefault="000D3C67">
      <w:pPr>
        <w:spacing w:before="120" w:after="120"/>
        <w:jc w:val="center"/>
        <w:rPr>
          <w:rFonts w:ascii="Times New Roman" w:hAnsi="Times New Roman" w:cs="Times New Roman"/>
          <w:szCs w:val="21"/>
        </w:rPr>
      </w:pPr>
      <w:r w:rsidRPr="000D3C67">
        <w:rPr>
          <w:rFonts w:ascii="Times New Roman" w:hAnsi="Times New Roman" w:cs="Times New Roman"/>
          <w:noProof/>
          <w:szCs w:val="21"/>
          <w:lang w:val="en-IN" w:eastAsia="en-IN"/>
        </w:rPr>
        <w:drawing>
          <wp:inline distT="0" distB="0" distL="0" distR="0">
            <wp:extent cx="5270500" cy="2638425"/>
            <wp:effectExtent l="0" t="0" r="0" b="0"/>
            <wp:docPr id="1179298343" name="图片 44" descr="图片包含 背景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98343" name="图片 44" descr="图片包含 背景图案&#10;&#10;描述已自动生成"/>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270500" cy="263842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S55 </w:t>
      </w:r>
      <w:r w:rsidRPr="000D3C67">
        <w:rPr>
          <w:rFonts w:ascii="Times New Roman" w:hAnsi="Times New Roman" w:cs="Times New Roman"/>
          <w:color w:val="000000" w:themeColor="text1"/>
        </w:rPr>
        <w:t xml:space="preserve">H&amp;E staining images of the tissues (heart, liver, spleen, lung, and kidney) obtained from the </w:t>
      </w:r>
      <w:r w:rsidRPr="000D3C67">
        <w:rPr>
          <w:rFonts w:ascii="Times New Roman" w:hAnsi="Times New Roman" w:cs="Times New Roman"/>
          <w:color w:val="000000" w:themeColor="text1"/>
          <w:szCs w:val="21"/>
        </w:rPr>
        <w:t>melanoma-bearing mice post-different treatments</w:t>
      </w:r>
    </w:p>
    <w:p w:rsidR="008D699A" w:rsidRPr="000D3C67" w:rsidRDefault="000D3C67">
      <w:pPr>
        <w:spacing w:before="120" w:after="120"/>
        <w:jc w:val="center"/>
        <w:rPr>
          <w:rFonts w:ascii="Times New Roman" w:hAnsi="Times New Roman" w:cs="Times New Roman"/>
          <w:color w:val="000000" w:themeColor="text1"/>
        </w:rPr>
      </w:pPr>
      <w:r w:rsidRPr="000D3C67">
        <w:rPr>
          <w:rFonts w:ascii="Times New Roman" w:hAnsi="Times New Roman" w:cs="Times New Roman"/>
          <w:noProof/>
          <w:color w:val="000000" w:themeColor="text1"/>
          <w:lang w:val="en-IN" w:eastAsia="en-IN"/>
        </w:rPr>
        <w:drawing>
          <wp:inline distT="0" distB="0" distL="0" distR="0">
            <wp:extent cx="2133600" cy="1736090"/>
            <wp:effectExtent l="0" t="0" r="0" b="0"/>
            <wp:docPr id="21679095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90956" name="图片 17"/>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206136" cy="179521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S56 </w:t>
      </w:r>
      <w:r w:rsidRPr="000D3C67">
        <w:rPr>
          <w:rFonts w:ascii="Times New Roman" w:hAnsi="Times New Roman" w:cs="Times New Roman"/>
          <w:color w:val="000000" w:themeColor="text1"/>
        </w:rPr>
        <w:t>T</w:t>
      </w:r>
      <w:r w:rsidRPr="000D3C67">
        <w:rPr>
          <w:rFonts w:ascii="Times New Roman" w:hAnsi="Times New Roman" w:cs="Times New Roman"/>
          <w:color w:val="000000" w:themeColor="text1"/>
          <w:szCs w:val="21"/>
        </w:rPr>
        <w:t xml:space="preserve">he relative GSH levels in the tumors at 48 h post-different treatments. </w:t>
      </w:r>
      <w:r w:rsidRPr="000D3C67">
        <w:rPr>
          <w:rFonts w:ascii="Times New Roman" w:hAnsi="Times New Roman" w:cs="Times New Roman"/>
          <w:szCs w:val="21"/>
        </w:rPr>
        <w:t>Data are expressed as mean ± s</w:t>
      </w:r>
      <w:r w:rsidRPr="000D3C67">
        <w:rPr>
          <w:rFonts w:ascii="Times New Roman" w:hAnsi="Times New Roman" w:cs="Times New Roman"/>
          <w:szCs w:val="21"/>
        </w:rPr>
        <w:t>.e.m. (</w:t>
      </w:r>
      <w:r w:rsidRPr="000D3C67">
        <w:rPr>
          <w:rFonts w:ascii="Times New Roman" w:hAnsi="Times New Roman" w:cs="Times New Roman"/>
          <w:i/>
          <w:iCs/>
          <w:szCs w:val="21"/>
        </w:rPr>
        <w:t>n</w:t>
      </w:r>
      <w:r w:rsidRPr="000D3C67">
        <w:rPr>
          <w:rFonts w:ascii="Times New Roman" w:hAnsi="Times New Roman" w:cs="Times New Roman"/>
          <w:szCs w:val="21"/>
        </w:rPr>
        <w:t xml:space="preserve"> = 4 independent experiments). Statistical significance was determined by one-way ANOVA with Tukey’s </w:t>
      </w:r>
      <w:r w:rsidRPr="000D3C67">
        <w:rPr>
          <w:rFonts w:ascii="Times New Roman" w:hAnsi="Times New Roman" w:cs="Times New Roman"/>
          <w:i/>
          <w:iCs/>
          <w:szCs w:val="21"/>
        </w:rPr>
        <w:t>post-hoc</w:t>
      </w:r>
      <w:r w:rsidRPr="000D3C67">
        <w:rPr>
          <w:rFonts w:ascii="Times New Roman" w:hAnsi="Times New Roman" w:cs="Times New Roman"/>
          <w:szCs w:val="21"/>
        </w:rPr>
        <w:t xml:space="preserve"> test</w:t>
      </w:r>
    </w:p>
    <w:p w:rsidR="008D699A" w:rsidRPr="000D3C67" w:rsidRDefault="000D3C67">
      <w:pPr>
        <w:spacing w:before="120" w:after="120"/>
        <w:jc w:val="center"/>
        <w:rPr>
          <w:rFonts w:ascii="Times New Roman" w:hAnsi="Times New Roman" w:cs="Times New Roman"/>
          <w:b/>
          <w:bCs/>
          <w:color w:val="000000" w:themeColor="text1"/>
        </w:rPr>
      </w:pPr>
      <w:bookmarkStart w:id="94" w:name="OLE_LINK1245"/>
      <w:r w:rsidRPr="000D3C67">
        <w:rPr>
          <w:rFonts w:ascii="Times New Roman" w:hAnsi="Times New Roman" w:cs="Times New Roman"/>
          <w:b/>
          <w:bCs/>
          <w:noProof/>
          <w:color w:val="000000" w:themeColor="text1"/>
          <w:lang w:val="en-IN" w:eastAsia="en-IN"/>
        </w:rPr>
        <w:drawing>
          <wp:inline distT="0" distB="0" distL="0" distR="0">
            <wp:extent cx="5270500" cy="1746250"/>
            <wp:effectExtent l="0" t="0" r="0" b="0"/>
            <wp:docPr id="19834077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07746" name="图片 20"/>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270500" cy="174625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Fig. S57</w:t>
      </w:r>
      <w:r w:rsidRPr="000D3C67">
        <w:rPr>
          <w:rFonts w:ascii="Times New Roman" w:hAnsi="Times New Roman" w:cs="Times New Roman"/>
          <w:color w:val="000000" w:themeColor="text1"/>
        </w:rPr>
        <w:t xml:space="preserve"> a) </w:t>
      </w:r>
      <w:bookmarkStart w:id="95" w:name="OLE_LINK990"/>
      <w:r w:rsidRPr="000D3C67">
        <w:rPr>
          <w:rFonts w:ascii="Times New Roman" w:hAnsi="Times New Roman" w:cs="Times New Roman"/>
          <w:szCs w:val="21"/>
        </w:rPr>
        <w:t xml:space="preserve">Fluorescence images for </w:t>
      </w:r>
      <w:bookmarkStart w:id="96" w:name="OLE_LINK991"/>
      <w:r w:rsidRPr="000D3C67">
        <w:rPr>
          <w:rFonts w:ascii="Times New Roman" w:hAnsi="Times New Roman" w:cs="Times New Roman"/>
          <w:szCs w:val="21"/>
        </w:rPr>
        <w:t>DCFH-DA</w:t>
      </w:r>
      <w:bookmarkEnd w:id="96"/>
      <w:r w:rsidRPr="000D3C67">
        <w:rPr>
          <w:rFonts w:ascii="Times New Roman" w:hAnsi="Times New Roman" w:cs="Times New Roman"/>
          <w:szCs w:val="21"/>
        </w:rPr>
        <w:t xml:space="preserve"> staining in the tumor sections and b) corresponding intensity analysis. 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 </w:t>
      </w:r>
      <w:bookmarkStart w:id="97" w:name="OLE_LINK1243"/>
      <w:bookmarkStart w:id="98" w:name="OLE_LINK1242"/>
      <w:r w:rsidRPr="000D3C67">
        <w:rPr>
          <w:rFonts w:ascii="Times New Roman" w:hAnsi="Times New Roman" w:cs="Times New Roman"/>
          <w:szCs w:val="21"/>
        </w:rPr>
        <w:t>Statistical significance was determined by</w:t>
      </w:r>
      <w:bookmarkEnd w:id="95"/>
      <w:r w:rsidRPr="000D3C67">
        <w:rPr>
          <w:rFonts w:ascii="Times New Roman" w:hAnsi="Times New Roman" w:cs="Times New Roman"/>
        </w:rPr>
        <w:t xml:space="preserve"> </w:t>
      </w:r>
      <w:r w:rsidRPr="000D3C67">
        <w:rPr>
          <w:rFonts w:ascii="Times New Roman" w:hAnsi="Times New Roman" w:cs="Times New Roman"/>
          <w:szCs w:val="21"/>
        </w:rPr>
        <w:t xml:space="preserve">two-tailed Student’s </w:t>
      </w:r>
      <w:r w:rsidRPr="000D3C67">
        <w:rPr>
          <w:rFonts w:ascii="Times New Roman" w:hAnsi="Times New Roman" w:cs="Times New Roman"/>
          <w:i/>
          <w:iCs/>
          <w:szCs w:val="21"/>
        </w:rPr>
        <w:t>t</w:t>
      </w:r>
      <w:r w:rsidRPr="000D3C67">
        <w:rPr>
          <w:rFonts w:ascii="Times New Roman" w:hAnsi="Times New Roman" w:cs="Times New Roman"/>
          <w:szCs w:val="21"/>
        </w:rPr>
        <w:t>-test.</w:t>
      </w:r>
      <w:bookmarkEnd w:id="97"/>
    </w:p>
    <w:bookmarkEnd w:id="94"/>
    <w:bookmarkEnd w:id="98"/>
    <w:p w:rsidR="008D699A" w:rsidRPr="000D3C67" w:rsidRDefault="008D699A">
      <w:pPr>
        <w:spacing w:before="120" w:after="120"/>
        <w:rPr>
          <w:rFonts w:ascii="Times New Roman" w:hAnsi="Times New Roman" w:cs="Times New Roman"/>
          <w:color w:val="000000" w:themeColor="text1"/>
        </w:rPr>
      </w:pPr>
    </w:p>
    <w:p w:rsidR="008D699A" w:rsidRPr="000D3C67" w:rsidRDefault="008D699A">
      <w:pPr>
        <w:spacing w:before="120" w:after="120"/>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459730" cy="2724150"/>
            <wp:effectExtent l="0" t="0" r="7620" b="0"/>
            <wp:docPr id="418152947" name="图片 54"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52947" name="图片 54" descr="图片包含 游戏机&#10;&#10;描述已自动生成"/>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60965" cy="2724561"/>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S58 </w:t>
      </w:r>
      <w:r w:rsidRPr="000D3C67">
        <w:rPr>
          <w:rFonts w:ascii="Times New Roman" w:hAnsi="Times New Roman" w:cs="Times New Roman"/>
          <w:color w:val="000000" w:themeColor="text1"/>
          <w:szCs w:val="21"/>
        </w:rPr>
        <w:t xml:space="preserve">H&amp;E/Ki67/TUNEL staining </w:t>
      </w:r>
      <w:r w:rsidRPr="000D3C67">
        <w:rPr>
          <w:rFonts w:ascii="Times New Roman" w:hAnsi="Times New Roman" w:cs="Times New Roman"/>
          <w:color w:val="000000" w:themeColor="text1"/>
          <w:szCs w:val="21"/>
        </w:rPr>
        <w:t>analyses of the recurrent tumor tissues in the operative mice post-different treatments</w:t>
      </w: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8D699A">
      <w:pPr>
        <w:spacing w:before="120" w:after="120"/>
        <w:jc w:val="both"/>
        <w:rPr>
          <w:rFonts w:ascii="Times New Roman" w:hAnsi="Times New Roman" w:cs="Times New Roman"/>
          <w:color w:val="000000" w:themeColor="text1"/>
          <w:szCs w:val="21"/>
        </w:rPr>
      </w:pP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4912360" cy="2012950"/>
            <wp:effectExtent l="0" t="0" r="2540" b="6350"/>
            <wp:docPr id="942698015" name="图片 24"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98015" name="图片 24" descr="图表&#10;&#10;AI 生成的内容可能不正确。"/>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999231" cy="2048480"/>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bookmarkStart w:id="99" w:name="OLE_LINK1413"/>
      <w:bookmarkStart w:id="100" w:name="OLE_LINK1412"/>
      <w:r w:rsidRPr="000D3C67">
        <w:rPr>
          <w:rFonts w:ascii="Times New Roman" w:hAnsi="Times New Roman" w:cs="Times New Roman"/>
          <w:b/>
          <w:bCs/>
          <w:color w:val="000000" w:themeColor="text1"/>
        </w:rPr>
        <w:t xml:space="preserve">Fig. S59 </w:t>
      </w:r>
      <w:r w:rsidRPr="000D3C67">
        <w:rPr>
          <w:rFonts w:ascii="Times New Roman" w:hAnsi="Times New Roman" w:cs="Times New Roman"/>
          <w:color w:val="000000" w:themeColor="text1"/>
          <w:szCs w:val="21"/>
        </w:rPr>
        <w:t xml:space="preserve">a) Blood glucose level and b) body weight changes during different treatments for simultaneous tumor recurrence inhibition and wound healing acceleration. </w:t>
      </w:r>
      <w:r w:rsidRPr="000D3C67">
        <w:rPr>
          <w:rFonts w:ascii="Times New Roman" w:hAnsi="Times New Roman" w:cs="Times New Roman"/>
          <w:szCs w:val="21"/>
        </w:rPr>
        <w:t>Da</w:t>
      </w:r>
      <w:bookmarkEnd w:id="99"/>
      <w:r w:rsidRPr="000D3C67">
        <w:rPr>
          <w:rFonts w:ascii="Times New Roman" w:hAnsi="Times New Roman" w:cs="Times New Roman"/>
          <w:szCs w:val="21"/>
        </w:rPr>
        <w:t>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5 independent experiments). Statistical significance was determined by </w:t>
      </w:r>
      <w:r w:rsidRPr="000D3C67">
        <w:rPr>
          <w:rFonts w:ascii="Times New Roman" w:hAnsi="Times New Roman" w:cs="Times New Roman"/>
          <w:color w:val="000000" w:themeColor="text1"/>
          <w:szCs w:val="21"/>
        </w:rPr>
        <w:t xml:space="preserve">two-way ANOVA with Bonferroni’s </w:t>
      </w:r>
      <w:r w:rsidRPr="000D3C67">
        <w:rPr>
          <w:rFonts w:ascii="Times New Roman" w:hAnsi="Times New Roman" w:cs="Times New Roman"/>
          <w:i/>
          <w:iCs/>
          <w:color w:val="000000" w:themeColor="text1"/>
          <w:szCs w:val="21"/>
        </w:rPr>
        <w:t>post-hoc</w:t>
      </w:r>
      <w:r w:rsidRPr="000D3C67">
        <w:rPr>
          <w:rFonts w:ascii="Times New Roman" w:hAnsi="Times New Roman" w:cs="Times New Roman"/>
          <w:color w:val="000000" w:themeColor="text1"/>
          <w:szCs w:val="21"/>
        </w:rPr>
        <w:t xml:space="preserve"> test</w:t>
      </w:r>
      <w:r w:rsidRPr="000D3C67">
        <w:rPr>
          <w:rFonts w:ascii="Times New Roman" w:hAnsi="Times New Roman" w:cs="Times New Roman"/>
          <w:szCs w:val="21"/>
        </w:rPr>
        <w:t>.</w:t>
      </w:r>
      <w:bookmarkEnd w:id="100"/>
    </w:p>
    <w:p w:rsidR="008D699A" w:rsidRPr="000D3C67" w:rsidRDefault="000D3C67">
      <w:pPr>
        <w:spacing w:before="120" w:after="120"/>
        <w:rPr>
          <w:rFonts w:ascii="Times New Roman" w:hAnsi="Times New Roman" w:cs="Times New Roman"/>
          <w:color w:val="000000" w:themeColor="text1"/>
          <w:szCs w:val="21"/>
        </w:rPr>
      </w:pPr>
      <w:r w:rsidRPr="000D3C67">
        <w:rPr>
          <w:rFonts w:ascii="Times New Roman" w:hAnsi="Times New Roman" w:cs="Times New Roman"/>
          <w:color w:val="000000" w:themeColor="text1"/>
          <w:szCs w:val="21"/>
        </w:rPr>
        <w:br w:type="page"/>
      </w:r>
    </w:p>
    <w:p w:rsidR="008D699A" w:rsidRPr="000D3C67" w:rsidRDefault="000D3C67">
      <w:pPr>
        <w:spacing w:before="120" w:after="120"/>
        <w:jc w:val="center"/>
        <w:rPr>
          <w:rFonts w:ascii="Times New Roman" w:hAnsi="Times New Roman" w:cs="Times New Roman"/>
          <w:color w:val="000000" w:themeColor="text1"/>
          <w:szCs w:val="21"/>
        </w:rPr>
      </w:pPr>
      <w:r w:rsidRPr="000D3C67">
        <w:rPr>
          <w:rFonts w:ascii="Times New Roman" w:hAnsi="Times New Roman" w:cs="Times New Roman"/>
          <w:noProof/>
          <w:color w:val="000000" w:themeColor="text1"/>
          <w:szCs w:val="21"/>
          <w:lang w:val="en-IN" w:eastAsia="en-IN"/>
        </w:rPr>
        <w:drawing>
          <wp:inline distT="0" distB="0" distL="0" distR="0">
            <wp:extent cx="5270500" cy="4189095"/>
            <wp:effectExtent l="0" t="0" r="0" b="0"/>
            <wp:docPr id="6731229" name="图片 56" descr="背景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229" name="图片 56" descr="背景图案&#10;&#10;描述已自动生成"/>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270500" cy="418909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S60 </w:t>
      </w:r>
      <w:r w:rsidRPr="000D3C67">
        <w:rPr>
          <w:rFonts w:ascii="Times New Roman" w:hAnsi="Times New Roman" w:cs="Times New Roman"/>
          <w:color w:val="000000" w:themeColor="text1"/>
        </w:rPr>
        <w:t>H&amp;E staining images of the tissues (heart, liver, spleen, lung, and kidney) obtained</w:t>
      </w:r>
      <w:r w:rsidRPr="000D3C67">
        <w:rPr>
          <w:rFonts w:ascii="Times New Roman" w:hAnsi="Times New Roman" w:cs="Times New Roman"/>
          <w:color w:val="000000" w:themeColor="text1"/>
        </w:rPr>
        <w:t xml:space="preserve"> from </w:t>
      </w:r>
      <w:r w:rsidRPr="000D3C67">
        <w:rPr>
          <w:rFonts w:ascii="Times New Roman" w:hAnsi="Times New Roman" w:cs="Times New Roman"/>
          <w:color w:val="000000" w:themeColor="text1"/>
          <w:szCs w:val="21"/>
        </w:rPr>
        <w:t>the diabetic tumor resection mice post-different treatments</w:t>
      </w:r>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b/>
          <w:bCs/>
          <w:color w:val="FF0000"/>
        </w:rPr>
      </w:pPr>
      <w:bookmarkStart w:id="101" w:name="OLE_LINK1234"/>
      <w:r w:rsidRPr="000D3C67">
        <w:rPr>
          <w:rFonts w:ascii="Times New Roman" w:hAnsi="Times New Roman" w:cs="Times New Roman"/>
          <w:b/>
          <w:bCs/>
          <w:noProof/>
          <w:color w:val="FF0000"/>
          <w:lang w:val="en-IN" w:eastAsia="en-IN"/>
        </w:rPr>
        <w:drawing>
          <wp:inline distT="0" distB="0" distL="0" distR="0">
            <wp:extent cx="4105910" cy="1752600"/>
            <wp:effectExtent l="0" t="0" r="0" b="0"/>
            <wp:docPr id="865541417" name="图片 7"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41417" name="图片 7" descr="图表&#10;&#10;AI 生成的内容可能不正确。"/>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143876" cy="176938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S61 </w:t>
      </w:r>
      <w:r w:rsidRPr="000D3C67">
        <w:rPr>
          <w:rFonts w:ascii="Times New Roman" w:hAnsi="Times New Roman" w:cs="Times New Roman"/>
          <w:color w:val="000000" w:themeColor="text1"/>
          <w:szCs w:val="21"/>
        </w:rPr>
        <w:t xml:space="preserve">a) Blood glucose level and b) body weight changes during the long-term safety assessment in diabetic mice receiving repeat </w:t>
      </w:r>
      <w:bookmarkStart w:id="102" w:name="OLE_LINK1444"/>
      <w:r w:rsidRPr="000D3C67">
        <w:rPr>
          <w:rFonts w:ascii="Times New Roman" w:hAnsi="Times New Roman" w:cs="Times New Roman"/>
          <w:color w:val="000000" w:themeColor="text1"/>
          <w:szCs w:val="21"/>
        </w:rPr>
        <w:t>intravenous</w:t>
      </w:r>
      <w:bookmarkEnd w:id="102"/>
      <w:r w:rsidRPr="000D3C67">
        <w:rPr>
          <w:rFonts w:ascii="Times New Roman" w:hAnsi="Times New Roman" w:cs="Times New Roman"/>
          <w:color w:val="000000" w:themeColor="text1"/>
          <w:szCs w:val="21"/>
        </w:rPr>
        <w:t xml:space="preserve"> doses of PtSNC. </w:t>
      </w:r>
      <w:r w:rsidRPr="000D3C67">
        <w:rPr>
          <w:rFonts w:ascii="Times New Roman" w:hAnsi="Times New Roman" w:cs="Times New Roman"/>
          <w:szCs w:val="21"/>
        </w:rPr>
        <w:t xml:space="preserve">Data are expressed as mean </w:t>
      </w:r>
      <w:r w:rsidRPr="000D3C67">
        <w:rPr>
          <w:rFonts w:ascii="Times New Roman" w:hAnsi="Times New Roman" w:cs="Times New Roman"/>
          <w:szCs w:val="21"/>
        </w:rPr>
        <w:t>±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w:t>
      </w:r>
      <w:bookmarkEnd w:id="101"/>
      <w:r w:rsidRPr="000D3C67">
        <w:rPr>
          <w:rFonts w:ascii="Times New Roman" w:hAnsi="Times New Roman" w:cs="Times New Roman"/>
          <w:szCs w:val="21"/>
        </w:rPr>
        <w:br w:type="page"/>
      </w:r>
    </w:p>
    <w:p w:rsidR="008D699A" w:rsidRPr="000D3C67" w:rsidRDefault="000D3C67">
      <w:pPr>
        <w:spacing w:before="120" w:after="120"/>
        <w:jc w:val="center"/>
        <w:rPr>
          <w:rFonts w:ascii="Times New Roman" w:hAnsi="Times New Roman" w:cs="Times New Roman"/>
          <w:b/>
          <w:bCs/>
          <w:color w:val="FF0000"/>
        </w:rPr>
      </w:pPr>
      <w:bookmarkStart w:id="103" w:name="OLE_LINK1235"/>
      <w:r w:rsidRPr="000D3C67">
        <w:rPr>
          <w:rFonts w:ascii="Times New Roman" w:hAnsi="Times New Roman" w:cs="Times New Roman"/>
          <w:b/>
          <w:bCs/>
          <w:noProof/>
          <w:color w:val="FF0000"/>
          <w:lang w:val="en-IN" w:eastAsia="en-IN"/>
        </w:rPr>
        <w:drawing>
          <wp:inline distT="0" distB="0" distL="0" distR="0">
            <wp:extent cx="4314825" cy="3129280"/>
            <wp:effectExtent l="0" t="0" r="0" b="0"/>
            <wp:docPr id="723067044" name="图片 8"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67044" name="图片 8" descr="图表&#10;&#10;AI 生成的内容可能不正确。"/>
                    <pic:cNvPicPr>
                      <a:picLocks noChangeAspect="1"/>
                    </pic:cNvPicPr>
                  </pic:nvPicPr>
                  <pic:blipFill>
                    <a:blip r:embed="rId72" cstate="print">
                      <a:extLst>
                        <a:ext uri="{28A0092B-C50C-407E-A947-70E740481C1C}">
                          <a14:useLocalDpi xmlns:a14="http://schemas.microsoft.com/office/drawing/2010/main" val="0"/>
                        </a:ext>
                      </a:extLst>
                    </a:blip>
                    <a:srcRect t="8592" b="7988"/>
                    <a:stretch>
                      <a:fillRect/>
                    </a:stretch>
                  </pic:blipFill>
                  <pic:spPr>
                    <a:xfrm>
                      <a:off x="0" y="0"/>
                      <a:ext cx="4389992" cy="3184280"/>
                    </a:xfrm>
                    <a:prstGeom prst="rect">
                      <a:avLst/>
                    </a:prstGeom>
                    <a:ln>
                      <a:noFill/>
                    </a:ln>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S62 </w:t>
      </w:r>
      <w:r w:rsidRPr="000D3C67">
        <w:rPr>
          <w:rFonts w:ascii="Times New Roman" w:hAnsi="Times New Roman" w:cs="Times New Roman"/>
          <w:color w:val="000000" w:themeColor="text1"/>
          <w:szCs w:val="21"/>
        </w:rPr>
        <w:t>Blood-related parameter analysis of the diabetic mice</w:t>
      </w:r>
      <w:bookmarkStart w:id="104" w:name="OLE_LINK1436"/>
      <w:r w:rsidRPr="000D3C67">
        <w:rPr>
          <w:rFonts w:ascii="Times New Roman" w:hAnsi="Times New Roman" w:cs="Times New Roman"/>
          <w:color w:val="000000" w:themeColor="text1"/>
          <w:szCs w:val="21"/>
        </w:rPr>
        <w:t xml:space="preserve"> on day 31 post-systemic PtSNC injections.</w:t>
      </w:r>
      <w:bookmarkEnd w:id="104"/>
      <w:r w:rsidRPr="000D3C67">
        <w:rPr>
          <w:rFonts w:ascii="Times New Roman" w:hAnsi="Times New Roman" w:cs="Times New Roman"/>
          <w:color w:val="000000" w:themeColor="text1"/>
          <w:szCs w:val="21"/>
        </w:rPr>
        <w:t xml:space="preserve">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w:t>
      </w:r>
      <w:bookmarkEnd w:id="103"/>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b/>
          <w:bCs/>
          <w:color w:val="FF0000"/>
        </w:rPr>
      </w:pPr>
      <w:bookmarkStart w:id="105" w:name="OLE_LINK1438"/>
      <w:bookmarkStart w:id="106" w:name="OLE_LINK1437"/>
      <w:r w:rsidRPr="000D3C67">
        <w:rPr>
          <w:rFonts w:ascii="Times New Roman" w:hAnsi="Times New Roman" w:cs="Times New Roman"/>
          <w:b/>
          <w:bCs/>
          <w:noProof/>
          <w:color w:val="FF0000"/>
          <w:lang w:val="en-IN" w:eastAsia="en-IN"/>
        </w:rPr>
        <w:drawing>
          <wp:inline distT="0" distB="0" distL="0" distR="0">
            <wp:extent cx="5270500" cy="2780665"/>
            <wp:effectExtent l="0" t="0" r="0" b="0"/>
            <wp:docPr id="81183945" name="图片 9"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3945" name="图片 9" descr="图形用户界面, 应用程序&#10;&#10;AI 生成的内容可能不正确。"/>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270500" cy="2780665"/>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szCs w:val="21"/>
        </w:rPr>
      </w:pPr>
      <w:r w:rsidRPr="000D3C67">
        <w:rPr>
          <w:rFonts w:ascii="Times New Roman" w:hAnsi="Times New Roman" w:cs="Times New Roman"/>
          <w:b/>
          <w:bCs/>
          <w:color w:val="000000" w:themeColor="text1"/>
        </w:rPr>
        <w:t xml:space="preserve">Fig. S63 </w:t>
      </w:r>
      <w:r w:rsidRPr="000D3C67">
        <w:rPr>
          <w:rFonts w:ascii="Times New Roman" w:hAnsi="Times New Roman" w:cs="Times New Roman"/>
          <w:color w:val="000000" w:themeColor="text1"/>
        </w:rPr>
        <w:t xml:space="preserve">a-c) </w:t>
      </w:r>
      <w:r w:rsidRPr="000D3C67">
        <w:rPr>
          <w:rFonts w:ascii="Times New Roman" w:hAnsi="Times New Roman" w:cs="Times New Roman"/>
        </w:rPr>
        <w:t xml:space="preserve">Liver function, d,e) kidney function, and f) blood glucose analyses of </w:t>
      </w:r>
      <w:r w:rsidRPr="000D3C67">
        <w:rPr>
          <w:rFonts w:ascii="Times New Roman" w:hAnsi="Times New Roman" w:cs="Times New Roman"/>
          <w:color w:val="000000" w:themeColor="text1"/>
          <w:szCs w:val="21"/>
        </w:rPr>
        <w:t xml:space="preserve">the diabetic mice on day 31 </w:t>
      </w:r>
      <w:bookmarkStart w:id="107" w:name="OLE_LINK1440"/>
      <w:r w:rsidRPr="000D3C67">
        <w:rPr>
          <w:rFonts w:ascii="Times New Roman" w:hAnsi="Times New Roman" w:cs="Times New Roman"/>
          <w:color w:val="000000" w:themeColor="text1"/>
          <w:szCs w:val="21"/>
        </w:rPr>
        <w:t>post-systemic PtSNC injections</w:t>
      </w:r>
      <w:bookmarkEnd w:id="107"/>
      <w:r w:rsidRPr="000D3C67">
        <w:rPr>
          <w:rFonts w:ascii="Times New Roman" w:hAnsi="Times New Roman" w:cs="Times New Roman"/>
          <w:color w:val="000000" w:themeColor="text1"/>
          <w:szCs w:val="21"/>
        </w:rPr>
        <w:t xml:space="preserve">. Lighter gray bars represent the range of normal values obtained from the healthy mice. </w:t>
      </w:r>
      <w:r w:rsidRPr="000D3C67">
        <w:rPr>
          <w:rFonts w:ascii="Times New Roman" w:hAnsi="Times New Roman" w:cs="Times New Roman"/>
          <w:szCs w:val="21"/>
        </w:rPr>
        <w:t>Data are expressed as mean ± s.e.m. (</w:t>
      </w:r>
      <w:r w:rsidRPr="000D3C67">
        <w:rPr>
          <w:rFonts w:ascii="Times New Roman" w:hAnsi="Times New Roman" w:cs="Times New Roman"/>
          <w:i/>
          <w:iCs/>
          <w:szCs w:val="21"/>
        </w:rPr>
        <w:t>n</w:t>
      </w:r>
      <w:r w:rsidRPr="000D3C67">
        <w:rPr>
          <w:rFonts w:ascii="Times New Roman" w:hAnsi="Times New Roman" w:cs="Times New Roman"/>
          <w:szCs w:val="21"/>
        </w:rPr>
        <w:t xml:space="preserve"> = 3 independent experiments)</w:t>
      </w:r>
      <w:bookmarkStart w:id="108" w:name="OLE_LINK1441"/>
      <w:bookmarkEnd w:id="105"/>
      <w:bookmarkEnd w:id="106"/>
    </w:p>
    <w:p w:rsidR="008D699A" w:rsidRPr="000D3C67" w:rsidRDefault="008D699A">
      <w:pPr>
        <w:spacing w:before="120" w:after="120"/>
        <w:jc w:val="both"/>
        <w:rPr>
          <w:rFonts w:ascii="Times New Roman" w:hAnsi="Times New Roman" w:cs="Times New Roman"/>
          <w:b/>
          <w:bCs/>
          <w:color w:val="FF0000"/>
        </w:rPr>
      </w:pPr>
    </w:p>
    <w:p w:rsidR="008D699A" w:rsidRPr="000D3C67" w:rsidRDefault="008D699A">
      <w:pPr>
        <w:spacing w:before="120" w:after="120"/>
        <w:jc w:val="both"/>
        <w:rPr>
          <w:rFonts w:ascii="Times New Roman" w:hAnsi="Times New Roman" w:cs="Times New Roman"/>
          <w:b/>
          <w:bCs/>
          <w:color w:val="FF0000"/>
        </w:rPr>
      </w:pPr>
    </w:p>
    <w:p w:rsidR="008D699A" w:rsidRPr="000D3C67" w:rsidRDefault="008D699A">
      <w:pPr>
        <w:spacing w:before="120" w:after="120"/>
        <w:jc w:val="both"/>
        <w:rPr>
          <w:rFonts w:ascii="Times New Roman" w:hAnsi="Times New Roman" w:cs="Times New Roman"/>
          <w:b/>
          <w:bCs/>
          <w:color w:val="FF0000"/>
        </w:rPr>
      </w:pPr>
    </w:p>
    <w:p w:rsidR="008D699A" w:rsidRPr="000D3C67" w:rsidRDefault="008D699A">
      <w:pPr>
        <w:spacing w:before="120" w:after="120"/>
        <w:jc w:val="both"/>
        <w:rPr>
          <w:rFonts w:ascii="Times New Roman" w:hAnsi="Times New Roman" w:cs="Times New Roman"/>
          <w:b/>
          <w:bCs/>
          <w:color w:val="FF0000"/>
        </w:rPr>
      </w:pPr>
    </w:p>
    <w:p w:rsidR="008D699A" w:rsidRPr="000D3C67" w:rsidRDefault="000D3C67">
      <w:pPr>
        <w:spacing w:before="120" w:after="120"/>
        <w:jc w:val="both"/>
        <w:rPr>
          <w:rFonts w:ascii="Times New Roman" w:hAnsi="Times New Roman" w:cs="Times New Roman"/>
          <w:b/>
          <w:bCs/>
          <w:color w:val="FF0000"/>
        </w:rPr>
      </w:pPr>
      <w:r w:rsidRPr="000D3C67">
        <w:rPr>
          <w:rFonts w:ascii="Times New Roman" w:hAnsi="Times New Roman" w:cs="Times New Roman"/>
          <w:b/>
          <w:bCs/>
          <w:noProof/>
          <w:color w:val="FF0000"/>
          <w:lang w:val="en-IN" w:eastAsia="en-IN"/>
        </w:rPr>
        <w:drawing>
          <wp:inline distT="0" distB="0" distL="0" distR="0">
            <wp:extent cx="5431155" cy="2673350"/>
            <wp:effectExtent l="0" t="0" r="0" b="0"/>
            <wp:docPr id="220410026" name="图片 10"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10026" name="图片 10" descr="图片包含 图示&#10;&#10;AI 生成的内容可能不正确。"/>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436295" cy="2675574"/>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S64 </w:t>
      </w:r>
      <w:r w:rsidRPr="000D3C67">
        <w:rPr>
          <w:rFonts w:ascii="Times New Roman" w:hAnsi="Times New Roman" w:cs="Times New Roman"/>
          <w:color w:val="000000" w:themeColor="text1"/>
        </w:rPr>
        <w:t xml:space="preserve">H&amp;E staining images of the tissues (heart, liver, spleen, lung, and kidney) obtained from </w:t>
      </w:r>
      <w:r w:rsidRPr="000D3C67">
        <w:rPr>
          <w:rFonts w:ascii="Times New Roman" w:hAnsi="Times New Roman" w:cs="Times New Roman"/>
          <w:color w:val="000000" w:themeColor="text1"/>
          <w:szCs w:val="21"/>
        </w:rPr>
        <w:t>the diabetic mice post-systemic PtSNC injections</w:t>
      </w:r>
      <w:bookmarkEnd w:id="108"/>
    </w:p>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jc w:val="center"/>
        <w:rPr>
          <w:rFonts w:ascii="Times New Roman" w:hAnsi="Times New Roman" w:cs="Times New Roman"/>
          <w:color w:val="000000" w:themeColor="text1"/>
        </w:rPr>
      </w:pPr>
      <w:bookmarkStart w:id="109" w:name="OLE_LINK1236"/>
      <w:r w:rsidRPr="000D3C67">
        <w:rPr>
          <w:rFonts w:ascii="Times New Roman" w:hAnsi="Times New Roman" w:cs="Times New Roman"/>
          <w:noProof/>
          <w:color w:val="000000" w:themeColor="text1"/>
          <w:lang w:val="en-IN" w:eastAsia="en-IN"/>
        </w:rPr>
        <w:drawing>
          <wp:inline distT="0" distB="0" distL="0" distR="0">
            <wp:extent cx="5421630" cy="1339850"/>
            <wp:effectExtent l="0" t="0" r="7620" b="0"/>
            <wp:docPr id="1658479065" name="图片 11" descr="电脑萤幕画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79065" name="图片 11" descr="电脑萤幕画面&#10;&#10;AI 生成的内容可能不正确。"/>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25196" cy="1340612"/>
                    </a:xfrm>
                    <a:prstGeom prst="rect">
                      <a:avLst/>
                    </a:prstGeom>
                  </pic:spPr>
                </pic:pic>
              </a:graphicData>
            </a:graphic>
          </wp:inline>
        </w:drawing>
      </w:r>
    </w:p>
    <w:p w:rsidR="008D699A" w:rsidRPr="000D3C67" w:rsidRDefault="000D3C67">
      <w:pPr>
        <w:spacing w:before="120" w:after="120"/>
        <w:jc w:val="both"/>
        <w:rPr>
          <w:rFonts w:ascii="Times New Roman" w:hAnsi="Times New Roman" w:cs="Times New Roman"/>
          <w:color w:val="000000" w:themeColor="text1"/>
          <w:szCs w:val="21"/>
        </w:rPr>
      </w:pPr>
      <w:r w:rsidRPr="000D3C67">
        <w:rPr>
          <w:rFonts w:ascii="Times New Roman" w:hAnsi="Times New Roman" w:cs="Times New Roman"/>
          <w:b/>
          <w:bCs/>
          <w:color w:val="000000" w:themeColor="text1"/>
        </w:rPr>
        <w:t xml:space="preserve">Fig. S65 </w:t>
      </w:r>
      <w:r w:rsidRPr="000D3C67">
        <w:rPr>
          <w:rFonts w:ascii="Times New Roman" w:hAnsi="Times New Roman" w:cs="Times New Roman"/>
          <w:color w:val="000000" w:themeColor="text1"/>
        </w:rPr>
        <w:t xml:space="preserve">a) </w:t>
      </w:r>
      <w:r w:rsidRPr="000D3C67">
        <w:rPr>
          <w:rFonts w:ascii="Times New Roman" w:hAnsi="Times New Roman" w:cs="Times New Roman"/>
          <w:color w:val="000000" w:themeColor="text1"/>
          <w:szCs w:val="21"/>
        </w:rPr>
        <w:t xml:space="preserve">In vivo and b) ex vivo </w:t>
      </w:r>
      <w:bookmarkStart w:id="110" w:name="OLE_LINK1445"/>
      <w:r w:rsidRPr="000D3C67">
        <w:rPr>
          <w:rFonts w:ascii="Times New Roman" w:hAnsi="Times New Roman" w:cs="Times New Roman"/>
          <w:color w:val="000000" w:themeColor="text1"/>
          <w:szCs w:val="21"/>
        </w:rPr>
        <w:t xml:space="preserve">fluorescence </w:t>
      </w:r>
      <w:bookmarkEnd w:id="110"/>
      <w:r w:rsidRPr="000D3C67">
        <w:rPr>
          <w:rFonts w:ascii="Times New Roman" w:hAnsi="Times New Roman" w:cs="Times New Roman"/>
          <w:color w:val="000000" w:themeColor="text1"/>
          <w:szCs w:val="21"/>
        </w:rPr>
        <w:t xml:space="preserve">imaging analyses for </w:t>
      </w:r>
      <w:r w:rsidRPr="000D3C67">
        <w:rPr>
          <w:rFonts w:ascii="Times New Roman" w:hAnsi="Times New Roman" w:cs="Times New Roman"/>
          <w:color w:val="000000" w:themeColor="text1"/>
          <w:szCs w:val="21"/>
        </w:rPr>
        <w:t>the diabetic mice after intravenous injection of the Cy5-labeled PtSNC for different time periods. c) The fluorescence image of the feces</w:t>
      </w:r>
      <w:r w:rsidRPr="000D3C67">
        <w:rPr>
          <w:rFonts w:ascii="Times New Roman" w:hAnsi="Times New Roman" w:cs="Times New Roman"/>
        </w:rPr>
        <w:t xml:space="preserve"> </w:t>
      </w:r>
      <w:r w:rsidRPr="000D3C67">
        <w:rPr>
          <w:rFonts w:ascii="Times New Roman" w:hAnsi="Times New Roman" w:cs="Times New Roman"/>
          <w:color w:val="000000" w:themeColor="text1"/>
          <w:szCs w:val="21"/>
        </w:rPr>
        <w:t>from the PtSNC-treated mice at 24 h or untreated mice</w:t>
      </w:r>
      <w:bookmarkEnd w:id="109"/>
    </w:p>
    <w:p w:rsidR="008D699A" w:rsidRPr="000D3C67" w:rsidRDefault="000D3C67">
      <w:pPr>
        <w:spacing w:before="240" w:after="240"/>
        <w:jc w:val="both"/>
        <w:rPr>
          <w:rFonts w:ascii="Times New Roman" w:hAnsi="Times New Roman" w:cs="Times New Roman"/>
          <w:b/>
          <w:sz w:val="32"/>
          <w:szCs w:val="32"/>
        </w:rPr>
      </w:pPr>
      <w:r w:rsidRPr="000D3C67">
        <w:rPr>
          <w:rFonts w:ascii="Times New Roman" w:hAnsi="Times New Roman" w:cs="Times New Roman"/>
          <w:b/>
          <w:sz w:val="28"/>
          <w:szCs w:val="28"/>
        </w:rPr>
        <w:t>S3 Supplementary Tables</w:t>
      </w:r>
    </w:p>
    <w:p w:rsidR="008D699A" w:rsidRPr="000D3C67" w:rsidRDefault="000D3C67">
      <w:pPr>
        <w:spacing w:before="120" w:after="120"/>
        <w:jc w:val="both"/>
        <w:rPr>
          <w:rFonts w:ascii="Times New Roman" w:hAnsi="Times New Roman" w:cs="Times New Roman"/>
          <w:color w:val="000000" w:themeColor="text1"/>
        </w:rPr>
      </w:pPr>
      <w:r w:rsidRPr="000D3C67">
        <w:rPr>
          <w:rFonts w:ascii="Times New Roman" w:hAnsi="Times New Roman" w:cs="Times New Roman"/>
          <w:b/>
          <w:bCs/>
          <w:color w:val="000000" w:themeColor="text1"/>
        </w:rPr>
        <w:t xml:space="preserve">Table S1 </w:t>
      </w:r>
      <w:r w:rsidRPr="000D3C67">
        <w:rPr>
          <w:rFonts w:ascii="Times New Roman" w:hAnsi="Times New Roman" w:cs="Times New Roman"/>
          <w:color w:val="000000" w:themeColor="text1"/>
        </w:rPr>
        <w:t>The</w:t>
      </w:r>
      <w:r w:rsidRPr="000D3C67">
        <w:rPr>
          <w:rFonts w:ascii="Times New Roman" w:hAnsi="Times New Roman" w:cs="Times New Roman"/>
          <w:b/>
          <w:bCs/>
          <w:color w:val="000000" w:themeColor="text1"/>
        </w:rPr>
        <w:t xml:space="preserve"> </w:t>
      </w:r>
      <w:r w:rsidRPr="000D3C67">
        <w:rPr>
          <w:rFonts w:ascii="Times New Roman" w:hAnsi="Times New Roman" w:cs="Times New Roman"/>
          <w:color w:val="000000" w:themeColor="text1"/>
        </w:rPr>
        <w:t xml:space="preserve">Pt content in the PtSNC </w:t>
      </w:r>
      <w:r w:rsidRPr="000D3C67">
        <w:rPr>
          <w:rFonts w:ascii="Times New Roman" w:hAnsi="Times New Roman" w:cs="Times New Roman"/>
          <w:color w:val="000000" w:themeColor="text1"/>
        </w:rPr>
        <w:t>determined by different methods</w:t>
      </w:r>
    </w:p>
    <w:tbl>
      <w:tblPr>
        <w:tblW w:w="3386" w:type="dxa"/>
        <w:jc w:val="center"/>
        <w:tblCellMar>
          <w:left w:w="0" w:type="dxa"/>
          <w:right w:w="0" w:type="dxa"/>
        </w:tblCellMar>
        <w:tblLook w:val="04A0" w:firstRow="1" w:lastRow="0" w:firstColumn="1" w:lastColumn="0" w:noHBand="0" w:noVBand="1"/>
      </w:tblPr>
      <w:tblGrid>
        <w:gridCol w:w="1087"/>
        <w:gridCol w:w="1111"/>
        <w:gridCol w:w="1188"/>
      </w:tblGrid>
      <w:tr w:rsidR="008D699A" w:rsidRPr="000D3C67">
        <w:trPr>
          <w:trHeight w:val="374"/>
          <w:jc w:val="center"/>
        </w:trPr>
        <w:tc>
          <w:tcPr>
            <w:tcW w:w="1087"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b/>
                <w:bCs/>
                <w:color w:val="FFFFFF" w:themeColor="background1"/>
                <w:kern w:val="2"/>
                <w:sz w:val="21"/>
                <w:szCs w:val="21"/>
              </w:rPr>
            </w:pPr>
            <w:r w:rsidRPr="000D3C67">
              <w:rPr>
                <w:rFonts w:ascii="Times New Roman" w:eastAsiaTheme="minorEastAsia" w:hAnsi="Times New Roman" w:cs="Times New Roman"/>
                <w:b/>
                <w:bCs/>
                <w:color w:val="FFFFFF" w:themeColor="background1"/>
                <w:kern w:val="2"/>
                <w:sz w:val="21"/>
                <w:szCs w:val="21"/>
              </w:rPr>
              <w:t>Method</w:t>
            </w:r>
          </w:p>
        </w:tc>
        <w:tc>
          <w:tcPr>
            <w:tcW w:w="1111"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b/>
                <w:bCs/>
                <w:color w:val="FFFFFF" w:themeColor="background1"/>
                <w:kern w:val="2"/>
                <w:sz w:val="21"/>
                <w:szCs w:val="21"/>
              </w:rPr>
            </w:pPr>
            <w:r w:rsidRPr="000D3C67">
              <w:rPr>
                <w:rFonts w:ascii="Times New Roman" w:eastAsiaTheme="minorEastAsia" w:hAnsi="Times New Roman" w:cs="Times New Roman"/>
                <w:b/>
                <w:bCs/>
                <w:color w:val="FFFFFF" w:themeColor="background1"/>
                <w:kern w:val="2"/>
                <w:sz w:val="21"/>
                <w:szCs w:val="21"/>
              </w:rPr>
              <w:t>Element</w:t>
            </w:r>
          </w:p>
        </w:tc>
        <w:tc>
          <w:tcPr>
            <w:tcW w:w="1188"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b/>
                <w:bCs/>
                <w:color w:val="FFFFFF" w:themeColor="background1"/>
                <w:kern w:val="2"/>
                <w:sz w:val="21"/>
                <w:szCs w:val="21"/>
              </w:rPr>
            </w:pPr>
            <w:r w:rsidRPr="000D3C67">
              <w:rPr>
                <w:rFonts w:ascii="Times New Roman" w:eastAsiaTheme="minorEastAsia" w:hAnsi="Times New Roman" w:cs="Times New Roman"/>
                <w:b/>
                <w:bCs/>
                <w:color w:val="FFFFFF" w:themeColor="background1"/>
                <w:kern w:val="2"/>
                <w:sz w:val="21"/>
                <w:szCs w:val="21"/>
              </w:rPr>
              <w:t>Wt%</w:t>
            </w:r>
          </w:p>
        </w:tc>
      </w:tr>
      <w:tr w:rsidR="008D699A" w:rsidRPr="000D3C67">
        <w:trPr>
          <w:trHeight w:val="248"/>
          <w:jc w:val="center"/>
        </w:trPr>
        <w:tc>
          <w:tcPr>
            <w:tcW w:w="1087"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kern w:val="2"/>
                <w:sz w:val="21"/>
                <w:szCs w:val="21"/>
              </w:rPr>
            </w:pPr>
            <w:r w:rsidRPr="000D3C67">
              <w:rPr>
                <w:rFonts w:ascii="Times New Roman" w:eastAsiaTheme="minorEastAsia" w:hAnsi="Times New Roman" w:cs="Times New Roman"/>
                <w:kern w:val="2"/>
                <w:sz w:val="21"/>
                <w:szCs w:val="21"/>
              </w:rPr>
              <w:t>EDS</w:t>
            </w:r>
          </w:p>
        </w:tc>
        <w:tc>
          <w:tcPr>
            <w:tcW w:w="1111"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kern w:val="2"/>
                <w:sz w:val="21"/>
                <w:szCs w:val="21"/>
              </w:rPr>
            </w:pPr>
            <w:r w:rsidRPr="000D3C67">
              <w:rPr>
                <w:rFonts w:ascii="Times New Roman" w:eastAsiaTheme="minorEastAsia" w:hAnsi="Times New Roman" w:cs="Times New Roman"/>
                <w:kern w:val="2"/>
                <w:sz w:val="21"/>
                <w:szCs w:val="21"/>
              </w:rPr>
              <w:t>Pt</w:t>
            </w:r>
          </w:p>
        </w:tc>
        <w:tc>
          <w:tcPr>
            <w:tcW w:w="1188"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kern w:val="2"/>
                <w:sz w:val="21"/>
                <w:szCs w:val="21"/>
              </w:rPr>
            </w:pPr>
            <w:r w:rsidRPr="000D3C67">
              <w:rPr>
                <w:rFonts w:ascii="Times New Roman" w:eastAsiaTheme="minorEastAsia" w:hAnsi="Times New Roman" w:cs="Times New Roman"/>
                <w:kern w:val="2"/>
                <w:sz w:val="21"/>
                <w:szCs w:val="21"/>
              </w:rPr>
              <w:t>3.69%</w:t>
            </w:r>
          </w:p>
        </w:tc>
      </w:tr>
      <w:tr w:rsidR="008D699A" w:rsidRPr="000D3C67">
        <w:trPr>
          <w:trHeight w:val="248"/>
          <w:jc w:val="center"/>
        </w:trPr>
        <w:tc>
          <w:tcPr>
            <w:tcW w:w="108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color w:val="000000" w:themeColor="text1"/>
                <w:kern w:val="2"/>
                <w:sz w:val="21"/>
                <w:szCs w:val="21"/>
              </w:rPr>
            </w:pPr>
            <w:r w:rsidRPr="000D3C67">
              <w:rPr>
                <w:rFonts w:ascii="Times New Roman" w:eastAsiaTheme="minorEastAsia" w:hAnsi="Times New Roman" w:cs="Times New Roman"/>
                <w:color w:val="000000" w:themeColor="text1"/>
                <w:kern w:val="2"/>
                <w:sz w:val="21"/>
                <w:szCs w:val="21"/>
              </w:rPr>
              <w:t>ICP-MS</w:t>
            </w:r>
          </w:p>
        </w:tc>
        <w:tc>
          <w:tcPr>
            <w:tcW w:w="1111"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color w:val="000000" w:themeColor="text1"/>
                <w:kern w:val="2"/>
                <w:sz w:val="21"/>
                <w:szCs w:val="21"/>
              </w:rPr>
            </w:pPr>
            <w:r w:rsidRPr="000D3C67">
              <w:rPr>
                <w:rFonts w:ascii="Times New Roman" w:eastAsiaTheme="minorEastAsia" w:hAnsi="Times New Roman" w:cs="Times New Roman"/>
                <w:color w:val="000000" w:themeColor="text1"/>
                <w:kern w:val="2"/>
                <w:sz w:val="21"/>
                <w:szCs w:val="21"/>
              </w:rPr>
              <w:t>Pt</w:t>
            </w:r>
          </w:p>
        </w:tc>
        <w:tc>
          <w:tcPr>
            <w:tcW w:w="118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color w:val="000000" w:themeColor="text1"/>
                <w:kern w:val="2"/>
                <w:sz w:val="21"/>
                <w:szCs w:val="21"/>
              </w:rPr>
            </w:pPr>
            <w:r w:rsidRPr="000D3C67">
              <w:rPr>
                <w:rFonts w:ascii="Times New Roman" w:eastAsiaTheme="minorEastAsia" w:hAnsi="Times New Roman" w:cs="Times New Roman"/>
                <w:color w:val="000000" w:themeColor="text1"/>
                <w:kern w:val="2"/>
                <w:sz w:val="21"/>
                <w:szCs w:val="21"/>
              </w:rPr>
              <w:t>4.15%</w:t>
            </w:r>
          </w:p>
        </w:tc>
      </w:tr>
      <w:tr w:rsidR="008D699A" w:rsidRPr="000D3C67">
        <w:trPr>
          <w:trHeight w:val="248"/>
          <w:jc w:val="center"/>
        </w:trPr>
        <w:tc>
          <w:tcPr>
            <w:tcW w:w="1087"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kern w:val="2"/>
                <w:sz w:val="21"/>
                <w:szCs w:val="21"/>
              </w:rPr>
            </w:pPr>
            <w:r w:rsidRPr="000D3C67">
              <w:rPr>
                <w:rFonts w:ascii="Times New Roman" w:eastAsiaTheme="minorEastAsia" w:hAnsi="Times New Roman" w:cs="Times New Roman"/>
                <w:kern w:val="2"/>
                <w:sz w:val="21"/>
                <w:szCs w:val="21"/>
              </w:rPr>
              <w:t>XPS</w:t>
            </w:r>
          </w:p>
        </w:tc>
        <w:tc>
          <w:tcPr>
            <w:tcW w:w="1111"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kern w:val="2"/>
                <w:sz w:val="21"/>
                <w:szCs w:val="21"/>
              </w:rPr>
            </w:pPr>
            <w:r w:rsidRPr="000D3C67">
              <w:rPr>
                <w:rFonts w:ascii="Times New Roman" w:eastAsiaTheme="minorEastAsia" w:hAnsi="Times New Roman" w:cs="Times New Roman"/>
                <w:kern w:val="2"/>
                <w:sz w:val="21"/>
                <w:szCs w:val="21"/>
              </w:rPr>
              <w:t>Pt</w:t>
            </w:r>
          </w:p>
        </w:tc>
        <w:tc>
          <w:tcPr>
            <w:tcW w:w="1188"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rsidR="008D699A" w:rsidRPr="000D3C67" w:rsidRDefault="000D3C67">
            <w:pPr>
              <w:widowControl w:val="0"/>
              <w:spacing w:before="120" w:after="120"/>
              <w:jc w:val="center"/>
              <w:rPr>
                <w:rFonts w:ascii="Times New Roman" w:eastAsiaTheme="minorEastAsia" w:hAnsi="Times New Roman" w:cs="Times New Roman"/>
                <w:kern w:val="2"/>
                <w:sz w:val="21"/>
                <w:szCs w:val="21"/>
              </w:rPr>
            </w:pPr>
            <w:r w:rsidRPr="000D3C67">
              <w:rPr>
                <w:rFonts w:ascii="Times New Roman" w:eastAsiaTheme="minorEastAsia" w:hAnsi="Times New Roman" w:cs="Times New Roman"/>
                <w:kern w:val="2"/>
                <w:sz w:val="21"/>
                <w:szCs w:val="21"/>
              </w:rPr>
              <w:t>4.72%</w:t>
            </w:r>
          </w:p>
        </w:tc>
      </w:tr>
    </w:tbl>
    <w:p w:rsidR="008D699A" w:rsidRPr="000D3C67" w:rsidRDefault="008D699A">
      <w:pPr>
        <w:spacing w:before="120" w:after="120"/>
        <w:jc w:val="both"/>
        <w:rPr>
          <w:rFonts w:ascii="Times New Roman" w:hAnsi="Times New Roman" w:cs="Times New Roman"/>
          <w:b/>
          <w:sz w:val="28"/>
          <w:szCs w:val="28"/>
        </w:rPr>
      </w:pPr>
    </w:p>
    <w:p w:rsidR="008D699A" w:rsidRPr="000D3C67" w:rsidRDefault="000D3C67">
      <w:pPr>
        <w:spacing w:before="120" w:after="120"/>
        <w:jc w:val="both"/>
        <w:rPr>
          <w:rFonts w:ascii="Times New Roman" w:hAnsi="Times New Roman" w:cs="Times New Roman"/>
          <w:color w:val="000000" w:themeColor="text1"/>
        </w:rPr>
      </w:pPr>
      <w:bookmarkStart w:id="111" w:name="OLE_LINK1106"/>
      <w:r w:rsidRPr="000D3C67">
        <w:rPr>
          <w:rFonts w:ascii="Times New Roman" w:hAnsi="Times New Roman" w:cs="Times New Roman"/>
          <w:b/>
          <w:bCs/>
          <w:color w:val="000000" w:themeColor="text1"/>
        </w:rPr>
        <w:t xml:space="preserve">Table S2 </w:t>
      </w:r>
      <w:r w:rsidRPr="000D3C67">
        <w:rPr>
          <w:rFonts w:ascii="Times New Roman" w:hAnsi="Times New Roman" w:cs="Times New Roman"/>
          <w:color w:val="000000" w:themeColor="text1"/>
        </w:rPr>
        <w:t>EXAFS fitting parameters at the Pt L3-edge for various samples</w:t>
      </w:r>
    </w:p>
    <w:tbl>
      <w:tblPr>
        <w:tblW w:w="8354" w:type="dxa"/>
        <w:tblInd w:w="118" w:type="dxa"/>
        <w:tblCellMar>
          <w:left w:w="0" w:type="dxa"/>
          <w:right w:w="0" w:type="dxa"/>
        </w:tblCellMar>
        <w:tblLook w:val="04A0" w:firstRow="1" w:lastRow="0" w:firstColumn="1" w:lastColumn="0" w:noHBand="0" w:noVBand="1"/>
      </w:tblPr>
      <w:tblGrid>
        <w:gridCol w:w="1141"/>
        <w:gridCol w:w="1176"/>
        <w:gridCol w:w="799"/>
        <w:gridCol w:w="1295"/>
        <w:gridCol w:w="1249"/>
        <w:gridCol w:w="1418"/>
        <w:gridCol w:w="1276"/>
      </w:tblGrid>
      <w:tr w:rsidR="008D699A" w:rsidRPr="000D3C67">
        <w:trPr>
          <w:trHeight w:val="362"/>
        </w:trPr>
        <w:tc>
          <w:tcPr>
            <w:tcW w:w="114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bookmarkEnd w:id="111"/>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color w:val="FFFFFF" w:themeColor="background1"/>
                <w:sz w:val="21"/>
                <w:szCs w:val="21"/>
              </w:rPr>
              <w:t>Sample</w:t>
            </w:r>
          </w:p>
        </w:tc>
        <w:tc>
          <w:tcPr>
            <w:tcW w:w="117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color w:val="FFFFFF" w:themeColor="background1"/>
                <w:sz w:val="21"/>
                <w:szCs w:val="21"/>
              </w:rPr>
              <w:t>Path</w:t>
            </w:r>
          </w:p>
        </w:tc>
        <w:tc>
          <w:tcPr>
            <w:tcW w:w="79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i/>
                <w:iCs/>
                <w:color w:val="FFFFFF" w:themeColor="background1"/>
                <w:sz w:val="21"/>
                <w:szCs w:val="21"/>
              </w:rPr>
              <w:t>CN</w:t>
            </w:r>
          </w:p>
        </w:tc>
        <w:tc>
          <w:tcPr>
            <w:tcW w:w="129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i/>
                <w:iCs/>
                <w:color w:val="FFFFFF" w:themeColor="background1"/>
                <w:sz w:val="21"/>
                <w:szCs w:val="21"/>
              </w:rPr>
              <w:t xml:space="preserve">R </w:t>
            </w:r>
            <w:r w:rsidRPr="000D3C67">
              <w:rPr>
                <w:rFonts w:ascii="Times New Roman" w:hAnsi="Times New Roman" w:cs="Times New Roman"/>
                <w:b/>
                <w:bCs/>
                <w:color w:val="FFFFFF" w:themeColor="background1"/>
                <w:sz w:val="21"/>
                <w:szCs w:val="21"/>
              </w:rPr>
              <w:t>(Å)</w:t>
            </w:r>
          </w:p>
        </w:tc>
        <w:tc>
          <w:tcPr>
            <w:tcW w:w="124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i/>
                <w:iCs/>
                <w:color w:val="FFFFFF" w:themeColor="background1"/>
                <w:sz w:val="21"/>
                <w:szCs w:val="21"/>
              </w:rPr>
              <w:t>σ</w:t>
            </w:r>
            <w:r w:rsidRPr="000D3C67">
              <w:rPr>
                <w:rFonts w:ascii="Times New Roman" w:hAnsi="Times New Roman" w:cs="Times New Roman"/>
                <w:b/>
                <w:bCs/>
                <w:i/>
                <w:iCs/>
                <w:color w:val="FFFFFF" w:themeColor="background1"/>
                <w:sz w:val="21"/>
                <w:szCs w:val="21"/>
                <w:vertAlign w:val="superscript"/>
              </w:rPr>
              <w:t xml:space="preserve">2 </w:t>
            </w:r>
            <w:r w:rsidRPr="000D3C67">
              <w:rPr>
                <w:rFonts w:ascii="Times New Roman" w:hAnsi="Times New Roman" w:cs="Times New Roman"/>
                <w:b/>
                <w:bCs/>
                <w:color w:val="FFFFFF" w:themeColor="background1"/>
                <w:sz w:val="21"/>
                <w:szCs w:val="21"/>
              </w:rPr>
              <w:t>(Å</w:t>
            </w:r>
            <w:r w:rsidRPr="000D3C67">
              <w:rPr>
                <w:rFonts w:ascii="Times New Roman" w:hAnsi="Times New Roman" w:cs="Times New Roman"/>
                <w:b/>
                <w:bCs/>
                <w:color w:val="FFFFFF" w:themeColor="background1"/>
                <w:sz w:val="21"/>
                <w:szCs w:val="21"/>
                <w:vertAlign w:val="superscript"/>
              </w:rPr>
              <w:t>2</w:t>
            </w:r>
            <w:r w:rsidRPr="000D3C67">
              <w:rPr>
                <w:rFonts w:ascii="Times New Roman" w:hAnsi="Times New Roman" w:cs="Times New Roman"/>
                <w:b/>
                <w:bCs/>
                <w:color w:val="FFFFFF" w:themeColor="background1"/>
                <w:sz w:val="21"/>
                <w:szCs w:val="21"/>
              </w:rPr>
              <w:t>)</w:t>
            </w:r>
          </w:p>
        </w:tc>
        <w:tc>
          <w:tcPr>
            <w:tcW w:w="1418"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i/>
                <w:iCs/>
                <w:color w:val="FFFFFF" w:themeColor="background1"/>
                <w:sz w:val="21"/>
                <w:szCs w:val="21"/>
              </w:rPr>
              <w:t>ΔE</w:t>
            </w:r>
            <w:r w:rsidRPr="000D3C67">
              <w:rPr>
                <w:rFonts w:ascii="Times New Roman" w:hAnsi="Times New Roman" w:cs="Times New Roman"/>
                <w:b/>
                <w:bCs/>
                <w:color w:val="FFFFFF" w:themeColor="background1"/>
                <w:sz w:val="21"/>
                <w:szCs w:val="21"/>
                <w:vertAlign w:val="subscript"/>
              </w:rPr>
              <w:t xml:space="preserve">0 </w:t>
            </w:r>
            <w:r w:rsidRPr="000D3C67">
              <w:rPr>
                <w:rFonts w:ascii="Times New Roman" w:hAnsi="Times New Roman" w:cs="Times New Roman"/>
                <w:b/>
                <w:bCs/>
                <w:color w:val="FFFFFF" w:themeColor="background1"/>
                <w:sz w:val="21"/>
                <w:szCs w:val="21"/>
              </w:rPr>
              <w:t>(eV)</w:t>
            </w:r>
          </w:p>
        </w:tc>
        <w:tc>
          <w:tcPr>
            <w:tcW w:w="127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b/>
                <w:bCs/>
                <w:color w:val="FFFFFF" w:themeColor="background1"/>
                <w:sz w:val="21"/>
                <w:szCs w:val="21"/>
              </w:rPr>
            </w:pPr>
            <w:r w:rsidRPr="000D3C67">
              <w:rPr>
                <w:rFonts w:ascii="Times New Roman" w:hAnsi="Times New Roman" w:cs="Times New Roman"/>
                <w:b/>
                <w:bCs/>
                <w:i/>
                <w:iCs/>
                <w:color w:val="FFFFFF" w:themeColor="background1"/>
                <w:sz w:val="21"/>
                <w:szCs w:val="21"/>
              </w:rPr>
              <w:t>R</w:t>
            </w:r>
            <w:r w:rsidRPr="000D3C67">
              <w:rPr>
                <w:rFonts w:ascii="Times New Roman" w:hAnsi="Times New Roman" w:cs="Times New Roman"/>
                <w:b/>
                <w:bCs/>
                <w:color w:val="FFFFFF" w:themeColor="background1"/>
                <w:sz w:val="21"/>
                <w:szCs w:val="21"/>
              </w:rPr>
              <w:t xml:space="preserve"> factor</w:t>
            </w:r>
          </w:p>
        </w:tc>
      </w:tr>
      <w:tr w:rsidR="008D699A" w:rsidRPr="000D3C67">
        <w:trPr>
          <w:trHeight w:val="362"/>
        </w:trPr>
        <w:tc>
          <w:tcPr>
            <w:tcW w:w="1141"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color w:val="FFFFFF" w:themeColor="background1"/>
                <w:sz w:val="21"/>
                <w:szCs w:val="21"/>
              </w:rPr>
            </w:pPr>
            <w:r w:rsidRPr="000D3C67">
              <w:rPr>
                <w:rFonts w:ascii="Times New Roman" w:hAnsi="Times New Roman" w:cs="Times New Roman"/>
                <w:color w:val="FFFFFF" w:themeColor="background1"/>
                <w:sz w:val="21"/>
                <w:szCs w:val="21"/>
                <w:lang w:val="fr-FR"/>
              </w:rPr>
              <w:t>Pt foil</w:t>
            </w:r>
          </w:p>
        </w:tc>
        <w:tc>
          <w:tcPr>
            <w:tcW w:w="117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Pt-Pt</w:t>
            </w:r>
          </w:p>
        </w:tc>
        <w:tc>
          <w:tcPr>
            <w:tcW w:w="79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12.00</w:t>
            </w:r>
          </w:p>
        </w:tc>
        <w:tc>
          <w:tcPr>
            <w:tcW w:w="129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2.75</w:t>
            </w:r>
          </w:p>
        </w:tc>
        <w:tc>
          <w:tcPr>
            <w:tcW w:w="124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0.0049</w:t>
            </w:r>
          </w:p>
        </w:tc>
        <w:tc>
          <w:tcPr>
            <w:tcW w:w="141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8.47</w:t>
            </w:r>
          </w:p>
        </w:tc>
        <w:tc>
          <w:tcPr>
            <w:tcW w:w="127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0.0127</w:t>
            </w:r>
          </w:p>
        </w:tc>
      </w:tr>
      <w:tr w:rsidR="008D699A" w:rsidRPr="000D3C67">
        <w:trPr>
          <w:trHeight w:val="362"/>
        </w:trPr>
        <w:tc>
          <w:tcPr>
            <w:tcW w:w="114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color w:val="FFFFFF" w:themeColor="background1"/>
                <w:sz w:val="21"/>
                <w:szCs w:val="21"/>
              </w:rPr>
            </w:pPr>
            <w:r w:rsidRPr="000D3C67">
              <w:rPr>
                <w:rFonts w:ascii="Times New Roman" w:hAnsi="Times New Roman" w:cs="Times New Roman"/>
                <w:color w:val="FFFFFF" w:themeColor="background1"/>
                <w:sz w:val="21"/>
                <w:szCs w:val="21"/>
                <w:lang w:val="fr-FR"/>
              </w:rPr>
              <w:t>PtO</w:t>
            </w:r>
            <w:r w:rsidRPr="000D3C67">
              <w:rPr>
                <w:rFonts w:ascii="Times New Roman" w:hAnsi="Times New Roman" w:cs="Times New Roman"/>
                <w:color w:val="FFFFFF" w:themeColor="background1"/>
                <w:sz w:val="21"/>
                <w:szCs w:val="21"/>
                <w:vertAlign w:val="subscript"/>
                <w:lang w:val="fr-FR"/>
              </w:rPr>
              <w:t>2</w:t>
            </w:r>
          </w:p>
        </w:tc>
        <w:tc>
          <w:tcPr>
            <w:tcW w:w="11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Pt-O</w:t>
            </w:r>
          </w:p>
        </w:tc>
        <w:tc>
          <w:tcPr>
            <w:tcW w:w="7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6.00</w:t>
            </w:r>
          </w:p>
        </w:tc>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1.99</w:t>
            </w: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0.0036</w:t>
            </w:r>
          </w:p>
        </w:tc>
        <w:tc>
          <w:tcPr>
            <w:tcW w:w="141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9.12</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0.0111</w:t>
            </w:r>
          </w:p>
        </w:tc>
      </w:tr>
      <w:tr w:rsidR="008D699A" w:rsidRPr="000D3C67">
        <w:trPr>
          <w:trHeight w:val="362"/>
        </w:trPr>
        <w:tc>
          <w:tcPr>
            <w:tcW w:w="114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color w:val="FFFFFF" w:themeColor="background1"/>
                <w:sz w:val="21"/>
                <w:szCs w:val="21"/>
              </w:rPr>
            </w:pPr>
            <w:r w:rsidRPr="000D3C67">
              <w:rPr>
                <w:rFonts w:ascii="Times New Roman" w:hAnsi="Times New Roman" w:cs="Times New Roman"/>
                <w:color w:val="FFFFFF" w:themeColor="background1"/>
                <w:sz w:val="21"/>
                <w:szCs w:val="21"/>
                <w:lang w:val="fr-FR"/>
              </w:rPr>
              <w:t>TCPP</w:t>
            </w:r>
            <w:r w:rsidRPr="000D3C67">
              <w:rPr>
                <w:rFonts w:ascii="Times New Roman" w:hAnsi="Times New Roman" w:cs="Times New Roman"/>
                <w:color w:val="FFFFFF" w:themeColor="background1"/>
                <w:sz w:val="21"/>
                <w:szCs w:val="21"/>
              </w:rPr>
              <w:t>(</w:t>
            </w:r>
            <w:r w:rsidRPr="000D3C67">
              <w:rPr>
                <w:rFonts w:ascii="Times New Roman" w:hAnsi="Times New Roman" w:cs="Times New Roman"/>
                <w:color w:val="FFFFFF" w:themeColor="background1"/>
                <w:sz w:val="21"/>
                <w:szCs w:val="21"/>
                <w:lang w:val="fr-FR"/>
              </w:rPr>
              <w:t>Pt)</w:t>
            </w:r>
          </w:p>
        </w:tc>
        <w:tc>
          <w:tcPr>
            <w:tcW w:w="11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Pt-N</w:t>
            </w:r>
          </w:p>
        </w:tc>
        <w:tc>
          <w:tcPr>
            <w:tcW w:w="7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4.00</w:t>
            </w:r>
          </w:p>
        </w:tc>
        <w:tc>
          <w:tcPr>
            <w:tcW w:w="129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2.00</w:t>
            </w:r>
          </w:p>
        </w:tc>
        <w:tc>
          <w:tcPr>
            <w:tcW w:w="124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0.0051</w:t>
            </w:r>
          </w:p>
        </w:tc>
        <w:tc>
          <w:tcPr>
            <w:tcW w:w="141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9.18</w:t>
            </w:r>
          </w:p>
        </w:tc>
        <w:tc>
          <w:tcPr>
            <w:tcW w:w="12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0.0140</w:t>
            </w:r>
          </w:p>
        </w:tc>
      </w:tr>
      <w:tr w:rsidR="008D699A" w:rsidRPr="000D3C67">
        <w:trPr>
          <w:trHeight w:val="362"/>
        </w:trPr>
        <w:tc>
          <w:tcPr>
            <w:tcW w:w="1141"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color w:val="FFFFFF" w:themeColor="background1"/>
                <w:sz w:val="21"/>
                <w:szCs w:val="21"/>
              </w:rPr>
            </w:pPr>
            <w:r w:rsidRPr="000D3C67">
              <w:rPr>
                <w:rFonts w:ascii="Times New Roman" w:hAnsi="Times New Roman" w:cs="Times New Roman"/>
                <w:color w:val="FFFFFF" w:themeColor="background1"/>
                <w:sz w:val="21"/>
                <w:szCs w:val="21"/>
                <w:lang w:val="fr-FR"/>
              </w:rPr>
              <w:t>PtSNC</w:t>
            </w:r>
          </w:p>
        </w:tc>
        <w:tc>
          <w:tcPr>
            <w:tcW w:w="11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Pt-N</w:t>
            </w:r>
          </w:p>
        </w:tc>
        <w:tc>
          <w:tcPr>
            <w:tcW w:w="7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3.91</w:t>
            </w:r>
          </w:p>
        </w:tc>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2.01</w:t>
            </w: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0.0038</w:t>
            </w:r>
          </w:p>
        </w:tc>
        <w:tc>
          <w:tcPr>
            <w:tcW w:w="141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9.17</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8D699A" w:rsidRPr="000D3C67" w:rsidRDefault="000D3C67">
            <w:pPr>
              <w:spacing w:before="120" w:after="120"/>
              <w:jc w:val="center"/>
              <w:rPr>
                <w:rFonts w:ascii="Times New Roman" w:hAnsi="Times New Roman" w:cs="Times New Roman"/>
                <w:sz w:val="21"/>
                <w:szCs w:val="21"/>
              </w:rPr>
            </w:pPr>
            <w:r w:rsidRPr="000D3C67">
              <w:rPr>
                <w:rFonts w:ascii="Times New Roman" w:hAnsi="Times New Roman" w:cs="Times New Roman"/>
                <w:sz w:val="21"/>
                <w:szCs w:val="21"/>
              </w:rPr>
              <w:t>0.0178</w:t>
            </w:r>
          </w:p>
        </w:tc>
      </w:tr>
    </w:tbl>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i/>
          <w:iCs/>
          <w:sz w:val="21"/>
          <w:szCs w:val="21"/>
        </w:rPr>
        <w:t>CN</w:t>
      </w:r>
      <w:r w:rsidRPr="000D3C67">
        <w:rPr>
          <w:rFonts w:ascii="Times New Roman" w:hAnsi="Times New Roman" w:cs="Times New Roman"/>
          <w:sz w:val="21"/>
          <w:szCs w:val="21"/>
        </w:rPr>
        <w:t xml:space="preserve">: coordination number. </w:t>
      </w:r>
      <w:r w:rsidRPr="000D3C67">
        <w:rPr>
          <w:rFonts w:ascii="Times New Roman" w:hAnsi="Times New Roman" w:cs="Times New Roman"/>
          <w:i/>
          <w:iCs/>
          <w:sz w:val="21"/>
          <w:szCs w:val="21"/>
        </w:rPr>
        <w:t>R</w:t>
      </w:r>
      <w:r w:rsidRPr="000D3C67">
        <w:rPr>
          <w:rFonts w:ascii="Times New Roman" w:hAnsi="Times New Roman" w:cs="Times New Roman"/>
          <w:sz w:val="21"/>
          <w:szCs w:val="21"/>
        </w:rPr>
        <w:t xml:space="preserve">: distance between absorber and backscatter atoms. </w:t>
      </w:r>
      <w:r w:rsidRPr="000D3C67">
        <w:rPr>
          <w:rFonts w:ascii="Times New Roman" w:hAnsi="Times New Roman" w:cs="Times New Roman"/>
          <w:i/>
          <w:iCs/>
          <w:sz w:val="21"/>
          <w:szCs w:val="21"/>
        </w:rPr>
        <w:t>σ</w:t>
      </w:r>
      <w:r w:rsidRPr="000D3C67">
        <w:rPr>
          <w:rFonts w:ascii="Times New Roman" w:hAnsi="Times New Roman" w:cs="Times New Roman"/>
          <w:i/>
          <w:iCs/>
          <w:sz w:val="21"/>
          <w:szCs w:val="21"/>
          <w:vertAlign w:val="superscript"/>
        </w:rPr>
        <w:t>2</w:t>
      </w:r>
      <w:r w:rsidRPr="000D3C67">
        <w:rPr>
          <w:rFonts w:ascii="Times New Roman" w:hAnsi="Times New Roman" w:cs="Times New Roman"/>
          <w:sz w:val="21"/>
          <w:szCs w:val="21"/>
        </w:rPr>
        <w:t xml:space="preserve">: Debye-Waller factor to account for both thermal and structural disorders. </w:t>
      </w:r>
      <w:r w:rsidRPr="000D3C67">
        <w:rPr>
          <w:rFonts w:ascii="Times New Roman" w:hAnsi="Times New Roman" w:cs="Times New Roman"/>
          <w:i/>
          <w:iCs/>
          <w:sz w:val="21"/>
          <w:szCs w:val="21"/>
        </w:rPr>
        <w:t>ΔE</w:t>
      </w:r>
      <w:r w:rsidRPr="000D3C67">
        <w:rPr>
          <w:rFonts w:ascii="Times New Roman" w:hAnsi="Times New Roman" w:cs="Times New Roman"/>
          <w:sz w:val="21"/>
          <w:szCs w:val="21"/>
          <w:vertAlign w:val="subscript"/>
        </w:rPr>
        <w:t>0</w:t>
      </w:r>
      <w:r w:rsidRPr="000D3C67">
        <w:rPr>
          <w:rFonts w:ascii="Times New Roman" w:hAnsi="Times New Roman" w:cs="Times New Roman"/>
          <w:sz w:val="21"/>
          <w:szCs w:val="21"/>
        </w:rPr>
        <w:t xml:space="preserve">: inner potential correction. </w:t>
      </w:r>
      <w:r w:rsidRPr="000D3C67">
        <w:rPr>
          <w:rFonts w:ascii="Times New Roman" w:hAnsi="Times New Roman" w:cs="Times New Roman"/>
          <w:i/>
          <w:iCs/>
          <w:sz w:val="21"/>
          <w:szCs w:val="21"/>
        </w:rPr>
        <w:t>R</w:t>
      </w:r>
      <w:r w:rsidRPr="000D3C67">
        <w:rPr>
          <w:rFonts w:ascii="Times New Roman" w:hAnsi="Times New Roman" w:cs="Times New Roman"/>
          <w:sz w:val="21"/>
          <w:szCs w:val="21"/>
        </w:rPr>
        <w:t xml:space="preserve"> factor indicates the goodness of the fit. An </w:t>
      </w:r>
      <w:r w:rsidRPr="000D3C67">
        <w:rPr>
          <w:rFonts w:ascii="Times New Roman" w:hAnsi="Times New Roman" w:cs="Times New Roman"/>
          <w:i/>
          <w:iCs/>
          <w:sz w:val="21"/>
          <w:szCs w:val="21"/>
        </w:rPr>
        <w:t>R</w:t>
      </w:r>
      <w:r w:rsidRPr="000D3C67">
        <w:rPr>
          <w:rFonts w:ascii="Times New Roman" w:hAnsi="Times New Roman" w:cs="Times New Roman"/>
          <w:sz w:val="21"/>
          <w:szCs w:val="21"/>
        </w:rPr>
        <w:t xml:space="preserve"> factor less than 0.02 means a good fit between the data and theory. S</w:t>
      </w:r>
      <w:r w:rsidRPr="000D3C67">
        <w:rPr>
          <w:rFonts w:ascii="Times New Roman" w:hAnsi="Times New Roman" w:cs="Times New Roman"/>
          <w:sz w:val="21"/>
          <w:szCs w:val="21"/>
          <w:vertAlign w:val="subscript"/>
        </w:rPr>
        <w:t>0</w:t>
      </w:r>
      <w:r w:rsidRPr="000D3C67">
        <w:rPr>
          <w:rFonts w:ascii="Times New Roman" w:hAnsi="Times New Roman" w:cs="Times New Roman"/>
          <w:sz w:val="21"/>
          <w:szCs w:val="21"/>
          <w:vertAlign w:val="superscript"/>
        </w:rPr>
        <w:t>2</w:t>
      </w:r>
      <w:r w:rsidRPr="000D3C67">
        <w:rPr>
          <w:rFonts w:ascii="Times New Roman" w:hAnsi="Times New Roman" w:cs="Times New Roman"/>
          <w:sz w:val="21"/>
          <w:szCs w:val="21"/>
        </w:rPr>
        <w:t xml:space="preserve"> was fixed to 1.0.</w:t>
      </w:r>
    </w:p>
    <w:p w:rsidR="008D699A" w:rsidRPr="000D3C67" w:rsidRDefault="000D3C67">
      <w:pPr>
        <w:spacing w:before="120" w:after="120"/>
        <w:jc w:val="both"/>
        <w:rPr>
          <w:rFonts w:ascii="Times New Roman" w:hAnsi="Times New Roman" w:cs="Times New Roman"/>
        </w:rPr>
      </w:pPr>
      <w:r w:rsidRPr="000D3C67">
        <w:rPr>
          <w:rFonts w:ascii="Times New Roman" w:hAnsi="Times New Roman" w:cs="Times New Roman"/>
          <w:b/>
          <w:bCs/>
          <w:color w:val="000000" w:themeColor="text1"/>
        </w:rPr>
        <w:t>Table S3</w:t>
      </w:r>
      <w:r w:rsidRPr="000D3C67">
        <w:rPr>
          <w:rFonts w:ascii="Times New Roman" w:hAnsi="Times New Roman" w:cs="Times New Roman"/>
          <w:b/>
          <w:bCs/>
          <w:color w:val="000000" w:themeColor="text1"/>
        </w:rPr>
        <w:t xml:space="preserve"> </w:t>
      </w:r>
      <w:r w:rsidRPr="000D3C67">
        <w:rPr>
          <w:rFonts w:ascii="Times New Roman" w:hAnsi="Times New Roman" w:cs="Times New Roman"/>
        </w:rPr>
        <w:t>List of the used antibodies and their characteristics</w:t>
      </w:r>
    </w:p>
    <w:tbl>
      <w:tblPr>
        <w:tblStyle w:val="TableGrid"/>
        <w:tblW w:w="8330" w:type="dxa"/>
        <w:tblBorders>
          <w:left w:val="none" w:sz="0" w:space="0" w:color="auto"/>
          <w:right w:val="none" w:sz="0" w:space="0" w:color="auto"/>
          <w:insideV w:val="none" w:sz="0" w:space="0" w:color="auto"/>
        </w:tblBorders>
        <w:tblLook w:val="04A0" w:firstRow="1" w:lastRow="0" w:firstColumn="1" w:lastColumn="0" w:noHBand="0" w:noVBand="1"/>
      </w:tblPr>
      <w:tblGrid>
        <w:gridCol w:w="1668"/>
        <w:gridCol w:w="2835"/>
        <w:gridCol w:w="1984"/>
        <w:gridCol w:w="1843"/>
      </w:tblGrid>
      <w:tr w:rsidR="008D699A" w:rsidRPr="000D3C67">
        <w:trPr>
          <w:trHeight w:val="397"/>
        </w:trPr>
        <w:tc>
          <w:tcPr>
            <w:tcW w:w="1668" w:type="dxa"/>
            <w:tcBorders>
              <w:top w:val="single" w:sz="12" w:space="0" w:color="auto"/>
              <w:bottom w:val="single" w:sz="12" w:space="0" w:color="auto"/>
            </w:tcBorders>
          </w:tcPr>
          <w:p w:rsidR="008D699A" w:rsidRPr="000D3C67" w:rsidRDefault="000D3C67">
            <w:pPr>
              <w:rPr>
                <w:rFonts w:ascii="Times New Roman" w:hAnsi="Times New Roman" w:cs="Times New Roman"/>
                <w:b/>
                <w:bCs/>
                <w:sz w:val="21"/>
                <w:szCs w:val="21"/>
              </w:rPr>
            </w:pPr>
            <w:bookmarkStart w:id="112" w:name="_Hlk221878872"/>
            <w:r w:rsidRPr="000D3C67">
              <w:rPr>
                <w:rFonts w:ascii="Times New Roman" w:hAnsi="Times New Roman" w:cs="Times New Roman"/>
                <w:b/>
                <w:bCs/>
                <w:sz w:val="21"/>
                <w:szCs w:val="21"/>
              </w:rPr>
              <w:t>Protein</w:t>
            </w:r>
          </w:p>
        </w:tc>
        <w:tc>
          <w:tcPr>
            <w:tcW w:w="2835" w:type="dxa"/>
            <w:tcBorders>
              <w:top w:val="single" w:sz="12" w:space="0" w:color="auto"/>
              <w:bottom w:val="single" w:sz="12" w:space="0" w:color="auto"/>
            </w:tcBorders>
          </w:tcPr>
          <w:p w:rsidR="008D699A" w:rsidRPr="000D3C67" w:rsidRDefault="000D3C67">
            <w:pPr>
              <w:rPr>
                <w:rFonts w:ascii="Times New Roman" w:hAnsi="Times New Roman" w:cs="Times New Roman"/>
                <w:b/>
                <w:bCs/>
                <w:sz w:val="21"/>
                <w:szCs w:val="21"/>
              </w:rPr>
            </w:pPr>
            <w:r w:rsidRPr="000D3C67">
              <w:rPr>
                <w:rFonts w:ascii="Times New Roman" w:hAnsi="Times New Roman" w:cs="Times New Roman"/>
                <w:b/>
                <w:bCs/>
                <w:sz w:val="21"/>
                <w:szCs w:val="21"/>
              </w:rPr>
              <w:t>Primary antibody</w:t>
            </w:r>
          </w:p>
        </w:tc>
        <w:tc>
          <w:tcPr>
            <w:tcW w:w="1984" w:type="dxa"/>
            <w:tcBorders>
              <w:top w:val="single" w:sz="12" w:space="0" w:color="auto"/>
              <w:bottom w:val="single" w:sz="12" w:space="0" w:color="auto"/>
            </w:tcBorders>
          </w:tcPr>
          <w:p w:rsidR="008D699A" w:rsidRPr="000D3C67" w:rsidRDefault="000D3C67">
            <w:pPr>
              <w:rPr>
                <w:rFonts w:ascii="Times New Roman" w:hAnsi="Times New Roman" w:cs="Times New Roman"/>
                <w:b/>
                <w:bCs/>
                <w:sz w:val="21"/>
                <w:szCs w:val="21"/>
              </w:rPr>
            </w:pPr>
            <w:r w:rsidRPr="000D3C67">
              <w:rPr>
                <w:rFonts w:ascii="Times New Roman" w:hAnsi="Times New Roman" w:cs="Times New Roman"/>
                <w:b/>
                <w:bCs/>
                <w:sz w:val="21"/>
                <w:szCs w:val="21"/>
              </w:rPr>
              <w:t>Manufacturer</w:t>
            </w:r>
          </w:p>
        </w:tc>
        <w:tc>
          <w:tcPr>
            <w:tcW w:w="1843" w:type="dxa"/>
            <w:tcBorders>
              <w:top w:val="single" w:sz="12" w:space="0" w:color="auto"/>
              <w:bottom w:val="single" w:sz="12" w:space="0" w:color="auto"/>
            </w:tcBorders>
          </w:tcPr>
          <w:p w:rsidR="008D699A" w:rsidRPr="000D3C67" w:rsidRDefault="000D3C67">
            <w:pPr>
              <w:rPr>
                <w:rFonts w:ascii="Times New Roman" w:hAnsi="Times New Roman" w:cs="Times New Roman"/>
                <w:b/>
                <w:bCs/>
                <w:sz w:val="21"/>
                <w:szCs w:val="21"/>
              </w:rPr>
            </w:pPr>
            <w:r w:rsidRPr="000D3C67">
              <w:rPr>
                <w:rFonts w:ascii="Times New Roman" w:hAnsi="Times New Roman" w:cs="Times New Roman"/>
                <w:b/>
                <w:bCs/>
                <w:sz w:val="21"/>
                <w:szCs w:val="21"/>
              </w:rPr>
              <w:t>Item number</w:t>
            </w:r>
          </w:p>
        </w:tc>
      </w:tr>
      <w:bookmarkEnd w:id="112"/>
      <w:tr w:rsidR="008D699A" w:rsidRPr="000D3C67">
        <w:trPr>
          <w:trHeight w:val="397"/>
        </w:trPr>
        <w:tc>
          <w:tcPr>
            <w:tcW w:w="1668" w:type="dxa"/>
            <w:tcBorders>
              <w:top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GPX4</w:t>
            </w:r>
          </w:p>
        </w:tc>
        <w:tc>
          <w:tcPr>
            <w:tcW w:w="2835" w:type="dxa"/>
            <w:tcBorders>
              <w:top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Rabbit monoclonal</w:t>
            </w:r>
          </w:p>
        </w:tc>
        <w:tc>
          <w:tcPr>
            <w:tcW w:w="1984" w:type="dxa"/>
            <w:tcBorders>
              <w:top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Abcam</w:t>
            </w:r>
          </w:p>
        </w:tc>
        <w:tc>
          <w:tcPr>
            <w:tcW w:w="1843" w:type="dxa"/>
            <w:tcBorders>
              <w:top w:val="single" w:sz="12" w:space="0" w:color="auto"/>
            </w:tcBorders>
          </w:tcPr>
          <w:p w:rsidR="008D699A" w:rsidRPr="000D3C67" w:rsidRDefault="000D3C67">
            <w:pPr>
              <w:rPr>
                <w:rFonts w:ascii="Times New Roman" w:hAnsi="Times New Roman" w:cs="Times New Roman"/>
                <w:sz w:val="21"/>
                <w:szCs w:val="21"/>
              </w:rPr>
            </w:pPr>
            <w:bookmarkStart w:id="113" w:name="OLE_LINK1188"/>
            <w:r w:rsidRPr="000D3C67">
              <w:rPr>
                <w:rFonts w:ascii="Times New Roman" w:hAnsi="Times New Roman" w:cs="Times New Roman"/>
                <w:sz w:val="21"/>
                <w:szCs w:val="21"/>
              </w:rPr>
              <w:t>ab125066</w:t>
            </w:r>
            <w:bookmarkEnd w:id="113"/>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GAPDH</w:t>
            </w:r>
          </w:p>
        </w:tc>
        <w:tc>
          <w:tcPr>
            <w:tcW w:w="2835"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Mouse monoclonal</w:t>
            </w:r>
          </w:p>
        </w:tc>
        <w:tc>
          <w:tcPr>
            <w:tcW w:w="1984"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HUABIO</w:t>
            </w:r>
          </w:p>
        </w:tc>
        <w:tc>
          <w:tcPr>
            <w:tcW w:w="1843" w:type="dxa"/>
          </w:tcPr>
          <w:p w:rsidR="008D699A" w:rsidRPr="000D3C67" w:rsidRDefault="000D3C67">
            <w:pPr>
              <w:rPr>
                <w:rFonts w:ascii="Times New Roman" w:hAnsi="Times New Roman" w:cs="Times New Roman"/>
                <w:sz w:val="21"/>
                <w:szCs w:val="21"/>
              </w:rPr>
            </w:pPr>
            <w:bookmarkStart w:id="114" w:name="OLE_LINK1189"/>
            <w:r w:rsidRPr="000D3C67">
              <w:rPr>
                <w:rFonts w:ascii="Times New Roman" w:hAnsi="Times New Roman" w:cs="Times New Roman"/>
                <w:sz w:val="21"/>
                <w:szCs w:val="21"/>
              </w:rPr>
              <w:t>EM1101</w:t>
            </w:r>
            <w:bookmarkEnd w:id="114"/>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bookmarkStart w:id="115" w:name="_Hlk221879697"/>
            <w:r w:rsidRPr="000D3C67">
              <w:rPr>
                <w:rFonts w:ascii="Times New Roman" w:hAnsi="Times New Roman" w:cs="Times New Roman"/>
                <w:sz w:val="21"/>
                <w:szCs w:val="21"/>
              </w:rPr>
              <w:t>Arg-1</w:t>
            </w:r>
          </w:p>
        </w:tc>
        <w:tc>
          <w:tcPr>
            <w:tcW w:w="2835"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Rabbit polyclonal</w:t>
            </w:r>
          </w:p>
        </w:tc>
        <w:tc>
          <w:tcPr>
            <w:tcW w:w="1984"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Servicebio</w:t>
            </w:r>
          </w:p>
        </w:tc>
        <w:tc>
          <w:tcPr>
            <w:tcW w:w="1843" w:type="dxa"/>
          </w:tcPr>
          <w:p w:rsidR="008D699A" w:rsidRPr="000D3C67" w:rsidRDefault="000D3C67">
            <w:pPr>
              <w:rPr>
                <w:rFonts w:ascii="Times New Roman" w:hAnsi="Times New Roman" w:cs="Times New Roman"/>
                <w:sz w:val="21"/>
                <w:szCs w:val="21"/>
              </w:rPr>
            </w:pPr>
            <w:bookmarkStart w:id="116" w:name="OLE_LINK1192"/>
            <w:r w:rsidRPr="000D3C67">
              <w:rPr>
                <w:rFonts w:ascii="Times New Roman" w:hAnsi="Times New Roman" w:cs="Times New Roman"/>
                <w:sz w:val="21"/>
                <w:szCs w:val="21"/>
              </w:rPr>
              <w:t>GB11285</w:t>
            </w:r>
            <w:bookmarkEnd w:id="116"/>
          </w:p>
        </w:tc>
      </w:tr>
      <w:bookmarkEnd w:id="115"/>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TNF-α</w:t>
            </w:r>
          </w:p>
        </w:tc>
        <w:tc>
          <w:tcPr>
            <w:tcW w:w="2835" w:type="dxa"/>
          </w:tcPr>
          <w:p w:rsidR="008D699A" w:rsidRPr="000D3C67" w:rsidRDefault="000D3C67">
            <w:pPr>
              <w:rPr>
                <w:rFonts w:ascii="Times New Roman" w:hAnsi="Times New Roman" w:cs="Times New Roman"/>
                <w:sz w:val="21"/>
                <w:szCs w:val="21"/>
              </w:rPr>
            </w:pPr>
            <w:bookmarkStart w:id="117" w:name="OLE_LINK1142"/>
            <w:r w:rsidRPr="000D3C67">
              <w:rPr>
                <w:rFonts w:ascii="Times New Roman" w:hAnsi="Times New Roman" w:cs="Times New Roman"/>
                <w:sz w:val="21"/>
                <w:szCs w:val="21"/>
              </w:rPr>
              <w:t>Rabbit polyclonal</w:t>
            </w:r>
            <w:bookmarkEnd w:id="117"/>
          </w:p>
        </w:tc>
        <w:tc>
          <w:tcPr>
            <w:tcW w:w="1984" w:type="dxa"/>
          </w:tcPr>
          <w:p w:rsidR="008D699A" w:rsidRPr="000D3C67" w:rsidRDefault="000D3C67">
            <w:pPr>
              <w:rPr>
                <w:rFonts w:ascii="Times New Roman" w:hAnsi="Times New Roman" w:cs="Times New Roman"/>
                <w:sz w:val="21"/>
                <w:szCs w:val="21"/>
              </w:rPr>
            </w:pPr>
            <w:bookmarkStart w:id="118" w:name="OLE_LINK1143"/>
            <w:r w:rsidRPr="000D3C67">
              <w:rPr>
                <w:rFonts w:ascii="Times New Roman" w:hAnsi="Times New Roman" w:cs="Times New Roman"/>
                <w:sz w:val="21"/>
                <w:szCs w:val="21"/>
              </w:rPr>
              <w:t>Servicebio</w:t>
            </w:r>
            <w:bookmarkEnd w:id="118"/>
          </w:p>
        </w:tc>
        <w:tc>
          <w:tcPr>
            <w:tcW w:w="1843" w:type="dxa"/>
          </w:tcPr>
          <w:p w:rsidR="008D699A" w:rsidRPr="000D3C67" w:rsidRDefault="000D3C67">
            <w:pPr>
              <w:rPr>
                <w:rFonts w:ascii="Times New Roman" w:hAnsi="Times New Roman" w:cs="Times New Roman"/>
                <w:sz w:val="21"/>
                <w:szCs w:val="21"/>
              </w:rPr>
            </w:pPr>
            <w:bookmarkStart w:id="119" w:name="OLE_LINK1193"/>
            <w:r w:rsidRPr="000D3C67">
              <w:rPr>
                <w:rFonts w:ascii="Times New Roman" w:hAnsi="Times New Roman" w:cs="Times New Roman"/>
                <w:sz w:val="21"/>
                <w:szCs w:val="21"/>
              </w:rPr>
              <w:t>GB11188</w:t>
            </w:r>
            <w:bookmarkEnd w:id="119"/>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HIF-1α</w:t>
            </w:r>
          </w:p>
        </w:tc>
        <w:tc>
          <w:tcPr>
            <w:tcW w:w="2835" w:type="dxa"/>
          </w:tcPr>
          <w:p w:rsidR="008D699A" w:rsidRPr="000D3C67" w:rsidRDefault="000D3C67">
            <w:pPr>
              <w:rPr>
                <w:rFonts w:ascii="Times New Roman" w:hAnsi="Times New Roman" w:cs="Times New Roman"/>
                <w:sz w:val="21"/>
                <w:szCs w:val="21"/>
              </w:rPr>
            </w:pPr>
            <w:bookmarkStart w:id="120" w:name="OLE_LINK1150"/>
            <w:r w:rsidRPr="000D3C67">
              <w:rPr>
                <w:rFonts w:ascii="Times New Roman" w:hAnsi="Times New Roman" w:cs="Times New Roman"/>
                <w:sz w:val="21"/>
                <w:szCs w:val="21"/>
              </w:rPr>
              <w:t>Rabbit polyclonal</w:t>
            </w:r>
            <w:bookmarkEnd w:id="120"/>
          </w:p>
        </w:tc>
        <w:tc>
          <w:tcPr>
            <w:tcW w:w="1984" w:type="dxa"/>
          </w:tcPr>
          <w:p w:rsidR="008D699A" w:rsidRPr="000D3C67" w:rsidRDefault="000D3C67">
            <w:pPr>
              <w:rPr>
                <w:rFonts w:ascii="Times New Roman" w:hAnsi="Times New Roman" w:cs="Times New Roman"/>
                <w:sz w:val="21"/>
                <w:szCs w:val="21"/>
              </w:rPr>
            </w:pPr>
            <w:bookmarkStart w:id="121" w:name="OLE_LINK1148"/>
            <w:r w:rsidRPr="000D3C67">
              <w:rPr>
                <w:rFonts w:ascii="Times New Roman" w:hAnsi="Times New Roman" w:cs="Times New Roman"/>
                <w:sz w:val="21"/>
                <w:szCs w:val="21"/>
              </w:rPr>
              <w:t>Servicebio</w:t>
            </w:r>
            <w:bookmarkEnd w:id="121"/>
          </w:p>
        </w:tc>
        <w:tc>
          <w:tcPr>
            <w:tcW w:w="1843" w:type="dxa"/>
          </w:tcPr>
          <w:p w:rsidR="008D699A" w:rsidRPr="000D3C67" w:rsidRDefault="000D3C67">
            <w:pPr>
              <w:rPr>
                <w:rFonts w:ascii="Times New Roman" w:hAnsi="Times New Roman" w:cs="Times New Roman"/>
                <w:sz w:val="21"/>
                <w:szCs w:val="21"/>
              </w:rPr>
            </w:pPr>
            <w:bookmarkStart w:id="122" w:name="OLE_LINK1194"/>
            <w:r w:rsidRPr="000D3C67">
              <w:rPr>
                <w:rFonts w:ascii="Times New Roman" w:hAnsi="Times New Roman" w:cs="Times New Roman"/>
                <w:sz w:val="21"/>
                <w:szCs w:val="21"/>
              </w:rPr>
              <w:t>GB114936</w:t>
            </w:r>
            <w:bookmarkEnd w:id="122"/>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CD31</w:t>
            </w:r>
          </w:p>
        </w:tc>
        <w:tc>
          <w:tcPr>
            <w:tcW w:w="2835" w:type="dxa"/>
          </w:tcPr>
          <w:p w:rsidR="008D699A" w:rsidRPr="000D3C67" w:rsidRDefault="000D3C67">
            <w:pPr>
              <w:rPr>
                <w:rFonts w:ascii="Times New Roman" w:hAnsi="Times New Roman" w:cs="Times New Roman"/>
                <w:sz w:val="21"/>
                <w:szCs w:val="21"/>
              </w:rPr>
            </w:pPr>
            <w:bookmarkStart w:id="123" w:name="OLE_LINK1152"/>
            <w:r w:rsidRPr="000D3C67">
              <w:rPr>
                <w:rFonts w:ascii="Times New Roman" w:hAnsi="Times New Roman" w:cs="Times New Roman"/>
                <w:sz w:val="21"/>
                <w:szCs w:val="21"/>
              </w:rPr>
              <w:t>Rabbit polyclonal</w:t>
            </w:r>
            <w:bookmarkEnd w:id="123"/>
          </w:p>
        </w:tc>
        <w:tc>
          <w:tcPr>
            <w:tcW w:w="1984"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Servicebio</w:t>
            </w:r>
          </w:p>
        </w:tc>
        <w:tc>
          <w:tcPr>
            <w:tcW w:w="1843" w:type="dxa"/>
          </w:tcPr>
          <w:p w:rsidR="008D699A" w:rsidRPr="000D3C67" w:rsidRDefault="000D3C67">
            <w:pPr>
              <w:rPr>
                <w:rFonts w:ascii="Times New Roman" w:hAnsi="Times New Roman" w:cs="Times New Roman"/>
                <w:sz w:val="21"/>
                <w:szCs w:val="21"/>
              </w:rPr>
            </w:pPr>
            <w:bookmarkStart w:id="124" w:name="OLE_LINK1168"/>
            <w:r w:rsidRPr="000D3C67">
              <w:rPr>
                <w:rFonts w:ascii="Times New Roman" w:hAnsi="Times New Roman" w:cs="Times New Roman"/>
                <w:sz w:val="21"/>
                <w:szCs w:val="21"/>
              </w:rPr>
              <w:t>GB11063-2</w:t>
            </w:r>
            <w:bookmarkEnd w:id="124"/>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AMPK</w:t>
            </w:r>
            <w:r w:rsidRPr="000D3C67">
              <w:rPr>
                <w:rFonts w:ascii="Cambria Math" w:hAnsi="Cambria Math" w:cs="Cambria Math"/>
                <w:sz w:val="21"/>
                <w:szCs w:val="21"/>
              </w:rPr>
              <w:t>𝛼</w:t>
            </w:r>
          </w:p>
        </w:tc>
        <w:tc>
          <w:tcPr>
            <w:tcW w:w="2835" w:type="dxa"/>
          </w:tcPr>
          <w:p w:rsidR="008D699A" w:rsidRPr="000D3C67" w:rsidRDefault="000D3C67">
            <w:pPr>
              <w:rPr>
                <w:rFonts w:ascii="Times New Roman" w:hAnsi="Times New Roman" w:cs="Times New Roman"/>
                <w:sz w:val="21"/>
                <w:szCs w:val="21"/>
              </w:rPr>
            </w:pPr>
            <w:bookmarkStart w:id="125" w:name="OLE_LINK1151"/>
            <w:r w:rsidRPr="000D3C67">
              <w:rPr>
                <w:rFonts w:ascii="Times New Roman" w:hAnsi="Times New Roman" w:cs="Times New Roman"/>
                <w:sz w:val="21"/>
                <w:szCs w:val="21"/>
              </w:rPr>
              <w:t>Rabbit polyclonal</w:t>
            </w:r>
            <w:bookmarkEnd w:id="125"/>
          </w:p>
        </w:tc>
        <w:tc>
          <w:tcPr>
            <w:tcW w:w="1984" w:type="dxa"/>
          </w:tcPr>
          <w:p w:rsidR="008D699A" w:rsidRPr="000D3C67" w:rsidRDefault="000D3C67">
            <w:pPr>
              <w:rPr>
                <w:rFonts w:ascii="Times New Roman" w:hAnsi="Times New Roman" w:cs="Times New Roman"/>
                <w:sz w:val="21"/>
                <w:szCs w:val="21"/>
              </w:rPr>
            </w:pPr>
            <w:bookmarkStart w:id="126" w:name="OLE_LINK1196"/>
            <w:r w:rsidRPr="000D3C67">
              <w:rPr>
                <w:rFonts w:ascii="Times New Roman" w:hAnsi="Times New Roman" w:cs="Times New Roman"/>
                <w:sz w:val="21"/>
                <w:szCs w:val="21"/>
              </w:rPr>
              <w:t>Affinity</w:t>
            </w:r>
            <w:bookmarkEnd w:id="126"/>
          </w:p>
        </w:tc>
        <w:tc>
          <w:tcPr>
            <w:tcW w:w="1843" w:type="dxa"/>
          </w:tcPr>
          <w:p w:rsidR="008D699A" w:rsidRPr="000D3C67" w:rsidRDefault="000D3C67">
            <w:pPr>
              <w:rPr>
                <w:rFonts w:ascii="Times New Roman" w:hAnsi="Times New Roman" w:cs="Times New Roman"/>
                <w:sz w:val="21"/>
                <w:szCs w:val="21"/>
              </w:rPr>
            </w:pPr>
            <w:bookmarkStart w:id="127" w:name="OLE_LINK1195"/>
            <w:r w:rsidRPr="000D3C67">
              <w:rPr>
                <w:rFonts w:ascii="Times New Roman" w:hAnsi="Times New Roman" w:cs="Times New Roman"/>
                <w:sz w:val="21"/>
                <w:szCs w:val="21"/>
              </w:rPr>
              <w:t>AF6423</w:t>
            </w:r>
            <w:bookmarkEnd w:id="127"/>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IDH1</w:t>
            </w:r>
          </w:p>
        </w:tc>
        <w:tc>
          <w:tcPr>
            <w:tcW w:w="2835" w:type="dxa"/>
          </w:tcPr>
          <w:p w:rsidR="008D699A" w:rsidRPr="000D3C67" w:rsidRDefault="000D3C67">
            <w:pPr>
              <w:rPr>
                <w:rFonts w:ascii="Times New Roman" w:hAnsi="Times New Roman" w:cs="Times New Roman"/>
                <w:sz w:val="21"/>
                <w:szCs w:val="21"/>
              </w:rPr>
            </w:pPr>
            <w:bookmarkStart w:id="128" w:name="OLE_LINK1153"/>
            <w:r w:rsidRPr="000D3C67">
              <w:rPr>
                <w:rFonts w:ascii="Times New Roman" w:hAnsi="Times New Roman" w:cs="Times New Roman"/>
                <w:sz w:val="21"/>
                <w:szCs w:val="21"/>
              </w:rPr>
              <w:t>Rabbit polyclonal</w:t>
            </w:r>
            <w:bookmarkEnd w:id="128"/>
          </w:p>
        </w:tc>
        <w:tc>
          <w:tcPr>
            <w:tcW w:w="1984"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Affinity</w:t>
            </w:r>
          </w:p>
        </w:tc>
        <w:tc>
          <w:tcPr>
            <w:tcW w:w="1843" w:type="dxa"/>
          </w:tcPr>
          <w:p w:rsidR="008D699A" w:rsidRPr="000D3C67" w:rsidRDefault="000D3C67">
            <w:pPr>
              <w:rPr>
                <w:rFonts w:ascii="Times New Roman" w:hAnsi="Times New Roman" w:cs="Times New Roman"/>
                <w:sz w:val="21"/>
                <w:szCs w:val="21"/>
              </w:rPr>
            </w:pPr>
            <w:bookmarkStart w:id="129" w:name="OLE_LINK1197"/>
            <w:r w:rsidRPr="000D3C67">
              <w:rPr>
                <w:rFonts w:ascii="Times New Roman" w:hAnsi="Times New Roman" w:cs="Times New Roman"/>
                <w:sz w:val="21"/>
                <w:szCs w:val="21"/>
              </w:rPr>
              <w:t>DF6892</w:t>
            </w:r>
            <w:bookmarkEnd w:id="129"/>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OGDH</w:t>
            </w:r>
          </w:p>
        </w:tc>
        <w:tc>
          <w:tcPr>
            <w:tcW w:w="2835" w:type="dxa"/>
          </w:tcPr>
          <w:p w:rsidR="008D699A" w:rsidRPr="000D3C67" w:rsidRDefault="000D3C67">
            <w:pPr>
              <w:rPr>
                <w:rFonts w:ascii="Times New Roman" w:hAnsi="Times New Roman" w:cs="Times New Roman"/>
                <w:sz w:val="21"/>
                <w:szCs w:val="21"/>
              </w:rPr>
            </w:pPr>
            <w:bookmarkStart w:id="130" w:name="OLE_LINK1155"/>
            <w:r w:rsidRPr="000D3C67">
              <w:rPr>
                <w:rFonts w:ascii="Times New Roman" w:hAnsi="Times New Roman" w:cs="Times New Roman"/>
                <w:sz w:val="21"/>
                <w:szCs w:val="21"/>
              </w:rPr>
              <w:t>Rabbit monoclonal</w:t>
            </w:r>
            <w:bookmarkEnd w:id="130"/>
          </w:p>
        </w:tc>
        <w:tc>
          <w:tcPr>
            <w:tcW w:w="1984"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Abcam</w:t>
            </w:r>
          </w:p>
        </w:tc>
        <w:tc>
          <w:tcPr>
            <w:tcW w:w="1843" w:type="dxa"/>
          </w:tcPr>
          <w:p w:rsidR="008D699A" w:rsidRPr="000D3C67" w:rsidRDefault="000D3C67">
            <w:pPr>
              <w:rPr>
                <w:rFonts w:ascii="Times New Roman" w:hAnsi="Times New Roman" w:cs="Times New Roman"/>
                <w:sz w:val="21"/>
                <w:szCs w:val="21"/>
              </w:rPr>
            </w:pPr>
            <w:bookmarkStart w:id="131" w:name="OLE_LINK1198"/>
            <w:r w:rsidRPr="000D3C67">
              <w:rPr>
                <w:rFonts w:ascii="Times New Roman" w:hAnsi="Times New Roman" w:cs="Times New Roman"/>
                <w:sz w:val="21"/>
                <w:szCs w:val="21"/>
              </w:rPr>
              <w:t>ab307369</w:t>
            </w:r>
            <w:bookmarkEnd w:id="131"/>
          </w:p>
        </w:tc>
      </w:tr>
      <w:tr w:rsidR="008D699A" w:rsidRPr="000D3C67">
        <w:trPr>
          <w:trHeight w:val="397"/>
        </w:trPr>
        <w:tc>
          <w:tcPr>
            <w:tcW w:w="1668"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PI3K</w:t>
            </w:r>
          </w:p>
        </w:tc>
        <w:tc>
          <w:tcPr>
            <w:tcW w:w="2835" w:type="dxa"/>
          </w:tcPr>
          <w:p w:rsidR="008D699A" w:rsidRPr="000D3C67" w:rsidRDefault="000D3C67">
            <w:pPr>
              <w:rPr>
                <w:rFonts w:ascii="Times New Roman" w:hAnsi="Times New Roman" w:cs="Times New Roman"/>
                <w:sz w:val="21"/>
                <w:szCs w:val="21"/>
              </w:rPr>
            </w:pPr>
            <w:bookmarkStart w:id="132" w:name="OLE_LINK1154"/>
            <w:r w:rsidRPr="000D3C67">
              <w:rPr>
                <w:rFonts w:ascii="Times New Roman" w:hAnsi="Times New Roman" w:cs="Times New Roman"/>
                <w:sz w:val="21"/>
                <w:szCs w:val="21"/>
              </w:rPr>
              <w:t>Rabbit polyclonal</w:t>
            </w:r>
            <w:bookmarkEnd w:id="132"/>
          </w:p>
        </w:tc>
        <w:tc>
          <w:tcPr>
            <w:tcW w:w="1984" w:type="dxa"/>
          </w:tcPr>
          <w:p w:rsidR="008D699A" w:rsidRPr="000D3C67" w:rsidRDefault="000D3C67">
            <w:pPr>
              <w:rPr>
                <w:rFonts w:ascii="Times New Roman" w:hAnsi="Times New Roman" w:cs="Times New Roman"/>
                <w:sz w:val="21"/>
                <w:szCs w:val="21"/>
              </w:rPr>
            </w:pPr>
            <w:bookmarkStart w:id="133" w:name="OLE_LINK1199"/>
            <w:r w:rsidRPr="000D3C67">
              <w:rPr>
                <w:rFonts w:ascii="Times New Roman" w:hAnsi="Times New Roman" w:cs="Times New Roman"/>
                <w:sz w:val="21"/>
                <w:szCs w:val="21"/>
              </w:rPr>
              <w:t>CST</w:t>
            </w:r>
            <w:bookmarkEnd w:id="133"/>
          </w:p>
        </w:tc>
        <w:tc>
          <w:tcPr>
            <w:tcW w:w="1843" w:type="dxa"/>
          </w:tcPr>
          <w:p w:rsidR="008D699A" w:rsidRPr="000D3C67" w:rsidRDefault="000D3C67">
            <w:pPr>
              <w:rPr>
                <w:rFonts w:ascii="Times New Roman" w:hAnsi="Times New Roman" w:cs="Times New Roman"/>
                <w:sz w:val="21"/>
                <w:szCs w:val="21"/>
              </w:rPr>
            </w:pPr>
            <w:bookmarkStart w:id="134" w:name="OLE_LINK1200"/>
            <w:r w:rsidRPr="000D3C67">
              <w:rPr>
                <w:rFonts w:ascii="Times New Roman" w:hAnsi="Times New Roman" w:cs="Times New Roman"/>
                <w:sz w:val="21"/>
                <w:szCs w:val="21"/>
              </w:rPr>
              <w:t>4292</w:t>
            </w:r>
            <w:bookmarkEnd w:id="134"/>
          </w:p>
        </w:tc>
      </w:tr>
      <w:tr w:rsidR="008D699A" w:rsidRPr="000D3C67">
        <w:trPr>
          <w:trHeight w:val="397"/>
        </w:trPr>
        <w:tc>
          <w:tcPr>
            <w:tcW w:w="1668" w:type="dxa"/>
            <w:tcBorders>
              <w:bottom w:val="single" w:sz="4"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AKT</w:t>
            </w:r>
          </w:p>
        </w:tc>
        <w:tc>
          <w:tcPr>
            <w:tcW w:w="2835" w:type="dxa"/>
            <w:tcBorders>
              <w:bottom w:val="single" w:sz="4"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Rabbit polyclonal</w:t>
            </w:r>
          </w:p>
        </w:tc>
        <w:tc>
          <w:tcPr>
            <w:tcW w:w="1984" w:type="dxa"/>
            <w:tcBorders>
              <w:bottom w:val="single" w:sz="4"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Abcam</w:t>
            </w:r>
          </w:p>
        </w:tc>
        <w:tc>
          <w:tcPr>
            <w:tcW w:w="1843" w:type="dxa"/>
            <w:tcBorders>
              <w:bottom w:val="single" w:sz="4" w:space="0" w:color="auto"/>
            </w:tcBorders>
          </w:tcPr>
          <w:p w:rsidR="008D699A" w:rsidRPr="000D3C67" w:rsidRDefault="000D3C67">
            <w:pPr>
              <w:rPr>
                <w:rFonts w:ascii="Times New Roman" w:hAnsi="Times New Roman" w:cs="Times New Roman"/>
                <w:sz w:val="21"/>
                <w:szCs w:val="21"/>
              </w:rPr>
            </w:pPr>
            <w:bookmarkStart w:id="135" w:name="OLE_LINK1201"/>
            <w:r w:rsidRPr="000D3C67">
              <w:rPr>
                <w:rFonts w:ascii="Times New Roman" w:hAnsi="Times New Roman" w:cs="Times New Roman"/>
                <w:sz w:val="21"/>
                <w:szCs w:val="21"/>
              </w:rPr>
              <w:t>ab38449</w:t>
            </w:r>
            <w:bookmarkEnd w:id="135"/>
          </w:p>
        </w:tc>
      </w:tr>
      <w:tr w:rsidR="008D699A" w:rsidRPr="000D3C67">
        <w:trPr>
          <w:trHeight w:val="397"/>
        </w:trPr>
        <w:tc>
          <w:tcPr>
            <w:tcW w:w="1668" w:type="dxa"/>
            <w:tcBorders>
              <w:bottom w:val="single" w:sz="12" w:space="0" w:color="auto"/>
            </w:tcBorders>
          </w:tcPr>
          <w:p w:rsidR="008D699A" w:rsidRPr="000D3C67" w:rsidRDefault="000D3C67">
            <w:pPr>
              <w:rPr>
                <w:rFonts w:ascii="Times New Roman" w:hAnsi="Times New Roman" w:cs="Times New Roman"/>
                <w:i/>
                <w:iCs/>
                <w:sz w:val="21"/>
                <w:szCs w:val="21"/>
              </w:rPr>
            </w:pPr>
            <w:bookmarkStart w:id="136" w:name="_Hlk221877893"/>
            <w:r w:rsidRPr="000D3C67">
              <w:rPr>
                <w:rFonts w:ascii="Times New Roman" w:hAnsi="Times New Roman" w:cs="Times New Roman"/>
                <w:i/>
                <w:iCs/>
                <w:sz w:val="21"/>
                <w:szCs w:val="21"/>
              </w:rPr>
              <w:t>β</w:t>
            </w:r>
            <w:r w:rsidRPr="000D3C67">
              <w:rPr>
                <w:rFonts w:ascii="Times New Roman" w:hAnsi="Times New Roman" w:cs="Times New Roman"/>
                <w:sz w:val="21"/>
                <w:szCs w:val="21"/>
              </w:rPr>
              <w:t>-actin</w:t>
            </w:r>
          </w:p>
        </w:tc>
        <w:tc>
          <w:tcPr>
            <w:tcW w:w="2835" w:type="dxa"/>
            <w:tcBorders>
              <w:bottom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Mouse monoclonal</w:t>
            </w:r>
          </w:p>
        </w:tc>
        <w:tc>
          <w:tcPr>
            <w:tcW w:w="1984" w:type="dxa"/>
            <w:tcBorders>
              <w:bottom w:val="single" w:sz="12" w:space="0" w:color="auto"/>
            </w:tcBorders>
          </w:tcPr>
          <w:p w:rsidR="008D699A" w:rsidRPr="000D3C67" w:rsidRDefault="000D3C67">
            <w:pPr>
              <w:rPr>
                <w:rFonts w:ascii="Times New Roman" w:hAnsi="Times New Roman" w:cs="Times New Roman"/>
                <w:sz w:val="21"/>
                <w:szCs w:val="21"/>
              </w:rPr>
            </w:pPr>
            <w:bookmarkStart w:id="137" w:name="OLE_LINK1202"/>
            <w:r w:rsidRPr="000D3C67">
              <w:rPr>
                <w:rFonts w:ascii="Times New Roman" w:hAnsi="Times New Roman" w:cs="Times New Roman"/>
                <w:sz w:val="21"/>
                <w:szCs w:val="21"/>
              </w:rPr>
              <w:t>Proteintech</w:t>
            </w:r>
            <w:bookmarkEnd w:id="137"/>
          </w:p>
        </w:tc>
        <w:tc>
          <w:tcPr>
            <w:tcW w:w="1843" w:type="dxa"/>
            <w:tcBorders>
              <w:bottom w:val="single" w:sz="12" w:space="0" w:color="auto"/>
            </w:tcBorders>
          </w:tcPr>
          <w:p w:rsidR="008D699A" w:rsidRPr="000D3C67" w:rsidRDefault="000D3C67">
            <w:pPr>
              <w:rPr>
                <w:rFonts w:ascii="Times New Roman" w:hAnsi="Times New Roman" w:cs="Times New Roman"/>
                <w:sz w:val="21"/>
                <w:szCs w:val="21"/>
              </w:rPr>
            </w:pPr>
            <w:bookmarkStart w:id="138" w:name="OLE_LINK1203"/>
            <w:r w:rsidRPr="000D3C67">
              <w:rPr>
                <w:rFonts w:ascii="Times New Roman" w:hAnsi="Times New Roman" w:cs="Times New Roman"/>
                <w:sz w:val="21"/>
                <w:szCs w:val="21"/>
              </w:rPr>
              <w:t>66009-1-Ig</w:t>
            </w:r>
            <w:bookmarkEnd w:id="138"/>
          </w:p>
        </w:tc>
      </w:tr>
      <w:tr w:rsidR="008D699A" w:rsidRPr="000D3C67">
        <w:trPr>
          <w:trHeight w:val="397"/>
        </w:trPr>
        <w:tc>
          <w:tcPr>
            <w:tcW w:w="4503" w:type="dxa"/>
            <w:gridSpan w:val="2"/>
            <w:tcBorders>
              <w:top w:val="single" w:sz="12" w:space="0" w:color="auto"/>
              <w:bottom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b/>
                <w:bCs/>
                <w:sz w:val="21"/>
                <w:szCs w:val="21"/>
              </w:rPr>
              <w:t>Secondary antibody</w:t>
            </w:r>
          </w:p>
        </w:tc>
        <w:tc>
          <w:tcPr>
            <w:tcW w:w="1984" w:type="dxa"/>
            <w:tcBorders>
              <w:top w:val="single" w:sz="12" w:space="0" w:color="auto"/>
              <w:bottom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b/>
                <w:bCs/>
                <w:sz w:val="21"/>
                <w:szCs w:val="21"/>
              </w:rPr>
              <w:t>Manufacturer</w:t>
            </w:r>
          </w:p>
        </w:tc>
        <w:tc>
          <w:tcPr>
            <w:tcW w:w="1843" w:type="dxa"/>
            <w:tcBorders>
              <w:top w:val="single" w:sz="12" w:space="0" w:color="auto"/>
              <w:bottom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b/>
                <w:bCs/>
                <w:sz w:val="21"/>
                <w:szCs w:val="21"/>
              </w:rPr>
              <w:t>Item number</w:t>
            </w:r>
          </w:p>
        </w:tc>
      </w:tr>
      <w:tr w:rsidR="008D699A" w:rsidRPr="000D3C67">
        <w:trPr>
          <w:trHeight w:val="397"/>
        </w:trPr>
        <w:tc>
          <w:tcPr>
            <w:tcW w:w="4503" w:type="dxa"/>
            <w:gridSpan w:val="2"/>
            <w:tcBorders>
              <w:top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Horseradish peroxidase-conjugated goat anti-rabbit IgG</w:t>
            </w:r>
          </w:p>
        </w:tc>
        <w:tc>
          <w:tcPr>
            <w:tcW w:w="1984" w:type="dxa"/>
            <w:tcBorders>
              <w:top w:val="single" w:sz="12"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Jackson</w:t>
            </w:r>
          </w:p>
        </w:tc>
        <w:tc>
          <w:tcPr>
            <w:tcW w:w="1843" w:type="dxa"/>
            <w:tcBorders>
              <w:top w:val="single" w:sz="12" w:space="0" w:color="auto"/>
            </w:tcBorders>
          </w:tcPr>
          <w:p w:rsidR="008D699A" w:rsidRPr="000D3C67" w:rsidRDefault="000D3C67">
            <w:pPr>
              <w:rPr>
                <w:rFonts w:ascii="Times New Roman" w:hAnsi="Times New Roman" w:cs="Times New Roman"/>
                <w:sz w:val="21"/>
                <w:szCs w:val="21"/>
              </w:rPr>
            </w:pPr>
            <w:bookmarkStart w:id="139" w:name="OLE_LINK1204"/>
            <w:r w:rsidRPr="000D3C67">
              <w:rPr>
                <w:rFonts w:ascii="Times New Roman" w:hAnsi="Times New Roman" w:cs="Times New Roman"/>
                <w:sz w:val="21"/>
                <w:szCs w:val="21"/>
              </w:rPr>
              <w:t>111-035-003</w:t>
            </w:r>
            <w:bookmarkEnd w:id="139"/>
          </w:p>
        </w:tc>
      </w:tr>
      <w:tr w:rsidR="008D699A" w:rsidRPr="000D3C67">
        <w:trPr>
          <w:trHeight w:val="397"/>
        </w:trPr>
        <w:tc>
          <w:tcPr>
            <w:tcW w:w="4503" w:type="dxa"/>
            <w:gridSpan w:val="2"/>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 xml:space="preserve">Horseradish peroxidase-conjugated goat </w:t>
            </w:r>
            <w:r w:rsidRPr="000D3C67">
              <w:rPr>
                <w:rFonts w:ascii="Times New Roman" w:hAnsi="Times New Roman" w:cs="Times New Roman"/>
                <w:sz w:val="21"/>
                <w:szCs w:val="21"/>
              </w:rPr>
              <w:t>anti-mouse IgG</w:t>
            </w:r>
          </w:p>
        </w:tc>
        <w:tc>
          <w:tcPr>
            <w:tcW w:w="1984" w:type="dxa"/>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Proteintech</w:t>
            </w:r>
          </w:p>
        </w:tc>
        <w:tc>
          <w:tcPr>
            <w:tcW w:w="1843" w:type="dxa"/>
          </w:tcPr>
          <w:p w:rsidR="008D699A" w:rsidRPr="000D3C67" w:rsidRDefault="000D3C67">
            <w:pPr>
              <w:rPr>
                <w:rFonts w:ascii="Times New Roman" w:hAnsi="Times New Roman" w:cs="Times New Roman"/>
                <w:sz w:val="21"/>
                <w:szCs w:val="21"/>
              </w:rPr>
            </w:pPr>
            <w:bookmarkStart w:id="140" w:name="OLE_LINK1205"/>
            <w:r w:rsidRPr="000D3C67">
              <w:rPr>
                <w:rFonts w:ascii="Times New Roman" w:hAnsi="Times New Roman" w:cs="Times New Roman"/>
                <w:sz w:val="21"/>
                <w:szCs w:val="21"/>
              </w:rPr>
              <w:t>SA00001-1</w:t>
            </w:r>
            <w:bookmarkEnd w:id="140"/>
          </w:p>
        </w:tc>
      </w:tr>
      <w:tr w:rsidR="008D699A" w:rsidRPr="000D3C67">
        <w:trPr>
          <w:trHeight w:val="397"/>
        </w:trPr>
        <w:tc>
          <w:tcPr>
            <w:tcW w:w="4503" w:type="dxa"/>
            <w:gridSpan w:val="2"/>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Cy3-conjugated goat anti-rabbit IgG</w:t>
            </w:r>
          </w:p>
        </w:tc>
        <w:tc>
          <w:tcPr>
            <w:tcW w:w="1984" w:type="dxa"/>
          </w:tcPr>
          <w:p w:rsidR="008D699A" w:rsidRPr="000D3C67" w:rsidRDefault="000D3C67">
            <w:pPr>
              <w:rPr>
                <w:rFonts w:ascii="Times New Roman" w:hAnsi="Times New Roman" w:cs="Times New Roman"/>
                <w:sz w:val="21"/>
                <w:szCs w:val="21"/>
              </w:rPr>
            </w:pPr>
            <w:bookmarkStart w:id="141" w:name="OLE_LINK1207"/>
            <w:r w:rsidRPr="000D3C67">
              <w:rPr>
                <w:rFonts w:ascii="Times New Roman" w:hAnsi="Times New Roman" w:cs="Times New Roman"/>
                <w:sz w:val="21"/>
                <w:szCs w:val="21"/>
              </w:rPr>
              <w:t>Boster</w:t>
            </w:r>
            <w:bookmarkEnd w:id="141"/>
          </w:p>
        </w:tc>
        <w:tc>
          <w:tcPr>
            <w:tcW w:w="1843" w:type="dxa"/>
          </w:tcPr>
          <w:p w:rsidR="008D699A" w:rsidRPr="000D3C67" w:rsidRDefault="000D3C67">
            <w:pPr>
              <w:rPr>
                <w:rFonts w:ascii="Times New Roman" w:hAnsi="Times New Roman" w:cs="Times New Roman"/>
                <w:sz w:val="21"/>
                <w:szCs w:val="21"/>
              </w:rPr>
            </w:pPr>
            <w:bookmarkStart w:id="142" w:name="OLE_LINK1206"/>
            <w:r w:rsidRPr="000D3C67">
              <w:rPr>
                <w:rFonts w:ascii="Times New Roman" w:hAnsi="Times New Roman" w:cs="Times New Roman"/>
                <w:sz w:val="21"/>
                <w:szCs w:val="21"/>
              </w:rPr>
              <w:t>BA1032</w:t>
            </w:r>
            <w:bookmarkEnd w:id="142"/>
          </w:p>
        </w:tc>
      </w:tr>
      <w:tr w:rsidR="008D699A" w:rsidRPr="000D3C67">
        <w:trPr>
          <w:trHeight w:val="397"/>
        </w:trPr>
        <w:tc>
          <w:tcPr>
            <w:tcW w:w="4503" w:type="dxa"/>
            <w:gridSpan w:val="2"/>
            <w:tcBorders>
              <w:bottom w:val="single" w:sz="18"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Alexa Fluor 488-conjugated goat anti-rabbit IgG</w:t>
            </w:r>
          </w:p>
        </w:tc>
        <w:tc>
          <w:tcPr>
            <w:tcW w:w="1984" w:type="dxa"/>
            <w:tcBorders>
              <w:bottom w:val="single" w:sz="18" w:space="0" w:color="auto"/>
            </w:tcBorders>
          </w:tcPr>
          <w:p w:rsidR="008D699A" w:rsidRPr="000D3C67" w:rsidRDefault="000D3C67">
            <w:pPr>
              <w:rPr>
                <w:rFonts w:ascii="Times New Roman" w:hAnsi="Times New Roman" w:cs="Times New Roman"/>
                <w:sz w:val="21"/>
                <w:szCs w:val="21"/>
              </w:rPr>
            </w:pPr>
            <w:r w:rsidRPr="000D3C67">
              <w:rPr>
                <w:rFonts w:ascii="Times New Roman" w:hAnsi="Times New Roman" w:cs="Times New Roman"/>
                <w:sz w:val="21"/>
                <w:szCs w:val="21"/>
              </w:rPr>
              <w:t>Servicebio</w:t>
            </w:r>
          </w:p>
        </w:tc>
        <w:tc>
          <w:tcPr>
            <w:tcW w:w="1843" w:type="dxa"/>
            <w:tcBorders>
              <w:bottom w:val="single" w:sz="18" w:space="0" w:color="auto"/>
            </w:tcBorders>
          </w:tcPr>
          <w:p w:rsidR="008D699A" w:rsidRPr="000D3C67" w:rsidRDefault="000D3C67">
            <w:pPr>
              <w:rPr>
                <w:rFonts w:ascii="Times New Roman" w:hAnsi="Times New Roman" w:cs="Times New Roman"/>
                <w:sz w:val="21"/>
                <w:szCs w:val="21"/>
              </w:rPr>
            </w:pPr>
            <w:bookmarkStart w:id="143" w:name="OLE_LINK1208"/>
            <w:r w:rsidRPr="000D3C67">
              <w:rPr>
                <w:rFonts w:ascii="Times New Roman" w:hAnsi="Times New Roman" w:cs="Times New Roman"/>
                <w:sz w:val="21"/>
                <w:szCs w:val="21"/>
              </w:rPr>
              <w:t>GB25303</w:t>
            </w:r>
            <w:bookmarkEnd w:id="143"/>
          </w:p>
        </w:tc>
      </w:tr>
      <w:bookmarkEnd w:id="136"/>
    </w:tbl>
    <w:p w:rsidR="008D699A" w:rsidRPr="000D3C67" w:rsidRDefault="008D699A">
      <w:pPr>
        <w:spacing w:before="120" w:after="120"/>
        <w:jc w:val="both"/>
        <w:rPr>
          <w:rFonts w:ascii="Times New Roman" w:hAnsi="Times New Roman" w:cs="Times New Roman"/>
          <w:color w:val="000000" w:themeColor="text1"/>
        </w:rPr>
      </w:pPr>
    </w:p>
    <w:p w:rsidR="008D699A" w:rsidRPr="000D3C67" w:rsidRDefault="000D3C67">
      <w:pPr>
        <w:spacing w:before="120" w:after="120"/>
        <w:rPr>
          <w:rFonts w:ascii="Times New Roman" w:hAnsi="Times New Roman" w:cs="Times New Roman"/>
          <w:b/>
          <w:bCs/>
          <w:color w:val="000000" w:themeColor="text1"/>
        </w:rPr>
      </w:pPr>
      <w:bookmarkStart w:id="144" w:name="OLE_LINK1118"/>
      <w:bookmarkStart w:id="145" w:name="OLE_LINK1117"/>
      <w:r w:rsidRPr="000D3C67">
        <w:rPr>
          <w:rFonts w:ascii="Times New Roman" w:hAnsi="Times New Roman" w:cs="Times New Roman"/>
          <w:b/>
          <w:bCs/>
          <w:color w:val="000000" w:themeColor="text1"/>
        </w:rPr>
        <w:br w:type="page"/>
      </w:r>
      <w:bookmarkEnd w:id="144"/>
      <w:bookmarkEnd w:id="145"/>
      <w:r w:rsidRPr="000D3C67">
        <w:rPr>
          <w:rFonts w:ascii="Times New Roman" w:hAnsi="Times New Roman" w:cs="Times New Roman"/>
          <w:b/>
          <w:bCs/>
          <w:color w:val="000000" w:themeColor="text1"/>
          <w:sz w:val="28"/>
          <w:szCs w:val="28"/>
        </w:rPr>
        <w:t>Supplementary References</w:t>
      </w:r>
    </w:p>
    <w:p w:rsidR="008D699A" w:rsidRPr="000D3C67" w:rsidRDefault="000D3C67">
      <w:pPr>
        <w:pStyle w:val="EndNoteBibliography"/>
        <w:numPr>
          <w:ilvl w:val="0"/>
          <w:numId w:val="1"/>
        </w:numPr>
        <w:spacing w:before="120" w:after="120"/>
        <w:jc w:val="both"/>
        <w:rPr>
          <w:rFonts w:ascii="Times New Roman" w:hAnsi="Times New Roman"/>
          <w:sz w:val="24"/>
          <w:szCs w:val="24"/>
        </w:rPr>
      </w:pPr>
      <w:bookmarkStart w:id="146" w:name="OLE_LINK756"/>
      <w:r w:rsidRPr="000D3C67">
        <w:rPr>
          <w:rFonts w:ascii="Times New Roman" w:hAnsi="Times New Roman"/>
          <w:sz w:val="24"/>
          <w:szCs w:val="24"/>
        </w:rPr>
        <w:t xml:space="preserve">H. Funke, M. Chukalina, A.C. Scheinost, A new FEFF-based wavelet for EXAFS data analysis. J. Synchrotron Radiat. </w:t>
      </w:r>
      <w:r w:rsidRPr="000D3C67">
        <w:rPr>
          <w:rFonts w:ascii="Times New Roman" w:hAnsi="Times New Roman"/>
          <w:b/>
          <w:sz w:val="24"/>
          <w:szCs w:val="24"/>
        </w:rPr>
        <w:t>14</w:t>
      </w:r>
      <w:r w:rsidRPr="000D3C67">
        <w:rPr>
          <w:rFonts w:ascii="Times New Roman" w:hAnsi="Times New Roman"/>
          <w:sz w:val="24"/>
          <w:szCs w:val="24"/>
        </w:rPr>
        <w:t xml:space="preserve">(Pt 5), 426–432 (2007). </w:t>
      </w:r>
      <w:hyperlink r:id="rId76" w:history="1">
        <w:r w:rsidRPr="000D3C67">
          <w:rPr>
            <w:rStyle w:val="Hyperlink"/>
            <w:rFonts w:ascii="Times New Roman" w:hAnsi="Times New Roman"/>
            <w:sz w:val="24"/>
            <w:szCs w:val="24"/>
          </w:rPr>
          <w:t>https://doi.org/10.1107/S0909049507031901</w:t>
        </w:r>
      </w:hyperlink>
      <w:r w:rsidRPr="000D3C67">
        <w:rPr>
          <w:rFonts w:ascii="Times New Roman" w:hAnsi="Times New Roman"/>
          <w:sz w:val="24"/>
          <w:szCs w:val="24"/>
        </w:rPr>
        <w:t xml:space="preserve"> </w:t>
      </w:r>
    </w:p>
    <w:p w:rsidR="008D699A" w:rsidRPr="000D3C67" w:rsidRDefault="000D3C67">
      <w:pPr>
        <w:pStyle w:val="EndNoteBibliography"/>
        <w:numPr>
          <w:ilvl w:val="0"/>
          <w:numId w:val="1"/>
        </w:numPr>
        <w:spacing w:before="120" w:after="120"/>
        <w:jc w:val="both"/>
        <w:rPr>
          <w:rFonts w:ascii="Times New Roman" w:hAnsi="Times New Roman"/>
          <w:sz w:val="24"/>
          <w:szCs w:val="24"/>
        </w:rPr>
      </w:pPr>
      <w:r w:rsidRPr="000D3C67">
        <w:rPr>
          <w:rFonts w:ascii="Times New Roman" w:hAnsi="Times New Roman"/>
          <w:sz w:val="24"/>
          <w:szCs w:val="24"/>
        </w:rPr>
        <w:t>B. Ravel, M. New</w:t>
      </w:r>
      <w:r w:rsidRPr="000D3C67">
        <w:rPr>
          <w:rFonts w:ascii="Times New Roman" w:hAnsi="Times New Roman"/>
          <w:sz w:val="24"/>
          <w:szCs w:val="24"/>
        </w:rPr>
        <w:t xml:space="preserve">ville, ATHENA, ARTEMIS, </w:t>
      </w:r>
      <w:r w:rsidRPr="000D3C67">
        <w:rPr>
          <w:rFonts w:ascii="Times New Roman" w:hAnsi="Times New Roman"/>
          <w:i/>
          <w:sz w:val="24"/>
          <w:szCs w:val="24"/>
        </w:rPr>
        <w:t>HEPHAESTUS</w:t>
      </w:r>
      <w:r w:rsidRPr="000D3C67">
        <w:rPr>
          <w:rFonts w:ascii="Times New Roman" w:hAnsi="Times New Roman"/>
          <w:sz w:val="24"/>
          <w:szCs w:val="24"/>
        </w:rPr>
        <w:t xml:space="preserve">: data analysis for X-ray absorption spectroscopy using IFEFFIT. J. Synchrotron Radiat. </w:t>
      </w:r>
      <w:r w:rsidRPr="000D3C67">
        <w:rPr>
          <w:rFonts w:ascii="Times New Roman" w:hAnsi="Times New Roman"/>
          <w:b/>
          <w:sz w:val="24"/>
          <w:szCs w:val="24"/>
        </w:rPr>
        <w:t>12</w:t>
      </w:r>
      <w:r w:rsidRPr="000D3C67">
        <w:rPr>
          <w:rFonts w:ascii="Times New Roman" w:hAnsi="Times New Roman"/>
          <w:sz w:val="24"/>
          <w:szCs w:val="24"/>
        </w:rPr>
        <w:t xml:space="preserve">(Pt 4), 537–541 (2005). </w:t>
      </w:r>
      <w:hyperlink r:id="rId77" w:history="1">
        <w:r w:rsidRPr="000D3C67">
          <w:rPr>
            <w:rStyle w:val="Hyperlink"/>
            <w:rFonts w:ascii="Times New Roman" w:hAnsi="Times New Roman"/>
            <w:sz w:val="24"/>
            <w:szCs w:val="24"/>
          </w:rPr>
          <w:t>https://doi.org/10.1107/S0909049505012719</w:t>
        </w:r>
      </w:hyperlink>
      <w:r w:rsidRPr="000D3C67">
        <w:rPr>
          <w:rFonts w:ascii="Times New Roman" w:hAnsi="Times New Roman"/>
          <w:sz w:val="24"/>
          <w:szCs w:val="24"/>
        </w:rPr>
        <w:t xml:space="preserve"> </w:t>
      </w:r>
    </w:p>
    <w:p w:rsidR="008D699A" w:rsidRPr="000D3C67" w:rsidRDefault="000D3C67">
      <w:pPr>
        <w:pStyle w:val="EndNoteBibliography"/>
        <w:numPr>
          <w:ilvl w:val="0"/>
          <w:numId w:val="1"/>
        </w:numPr>
        <w:spacing w:before="120" w:after="120"/>
        <w:jc w:val="both"/>
        <w:rPr>
          <w:rFonts w:ascii="Times New Roman" w:hAnsi="Times New Roman"/>
          <w:sz w:val="24"/>
          <w:szCs w:val="24"/>
        </w:rPr>
      </w:pPr>
      <w:r w:rsidRPr="000D3C67">
        <w:rPr>
          <w:rFonts w:ascii="Times New Roman" w:hAnsi="Times New Roman"/>
          <w:sz w:val="24"/>
          <w:szCs w:val="24"/>
        </w:rPr>
        <w:t>G. Kres</w:t>
      </w:r>
      <w:r w:rsidRPr="000D3C67">
        <w:rPr>
          <w:rFonts w:ascii="Times New Roman" w:hAnsi="Times New Roman"/>
          <w:sz w:val="24"/>
          <w:szCs w:val="24"/>
        </w:rPr>
        <w:t xml:space="preserve">se, D. Joubert, From ultrasoft pseudopotentials to the projector augmented-wave method. Phys. Rev. B </w:t>
      </w:r>
      <w:r w:rsidRPr="000D3C67">
        <w:rPr>
          <w:rFonts w:ascii="Times New Roman" w:hAnsi="Times New Roman"/>
          <w:b/>
          <w:sz w:val="24"/>
          <w:szCs w:val="24"/>
        </w:rPr>
        <w:t>59</w:t>
      </w:r>
      <w:r w:rsidRPr="000D3C67">
        <w:rPr>
          <w:rFonts w:ascii="Times New Roman" w:hAnsi="Times New Roman"/>
          <w:sz w:val="24"/>
          <w:szCs w:val="24"/>
        </w:rPr>
        <w:t xml:space="preserve">(3), 1758–1775 (1999). </w:t>
      </w:r>
      <w:hyperlink r:id="rId78" w:history="1">
        <w:r w:rsidRPr="000D3C67">
          <w:rPr>
            <w:rStyle w:val="Hyperlink"/>
            <w:rFonts w:ascii="Times New Roman" w:hAnsi="Times New Roman"/>
            <w:sz w:val="24"/>
            <w:szCs w:val="24"/>
          </w:rPr>
          <w:t>https://doi.org/10.1103/physrevb.59.1758</w:t>
        </w:r>
      </w:hyperlink>
      <w:r w:rsidRPr="000D3C67">
        <w:rPr>
          <w:rFonts w:ascii="Times New Roman" w:hAnsi="Times New Roman"/>
          <w:sz w:val="24"/>
          <w:szCs w:val="24"/>
        </w:rPr>
        <w:t xml:space="preserve"> </w:t>
      </w:r>
    </w:p>
    <w:p w:rsidR="008D699A" w:rsidRPr="000D3C67" w:rsidRDefault="000D3C67">
      <w:pPr>
        <w:pStyle w:val="EndNoteBibliography"/>
        <w:numPr>
          <w:ilvl w:val="0"/>
          <w:numId w:val="1"/>
        </w:numPr>
        <w:spacing w:before="120" w:after="120"/>
        <w:jc w:val="both"/>
        <w:rPr>
          <w:rFonts w:ascii="Times New Roman" w:hAnsi="Times New Roman"/>
          <w:sz w:val="24"/>
          <w:szCs w:val="24"/>
        </w:rPr>
      </w:pPr>
      <w:r w:rsidRPr="000D3C67">
        <w:rPr>
          <w:rFonts w:ascii="Times New Roman" w:hAnsi="Times New Roman"/>
          <w:sz w:val="24"/>
          <w:szCs w:val="24"/>
        </w:rPr>
        <w:t>J.P. Perdew, K. Burke, M. Ernze</w:t>
      </w:r>
      <w:r w:rsidRPr="000D3C67">
        <w:rPr>
          <w:rFonts w:ascii="Times New Roman" w:hAnsi="Times New Roman"/>
          <w:sz w:val="24"/>
          <w:szCs w:val="24"/>
        </w:rPr>
        <w:t xml:space="preserve">rhof, Generalized gradient approximation made simple. Phys. Rev. Lett. </w:t>
      </w:r>
      <w:r w:rsidRPr="000D3C67">
        <w:rPr>
          <w:rFonts w:ascii="Times New Roman" w:hAnsi="Times New Roman"/>
          <w:b/>
          <w:sz w:val="24"/>
          <w:szCs w:val="24"/>
        </w:rPr>
        <w:t>77</w:t>
      </w:r>
      <w:r w:rsidRPr="000D3C67">
        <w:rPr>
          <w:rFonts w:ascii="Times New Roman" w:hAnsi="Times New Roman"/>
          <w:sz w:val="24"/>
          <w:szCs w:val="24"/>
        </w:rPr>
        <w:t xml:space="preserve">(18), 3865–3868 (1996). </w:t>
      </w:r>
      <w:hyperlink r:id="rId79" w:history="1">
        <w:r w:rsidRPr="000D3C67">
          <w:rPr>
            <w:rStyle w:val="Hyperlink"/>
            <w:rFonts w:ascii="Times New Roman" w:hAnsi="Times New Roman"/>
            <w:sz w:val="24"/>
            <w:szCs w:val="24"/>
          </w:rPr>
          <w:t>https://doi.org/10.1103/physrevlett.77.3865</w:t>
        </w:r>
      </w:hyperlink>
      <w:r w:rsidRPr="000D3C67">
        <w:rPr>
          <w:rFonts w:ascii="Times New Roman" w:hAnsi="Times New Roman"/>
          <w:sz w:val="24"/>
          <w:szCs w:val="24"/>
        </w:rPr>
        <w:t xml:space="preserve"> </w:t>
      </w:r>
    </w:p>
    <w:p w:rsidR="008D699A" w:rsidRPr="000D3C67" w:rsidRDefault="000D3C67">
      <w:pPr>
        <w:pStyle w:val="EndNoteBibliography"/>
        <w:numPr>
          <w:ilvl w:val="0"/>
          <w:numId w:val="1"/>
        </w:numPr>
        <w:spacing w:before="120" w:after="120"/>
        <w:jc w:val="both"/>
        <w:rPr>
          <w:rFonts w:ascii="Times New Roman" w:hAnsi="Times New Roman"/>
          <w:sz w:val="24"/>
          <w:szCs w:val="24"/>
        </w:rPr>
      </w:pPr>
      <w:r w:rsidRPr="000D3C67">
        <w:rPr>
          <w:rFonts w:ascii="Times New Roman" w:hAnsi="Times New Roman"/>
          <w:sz w:val="24"/>
          <w:szCs w:val="24"/>
        </w:rPr>
        <w:t>S. Grimme, J. Antony, S. Ehrlich, H. Krieg, A consiste</w:t>
      </w:r>
      <w:r w:rsidRPr="000D3C67">
        <w:rPr>
          <w:rFonts w:ascii="Times New Roman" w:hAnsi="Times New Roman"/>
          <w:sz w:val="24"/>
          <w:szCs w:val="24"/>
        </w:rPr>
        <w:t xml:space="preserve">nt and accurate </w:t>
      </w:r>
      <w:r w:rsidRPr="000D3C67">
        <w:rPr>
          <w:rFonts w:ascii="Times New Roman" w:hAnsi="Times New Roman"/>
          <w:i/>
          <w:sz w:val="24"/>
          <w:szCs w:val="24"/>
        </w:rPr>
        <w:t>ab initio</w:t>
      </w:r>
      <w:r w:rsidRPr="000D3C67">
        <w:rPr>
          <w:rFonts w:ascii="Times New Roman" w:hAnsi="Times New Roman"/>
          <w:sz w:val="24"/>
          <w:szCs w:val="24"/>
        </w:rPr>
        <w:t xml:space="preserve"> parametrization of density functional dispersion correction (DFT-D) for the 94 elements H-Pu. J. Chem. Phys. </w:t>
      </w:r>
      <w:r w:rsidRPr="000D3C67">
        <w:rPr>
          <w:rFonts w:ascii="Times New Roman" w:hAnsi="Times New Roman"/>
          <w:b/>
          <w:sz w:val="24"/>
          <w:szCs w:val="24"/>
        </w:rPr>
        <w:t>132</w:t>
      </w:r>
      <w:r w:rsidRPr="000D3C67">
        <w:rPr>
          <w:rFonts w:ascii="Times New Roman" w:hAnsi="Times New Roman"/>
          <w:sz w:val="24"/>
          <w:szCs w:val="24"/>
        </w:rPr>
        <w:t xml:space="preserve">(15), 154104 (2010). </w:t>
      </w:r>
      <w:hyperlink r:id="rId80" w:history="1">
        <w:r w:rsidRPr="000D3C67">
          <w:rPr>
            <w:rStyle w:val="Hyperlink"/>
            <w:rFonts w:ascii="Times New Roman" w:hAnsi="Times New Roman"/>
            <w:sz w:val="24"/>
            <w:szCs w:val="24"/>
          </w:rPr>
          <w:t>https://doi.org/10.1063/1.3382344</w:t>
        </w:r>
      </w:hyperlink>
      <w:r w:rsidRPr="000D3C67">
        <w:rPr>
          <w:rFonts w:ascii="Times New Roman" w:hAnsi="Times New Roman"/>
          <w:sz w:val="24"/>
          <w:szCs w:val="24"/>
        </w:rPr>
        <w:t xml:space="preserve"> </w:t>
      </w:r>
    </w:p>
    <w:p w:rsidR="008D699A" w:rsidRPr="000D3C67" w:rsidRDefault="000D3C67">
      <w:pPr>
        <w:pStyle w:val="EndNoteBibliography"/>
        <w:numPr>
          <w:ilvl w:val="0"/>
          <w:numId w:val="1"/>
        </w:numPr>
        <w:spacing w:before="120" w:after="120"/>
        <w:jc w:val="both"/>
        <w:rPr>
          <w:rFonts w:ascii="Times New Roman" w:hAnsi="Times New Roman"/>
          <w:sz w:val="24"/>
          <w:szCs w:val="24"/>
        </w:rPr>
      </w:pPr>
      <w:r w:rsidRPr="000D3C67">
        <w:rPr>
          <w:rFonts w:ascii="Times New Roman" w:hAnsi="Times New Roman"/>
          <w:sz w:val="24"/>
          <w:szCs w:val="24"/>
        </w:rPr>
        <w:t xml:space="preserve">P.D. Ottewell, J.K. Woodward, D.V. Lefley, C.A. Evans, R.E. Coleman et al., Anticancer mechanisms of doxorubicin and zoledronic acid in breast cancer tumor growth in bone. Mol. Cancer Ther. </w:t>
      </w:r>
      <w:r w:rsidRPr="000D3C67">
        <w:rPr>
          <w:rFonts w:ascii="Times New Roman" w:hAnsi="Times New Roman"/>
          <w:b/>
          <w:sz w:val="24"/>
          <w:szCs w:val="24"/>
        </w:rPr>
        <w:t>8</w:t>
      </w:r>
      <w:r w:rsidRPr="000D3C67">
        <w:rPr>
          <w:rFonts w:ascii="Times New Roman" w:hAnsi="Times New Roman"/>
          <w:sz w:val="24"/>
          <w:szCs w:val="24"/>
        </w:rPr>
        <w:t xml:space="preserve">(10), 2821–2832 (2009). </w:t>
      </w:r>
      <w:hyperlink r:id="rId81" w:history="1">
        <w:r w:rsidRPr="000D3C67">
          <w:rPr>
            <w:rStyle w:val="Hyperlink"/>
            <w:rFonts w:ascii="Times New Roman" w:hAnsi="Times New Roman"/>
            <w:sz w:val="24"/>
            <w:szCs w:val="24"/>
          </w:rPr>
          <w:t>https://doi.org/10.1158/1535-7163.MCT-09-0462</w:t>
        </w:r>
      </w:hyperlink>
      <w:r w:rsidRPr="000D3C67">
        <w:rPr>
          <w:rFonts w:ascii="Times New Roman" w:hAnsi="Times New Roman"/>
          <w:sz w:val="24"/>
          <w:szCs w:val="24"/>
        </w:rPr>
        <w:t xml:space="preserve"> </w:t>
      </w:r>
    </w:p>
    <w:p w:rsidR="008D699A" w:rsidRPr="000D3C67" w:rsidRDefault="000D3C67">
      <w:pPr>
        <w:pStyle w:val="EndNoteBibliography"/>
        <w:numPr>
          <w:ilvl w:val="0"/>
          <w:numId w:val="1"/>
        </w:numPr>
        <w:spacing w:before="120" w:after="120"/>
        <w:jc w:val="both"/>
        <w:rPr>
          <w:rFonts w:ascii="Times New Roman" w:hAnsi="Times New Roman"/>
          <w:sz w:val="24"/>
          <w:szCs w:val="24"/>
        </w:rPr>
      </w:pPr>
      <w:r w:rsidRPr="000D3C67">
        <w:rPr>
          <w:rFonts w:ascii="Times New Roman" w:hAnsi="Times New Roman"/>
          <w:sz w:val="24"/>
          <w:szCs w:val="24"/>
        </w:rPr>
        <w:t xml:space="preserve">L. Huang, J. Chen, L. Gan, J. Wang, S. Dong, Single-atom nanozymes. Sci. Adv. </w:t>
      </w:r>
      <w:r w:rsidRPr="000D3C67">
        <w:rPr>
          <w:rFonts w:ascii="Times New Roman" w:hAnsi="Times New Roman"/>
          <w:b/>
          <w:sz w:val="24"/>
          <w:szCs w:val="24"/>
        </w:rPr>
        <w:t>5</w:t>
      </w:r>
      <w:r w:rsidRPr="000D3C67">
        <w:rPr>
          <w:rFonts w:ascii="Times New Roman" w:hAnsi="Times New Roman"/>
          <w:sz w:val="24"/>
          <w:szCs w:val="24"/>
        </w:rPr>
        <w:t xml:space="preserve">(5), eaav5490 (2019). </w:t>
      </w:r>
      <w:hyperlink r:id="rId82" w:history="1">
        <w:r w:rsidRPr="000D3C67">
          <w:rPr>
            <w:rStyle w:val="Hyperlink"/>
            <w:rFonts w:ascii="Times New Roman" w:hAnsi="Times New Roman"/>
            <w:sz w:val="24"/>
            <w:szCs w:val="24"/>
          </w:rPr>
          <w:t>https://doi.org/10.1126/sciadv.aav5</w:t>
        </w:r>
        <w:r w:rsidRPr="000D3C67">
          <w:rPr>
            <w:rStyle w:val="Hyperlink"/>
            <w:rFonts w:ascii="Times New Roman" w:hAnsi="Times New Roman"/>
            <w:sz w:val="24"/>
            <w:szCs w:val="24"/>
          </w:rPr>
          <w:t>490</w:t>
        </w:r>
      </w:hyperlink>
      <w:r w:rsidRPr="000D3C67">
        <w:rPr>
          <w:rFonts w:ascii="Times New Roman" w:hAnsi="Times New Roman"/>
          <w:sz w:val="24"/>
          <w:szCs w:val="24"/>
        </w:rPr>
        <w:t xml:space="preserve"> </w:t>
      </w:r>
      <w:bookmarkEnd w:id="146"/>
    </w:p>
    <w:sectPr w:rsidR="008D699A" w:rsidRPr="000D3C67">
      <w:headerReference w:type="default" r:id="rId83"/>
      <w:footerReference w:type="even" r:id="rId84"/>
      <w:footerReference w:type="default" r:id="rId85"/>
      <w:pgSz w:w="11900" w:h="16840"/>
      <w:pgMar w:top="1440" w:right="1800" w:bottom="1440" w:left="1800" w:header="851" w:footer="454"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D3C67">
      <w:r>
        <w:separator/>
      </w:r>
    </w:p>
  </w:endnote>
  <w:endnote w:type="continuationSeparator" w:id="0">
    <w:p w:rsidR="00000000" w:rsidRDefault="000D3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default"/>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default"/>
    <w:sig w:usb0="E00002FF" w:usb1="6AC7FDFB" w:usb2="08000012" w:usb3="00000000" w:csb0="4002009F" w:csb1="DFD70000"/>
  </w:font>
  <w:font w:name="楷体">
    <w:charset w:val="86"/>
    <w:family w:val="modern"/>
    <w:pitch w:val="default"/>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SimSun"/>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62070035"/>
    </w:sdtPr>
    <w:sdtEndPr>
      <w:rPr>
        <w:rStyle w:val="PageNumber"/>
      </w:rPr>
    </w:sdtEndPr>
    <w:sdtContent>
      <w:p w:rsidR="008D699A" w:rsidRDefault="000D3C67">
        <w:pPr>
          <w:pStyle w:val="Foot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75</w:t>
        </w:r>
        <w:r>
          <w:rPr>
            <w:rStyle w:val="PageNumber"/>
          </w:rPr>
          <w:fldChar w:fldCharType="end"/>
        </w:r>
      </w:p>
    </w:sdtContent>
  </w:sdt>
  <w:p w:rsidR="008D699A" w:rsidRDefault="008D69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99A" w:rsidRDefault="000D3C67">
    <w:pPr>
      <w:pStyle w:val="Footer"/>
      <w:jc w:val="center"/>
      <w:rPr>
        <w:rFonts w:ascii="Times New Roman" w:hAnsi="Times New Roman" w:cs="Times New Roman"/>
        <w:sz w:val="24"/>
        <w:szCs w:val="24"/>
      </w:rPr>
    </w:pPr>
    <w:r>
      <w:rPr>
        <w:rFonts w:ascii="Times New Roman" w:hAnsi="Times New Roman" w:cs="Times New Roman"/>
        <w:sz w:val="24"/>
        <w:szCs w:val="24"/>
      </w:rPr>
      <w:t>S</w:t>
    </w:r>
    <w:sdt>
      <w:sdtPr>
        <w:rPr>
          <w:rFonts w:ascii="Times New Roman" w:hAnsi="Times New Roman" w:cs="Times New Roman"/>
          <w:sz w:val="24"/>
          <w:szCs w:val="24"/>
        </w:rPr>
        <w:id w:val="1458139319"/>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r>
          <w:rPr>
            <w:rFonts w:ascii="Times New Roman" w:hAnsi="Times New Roman" w:cs="Times New Roman"/>
            <w:sz w:val="24"/>
            <w:szCs w:val="24"/>
          </w:rPr>
          <w:t>/S38</w:t>
        </w:r>
      </w:sdtContent>
    </w:sdt>
  </w:p>
  <w:p w:rsidR="008D699A" w:rsidRDefault="008D6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D3C67">
      <w:r>
        <w:separator/>
      </w:r>
    </w:p>
  </w:footnote>
  <w:footnote w:type="continuationSeparator" w:id="0">
    <w:p w:rsidR="00000000" w:rsidRDefault="000D3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99A" w:rsidRDefault="000D3C67">
    <w:pPr>
      <w:pStyle w:val="Header"/>
      <w:rPr>
        <w:rFonts w:ascii="Times New Roman" w:hAnsi="Times New Roman" w:cs="Times New Roman"/>
        <w:sz w:val="24"/>
        <w:szCs w:val="24"/>
      </w:rPr>
    </w:pPr>
    <w:hyperlink r:id="rId1" w:history="1">
      <w:r>
        <w:rPr>
          <w:rStyle w:val="Hyperlink"/>
          <w:rFonts w:ascii="Times New Roman" w:hAnsi="Times New Roman" w:cs="Times New Roman" w:hint="eastAsia"/>
          <w:sz w:val="24"/>
          <w:szCs w:val="24"/>
        </w:rPr>
        <w:t>N</w:t>
      </w:r>
      <w:r>
        <w:rPr>
          <w:rStyle w:val="Hyperlink"/>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A072E"/>
    <w:multiLevelType w:val="multilevel"/>
    <w:tmpl w:val="064A072E"/>
    <w:lvl w:ilvl="0">
      <w:start w:val="1"/>
      <w:numFmt w:val="decimal"/>
      <w:lvlText w:val="[S%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bordersDoNotSurroundHeader/>
  <w:bordersDoNotSurroundFooter/>
  <w:hideSpellingErrors/>
  <w:hideGrammaticalErrors/>
  <w:defaultTabStop w:val="4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no-Micro Letters Copy2&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awt09wp0r2v0e025upw5zirzxfta2efrfa&quot;&gt;My EndNote Library-单原子&lt;record-ids&gt;&lt;item&gt;51&lt;/item&gt;&lt;item&gt;80&lt;/item&gt;&lt;item&gt;81&lt;/item&gt;&lt;item&gt;82&lt;/item&gt;&lt;item&gt;83&lt;/item&gt;&lt;/record-ids&gt;&lt;/item&gt;&lt;/Libraries&gt;"/>
  </w:docVars>
  <w:rsids>
    <w:rsidRoot w:val="001E7EFC"/>
    <w:rsid w:val="000013A0"/>
    <w:rsid w:val="00003434"/>
    <w:rsid w:val="00004D78"/>
    <w:rsid w:val="00010207"/>
    <w:rsid w:val="00011364"/>
    <w:rsid w:val="00011C13"/>
    <w:rsid w:val="000129D3"/>
    <w:rsid w:val="0001311A"/>
    <w:rsid w:val="00014085"/>
    <w:rsid w:val="00014A46"/>
    <w:rsid w:val="00014F66"/>
    <w:rsid w:val="00015291"/>
    <w:rsid w:val="000153EE"/>
    <w:rsid w:val="00015FD4"/>
    <w:rsid w:val="000170A9"/>
    <w:rsid w:val="000254A2"/>
    <w:rsid w:val="00026272"/>
    <w:rsid w:val="00026BF0"/>
    <w:rsid w:val="00027640"/>
    <w:rsid w:val="00030658"/>
    <w:rsid w:val="000321C2"/>
    <w:rsid w:val="0003538F"/>
    <w:rsid w:val="000362F9"/>
    <w:rsid w:val="0003752D"/>
    <w:rsid w:val="0004089A"/>
    <w:rsid w:val="00041BAA"/>
    <w:rsid w:val="00044721"/>
    <w:rsid w:val="00044FBC"/>
    <w:rsid w:val="00046652"/>
    <w:rsid w:val="00051636"/>
    <w:rsid w:val="0005206B"/>
    <w:rsid w:val="00053028"/>
    <w:rsid w:val="00053740"/>
    <w:rsid w:val="00054531"/>
    <w:rsid w:val="000579EE"/>
    <w:rsid w:val="0006005A"/>
    <w:rsid w:val="00061E5F"/>
    <w:rsid w:val="00063073"/>
    <w:rsid w:val="00063308"/>
    <w:rsid w:val="000649FA"/>
    <w:rsid w:val="00065E4F"/>
    <w:rsid w:val="000668F9"/>
    <w:rsid w:val="00067DBF"/>
    <w:rsid w:val="0007056B"/>
    <w:rsid w:val="000712CE"/>
    <w:rsid w:val="00071E8F"/>
    <w:rsid w:val="000727AC"/>
    <w:rsid w:val="00072EBF"/>
    <w:rsid w:val="00073454"/>
    <w:rsid w:val="00073E61"/>
    <w:rsid w:val="00075405"/>
    <w:rsid w:val="000756F8"/>
    <w:rsid w:val="00076C07"/>
    <w:rsid w:val="00077568"/>
    <w:rsid w:val="00086565"/>
    <w:rsid w:val="00086E8B"/>
    <w:rsid w:val="00087B37"/>
    <w:rsid w:val="0009015B"/>
    <w:rsid w:val="0009124E"/>
    <w:rsid w:val="000917F6"/>
    <w:rsid w:val="00092137"/>
    <w:rsid w:val="00096353"/>
    <w:rsid w:val="00096E75"/>
    <w:rsid w:val="000974E7"/>
    <w:rsid w:val="000A0899"/>
    <w:rsid w:val="000A1530"/>
    <w:rsid w:val="000A2393"/>
    <w:rsid w:val="000A30C6"/>
    <w:rsid w:val="000A33DA"/>
    <w:rsid w:val="000A5A40"/>
    <w:rsid w:val="000A635D"/>
    <w:rsid w:val="000A6C5A"/>
    <w:rsid w:val="000B2D43"/>
    <w:rsid w:val="000B3466"/>
    <w:rsid w:val="000B4AD8"/>
    <w:rsid w:val="000B5320"/>
    <w:rsid w:val="000B734D"/>
    <w:rsid w:val="000C0C91"/>
    <w:rsid w:val="000C2353"/>
    <w:rsid w:val="000C3D14"/>
    <w:rsid w:val="000C445A"/>
    <w:rsid w:val="000C572D"/>
    <w:rsid w:val="000C5A2A"/>
    <w:rsid w:val="000C5E91"/>
    <w:rsid w:val="000C66FB"/>
    <w:rsid w:val="000C7167"/>
    <w:rsid w:val="000C71F2"/>
    <w:rsid w:val="000C7FBA"/>
    <w:rsid w:val="000D22FE"/>
    <w:rsid w:val="000D3C67"/>
    <w:rsid w:val="000D4F44"/>
    <w:rsid w:val="000D597C"/>
    <w:rsid w:val="000D667C"/>
    <w:rsid w:val="000D6CB2"/>
    <w:rsid w:val="000D6EE3"/>
    <w:rsid w:val="000D704A"/>
    <w:rsid w:val="000D74A4"/>
    <w:rsid w:val="000D7BBC"/>
    <w:rsid w:val="000E0798"/>
    <w:rsid w:val="000E211F"/>
    <w:rsid w:val="000E26BC"/>
    <w:rsid w:val="000E2CA2"/>
    <w:rsid w:val="000E3734"/>
    <w:rsid w:val="000E383C"/>
    <w:rsid w:val="000E5A95"/>
    <w:rsid w:val="000E746C"/>
    <w:rsid w:val="000E7721"/>
    <w:rsid w:val="000E7845"/>
    <w:rsid w:val="000E7EB0"/>
    <w:rsid w:val="000F0508"/>
    <w:rsid w:val="000F0B62"/>
    <w:rsid w:val="000F200D"/>
    <w:rsid w:val="000F2FB8"/>
    <w:rsid w:val="000F3454"/>
    <w:rsid w:val="000F64BD"/>
    <w:rsid w:val="00101DA3"/>
    <w:rsid w:val="00102257"/>
    <w:rsid w:val="00105C88"/>
    <w:rsid w:val="00105D66"/>
    <w:rsid w:val="001060CF"/>
    <w:rsid w:val="00106EF7"/>
    <w:rsid w:val="0011015D"/>
    <w:rsid w:val="00110445"/>
    <w:rsid w:val="00110B14"/>
    <w:rsid w:val="00111161"/>
    <w:rsid w:val="00113E73"/>
    <w:rsid w:val="001146EA"/>
    <w:rsid w:val="00116A38"/>
    <w:rsid w:val="00120A22"/>
    <w:rsid w:val="00120BDA"/>
    <w:rsid w:val="001224FF"/>
    <w:rsid w:val="00122EC3"/>
    <w:rsid w:val="00123803"/>
    <w:rsid w:val="00124A5B"/>
    <w:rsid w:val="0012531A"/>
    <w:rsid w:val="001253C9"/>
    <w:rsid w:val="001262E8"/>
    <w:rsid w:val="00126828"/>
    <w:rsid w:val="00131988"/>
    <w:rsid w:val="001323FE"/>
    <w:rsid w:val="00133231"/>
    <w:rsid w:val="001341BB"/>
    <w:rsid w:val="0013494B"/>
    <w:rsid w:val="00134C6A"/>
    <w:rsid w:val="001366E2"/>
    <w:rsid w:val="00141D42"/>
    <w:rsid w:val="00142739"/>
    <w:rsid w:val="00142C0B"/>
    <w:rsid w:val="00143BDC"/>
    <w:rsid w:val="00143CB4"/>
    <w:rsid w:val="0014451D"/>
    <w:rsid w:val="00144A8D"/>
    <w:rsid w:val="00145275"/>
    <w:rsid w:val="00145C19"/>
    <w:rsid w:val="0014648F"/>
    <w:rsid w:val="001478E8"/>
    <w:rsid w:val="0014790A"/>
    <w:rsid w:val="00150498"/>
    <w:rsid w:val="00150BCF"/>
    <w:rsid w:val="001526C1"/>
    <w:rsid w:val="0015301F"/>
    <w:rsid w:val="00154224"/>
    <w:rsid w:val="00154EA4"/>
    <w:rsid w:val="00155741"/>
    <w:rsid w:val="001567FA"/>
    <w:rsid w:val="00156F6D"/>
    <w:rsid w:val="001576F7"/>
    <w:rsid w:val="001600C5"/>
    <w:rsid w:val="0016077F"/>
    <w:rsid w:val="00160DD7"/>
    <w:rsid w:val="001623A9"/>
    <w:rsid w:val="00163302"/>
    <w:rsid w:val="001640ED"/>
    <w:rsid w:val="00164D74"/>
    <w:rsid w:val="00165691"/>
    <w:rsid w:val="00166499"/>
    <w:rsid w:val="00166C01"/>
    <w:rsid w:val="00166DE3"/>
    <w:rsid w:val="001704E8"/>
    <w:rsid w:val="00170580"/>
    <w:rsid w:val="0017062F"/>
    <w:rsid w:val="00171286"/>
    <w:rsid w:val="00174C90"/>
    <w:rsid w:val="00174D54"/>
    <w:rsid w:val="001750CA"/>
    <w:rsid w:val="001752F2"/>
    <w:rsid w:val="00176433"/>
    <w:rsid w:val="00176621"/>
    <w:rsid w:val="00177601"/>
    <w:rsid w:val="00177991"/>
    <w:rsid w:val="00177C2F"/>
    <w:rsid w:val="00180D20"/>
    <w:rsid w:val="001821E4"/>
    <w:rsid w:val="00182A9B"/>
    <w:rsid w:val="00184190"/>
    <w:rsid w:val="0018652A"/>
    <w:rsid w:val="00187AB7"/>
    <w:rsid w:val="00190EA7"/>
    <w:rsid w:val="001910A3"/>
    <w:rsid w:val="00191DC5"/>
    <w:rsid w:val="00193981"/>
    <w:rsid w:val="0019641F"/>
    <w:rsid w:val="001A1481"/>
    <w:rsid w:val="001A47AB"/>
    <w:rsid w:val="001A5C39"/>
    <w:rsid w:val="001A5EB1"/>
    <w:rsid w:val="001A5EC9"/>
    <w:rsid w:val="001A62BF"/>
    <w:rsid w:val="001A68CA"/>
    <w:rsid w:val="001A6C31"/>
    <w:rsid w:val="001B1D79"/>
    <w:rsid w:val="001B2190"/>
    <w:rsid w:val="001B3F2B"/>
    <w:rsid w:val="001B48B4"/>
    <w:rsid w:val="001B4AD8"/>
    <w:rsid w:val="001B7FCA"/>
    <w:rsid w:val="001C058D"/>
    <w:rsid w:val="001C25AE"/>
    <w:rsid w:val="001C3174"/>
    <w:rsid w:val="001C3852"/>
    <w:rsid w:val="001C3ED0"/>
    <w:rsid w:val="001C517F"/>
    <w:rsid w:val="001C7360"/>
    <w:rsid w:val="001C73EF"/>
    <w:rsid w:val="001D05F3"/>
    <w:rsid w:val="001D1749"/>
    <w:rsid w:val="001D1E67"/>
    <w:rsid w:val="001D3D19"/>
    <w:rsid w:val="001D5B44"/>
    <w:rsid w:val="001E152C"/>
    <w:rsid w:val="001E24C8"/>
    <w:rsid w:val="001E532A"/>
    <w:rsid w:val="001E78F7"/>
    <w:rsid w:val="001E7EFC"/>
    <w:rsid w:val="001E7FCE"/>
    <w:rsid w:val="001F03AF"/>
    <w:rsid w:val="001F0C28"/>
    <w:rsid w:val="001F3E99"/>
    <w:rsid w:val="001F4EE7"/>
    <w:rsid w:val="001F5351"/>
    <w:rsid w:val="001F6C1A"/>
    <w:rsid w:val="00200780"/>
    <w:rsid w:val="00200CDE"/>
    <w:rsid w:val="00201CA6"/>
    <w:rsid w:val="00201E8E"/>
    <w:rsid w:val="00202659"/>
    <w:rsid w:val="00203565"/>
    <w:rsid w:val="002069AA"/>
    <w:rsid w:val="002075FF"/>
    <w:rsid w:val="00210B0D"/>
    <w:rsid w:val="00213165"/>
    <w:rsid w:val="002143BD"/>
    <w:rsid w:val="0021503D"/>
    <w:rsid w:val="0021695A"/>
    <w:rsid w:val="00220849"/>
    <w:rsid w:val="00220987"/>
    <w:rsid w:val="00223B7B"/>
    <w:rsid w:val="00223E11"/>
    <w:rsid w:val="0022567B"/>
    <w:rsid w:val="0022603C"/>
    <w:rsid w:val="002268CE"/>
    <w:rsid w:val="00230364"/>
    <w:rsid w:val="0023116F"/>
    <w:rsid w:val="002323FB"/>
    <w:rsid w:val="00234803"/>
    <w:rsid w:val="00240092"/>
    <w:rsid w:val="002407EA"/>
    <w:rsid w:val="00242F77"/>
    <w:rsid w:val="00245639"/>
    <w:rsid w:val="00245C0B"/>
    <w:rsid w:val="002515FA"/>
    <w:rsid w:val="0025221C"/>
    <w:rsid w:val="0025297F"/>
    <w:rsid w:val="00252B7A"/>
    <w:rsid w:val="00253362"/>
    <w:rsid w:val="00253F8C"/>
    <w:rsid w:val="0025415B"/>
    <w:rsid w:val="00254DCD"/>
    <w:rsid w:val="00256879"/>
    <w:rsid w:val="002571AE"/>
    <w:rsid w:val="00257B15"/>
    <w:rsid w:val="00257D82"/>
    <w:rsid w:val="00261F52"/>
    <w:rsid w:val="00262201"/>
    <w:rsid w:val="00262D7F"/>
    <w:rsid w:val="002662C5"/>
    <w:rsid w:val="0026701A"/>
    <w:rsid w:val="00267690"/>
    <w:rsid w:val="00267691"/>
    <w:rsid w:val="00267919"/>
    <w:rsid w:val="0027378D"/>
    <w:rsid w:val="002761C2"/>
    <w:rsid w:val="002776A1"/>
    <w:rsid w:val="002813C8"/>
    <w:rsid w:val="0028193D"/>
    <w:rsid w:val="002827B8"/>
    <w:rsid w:val="00284B85"/>
    <w:rsid w:val="00285AFF"/>
    <w:rsid w:val="00285CCD"/>
    <w:rsid w:val="00286D65"/>
    <w:rsid w:val="00293005"/>
    <w:rsid w:val="0029343A"/>
    <w:rsid w:val="00293A98"/>
    <w:rsid w:val="00294A60"/>
    <w:rsid w:val="00296B03"/>
    <w:rsid w:val="002A05A0"/>
    <w:rsid w:val="002A0DCE"/>
    <w:rsid w:val="002A1A8A"/>
    <w:rsid w:val="002A1B89"/>
    <w:rsid w:val="002A1EE8"/>
    <w:rsid w:val="002A268C"/>
    <w:rsid w:val="002A3A1E"/>
    <w:rsid w:val="002A4932"/>
    <w:rsid w:val="002B1D7B"/>
    <w:rsid w:val="002B31BF"/>
    <w:rsid w:val="002B57C3"/>
    <w:rsid w:val="002B584A"/>
    <w:rsid w:val="002B6520"/>
    <w:rsid w:val="002B6AE5"/>
    <w:rsid w:val="002C286C"/>
    <w:rsid w:val="002C3BE2"/>
    <w:rsid w:val="002C3D2F"/>
    <w:rsid w:val="002C467B"/>
    <w:rsid w:val="002C54C9"/>
    <w:rsid w:val="002C644A"/>
    <w:rsid w:val="002D1995"/>
    <w:rsid w:val="002D29C4"/>
    <w:rsid w:val="002D2A9F"/>
    <w:rsid w:val="002D2CE9"/>
    <w:rsid w:val="002D53B9"/>
    <w:rsid w:val="002D7315"/>
    <w:rsid w:val="002E0211"/>
    <w:rsid w:val="002E037B"/>
    <w:rsid w:val="002E1DFB"/>
    <w:rsid w:val="002E291D"/>
    <w:rsid w:val="002E38E9"/>
    <w:rsid w:val="002E3DFE"/>
    <w:rsid w:val="002F1C55"/>
    <w:rsid w:val="002F4598"/>
    <w:rsid w:val="002F6760"/>
    <w:rsid w:val="00300453"/>
    <w:rsid w:val="00300622"/>
    <w:rsid w:val="00300EE1"/>
    <w:rsid w:val="0030115C"/>
    <w:rsid w:val="00302274"/>
    <w:rsid w:val="00302706"/>
    <w:rsid w:val="00304526"/>
    <w:rsid w:val="00310423"/>
    <w:rsid w:val="00310954"/>
    <w:rsid w:val="00311995"/>
    <w:rsid w:val="00313654"/>
    <w:rsid w:val="00313EA0"/>
    <w:rsid w:val="00314122"/>
    <w:rsid w:val="00320591"/>
    <w:rsid w:val="00321359"/>
    <w:rsid w:val="003230C5"/>
    <w:rsid w:val="00323324"/>
    <w:rsid w:val="00323688"/>
    <w:rsid w:val="00323BB1"/>
    <w:rsid w:val="00323DC2"/>
    <w:rsid w:val="00324BF3"/>
    <w:rsid w:val="003268C9"/>
    <w:rsid w:val="003319C7"/>
    <w:rsid w:val="0033209B"/>
    <w:rsid w:val="00332E0D"/>
    <w:rsid w:val="00334400"/>
    <w:rsid w:val="00336CE2"/>
    <w:rsid w:val="00336D55"/>
    <w:rsid w:val="00337A04"/>
    <w:rsid w:val="00337BEF"/>
    <w:rsid w:val="00340D70"/>
    <w:rsid w:val="003424A9"/>
    <w:rsid w:val="00343312"/>
    <w:rsid w:val="00343884"/>
    <w:rsid w:val="003444F3"/>
    <w:rsid w:val="0035046C"/>
    <w:rsid w:val="00351209"/>
    <w:rsid w:val="00353CEE"/>
    <w:rsid w:val="0035424E"/>
    <w:rsid w:val="003562CD"/>
    <w:rsid w:val="00356718"/>
    <w:rsid w:val="00357DD3"/>
    <w:rsid w:val="003620D7"/>
    <w:rsid w:val="003632A3"/>
    <w:rsid w:val="00363E53"/>
    <w:rsid w:val="00363E5B"/>
    <w:rsid w:val="0036487B"/>
    <w:rsid w:val="00365488"/>
    <w:rsid w:val="00367322"/>
    <w:rsid w:val="003704F2"/>
    <w:rsid w:val="00373490"/>
    <w:rsid w:val="00373992"/>
    <w:rsid w:val="0037429C"/>
    <w:rsid w:val="00374F73"/>
    <w:rsid w:val="003750B0"/>
    <w:rsid w:val="00375932"/>
    <w:rsid w:val="00376DB2"/>
    <w:rsid w:val="00377F76"/>
    <w:rsid w:val="00380CD6"/>
    <w:rsid w:val="0038240C"/>
    <w:rsid w:val="003830CF"/>
    <w:rsid w:val="003836B5"/>
    <w:rsid w:val="00386EFC"/>
    <w:rsid w:val="00387EEC"/>
    <w:rsid w:val="00390D07"/>
    <w:rsid w:val="0039172A"/>
    <w:rsid w:val="00392EFC"/>
    <w:rsid w:val="003A1DAC"/>
    <w:rsid w:val="003A1E47"/>
    <w:rsid w:val="003A281D"/>
    <w:rsid w:val="003A34F2"/>
    <w:rsid w:val="003A4310"/>
    <w:rsid w:val="003A4BC7"/>
    <w:rsid w:val="003A63B8"/>
    <w:rsid w:val="003B0C0F"/>
    <w:rsid w:val="003B4FB7"/>
    <w:rsid w:val="003B5756"/>
    <w:rsid w:val="003C0E3E"/>
    <w:rsid w:val="003C2FAE"/>
    <w:rsid w:val="003C3E51"/>
    <w:rsid w:val="003C4225"/>
    <w:rsid w:val="003C5C8D"/>
    <w:rsid w:val="003D34A8"/>
    <w:rsid w:val="003D4B71"/>
    <w:rsid w:val="003E0301"/>
    <w:rsid w:val="003E062A"/>
    <w:rsid w:val="003E0B39"/>
    <w:rsid w:val="003E0DBA"/>
    <w:rsid w:val="003E0F3B"/>
    <w:rsid w:val="003E172F"/>
    <w:rsid w:val="003E17E7"/>
    <w:rsid w:val="003E186B"/>
    <w:rsid w:val="003E2105"/>
    <w:rsid w:val="003E243A"/>
    <w:rsid w:val="003E2911"/>
    <w:rsid w:val="003E315F"/>
    <w:rsid w:val="003E68D6"/>
    <w:rsid w:val="003F056B"/>
    <w:rsid w:val="003F2242"/>
    <w:rsid w:val="003F2449"/>
    <w:rsid w:val="003F2FAF"/>
    <w:rsid w:val="003F379F"/>
    <w:rsid w:val="003F434E"/>
    <w:rsid w:val="003F43FE"/>
    <w:rsid w:val="003F4FC6"/>
    <w:rsid w:val="00400B59"/>
    <w:rsid w:val="00401CA8"/>
    <w:rsid w:val="00401CF0"/>
    <w:rsid w:val="00402088"/>
    <w:rsid w:val="0040314D"/>
    <w:rsid w:val="00404D02"/>
    <w:rsid w:val="004054B4"/>
    <w:rsid w:val="00405682"/>
    <w:rsid w:val="004074A2"/>
    <w:rsid w:val="00407FDF"/>
    <w:rsid w:val="00413962"/>
    <w:rsid w:val="00413966"/>
    <w:rsid w:val="004146F5"/>
    <w:rsid w:val="00416574"/>
    <w:rsid w:val="004166DE"/>
    <w:rsid w:val="004168DD"/>
    <w:rsid w:val="00426AB7"/>
    <w:rsid w:val="00426B7D"/>
    <w:rsid w:val="00430E2C"/>
    <w:rsid w:val="00431CA2"/>
    <w:rsid w:val="00432EE5"/>
    <w:rsid w:val="00433246"/>
    <w:rsid w:val="00435850"/>
    <w:rsid w:val="0043720B"/>
    <w:rsid w:val="00437FF2"/>
    <w:rsid w:val="00440C37"/>
    <w:rsid w:val="00442F1F"/>
    <w:rsid w:val="00445E78"/>
    <w:rsid w:val="00447B04"/>
    <w:rsid w:val="0045040D"/>
    <w:rsid w:val="00450660"/>
    <w:rsid w:val="004529BB"/>
    <w:rsid w:val="00452F29"/>
    <w:rsid w:val="00456324"/>
    <w:rsid w:val="004569B6"/>
    <w:rsid w:val="004608CB"/>
    <w:rsid w:val="0046324D"/>
    <w:rsid w:val="00465961"/>
    <w:rsid w:val="00465BEC"/>
    <w:rsid w:val="00466BFA"/>
    <w:rsid w:val="0047454E"/>
    <w:rsid w:val="004749F3"/>
    <w:rsid w:val="0047506E"/>
    <w:rsid w:val="00475ACD"/>
    <w:rsid w:val="004773B6"/>
    <w:rsid w:val="00477C59"/>
    <w:rsid w:val="00480537"/>
    <w:rsid w:val="00482C31"/>
    <w:rsid w:val="00482F80"/>
    <w:rsid w:val="0048325F"/>
    <w:rsid w:val="004832C1"/>
    <w:rsid w:val="0048391E"/>
    <w:rsid w:val="004841A0"/>
    <w:rsid w:val="004843E1"/>
    <w:rsid w:val="00484470"/>
    <w:rsid w:val="00484DD4"/>
    <w:rsid w:val="00486C82"/>
    <w:rsid w:val="00490234"/>
    <w:rsid w:val="00492025"/>
    <w:rsid w:val="00492131"/>
    <w:rsid w:val="004927B2"/>
    <w:rsid w:val="00495868"/>
    <w:rsid w:val="00497316"/>
    <w:rsid w:val="00497ADA"/>
    <w:rsid w:val="004A070B"/>
    <w:rsid w:val="004A1021"/>
    <w:rsid w:val="004A1290"/>
    <w:rsid w:val="004A1976"/>
    <w:rsid w:val="004A29F5"/>
    <w:rsid w:val="004A4F6B"/>
    <w:rsid w:val="004A622D"/>
    <w:rsid w:val="004A767E"/>
    <w:rsid w:val="004B08DA"/>
    <w:rsid w:val="004B1AD3"/>
    <w:rsid w:val="004B3A1E"/>
    <w:rsid w:val="004B3EC9"/>
    <w:rsid w:val="004B40D4"/>
    <w:rsid w:val="004B6B8A"/>
    <w:rsid w:val="004C035E"/>
    <w:rsid w:val="004C15D1"/>
    <w:rsid w:val="004C188A"/>
    <w:rsid w:val="004C1B8D"/>
    <w:rsid w:val="004C1E29"/>
    <w:rsid w:val="004C6B39"/>
    <w:rsid w:val="004C77A9"/>
    <w:rsid w:val="004D13C5"/>
    <w:rsid w:val="004D3CC5"/>
    <w:rsid w:val="004D5877"/>
    <w:rsid w:val="004D6259"/>
    <w:rsid w:val="004E0279"/>
    <w:rsid w:val="004E040C"/>
    <w:rsid w:val="004E0D93"/>
    <w:rsid w:val="004E0D9A"/>
    <w:rsid w:val="004E4EDB"/>
    <w:rsid w:val="004E6711"/>
    <w:rsid w:val="004E67AC"/>
    <w:rsid w:val="004E6A2D"/>
    <w:rsid w:val="004F214E"/>
    <w:rsid w:val="004F2327"/>
    <w:rsid w:val="004F2AF1"/>
    <w:rsid w:val="004F3E1F"/>
    <w:rsid w:val="004F55E5"/>
    <w:rsid w:val="004F5EF6"/>
    <w:rsid w:val="004F68D5"/>
    <w:rsid w:val="004F6B74"/>
    <w:rsid w:val="004F7750"/>
    <w:rsid w:val="004F7841"/>
    <w:rsid w:val="004F7B46"/>
    <w:rsid w:val="004F7E6E"/>
    <w:rsid w:val="0050147E"/>
    <w:rsid w:val="005021C6"/>
    <w:rsid w:val="00502C3B"/>
    <w:rsid w:val="00503D18"/>
    <w:rsid w:val="00507E39"/>
    <w:rsid w:val="00511640"/>
    <w:rsid w:val="00512BA1"/>
    <w:rsid w:val="00512D40"/>
    <w:rsid w:val="005176A4"/>
    <w:rsid w:val="00523990"/>
    <w:rsid w:val="00524DB0"/>
    <w:rsid w:val="00525FE3"/>
    <w:rsid w:val="00531CC3"/>
    <w:rsid w:val="0053408A"/>
    <w:rsid w:val="00534AAC"/>
    <w:rsid w:val="00534B55"/>
    <w:rsid w:val="00534D03"/>
    <w:rsid w:val="005358D1"/>
    <w:rsid w:val="00535B67"/>
    <w:rsid w:val="00535B73"/>
    <w:rsid w:val="00535DAB"/>
    <w:rsid w:val="005403D9"/>
    <w:rsid w:val="00540AC5"/>
    <w:rsid w:val="00541337"/>
    <w:rsid w:val="0054170F"/>
    <w:rsid w:val="0054358F"/>
    <w:rsid w:val="005435F2"/>
    <w:rsid w:val="0054398F"/>
    <w:rsid w:val="005445D1"/>
    <w:rsid w:val="00547BB5"/>
    <w:rsid w:val="0055068D"/>
    <w:rsid w:val="00550DCD"/>
    <w:rsid w:val="00551547"/>
    <w:rsid w:val="00551D68"/>
    <w:rsid w:val="00552164"/>
    <w:rsid w:val="00552C25"/>
    <w:rsid w:val="005531CD"/>
    <w:rsid w:val="00554978"/>
    <w:rsid w:val="005572F7"/>
    <w:rsid w:val="005608DF"/>
    <w:rsid w:val="00562636"/>
    <w:rsid w:val="005631DB"/>
    <w:rsid w:val="005646EA"/>
    <w:rsid w:val="005649A6"/>
    <w:rsid w:val="00565125"/>
    <w:rsid w:val="00566EF2"/>
    <w:rsid w:val="00571491"/>
    <w:rsid w:val="005715E3"/>
    <w:rsid w:val="00572844"/>
    <w:rsid w:val="005728EF"/>
    <w:rsid w:val="00574386"/>
    <w:rsid w:val="00576657"/>
    <w:rsid w:val="00576D09"/>
    <w:rsid w:val="0058033C"/>
    <w:rsid w:val="00581146"/>
    <w:rsid w:val="00581914"/>
    <w:rsid w:val="00583921"/>
    <w:rsid w:val="0058492F"/>
    <w:rsid w:val="00585B01"/>
    <w:rsid w:val="00585B85"/>
    <w:rsid w:val="00591887"/>
    <w:rsid w:val="0059336C"/>
    <w:rsid w:val="0059419E"/>
    <w:rsid w:val="00597583"/>
    <w:rsid w:val="005A04C3"/>
    <w:rsid w:val="005A1E1C"/>
    <w:rsid w:val="005A33AA"/>
    <w:rsid w:val="005A5D8C"/>
    <w:rsid w:val="005B0A9C"/>
    <w:rsid w:val="005B429C"/>
    <w:rsid w:val="005B433C"/>
    <w:rsid w:val="005B64C1"/>
    <w:rsid w:val="005B72ED"/>
    <w:rsid w:val="005B7948"/>
    <w:rsid w:val="005C0B5B"/>
    <w:rsid w:val="005C0E4D"/>
    <w:rsid w:val="005C1BEB"/>
    <w:rsid w:val="005C38F2"/>
    <w:rsid w:val="005C39DD"/>
    <w:rsid w:val="005C77DA"/>
    <w:rsid w:val="005D0C5A"/>
    <w:rsid w:val="005D1274"/>
    <w:rsid w:val="005D1601"/>
    <w:rsid w:val="005D3069"/>
    <w:rsid w:val="005D3390"/>
    <w:rsid w:val="005D5D55"/>
    <w:rsid w:val="005E0D1B"/>
    <w:rsid w:val="005E1974"/>
    <w:rsid w:val="005E2538"/>
    <w:rsid w:val="005E3B94"/>
    <w:rsid w:val="005E3FB7"/>
    <w:rsid w:val="005E439D"/>
    <w:rsid w:val="005E5CB4"/>
    <w:rsid w:val="005E6A3E"/>
    <w:rsid w:val="005F0146"/>
    <w:rsid w:val="005F22A0"/>
    <w:rsid w:val="00600D7E"/>
    <w:rsid w:val="00602A37"/>
    <w:rsid w:val="0060357C"/>
    <w:rsid w:val="00604965"/>
    <w:rsid w:val="00604AF4"/>
    <w:rsid w:val="00604B84"/>
    <w:rsid w:val="0060587D"/>
    <w:rsid w:val="0060603C"/>
    <w:rsid w:val="00606538"/>
    <w:rsid w:val="00607775"/>
    <w:rsid w:val="00607F1C"/>
    <w:rsid w:val="00614101"/>
    <w:rsid w:val="00614340"/>
    <w:rsid w:val="006143B0"/>
    <w:rsid w:val="00615DE6"/>
    <w:rsid w:val="006163F9"/>
    <w:rsid w:val="00616F93"/>
    <w:rsid w:val="006200FC"/>
    <w:rsid w:val="006221B7"/>
    <w:rsid w:val="0062231F"/>
    <w:rsid w:val="00622C70"/>
    <w:rsid w:val="0062346B"/>
    <w:rsid w:val="00624611"/>
    <w:rsid w:val="00625479"/>
    <w:rsid w:val="00626D07"/>
    <w:rsid w:val="00632F67"/>
    <w:rsid w:val="006339CF"/>
    <w:rsid w:val="00634154"/>
    <w:rsid w:val="00634A50"/>
    <w:rsid w:val="00636379"/>
    <w:rsid w:val="00636E15"/>
    <w:rsid w:val="00636E74"/>
    <w:rsid w:val="006406AE"/>
    <w:rsid w:val="00641498"/>
    <w:rsid w:val="0064207D"/>
    <w:rsid w:val="0064425E"/>
    <w:rsid w:val="00645D6C"/>
    <w:rsid w:val="00646CFB"/>
    <w:rsid w:val="00651C3B"/>
    <w:rsid w:val="00651F28"/>
    <w:rsid w:val="00652119"/>
    <w:rsid w:val="00652EE5"/>
    <w:rsid w:val="006539C1"/>
    <w:rsid w:val="00653A36"/>
    <w:rsid w:val="00653E70"/>
    <w:rsid w:val="00654EEB"/>
    <w:rsid w:val="00656269"/>
    <w:rsid w:val="006565E6"/>
    <w:rsid w:val="006569AF"/>
    <w:rsid w:val="006578E9"/>
    <w:rsid w:val="00662046"/>
    <w:rsid w:val="0066516C"/>
    <w:rsid w:val="0066523E"/>
    <w:rsid w:val="00666647"/>
    <w:rsid w:val="0066770A"/>
    <w:rsid w:val="006678B9"/>
    <w:rsid w:val="00670730"/>
    <w:rsid w:val="00671472"/>
    <w:rsid w:val="00671B8A"/>
    <w:rsid w:val="006733F0"/>
    <w:rsid w:val="00674786"/>
    <w:rsid w:val="00674C8D"/>
    <w:rsid w:val="00676B87"/>
    <w:rsid w:val="00676DA5"/>
    <w:rsid w:val="00677006"/>
    <w:rsid w:val="0067728D"/>
    <w:rsid w:val="006777D2"/>
    <w:rsid w:val="00677901"/>
    <w:rsid w:val="0068197A"/>
    <w:rsid w:val="00681F98"/>
    <w:rsid w:val="0068392A"/>
    <w:rsid w:val="00683CDD"/>
    <w:rsid w:val="006852E8"/>
    <w:rsid w:val="00685618"/>
    <w:rsid w:val="00686548"/>
    <w:rsid w:val="0068712E"/>
    <w:rsid w:val="006874B0"/>
    <w:rsid w:val="00692269"/>
    <w:rsid w:val="0069451E"/>
    <w:rsid w:val="006955C1"/>
    <w:rsid w:val="006958F8"/>
    <w:rsid w:val="00697A06"/>
    <w:rsid w:val="006A450A"/>
    <w:rsid w:val="006A5264"/>
    <w:rsid w:val="006A741D"/>
    <w:rsid w:val="006B065D"/>
    <w:rsid w:val="006B0893"/>
    <w:rsid w:val="006B2357"/>
    <w:rsid w:val="006B23C2"/>
    <w:rsid w:val="006B2831"/>
    <w:rsid w:val="006B3368"/>
    <w:rsid w:val="006B5029"/>
    <w:rsid w:val="006B5569"/>
    <w:rsid w:val="006C0041"/>
    <w:rsid w:val="006C0FE0"/>
    <w:rsid w:val="006C184A"/>
    <w:rsid w:val="006C3062"/>
    <w:rsid w:val="006C6154"/>
    <w:rsid w:val="006C6A7E"/>
    <w:rsid w:val="006C6D20"/>
    <w:rsid w:val="006D1378"/>
    <w:rsid w:val="006D33CC"/>
    <w:rsid w:val="006D421D"/>
    <w:rsid w:val="006D45E0"/>
    <w:rsid w:val="006E00F7"/>
    <w:rsid w:val="006E29D0"/>
    <w:rsid w:val="006E34FB"/>
    <w:rsid w:val="006E3EC0"/>
    <w:rsid w:val="006E4A8C"/>
    <w:rsid w:val="006E4D98"/>
    <w:rsid w:val="006E4DBF"/>
    <w:rsid w:val="006E5EF5"/>
    <w:rsid w:val="006E6553"/>
    <w:rsid w:val="006E78A9"/>
    <w:rsid w:val="006F02B6"/>
    <w:rsid w:val="006F4203"/>
    <w:rsid w:val="006F6AFE"/>
    <w:rsid w:val="006F74C3"/>
    <w:rsid w:val="007001CA"/>
    <w:rsid w:val="007017C2"/>
    <w:rsid w:val="00702463"/>
    <w:rsid w:val="0070255F"/>
    <w:rsid w:val="0070360D"/>
    <w:rsid w:val="007042A3"/>
    <w:rsid w:val="00704414"/>
    <w:rsid w:val="00704A43"/>
    <w:rsid w:val="00705643"/>
    <w:rsid w:val="00706661"/>
    <w:rsid w:val="007066BD"/>
    <w:rsid w:val="00710031"/>
    <w:rsid w:val="00711B03"/>
    <w:rsid w:val="00711F8D"/>
    <w:rsid w:val="00711FCC"/>
    <w:rsid w:val="00713064"/>
    <w:rsid w:val="007137C8"/>
    <w:rsid w:val="00713916"/>
    <w:rsid w:val="0071438E"/>
    <w:rsid w:val="0071685D"/>
    <w:rsid w:val="0072269F"/>
    <w:rsid w:val="00722D01"/>
    <w:rsid w:val="0072368F"/>
    <w:rsid w:val="00725882"/>
    <w:rsid w:val="00725C58"/>
    <w:rsid w:val="00725F34"/>
    <w:rsid w:val="00727FBB"/>
    <w:rsid w:val="00730AB0"/>
    <w:rsid w:val="007310EB"/>
    <w:rsid w:val="00733B74"/>
    <w:rsid w:val="00734BDE"/>
    <w:rsid w:val="00737188"/>
    <w:rsid w:val="00737402"/>
    <w:rsid w:val="00741256"/>
    <w:rsid w:val="00744D18"/>
    <w:rsid w:val="0074676C"/>
    <w:rsid w:val="00746A3A"/>
    <w:rsid w:val="00747734"/>
    <w:rsid w:val="00751BF4"/>
    <w:rsid w:val="00753C54"/>
    <w:rsid w:val="007544A2"/>
    <w:rsid w:val="00754E43"/>
    <w:rsid w:val="00757000"/>
    <w:rsid w:val="0075711E"/>
    <w:rsid w:val="00757679"/>
    <w:rsid w:val="0076125B"/>
    <w:rsid w:val="0076146D"/>
    <w:rsid w:val="00761DD7"/>
    <w:rsid w:val="00761E41"/>
    <w:rsid w:val="00763C64"/>
    <w:rsid w:val="00763D49"/>
    <w:rsid w:val="00765C9E"/>
    <w:rsid w:val="00766961"/>
    <w:rsid w:val="00766F7F"/>
    <w:rsid w:val="007719E0"/>
    <w:rsid w:val="00771AF7"/>
    <w:rsid w:val="007754AA"/>
    <w:rsid w:val="00775A7D"/>
    <w:rsid w:val="00777A58"/>
    <w:rsid w:val="00777CEA"/>
    <w:rsid w:val="00780AB7"/>
    <w:rsid w:val="00780DDD"/>
    <w:rsid w:val="00781B7F"/>
    <w:rsid w:val="00784DB6"/>
    <w:rsid w:val="007868E1"/>
    <w:rsid w:val="00790E59"/>
    <w:rsid w:val="00790F2B"/>
    <w:rsid w:val="007A085A"/>
    <w:rsid w:val="007A0D94"/>
    <w:rsid w:val="007A310B"/>
    <w:rsid w:val="007A3333"/>
    <w:rsid w:val="007A3BD0"/>
    <w:rsid w:val="007A412A"/>
    <w:rsid w:val="007A425D"/>
    <w:rsid w:val="007A4C2F"/>
    <w:rsid w:val="007A526B"/>
    <w:rsid w:val="007A7415"/>
    <w:rsid w:val="007B2AED"/>
    <w:rsid w:val="007B2EB0"/>
    <w:rsid w:val="007B4A4A"/>
    <w:rsid w:val="007B5939"/>
    <w:rsid w:val="007B7BD4"/>
    <w:rsid w:val="007C025C"/>
    <w:rsid w:val="007C12D4"/>
    <w:rsid w:val="007C37B2"/>
    <w:rsid w:val="007C5300"/>
    <w:rsid w:val="007C55B7"/>
    <w:rsid w:val="007D0C27"/>
    <w:rsid w:val="007D3CF3"/>
    <w:rsid w:val="007D5109"/>
    <w:rsid w:val="007D6C72"/>
    <w:rsid w:val="007D7C6C"/>
    <w:rsid w:val="007E0BBA"/>
    <w:rsid w:val="007E38ED"/>
    <w:rsid w:val="007E43F1"/>
    <w:rsid w:val="007E5EC2"/>
    <w:rsid w:val="007E6396"/>
    <w:rsid w:val="007E7653"/>
    <w:rsid w:val="007F104D"/>
    <w:rsid w:val="007F2836"/>
    <w:rsid w:val="007F292B"/>
    <w:rsid w:val="007F333E"/>
    <w:rsid w:val="007F47A8"/>
    <w:rsid w:val="007F5541"/>
    <w:rsid w:val="008014A9"/>
    <w:rsid w:val="00802102"/>
    <w:rsid w:val="008034FD"/>
    <w:rsid w:val="008042EC"/>
    <w:rsid w:val="0080641A"/>
    <w:rsid w:val="008064EA"/>
    <w:rsid w:val="00807E43"/>
    <w:rsid w:val="00811112"/>
    <w:rsid w:val="0081131E"/>
    <w:rsid w:val="00811D3A"/>
    <w:rsid w:val="00812561"/>
    <w:rsid w:val="00813203"/>
    <w:rsid w:val="00813226"/>
    <w:rsid w:val="00816E12"/>
    <w:rsid w:val="00823290"/>
    <w:rsid w:val="008237F1"/>
    <w:rsid w:val="00823B6D"/>
    <w:rsid w:val="00823C88"/>
    <w:rsid w:val="0082410E"/>
    <w:rsid w:val="00824F3B"/>
    <w:rsid w:val="00826CCB"/>
    <w:rsid w:val="0082721D"/>
    <w:rsid w:val="0083044C"/>
    <w:rsid w:val="00831C7D"/>
    <w:rsid w:val="0083311F"/>
    <w:rsid w:val="00833768"/>
    <w:rsid w:val="00833E00"/>
    <w:rsid w:val="008342FF"/>
    <w:rsid w:val="00834D4A"/>
    <w:rsid w:val="00834EFD"/>
    <w:rsid w:val="008352EF"/>
    <w:rsid w:val="0083696E"/>
    <w:rsid w:val="00837A6F"/>
    <w:rsid w:val="00841090"/>
    <w:rsid w:val="00841FB9"/>
    <w:rsid w:val="00843819"/>
    <w:rsid w:val="00844B5B"/>
    <w:rsid w:val="0084509B"/>
    <w:rsid w:val="0084548D"/>
    <w:rsid w:val="00845D62"/>
    <w:rsid w:val="0084691A"/>
    <w:rsid w:val="00847E91"/>
    <w:rsid w:val="00850B25"/>
    <w:rsid w:val="00851C69"/>
    <w:rsid w:val="0085383A"/>
    <w:rsid w:val="00854574"/>
    <w:rsid w:val="008561CC"/>
    <w:rsid w:val="008603D9"/>
    <w:rsid w:val="008615EF"/>
    <w:rsid w:val="008620E2"/>
    <w:rsid w:val="008634B6"/>
    <w:rsid w:val="008639A7"/>
    <w:rsid w:val="00863E58"/>
    <w:rsid w:val="0086409C"/>
    <w:rsid w:val="00865360"/>
    <w:rsid w:val="008654A9"/>
    <w:rsid w:val="0086572E"/>
    <w:rsid w:val="00867097"/>
    <w:rsid w:val="008671CA"/>
    <w:rsid w:val="0086761B"/>
    <w:rsid w:val="00872ACF"/>
    <w:rsid w:val="0087373D"/>
    <w:rsid w:val="008748F8"/>
    <w:rsid w:val="00875A5D"/>
    <w:rsid w:val="008767BD"/>
    <w:rsid w:val="00877E82"/>
    <w:rsid w:val="00881F1C"/>
    <w:rsid w:val="00884F4A"/>
    <w:rsid w:val="008877A4"/>
    <w:rsid w:val="00890F75"/>
    <w:rsid w:val="00891A72"/>
    <w:rsid w:val="0089378A"/>
    <w:rsid w:val="00893A52"/>
    <w:rsid w:val="008A1720"/>
    <w:rsid w:val="008A1D19"/>
    <w:rsid w:val="008A20F7"/>
    <w:rsid w:val="008A2A2C"/>
    <w:rsid w:val="008A4CF3"/>
    <w:rsid w:val="008A7D5E"/>
    <w:rsid w:val="008A7D62"/>
    <w:rsid w:val="008B02C8"/>
    <w:rsid w:val="008B3180"/>
    <w:rsid w:val="008B4437"/>
    <w:rsid w:val="008B5C75"/>
    <w:rsid w:val="008C036E"/>
    <w:rsid w:val="008C1109"/>
    <w:rsid w:val="008C6204"/>
    <w:rsid w:val="008C6C69"/>
    <w:rsid w:val="008C7B12"/>
    <w:rsid w:val="008D0265"/>
    <w:rsid w:val="008D02FA"/>
    <w:rsid w:val="008D26AE"/>
    <w:rsid w:val="008D2C9B"/>
    <w:rsid w:val="008D321A"/>
    <w:rsid w:val="008D42F5"/>
    <w:rsid w:val="008D4A38"/>
    <w:rsid w:val="008D52C2"/>
    <w:rsid w:val="008D68B2"/>
    <w:rsid w:val="008D699A"/>
    <w:rsid w:val="008D767F"/>
    <w:rsid w:val="008E0029"/>
    <w:rsid w:val="008E0140"/>
    <w:rsid w:val="008E0756"/>
    <w:rsid w:val="008E1BFC"/>
    <w:rsid w:val="008E36D0"/>
    <w:rsid w:val="008E47C8"/>
    <w:rsid w:val="008E53DB"/>
    <w:rsid w:val="008E583C"/>
    <w:rsid w:val="008E6255"/>
    <w:rsid w:val="008F2C86"/>
    <w:rsid w:val="008F397D"/>
    <w:rsid w:val="008F6BE9"/>
    <w:rsid w:val="00901764"/>
    <w:rsid w:val="00903EBA"/>
    <w:rsid w:val="00904199"/>
    <w:rsid w:val="00904B08"/>
    <w:rsid w:val="00904BC5"/>
    <w:rsid w:val="009053DC"/>
    <w:rsid w:val="0090544C"/>
    <w:rsid w:val="00905BF4"/>
    <w:rsid w:val="00907C05"/>
    <w:rsid w:val="00910521"/>
    <w:rsid w:val="00910A60"/>
    <w:rsid w:val="00910E58"/>
    <w:rsid w:val="009111AC"/>
    <w:rsid w:val="00911506"/>
    <w:rsid w:val="00911EB7"/>
    <w:rsid w:val="00912106"/>
    <w:rsid w:val="00913A34"/>
    <w:rsid w:val="009150A5"/>
    <w:rsid w:val="00916156"/>
    <w:rsid w:val="00916163"/>
    <w:rsid w:val="0092082C"/>
    <w:rsid w:val="00921534"/>
    <w:rsid w:val="00921F29"/>
    <w:rsid w:val="00922471"/>
    <w:rsid w:val="009231F7"/>
    <w:rsid w:val="00923BC4"/>
    <w:rsid w:val="00923D5E"/>
    <w:rsid w:val="00924B6D"/>
    <w:rsid w:val="00925802"/>
    <w:rsid w:val="00925F2B"/>
    <w:rsid w:val="00926DB9"/>
    <w:rsid w:val="00930669"/>
    <w:rsid w:val="00931768"/>
    <w:rsid w:val="00932AEB"/>
    <w:rsid w:val="00934FAA"/>
    <w:rsid w:val="00936B2A"/>
    <w:rsid w:val="009377C6"/>
    <w:rsid w:val="00940658"/>
    <w:rsid w:val="009412DC"/>
    <w:rsid w:val="009417F8"/>
    <w:rsid w:val="0094257F"/>
    <w:rsid w:val="0094260C"/>
    <w:rsid w:val="00944B57"/>
    <w:rsid w:val="00945483"/>
    <w:rsid w:val="00945620"/>
    <w:rsid w:val="009471B8"/>
    <w:rsid w:val="00947889"/>
    <w:rsid w:val="0095057A"/>
    <w:rsid w:val="00951B4D"/>
    <w:rsid w:val="00951E8E"/>
    <w:rsid w:val="009558FB"/>
    <w:rsid w:val="00955979"/>
    <w:rsid w:val="009564E9"/>
    <w:rsid w:val="00957314"/>
    <w:rsid w:val="00957A7D"/>
    <w:rsid w:val="009626A5"/>
    <w:rsid w:val="0096387C"/>
    <w:rsid w:val="00963D9C"/>
    <w:rsid w:val="00964DF1"/>
    <w:rsid w:val="0096504B"/>
    <w:rsid w:val="00965180"/>
    <w:rsid w:val="00970F3E"/>
    <w:rsid w:val="00972F31"/>
    <w:rsid w:val="00973666"/>
    <w:rsid w:val="00974308"/>
    <w:rsid w:val="00975F4B"/>
    <w:rsid w:val="00977C1A"/>
    <w:rsid w:val="00977C2C"/>
    <w:rsid w:val="009803C1"/>
    <w:rsid w:val="009807D2"/>
    <w:rsid w:val="0098194C"/>
    <w:rsid w:val="00982586"/>
    <w:rsid w:val="0098505A"/>
    <w:rsid w:val="009868B5"/>
    <w:rsid w:val="0099207B"/>
    <w:rsid w:val="009934B5"/>
    <w:rsid w:val="00993F7F"/>
    <w:rsid w:val="00994896"/>
    <w:rsid w:val="0099730D"/>
    <w:rsid w:val="009A0348"/>
    <w:rsid w:val="009A05DE"/>
    <w:rsid w:val="009A083C"/>
    <w:rsid w:val="009A0D0B"/>
    <w:rsid w:val="009A1688"/>
    <w:rsid w:val="009A1846"/>
    <w:rsid w:val="009A1E45"/>
    <w:rsid w:val="009A5B1D"/>
    <w:rsid w:val="009A6031"/>
    <w:rsid w:val="009A7760"/>
    <w:rsid w:val="009B164F"/>
    <w:rsid w:val="009B1EBA"/>
    <w:rsid w:val="009B2560"/>
    <w:rsid w:val="009B28BA"/>
    <w:rsid w:val="009B2C6F"/>
    <w:rsid w:val="009B5604"/>
    <w:rsid w:val="009B6BEC"/>
    <w:rsid w:val="009C005A"/>
    <w:rsid w:val="009C186B"/>
    <w:rsid w:val="009C250F"/>
    <w:rsid w:val="009C4B36"/>
    <w:rsid w:val="009C63B6"/>
    <w:rsid w:val="009D0B4B"/>
    <w:rsid w:val="009D15A7"/>
    <w:rsid w:val="009D3A4A"/>
    <w:rsid w:val="009D58C4"/>
    <w:rsid w:val="009D602B"/>
    <w:rsid w:val="009D6AA9"/>
    <w:rsid w:val="009D7101"/>
    <w:rsid w:val="009E0198"/>
    <w:rsid w:val="009E080B"/>
    <w:rsid w:val="009E0B77"/>
    <w:rsid w:val="009E1FA2"/>
    <w:rsid w:val="009E31DF"/>
    <w:rsid w:val="009E37AE"/>
    <w:rsid w:val="009E57A8"/>
    <w:rsid w:val="009E5C07"/>
    <w:rsid w:val="009E6D73"/>
    <w:rsid w:val="009E6FF4"/>
    <w:rsid w:val="009E734A"/>
    <w:rsid w:val="009E74F7"/>
    <w:rsid w:val="009F07EC"/>
    <w:rsid w:val="009F0F53"/>
    <w:rsid w:val="009F2F26"/>
    <w:rsid w:val="009F3C72"/>
    <w:rsid w:val="009F404E"/>
    <w:rsid w:val="009F46E1"/>
    <w:rsid w:val="009F5683"/>
    <w:rsid w:val="009F6190"/>
    <w:rsid w:val="009F6A16"/>
    <w:rsid w:val="009F6C87"/>
    <w:rsid w:val="009F7863"/>
    <w:rsid w:val="00A00A43"/>
    <w:rsid w:val="00A02FC5"/>
    <w:rsid w:val="00A050FD"/>
    <w:rsid w:val="00A0579C"/>
    <w:rsid w:val="00A07E17"/>
    <w:rsid w:val="00A1057B"/>
    <w:rsid w:val="00A13A1C"/>
    <w:rsid w:val="00A13F2A"/>
    <w:rsid w:val="00A15BF1"/>
    <w:rsid w:val="00A15FF0"/>
    <w:rsid w:val="00A16525"/>
    <w:rsid w:val="00A169E2"/>
    <w:rsid w:val="00A17771"/>
    <w:rsid w:val="00A218AB"/>
    <w:rsid w:val="00A2269F"/>
    <w:rsid w:val="00A27274"/>
    <w:rsid w:val="00A303C7"/>
    <w:rsid w:val="00A30900"/>
    <w:rsid w:val="00A318C1"/>
    <w:rsid w:val="00A32281"/>
    <w:rsid w:val="00A342CD"/>
    <w:rsid w:val="00A34651"/>
    <w:rsid w:val="00A3479E"/>
    <w:rsid w:val="00A34FB8"/>
    <w:rsid w:val="00A35799"/>
    <w:rsid w:val="00A3641F"/>
    <w:rsid w:val="00A37361"/>
    <w:rsid w:val="00A40243"/>
    <w:rsid w:val="00A424E2"/>
    <w:rsid w:val="00A435C4"/>
    <w:rsid w:val="00A43C3F"/>
    <w:rsid w:val="00A45A04"/>
    <w:rsid w:val="00A50112"/>
    <w:rsid w:val="00A54EB4"/>
    <w:rsid w:val="00A55E8C"/>
    <w:rsid w:val="00A61673"/>
    <w:rsid w:val="00A63F64"/>
    <w:rsid w:val="00A66218"/>
    <w:rsid w:val="00A6759D"/>
    <w:rsid w:val="00A70328"/>
    <w:rsid w:val="00A7138F"/>
    <w:rsid w:val="00A7297E"/>
    <w:rsid w:val="00A73897"/>
    <w:rsid w:val="00A746D1"/>
    <w:rsid w:val="00A75E9E"/>
    <w:rsid w:val="00A76036"/>
    <w:rsid w:val="00A80018"/>
    <w:rsid w:val="00A80665"/>
    <w:rsid w:val="00A83A71"/>
    <w:rsid w:val="00A84295"/>
    <w:rsid w:val="00A85153"/>
    <w:rsid w:val="00A873D8"/>
    <w:rsid w:val="00A8777A"/>
    <w:rsid w:val="00A87ADF"/>
    <w:rsid w:val="00A87E2C"/>
    <w:rsid w:val="00A911A2"/>
    <w:rsid w:val="00A9209A"/>
    <w:rsid w:val="00A9226B"/>
    <w:rsid w:val="00A94991"/>
    <w:rsid w:val="00A95293"/>
    <w:rsid w:val="00A97ADF"/>
    <w:rsid w:val="00A97EF1"/>
    <w:rsid w:val="00AA01AF"/>
    <w:rsid w:val="00AA0A69"/>
    <w:rsid w:val="00AA28FE"/>
    <w:rsid w:val="00AA3167"/>
    <w:rsid w:val="00AA3669"/>
    <w:rsid w:val="00AA43F9"/>
    <w:rsid w:val="00AA56A1"/>
    <w:rsid w:val="00AA6770"/>
    <w:rsid w:val="00AA680A"/>
    <w:rsid w:val="00AA6F95"/>
    <w:rsid w:val="00AA70FB"/>
    <w:rsid w:val="00AB256F"/>
    <w:rsid w:val="00AB25A3"/>
    <w:rsid w:val="00AB3143"/>
    <w:rsid w:val="00AB40A5"/>
    <w:rsid w:val="00AB699F"/>
    <w:rsid w:val="00AC1EE9"/>
    <w:rsid w:val="00AC35E0"/>
    <w:rsid w:val="00AC6306"/>
    <w:rsid w:val="00AC7680"/>
    <w:rsid w:val="00AC7AD3"/>
    <w:rsid w:val="00AD09B5"/>
    <w:rsid w:val="00AD5B20"/>
    <w:rsid w:val="00AD5C3F"/>
    <w:rsid w:val="00AD6D35"/>
    <w:rsid w:val="00AD7D21"/>
    <w:rsid w:val="00AE086A"/>
    <w:rsid w:val="00AE0BCE"/>
    <w:rsid w:val="00AE0F42"/>
    <w:rsid w:val="00AE12CE"/>
    <w:rsid w:val="00AE274C"/>
    <w:rsid w:val="00AE2A2F"/>
    <w:rsid w:val="00AE3624"/>
    <w:rsid w:val="00AE38B2"/>
    <w:rsid w:val="00AE41F1"/>
    <w:rsid w:val="00AE490E"/>
    <w:rsid w:val="00AE4D83"/>
    <w:rsid w:val="00AE6589"/>
    <w:rsid w:val="00AF0776"/>
    <w:rsid w:val="00AF2B18"/>
    <w:rsid w:val="00AF32A5"/>
    <w:rsid w:val="00AF3653"/>
    <w:rsid w:val="00AF4319"/>
    <w:rsid w:val="00AF70DD"/>
    <w:rsid w:val="00AF7124"/>
    <w:rsid w:val="00AF7FCC"/>
    <w:rsid w:val="00B00145"/>
    <w:rsid w:val="00B00F74"/>
    <w:rsid w:val="00B0126F"/>
    <w:rsid w:val="00B03A0F"/>
    <w:rsid w:val="00B03A3D"/>
    <w:rsid w:val="00B060A8"/>
    <w:rsid w:val="00B06305"/>
    <w:rsid w:val="00B07A7B"/>
    <w:rsid w:val="00B12FA1"/>
    <w:rsid w:val="00B13039"/>
    <w:rsid w:val="00B176DE"/>
    <w:rsid w:val="00B17DC5"/>
    <w:rsid w:val="00B17F06"/>
    <w:rsid w:val="00B207F9"/>
    <w:rsid w:val="00B20A47"/>
    <w:rsid w:val="00B20E18"/>
    <w:rsid w:val="00B21B5A"/>
    <w:rsid w:val="00B2354A"/>
    <w:rsid w:val="00B237B9"/>
    <w:rsid w:val="00B24178"/>
    <w:rsid w:val="00B24E91"/>
    <w:rsid w:val="00B258DD"/>
    <w:rsid w:val="00B266E8"/>
    <w:rsid w:val="00B271B2"/>
    <w:rsid w:val="00B271D0"/>
    <w:rsid w:val="00B31A7C"/>
    <w:rsid w:val="00B32424"/>
    <w:rsid w:val="00B334FD"/>
    <w:rsid w:val="00B33B1A"/>
    <w:rsid w:val="00B34A04"/>
    <w:rsid w:val="00B34A5A"/>
    <w:rsid w:val="00B36601"/>
    <w:rsid w:val="00B3730D"/>
    <w:rsid w:val="00B375F6"/>
    <w:rsid w:val="00B37C99"/>
    <w:rsid w:val="00B40ED0"/>
    <w:rsid w:val="00B41225"/>
    <w:rsid w:val="00B41341"/>
    <w:rsid w:val="00B43F51"/>
    <w:rsid w:val="00B45AF8"/>
    <w:rsid w:val="00B461BE"/>
    <w:rsid w:val="00B50AB7"/>
    <w:rsid w:val="00B54EEC"/>
    <w:rsid w:val="00B55325"/>
    <w:rsid w:val="00B61B38"/>
    <w:rsid w:val="00B62675"/>
    <w:rsid w:val="00B62C06"/>
    <w:rsid w:val="00B63A39"/>
    <w:rsid w:val="00B670DD"/>
    <w:rsid w:val="00B700F0"/>
    <w:rsid w:val="00B711B2"/>
    <w:rsid w:val="00B73C9A"/>
    <w:rsid w:val="00B73F58"/>
    <w:rsid w:val="00B754AF"/>
    <w:rsid w:val="00B763FA"/>
    <w:rsid w:val="00B76C5B"/>
    <w:rsid w:val="00B770D2"/>
    <w:rsid w:val="00B80DBB"/>
    <w:rsid w:val="00B80E60"/>
    <w:rsid w:val="00B82CCE"/>
    <w:rsid w:val="00B82F0C"/>
    <w:rsid w:val="00B83014"/>
    <w:rsid w:val="00B83D1A"/>
    <w:rsid w:val="00B90930"/>
    <w:rsid w:val="00B93382"/>
    <w:rsid w:val="00B94C8C"/>
    <w:rsid w:val="00B94FBC"/>
    <w:rsid w:val="00B95DAE"/>
    <w:rsid w:val="00B9758A"/>
    <w:rsid w:val="00BA05DB"/>
    <w:rsid w:val="00BA1C6B"/>
    <w:rsid w:val="00BA2D31"/>
    <w:rsid w:val="00BA4FB2"/>
    <w:rsid w:val="00BA507B"/>
    <w:rsid w:val="00BA54A2"/>
    <w:rsid w:val="00BA718C"/>
    <w:rsid w:val="00BB165F"/>
    <w:rsid w:val="00BB21E4"/>
    <w:rsid w:val="00BB23C0"/>
    <w:rsid w:val="00BB3A4B"/>
    <w:rsid w:val="00BB548A"/>
    <w:rsid w:val="00BB735F"/>
    <w:rsid w:val="00BB7E3D"/>
    <w:rsid w:val="00BC0796"/>
    <w:rsid w:val="00BC0887"/>
    <w:rsid w:val="00BC08C6"/>
    <w:rsid w:val="00BC1413"/>
    <w:rsid w:val="00BC171E"/>
    <w:rsid w:val="00BC1D84"/>
    <w:rsid w:val="00BC235F"/>
    <w:rsid w:val="00BC243C"/>
    <w:rsid w:val="00BC378E"/>
    <w:rsid w:val="00BC753A"/>
    <w:rsid w:val="00BC7AA2"/>
    <w:rsid w:val="00BD296C"/>
    <w:rsid w:val="00BD3239"/>
    <w:rsid w:val="00BD6DB0"/>
    <w:rsid w:val="00BE1B11"/>
    <w:rsid w:val="00BE1B72"/>
    <w:rsid w:val="00BE4112"/>
    <w:rsid w:val="00BE41EF"/>
    <w:rsid w:val="00BE47F0"/>
    <w:rsid w:val="00BE7741"/>
    <w:rsid w:val="00BF1246"/>
    <w:rsid w:val="00BF1813"/>
    <w:rsid w:val="00BF1B2C"/>
    <w:rsid w:val="00BF1C24"/>
    <w:rsid w:val="00BF2021"/>
    <w:rsid w:val="00BF2D65"/>
    <w:rsid w:val="00BF35D7"/>
    <w:rsid w:val="00BF6535"/>
    <w:rsid w:val="00BF65CC"/>
    <w:rsid w:val="00C001E1"/>
    <w:rsid w:val="00C001FC"/>
    <w:rsid w:val="00C015AF"/>
    <w:rsid w:val="00C0168E"/>
    <w:rsid w:val="00C019EF"/>
    <w:rsid w:val="00C027FB"/>
    <w:rsid w:val="00C043B5"/>
    <w:rsid w:val="00C0537C"/>
    <w:rsid w:val="00C055FB"/>
    <w:rsid w:val="00C06E5D"/>
    <w:rsid w:val="00C10202"/>
    <w:rsid w:val="00C1041C"/>
    <w:rsid w:val="00C10555"/>
    <w:rsid w:val="00C11107"/>
    <w:rsid w:val="00C13C30"/>
    <w:rsid w:val="00C155FD"/>
    <w:rsid w:val="00C16F13"/>
    <w:rsid w:val="00C20C82"/>
    <w:rsid w:val="00C20DEF"/>
    <w:rsid w:val="00C20F3A"/>
    <w:rsid w:val="00C214B2"/>
    <w:rsid w:val="00C21E8E"/>
    <w:rsid w:val="00C22138"/>
    <w:rsid w:val="00C224BF"/>
    <w:rsid w:val="00C24132"/>
    <w:rsid w:val="00C24B42"/>
    <w:rsid w:val="00C254E8"/>
    <w:rsid w:val="00C25D36"/>
    <w:rsid w:val="00C271FE"/>
    <w:rsid w:val="00C2772A"/>
    <w:rsid w:val="00C30BE0"/>
    <w:rsid w:val="00C30CDE"/>
    <w:rsid w:val="00C31651"/>
    <w:rsid w:val="00C3297C"/>
    <w:rsid w:val="00C32B83"/>
    <w:rsid w:val="00C3313A"/>
    <w:rsid w:val="00C3389F"/>
    <w:rsid w:val="00C343C9"/>
    <w:rsid w:val="00C34C10"/>
    <w:rsid w:val="00C36764"/>
    <w:rsid w:val="00C371EC"/>
    <w:rsid w:val="00C4045E"/>
    <w:rsid w:val="00C41019"/>
    <w:rsid w:val="00C41AE7"/>
    <w:rsid w:val="00C42808"/>
    <w:rsid w:val="00C4476C"/>
    <w:rsid w:val="00C45F22"/>
    <w:rsid w:val="00C47EC7"/>
    <w:rsid w:val="00C50B95"/>
    <w:rsid w:val="00C53B46"/>
    <w:rsid w:val="00C54053"/>
    <w:rsid w:val="00C546BD"/>
    <w:rsid w:val="00C56AA6"/>
    <w:rsid w:val="00C5743D"/>
    <w:rsid w:val="00C60C1D"/>
    <w:rsid w:val="00C63017"/>
    <w:rsid w:val="00C6320B"/>
    <w:rsid w:val="00C642D9"/>
    <w:rsid w:val="00C6529D"/>
    <w:rsid w:val="00C662EE"/>
    <w:rsid w:val="00C66F94"/>
    <w:rsid w:val="00C67ED2"/>
    <w:rsid w:val="00C67F4D"/>
    <w:rsid w:val="00C7005B"/>
    <w:rsid w:val="00C71B81"/>
    <w:rsid w:val="00C71F5D"/>
    <w:rsid w:val="00C763FA"/>
    <w:rsid w:val="00C7647E"/>
    <w:rsid w:val="00C7777F"/>
    <w:rsid w:val="00C77AA2"/>
    <w:rsid w:val="00C77DCA"/>
    <w:rsid w:val="00C80569"/>
    <w:rsid w:val="00C80789"/>
    <w:rsid w:val="00C81713"/>
    <w:rsid w:val="00C817C5"/>
    <w:rsid w:val="00C83851"/>
    <w:rsid w:val="00C84719"/>
    <w:rsid w:val="00C87B86"/>
    <w:rsid w:val="00C91068"/>
    <w:rsid w:val="00C91888"/>
    <w:rsid w:val="00C92A29"/>
    <w:rsid w:val="00C957AD"/>
    <w:rsid w:val="00C96064"/>
    <w:rsid w:val="00C9714B"/>
    <w:rsid w:val="00C9799E"/>
    <w:rsid w:val="00CA0805"/>
    <w:rsid w:val="00CA0DAC"/>
    <w:rsid w:val="00CA39A0"/>
    <w:rsid w:val="00CA3BDC"/>
    <w:rsid w:val="00CA53C0"/>
    <w:rsid w:val="00CA5E8E"/>
    <w:rsid w:val="00CA78A7"/>
    <w:rsid w:val="00CA7E25"/>
    <w:rsid w:val="00CB12CE"/>
    <w:rsid w:val="00CB180F"/>
    <w:rsid w:val="00CB332B"/>
    <w:rsid w:val="00CB3E97"/>
    <w:rsid w:val="00CB5419"/>
    <w:rsid w:val="00CB5759"/>
    <w:rsid w:val="00CB5A91"/>
    <w:rsid w:val="00CB6508"/>
    <w:rsid w:val="00CB6C07"/>
    <w:rsid w:val="00CB7A81"/>
    <w:rsid w:val="00CB7D2D"/>
    <w:rsid w:val="00CC1E1E"/>
    <w:rsid w:val="00CC3787"/>
    <w:rsid w:val="00CC558C"/>
    <w:rsid w:val="00CC6F8B"/>
    <w:rsid w:val="00CC765C"/>
    <w:rsid w:val="00CD0A49"/>
    <w:rsid w:val="00CD0CD6"/>
    <w:rsid w:val="00CD2714"/>
    <w:rsid w:val="00CD3554"/>
    <w:rsid w:val="00CD35DA"/>
    <w:rsid w:val="00CD3AC8"/>
    <w:rsid w:val="00CD3FF3"/>
    <w:rsid w:val="00CD56D1"/>
    <w:rsid w:val="00CD5826"/>
    <w:rsid w:val="00CD5B6B"/>
    <w:rsid w:val="00CE0B88"/>
    <w:rsid w:val="00CE0D45"/>
    <w:rsid w:val="00CE16DF"/>
    <w:rsid w:val="00CE1946"/>
    <w:rsid w:val="00CE1EF7"/>
    <w:rsid w:val="00CE3185"/>
    <w:rsid w:val="00CE327B"/>
    <w:rsid w:val="00CE35D4"/>
    <w:rsid w:val="00CF14E2"/>
    <w:rsid w:val="00CF39DE"/>
    <w:rsid w:val="00CF535B"/>
    <w:rsid w:val="00CF55A4"/>
    <w:rsid w:val="00CF5E74"/>
    <w:rsid w:val="00D02726"/>
    <w:rsid w:val="00D02827"/>
    <w:rsid w:val="00D0288F"/>
    <w:rsid w:val="00D02938"/>
    <w:rsid w:val="00D02AE6"/>
    <w:rsid w:val="00D04C0B"/>
    <w:rsid w:val="00D07349"/>
    <w:rsid w:val="00D11EBE"/>
    <w:rsid w:val="00D138C0"/>
    <w:rsid w:val="00D14460"/>
    <w:rsid w:val="00D147E1"/>
    <w:rsid w:val="00D1539C"/>
    <w:rsid w:val="00D15CEC"/>
    <w:rsid w:val="00D16F24"/>
    <w:rsid w:val="00D2057E"/>
    <w:rsid w:val="00D21221"/>
    <w:rsid w:val="00D21D2A"/>
    <w:rsid w:val="00D22F90"/>
    <w:rsid w:val="00D242FE"/>
    <w:rsid w:val="00D24B23"/>
    <w:rsid w:val="00D3064B"/>
    <w:rsid w:val="00D30F5A"/>
    <w:rsid w:val="00D31193"/>
    <w:rsid w:val="00D31635"/>
    <w:rsid w:val="00D32E51"/>
    <w:rsid w:val="00D33268"/>
    <w:rsid w:val="00D333EB"/>
    <w:rsid w:val="00D3428C"/>
    <w:rsid w:val="00D3610D"/>
    <w:rsid w:val="00D36833"/>
    <w:rsid w:val="00D37045"/>
    <w:rsid w:val="00D404CA"/>
    <w:rsid w:val="00D40AF2"/>
    <w:rsid w:val="00D44E4A"/>
    <w:rsid w:val="00D45D6D"/>
    <w:rsid w:val="00D527E5"/>
    <w:rsid w:val="00D53119"/>
    <w:rsid w:val="00D53399"/>
    <w:rsid w:val="00D55D34"/>
    <w:rsid w:val="00D56A18"/>
    <w:rsid w:val="00D57F38"/>
    <w:rsid w:val="00D60C6F"/>
    <w:rsid w:val="00D616F6"/>
    <w:rsid w:val="00D635D5"/>
    <w:rsid w:val="00D65A9B"/>
    <w:rsid w:val="00D6730A"/>
    <w:rsid w:val="00D71BCE"/>
    <w:rsid w:val="00D7247D"/>
    <w:rsid w:val="00D724E7"/>
    <w:rsid w:val="00D733FC"/>
    <w:rsid w:val="00D746A5"/>
    <w:rsid w:val="00D747FE"/>
    <w:rsid w:val="00D74E5D"/>
    <w:rsid w:val="00D752DD"/>
    <w:rsid w:val="00D7600C"/>
    <w:rsid w:val="00D76082"/>
    <w:rsid w:val="00D80591"/>
    <w:rsid w:val="00D81112"/>
    <w:rsid w:val="00D819AB"/>
    <w:rsid w:val="00D83227"/>
    <w:rsid w:val="00D84E77"/>
    <w:rsid w:val="00D8530F"/>
    <w:rsid w:val="00D85311"/>
    <w:rsid w:val="00D91B31"/>
    <w:rsid w:val="00D926A4"/>
    <w:rsid w:val="00D94C63"/>
    <w:rsid w:val="00D967CB"/>
    <w:rsid w:val="00D974A2"/>
    <w:rsid w:val="00DA00D4"/>
    <w:rsid w:val="00DA2269"/>
    <w:rsid w:val="00DA2426"/>
    <w:rsid w:val="00DA3FB2"/>
    <w:rsid w:val="00DA5BF3"/>
    <w:rsid w:val="00DA6A5D"/>
    <w:rsid w:val="00DA6D65"/>
    <w:rsid w:val="00DA7E29"/>
    <w:rsid w:val="00DB0769"/>
    <w:rsid w:val="00DB54ED"/>
    <w:rsid w:val="00DC0A40"/>
    <w:rsid w:val="00DC235D"/>
    <w:rsid w:val="00DC267C"/>
    <w:rsid w:val="00DC26F0"/>
    <w:rsid w:val="00DC332C"/>
    <w:rsid w:val="00DC4AE4"/>
    <w:rsid w:val="00DC5191"/>
    <w:rsid w:val="00DC577F"/>
    <w:rsid w:val="00DC62AD"/>
    <w:rsid w:val="00DC65B3"/>
    <w:rsid w:val="00DC7420"/>
    <w:rsid w:val="00DD0CE4"/>
    <w:rsid w:val="00DD4706"/>
    <w:rsid w:val="00DD513E"/>
    <w:rsid w:val="00DD5BBD"/>
    <w:rsid w:val="00DD77B0"/>
    <w:rsid w:val="00DD7CBD"/>
    <w:rsid w:val="00DE0A9B"/>
    <w:rsid w:val="00DE1861"/>
    <w:rsid w:val="00DE1C85"/>
    <w:rsid w:val="00DE3CA1"/>
    <w:rsid w:val="00DE483D"/>
    <w:rsid w:val="00DE6F96"/>
    <w:rsid w:val="00DE7406"/>
    <w:rsid w:val="00DF0A0E"/>
    <w:rsid w:val="00DF1E6D"/>
    <w:rsid w:val="00DF3A0B"/>
    <w:rsid w:val="00DF7192"/>
    <w:rsid w:val="00DF76E6"/>
    <w:rsid w:val="00E00556"/>
    <w:rsid w:val="00E00B7A"/>
    <w:rsid w:val="00E00D98"/>
    <w:rsid w:val="00E02143"/>
    <w:rsid w:val="00E02151"/>
    <w:rsid w:val="00E02766"/>
    <w:rsid w:val="00E02C9A"/>
    <w:rsid w:val="00E02FE5"/>
    <w:rsid w:val="00E045EA"/>
    <w:rsid w:val="00E06603"/>
    <w:rsid w:val="00E06D5C"/>
    <w:rsid w:val="00E06F22"/>
    <w:rsid w:val="00E10140"/>
    <w:rsid w:val="00E10D61"/>
    <w:rsid w:val="00E119B6"/>
    <w:rsid w:val="00E119DA"/>
    <w:rsid w:val="00E12CC1"/>
    <w:rsid w:val="00E14E3D"/>
    <w:rsid w:val="00E162A8"/>
    <w:rsid w:val="00E17145"/>
    <w:rsid w:val="00E176FB"/>
    <w:rsid w:val="00E178B4"/>
    <w:rsid w:val="00E2032D"/>
    <w:rsid w:val="00E20B32"/>
    <w:rsid w:val="00E2249D"/>
    <w:rsid w:val="00E22C2E"/>
    <w:rsid w:val="00E2493D"/>
    <w:rsid w:val="00E259BB"/>
    <w:rsid w:val="00E26F61"/>
    <w:rsid w:val="00E27E25"/>
    <w:rsid w:val="00E30905"/>
    <w:rsid w:val="00E30AA6"/>
    <w:rsid w:val="00E30B77"/>
    <w:rsid w:val="00E30CDF"/>
    <w:rsid w:val="00E33B89"/>
    <w:rsid w:val="00E33BC5"/>
    <w:rsid w:val="00E35757"/>
    <w:rsid w:val="00E35769"/>
    <w:rsid w:val="00E372AF"/>
    <w:rsid w:val="00E3745E"/>
    <w:rsid w:val="00E40BF3"/>
    <w:rsid w:val="00E4128D"/>
    <w:rsid w:val="00E437D4"/>
    <w:rsid w:val="00E43A38"/>
    <w:rsid w:val="00E44E1E"/>
    <w:rsid w:val="00E4534B"/>
    <w:rsid w:val="00E46743"/>
    <w:rsid w:val="00E475BD"/>
    <w:rsid w:val="00E4779D"/>
    <w:rsid w:val="00E5175D"/>
    <w:rsid w:val="00E5456A"/>
    <w:rsid w:val="00E54808"/>
    <w:rsid w:val="00E55371"/>
    <w:rsid w:val="00E558B3"/>
    <w:rsid w:val="00E55A43"/>
    <w:rsid w:val="00E56742"/>
    <w:rsid w:val="00E56AF6"/>
    <w:rsid w:val="00E5767C"/>
    <w:rsid w:val="00E57ABA"/>
    <w:rsid w:val="00E57E44"/>
    <w:rsid w:val="00E61BCF"/>
    <w:rsid w:val="00E6273B"/>
    <w:rsid w:val="00E644AE"/>
    <w:rsid w:val="00E6579F"/>
    <w:rsid w:val="00E66EE6"/>
    <w:rsid w:val="00E67395"/>
    <w:rsid w:val="00E67B29"/>
    <w:rsid w:val="00E70AEF"/>
    <w:rsid w:val="00E712F6"/>
    <w:rsid w:val="00E71DBE"/>
    <w:rsid w:val="00E7529F"/>
    <w:rsid w:val="00E77F24"/>
    <w:rsid w:val="00E80460"/>
    <w:rsid w:val="00E8091C"/>
    <w:rsid w:val="00E810F8"/>
    <w:rsid w:val="00E827DE"/>
    <w:rsid w:val="00E82DE8"/>
    <w:rsid w:val="00E8301C"/>
    <w:rsid w:val="00E85CA4"/>
    <w:rsid w:val="00E85E81"/>
    <w:rsid w:val="00E86DEE"/>
    <w:rsid w:val="00E87597"/>
    <w:rsid w:val="00E87C15"/>
    <w:rsid w:val="00E87C50"/>
    <w:rsid w:val="00E90D75"/>
    <w:rsid w:val="00E91E8A"/>
    <w:rsid w:val="00E92290"/>
    <w:rsid w:val="00E924A4"/>
    <w:rsid w:val="00E93206"/>
    <w:rsid w:val="00E9536E"/>
    <w:rsid w:val="00E95E65"/>
    <w:rsid w:val="00E96149"/>
    <w:rsid w:val="00E965A3"/>
    <w:rsid w:val="00E971CF"/>
    <w:rsid w:val="00E97B60"/>
    <w:rsid w:val="00EA150A"/>
    <w:rsid w:val="00EA5145"/>
    <w:rsid w:val="00EA7CC2"/>
    <w:rsid w:val="00EA7F6D"/>
    <w:rsid w:val="00EB2D7A"/>
    <w:rsid w:val="00EB40C2"/>
    <w:rsid w:val="00EB4F51"/>
    <w:rsid w:val="00EB50F1"/>
    <w:rsid w:val="00EC04EA"/>
    <w:rsid w:val="00EC04F4"/>
    <w:rsid w:val="00EC125E"/>
    <w:rsid w:val="00EC3544"/>
    <w:rsid w:val="00EC454A"/>
    <w:rsid w:val="00EC516F"/>
    <w:rsid w:val="00EC551A"/>
    <w:rsid w:val="00EC5906"/>
    <w:rsid w:val="00EC6008"/>
    <w:rsid w:val="00EC6017"/>
    <w:rsid w:val="00EC7D86"/>
    <w:rsid w:val="00ED2D6F"/>
    <w:rsid w:val="00ED2DA1"/>
    <w:rsid w:val="00ED40A9"/>
    <w:rsid w:val="00ED5913"/>
    <w:rsid w:val="00EE004A"/>
    <w:rsid w:val="00EE04AF"/>
    <w:rsid w:val="00EE05E3"/>
    <w:rsid w:val="00EE4BB8"/>
    <w:rsid w:val="00EE6102"/>
    <w:rsid w:val="00EE70F1"/>
    <w:rsid w:val="00EF0115"/>
    <w:rsid w:val="00EF0E18"/>
    <w:rsid w:val="00EF1184"/>
    <w:rsid w:val="00EF32B1"/>
    <w:rsid w:val="00EF345E"/>
    <w:rsid w:val="00EF510D"/>
    <w:rsid w:val="00EF5C64"/>
    <w:rsid w:val="00EF68D8"/>
    <w:rsid w:val="00EF79D4"/>
    <w:rsid w:val="00EF7BAE"/>
    <w:rsid w:val="00EF7D61"/>
    <w:rsid w:val="00F00884"/>
    <w:rsid w:val="00F06394"/>
    <w:rsid w:val="00F07D34"/>
    <w:rsid w:val="00F1035B"/>
    <w:rsid w:val="00F10A47"/>
    <w:rsid w:val="00F11770"/>
    <w:rsid w:val="00F1256D"/>
    <w:rsid w:val="00F1288D"/>
    <w:rsid w:val="00F1470E"/>
    <w:rsid w:val="00F1596D"/>
    <w:rsid w:val="00F17A11"/>
    <w:rsid w:val="00F17F89"/>
    <w:rsid w:val="00F2208F"/>
    <w:rsid w:val="00F23D18"/>
    <w:rsid w:val="00F242B9"/>
    <w:rsid w:val="00F26B4D"/>
    <w:rsid w:val="00F26F0E"/>
    <w:rsid w:val="00F30FD2"/>
    <w:rsid w:val="00F3118F"/>
    <w:rsid w:val="00F314A6"/>
    <w:rsid w:val="00F34017"/>
    <w:rsid w:val="00F3535F"/>
    <w:rsid w:val="00F36902"/>
    <w:rsid w:val="00F36F2D"/>
    <w:rsid w:val="00F37DA8"/>
    <w:rsid w:val="00F37F27"/>
    <w:rsid w:val="00F417FD"/>
    <w:rsid w:val="00F41901"/>
    <w:rsid w:val="00F43600"/>
    <w:rsid w:val="00F456D4"/>
    <w:rsid w:val="00F457C3"/>
    <w:rsid w:val="00F466CE"/>
    <w:rsid w:val="00F46BD6"/>
    <w:rsid w:val="00F51880"/>
    <w:rsid w:val="00F52424"/>
    <w:rsid w:val="00F53DCB"/>
    <w:rsid w:val="00F53FC2"/>
    <w:rsid w:val="00F53FC3"/>
    <w:rsid w:val="00F55C93"/>
    <w:rsid w:val="00F56D13"/>
    <w:rsid w:val="00F57E8D"/>
    <w:rsid w:val="00F600EA"/>
    <w:rsid w:val="00F615EE"/>
    <w:rsid w:val="00F653E1"/>
    <w:rsid w:val="00F6634E"/>
    <w:rsid w:val="00F67BDB"/>
    <w:rsid w:val="00F70BEF"/>
    <w:rsid w:val="00F70E80"/>
    <w:rsid w:val="00F719F5"/>
    <w:rsid w:val="00F724BE"/>
    <w:rsid w:val="00F73B0F"/>
    <w:rsid w:val="00F74E31"/>
    <w:rsid w:val="00F767D9"/>
    <w:rsid w:val="00F7729D"/>
    <w:rsid w:val="00F77C19"/>
    <w:rsid w:val="00F81525"/>
    <w:rsid w:val="00F818A3"/>
    <w:rsid w:val="00F81966"/>
    <w:rsid w:val="00F81FB2"/>
    <w:rsid w:val="00F82467"/>
    <w:rsid w:val="00F82C1B"/>
    <w:rsid w:val="00F83A13"/>
    <w:rsid w:val="00F84214"/>
    <w:rsid w:val="00F8667C"/>
    <w:rsid w:val="00F867F2"/>
    <w:rsid w:val="00F917F5"/>
    <w:rsid w:val="00F91E91"/>
    <w:rsid w:val="00F94C91"/>
    <w:rsid w:val="00F952FC"/>
    <w:rsid w:val="00F965D3"/>
    <w:rsid w:val="00F96AFC"/>
    <w:rsid w:val="00F96E98"/>
    <w:rsid w:val="00F97683"/>
    <w:rsid w:val="00FA39C3"/>
    <w:rsid w:val="00FA469C"/>
    <w:rsid w:val="00FA665D"/>
    <w:rsid w:val="00FA6ED5"/>
    <w:rsid w:val="00FA7101"/>
    <w:rsid w:val="00FA7348"/>
    <w:rsid w:val="00FB4C44"/>
    <w:rsid w:val="00FB5B31"/>
    <w:rsid w:val="00FC02A8"/>
    <w:rsid w:val="00FC14B2"/>
    <w:rsid w:val="00FC24B5"/>
    <w:rsid w:val="00FC2D78"/>
    <w:rsid w:val="00FC3408"/>
    <w:rsid w:val="00FC3DEB"/>
    <w:rsid w:val="00FC67F4"/>
    <w:rsid w:val="00FC6A32"/>
    <w:rsid w:val="00FC6D50"/>
    <w:rsid w:val="00FC70F6"/>
    <w:rsid w:val="00FC75A4"/>
    <w:rsid w:val="00FD0869"/>
    <w:rsid w:val="00FD0D18"/>
    <w:rsid w:val="00FD5148"/>
    <w:rsid w:val="00FD7FA9"/>
    <w:rsid w:val="00FE04C1"/>
    <w:rsid w:val="00FE1501"/>
    <w:rsid w:val="00FE1632"/>
    <w:rsid w:val="00FE1A67"/>
    <w:rsid w:val="00FE1C69"/>
    <w:rsid w:val="00FE54AE"/>
    <w:rsid w:val="00FE71DC"/>
    <w:rsid w:val="00FE7860"/>
    <w:rsid w:val="00FE7923"/>
    <w:rsid w:val="00FF0555"/>
    <w:rsid w:val="00FF0F64"/>
    <w:rsid w:val="00FF1900"/>
    <w:rsid w:val="00FF1C42"/>
    <w:rsid w:val="00FF3D83"/>
    <w:rsid w:val="00FF61ED"/>
    <w:rsid w:val="00FF6AB3"/>
    <w:rsid w:val="0FD479BC"/>
    <w:rsid w:val="15793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32CF2E-19E0-49FF-8D8B-55D884DA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SimSun" w:eastAsia="SimSun" w:hAnsi="SimSun" w:cs="SimSun"/>
      <w:sz w:val="24"/>
      <w:szCs w:val="24"/>
      <w:lang w:val="en-US" w:eastAsia="zh-CN"/>
    </w:rPr>
  </w:style>
  <w:style w:type="paragraph" w:styleId="Heading1">
    <w:name w:val="heading 1"/>
    <w:basedOn w:val="Normal"/>
    <w:next w:val="Normal"/>
    <w:link w:val="Heading1Char"/>
    <w:uiPriority w:val="9"/>
    <w:qFormat/>
    <w:pPr>
      <w:keepNext/>
      <w:keepLines/>
      <w:widowControl w:val="0"/>
      <w:spacing w:before="340" w:after="330" w:line="578" w:lineRule="auto"/>
      <w:jc w:val="both"/>
      <w:outlineLvl w:val="0"/>
    </w:pPr>
    <w:rPr>
      <w:rFonts w:asciiTheme="minorHAnsi" w:eastAsiaTheme="minorEastAsia" w:hAnsiTheme="minorHAnsi" w:cstheme="minorBidi"/>
      <w:b/>
      <w:bCs/>
      <w:kern w:val="44"/>
      <w:sz w:val="44"/>
      <w:szCs w:val="4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pPr>
      <w:keepNext/>
      <w:keepLines/>
      <w:widowControl w:val="0"/>
      <w:spacing w:before="260" w:after="260" w:line="416" w:lineRule="auto"/>
      <w:jc w:val="both"/>
      <w:outlineLvl w:val="2"/>
    </w:pPr>
    <w:rPr>
      <w:rFonts w:asciiTheme="minorHAnsi" w:eastAsiaTheme="minorEastAsia" w:hAnsiTheme="minorHAnsi" w:cstheme="minorBidi"/>
      <w:b/>
      <w:bCs/>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style>
  <w:style w:type="paragraph" w:styleId="BalloonText">
    <w:name w:val="Balloon Text"/>
    <w:basedOn w:val="Normal"/>
    <w:link w:val="BalloonTextChar"/>
    <w:uiPriority w:val="99"/>
    <w:semiHidden/>
    <w:unhideWhenUsed/>
    <w:qFormat/>
    <w:pPr>
      <w:widowControl w:val="0"/>
      <w:jc w:val="both"/>
    </w:pPr>
    <w:rPr>
      <w:rFonts w:hAnsiTheme="minorHAnsi" w:cstheme="minorBidi"/>
      <w:kern w:val="2"/>
      <w:sz w:val="18"/>
      <w:szCs w:val="18"/>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NormalWeb">
    <w:name w:val="Normal (Web)"/>
    <w:basedOn w:val="Normal"/>
    <w:uiPriority w:val="99"/>
    <w:unhideWhenUsed/>
    <w:qFormat/>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PageNumber">
    <w:name w:val="page number"/>
    <w:basedOn w:val="DefaultParagraphFont"/>
    <w:uiPriority w:val="99"/>
    <w:semiHidden/>
    <w:unhideWhenUsed/>
    <w:qFormat/>
  </w:style>
  <w:style w:type="character" w:styleId="Hyperlink">
    <w:name w:val="Hyperlink"/>
    <w:basedOn w:val="DefaultParagraphFont"/>
    <w:uiPriority w:val="99"/>
    <w:unhideWhenUsed/>
    <w:qFormat/>
    <w:rPr>
      <w:color w:val="467886" w:themeColor="hyperlink"/>
      <w:u w:val="single"/>
    </w:rPr>
  </w:style>
  <w:style w:type="character" w:styleId="CommentReference">
    <w:name w:val="annotation reference"/>
    <w:basedOn w:val="DefaultParagraphFont"/>
    <w:uiPriority w:val="99"/>
    <w:semiHidden/>
    <w:unhideWhenUsed/>
    <w:qFormat/>
    <w:rPr>
      <w:sz w:val="21"/>
      <w:szCs w:val="21"/>
    </w:rPr>
  </w:style>
  <w:style w:type="paragraph" w:customStyle="1" w:styleId="EndNoteBibliography">
    <w:name w:val="EndNote Bibliography"/>
    <w:basedOn w:val="Normal"/>
    <w:link w:val="EndNoteBibliography0"/>
    <w:qFormat/>
    <w:rPr>
      <w:rFonts w:ascii="DengXian" w:eastAsia="DengXian" w:hAnsi="DengXian" w:cs="Times New Roman"/>
      <w:sz w:val="20"/>
      <w:szCs w:val="20"/>
    </w:rPr>
  </w:style>
  <w:style w:type="character" w:customStyle="1" w:styleId="EndNoteBibliography0">
    <w:name w:val="EndNote Bibliography 字符"/>
    <w:basedOn w:val="DefaultParagraphFont"/>
    <w:link w:val="EndNoteBibliography"/>
    <w:qFormat/>
    <w:rPr>
      <w:rFonts w:ascii="DengXian" w:eastAsia="DengXian" w:hAnsi="DengXian" w:cs="Times New Roman"/>
      <w:kern w:val="0"/>
      <w:sz w:val="20"/>
      <w:szCs w:val="20"/>
    </w:rPr>
  </w:style>
  <w:style w:type="paragraph" w:styleId="ListParagraph">
    <w:name w:val="List Paragraph"/>
    <w:basedOn w:val="Normal"/>
    <w:uiPriority w:val="34"/>
    <w:qFormat/>
    <w:pPr>
      <w:ind w:firstLineChars="200" w:firstLine="420"/>
    </w:pPr>
  </w:style>
  <w:style w:type="paragraph" w:customStyle="1" w:styleId="EndNoteBibliographyTitle">
    <w:name w:val="EndNote Bibliography Title"/>
    <w:basedOn w:val="Normal"/>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rPr>
      <w:rFonts w:ascii="DengXian" w:eastAsia="DengXian" w:hAnsi="DengXian" w:cs="SimSun"/>
      <w:kern w:val="0"/>
      <w:sz w:val="20"/>
    </w:rPr>
  </w:style>
  <w:style w:type="character" w:customStyle="1" w:styleId="ds-markdown-html">
    <w:name w:val="ds-markdown-html"/>
    <w:basedOn w:val="DefaultParagraphFont"/>
    <w:qFormat/>
  </w:style>
  <w:style w:type="paragraph" w:customStyle="1" w:styleId="p1">
    <w:name w:val="p1"/>
    <w:basedOn w:val="Normal"/>
    <w:qFormat/>
    <w:rPr>
      <w:rFonts w:ascii="Helvetica" w:hAnsi="Helvetica"/>
      <w:color w:val="000000"/>
      <w:sz w:val="15"/>
      <w:szCs w:val="15"/>
    </w:rPr>
  </w:style>
  <w:style w:type="character" w:customStyle="1" w:styleId="s1">
    <w:name w:val="s1"/>
    <w:basedOn w:val="DefaultParagraphFont"/>
    <w:qFormat/>
    <w:rPr>
      <w:rFonts w:ascii="Helvetica" w:hAnsi="Helvetica" w:hint="default"/>
      <w:sz w:val="9"/>
      <w:szCs w:val="9"/>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customStyle="1" w:styleId="Revision1">
    <w:name w:val="Revision1"/>
    <w:hidden/>
    <w:uiPriority w:val="99"/>
    <w:semiHidden/>
    <w:qFormat/>
    <w:rPr>
      <w:kern w:val="2"/>
      <w:sz w:val="21"/>
      <w:szCs w:val="24"/>
      <w:lang w:val="en-US" w:eastAsia="zh-CN"/>
    </w:rPr>
  </w:style>
  <w:style w:type="character" w:customStyle="1" w:styleId="CommentTextChar">
    <w:name w:val="Comment Text Char"/>
    <w:basedOn w:val="DefaultParagraphFont"/>
    <w:link w:val="CommentText"/>
    <w:uiPriority w:val="99"/>
    <w:qFormat/>
    <w:rPr>
      <w:rFonts w:ascii="SimSun" w:eastAsia="SimSun" w:hAnsi="SimSun" w:cs="SimSun"/>
      <w:kern w:val="0"/>
      <w:sz w:val="24"/>
    </w:rPr>
  </w:style>
  <w:style w:type="character" w:customStyle="1" w:styleId="CommentSubjectChar">
    <w:name w:val="Comment Subject Char"/>
    <w:basedOn w:val="CommentTextChar"/>
    <w:link w:val="CommentSubject"/>
    <w:uiPriority w:val="99"/>
    <w:semiHidden/>
    <w:qFormat/>
    <w:rPr>
      <w:rFonts w:ascii="SimSun" w:eastAsia="SimSun" w:hAnsi="SimSun" w:cs="SimSun"/>
      <w:b/>
      <w:bCs/>
      <w:kern w:val="0"/>
      <w:sz w:val="24"/>
    </w:rPr>
  </w:style>
  <w:style w:type="paragraph" w:styleId="NoSpacing">
    <w:name w:val="No Spacing"/>
    <w:uiPriority w:val="1"/>
    <w:qFormat/>
    <w:rPr>
      <w:rFonts w:ascii="SimSun" w:eastAsia="SimSun" w:hAnsi="SimSun" w:cs="SimSun"/>
      <w:sz w:val="24"/>
      <w:szCs w:val="24"/>
      <w:lang w:val="en-US" w:eastAsia="zh-CN"/>
    </w:rPr>
  </w:style>
  <w:style w:type="paragraph" w:customStyle="1" w:styleId="BATitle">
    <w:name w:val="BA_Title"/>
    <w:basedOn w:val="Normal"/>
    <w:next w:val="Normal"/>
    <w:qFormat/>
    <w:pPr>
      <w:spacing w:before="720" w:after="360" w:line="480" w:lineRule="auto"/>
      <w:jc w:val="center"/>
    </w:pPr>
    <w:rPr>
      <w:rFonts w:ascii="Times New Roman" w:eastAsiaTheme="minorEastAsia" w:hAnsi="Times New Roman" w:cs="Times New Roman"/>
      <w:sz w:val="44"/>
      <w:szCs w:val="20"/>
      <w:lang w:eastAsia="en-US"/>
    </w:rPr>
  </w:style>
  <w:style w:type="character" w:customStyle="1" w:styleId="UnresolvedMention">
    <w:name w:val="Unresolved Mention"/>
    <w:basedOn w:val="DefaultParagraphFont"/>
    <w:uiPriority w:val="99"/>
    <w:qFormat/>
    <w:rPr>
      <w:color w:val="605E5C"/>
      <w:shd w:val="clear" w:color="auto" w:fill="E1DFDD"/>
    </w:rPr>
  </w:style>
  <w:style w:type="character" w:customStyle="1" w:styleId="Heading1Char">
    <w:name w:val="Heading 1 Char"/>
    <w:basedOn w:val="DefaultParagraphFont"/>
    <w:link w:val="Heading1"/>
    <w:uiPriority w:val="9"/>
    <w:qFormat/>
    <w:rPr>
      <w:b/>
      <w:bCs/>
      <w:kern w:val="44"/>
      <w:sz w:val="44"/>
      <w:szCs w:val="44"/>
    </w:rPr>
  </w:style>
  <w:style w:type="character" w:customStyle="1" w:styleId="Heading2Char">
    <w:name w:val="Heading 2 Char"/>
    <w:basedOn w:val="DefaultParagraphFont"/>
    <w:link w:val="Heading2"/>
    <w:uiPriority w:val="9"/>
    <w:qFormat/>
    <w:rPr>
      <w:rFonts w:ascii="SimSun" w:eastAsia="SimSun" w:hAnsi="SimSun" w:cs="SimSun"/>
      <w:b/>
      <w:bCs/>
      <w:kern w:val="0"/>
      <w:sz w:val="36"/>
      <w:szCs w:val="36"/>
    </w:rPr>
  </w:style>
  <w:style w:type="character" w:customStyle="1" w:styleId="Heading3Char">
    <w:name w:val="Heading 3 Char"/>
    <w:basedOn w:val="DefaultParagraphFont"/>
    <w:link w:val="Heading3"/>
    <w:uiPriority w:val="9"/>
    <w:semiHidden/>
    <w:qFormat/>
    <w:rPr>
      <w:b/>
      <w:bCs/>
      <w:sz w:val="32"/>
      <w:szCs w:val="32"/>
    </w:rPr>
  </w:style>
  <w:style w:type="character" w:customStyle="1" w:styleId="BalloonTextChar">
    <w:name w:val="Balloon Text Char"/>
    <w:basedOn w:val="DefaultParagraphFont"/>
    <w:link w:val="BalloonText"/>
    <w:uiPriority w:val="99"/>
    <w:semiHidden/>
    <w:qFormat/>
    <w:rPr>
      <w:rFonts w:ascii="SimSun" w:eastAsia="SimSun"/>
      <w:sz w:val="18"/>
      <w:szCs w:val="18"/>
    </w:rPr>
  </w:style>
  <w:style w:type="character" w:styleId="PlaceholderText">
    <w:name w:val="Placeholder Text"/>
    <w:basedOn w:val="DefaultParagraphFont"/>
    <w:uiPriority w:val="99"/>
    <w:semiHidden/>
    <w:qFormat/>
    <w:rPr>
      <w:color w:val="808080"/>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und2">
    <w:name w:val="fund2"/>
    <w:qFormat/>
  </w:style>
  <w:style w:type="character" w:customStyle="1" w:styleId="2">
    <w:name w:val="未处理的提及2"/>
    <w:basedOn w:val="DefaultParagraphFont"/>
    <w:uiPriority w:val="99"/>
    <w:semiHidden/>
    <w:unhideWhenUsed/>
    <w:qFormat/>
    <w:rPr>
      <w:color w:val="605E5C"/>
      <w:shd w:val="clear" w:color="auto" w:fill="E1DFDD"/>
    </w:rPr>
  </w:style>
  <w:style w:type="paragraph" w:customStyle="1" w:styleId="Tableofcontents">
    <w:name w:val="Table of contents"/>
    <w:basedOn w:val="Normal"/>
    <w:autoRedefine/>
    <w:qFormat/>
    <w:rPr>
      <w:rFonts w:ascii="Calibri" w:eastAsia="MS Mincho" w:hAnsi="Calibri" w:cs="Calibri"/>
      <w:i/>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footer" Target="footer1.xml"/><Relationship Id="rId16" Type="http://schemas.openxmlformats.org/officeDocument/2006/relationships/image" Target="media/image6.jpeg"/><Relationship Id="rId11" Type="http://schemas.openxmlformats.org/officeDocument/2006/relationships/image" Target="media/image1.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hyperlink" Target="https://doi.org/10.1103/physrevlett.77.3865" TargetMode="External"/><Relationship Id="rId5" Type="http://schemas.openxmlformats.org/officeDocument/2006/relationships/webSettings" Target="webSettings.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hyperlink" Target="https://doi.org/10.1107/S0909049505012719" TargetMode="External"/><Relationship Id="rId8" Type="http://schemas.openxmlformats.org/officeDocument/2006/relationships/hyperlink" Target="mailto:yhm@smmu.edu.cn" TargetMode="External"/><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hyperlink" Target="https://doi.org/10.1063/1.3382344" TargetMode="Externa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hyperlink" Target="mailto:zjf2412@163.com" TargetMode="Externa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hyperlink" Target="https://doi.org/10.1103/physrevb.59.1758" TargetMode="External"/><Relationship Id="rId81" Type="http://schemas.openxmlformats.org/officeDocument/2006/relationships/hyperlink" Target="https://doi.org/10.1158/1535-7163.MCT-09-0462"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lshi@mail.sic.ac.cn" TargetMode="Externa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hyperlink" Target="https://doi.org/10.1107/S0909049507031901" TargetMode="External"/><Relationship Id="rId7" Type="http://schemas.openxmlformats.org/officeDocument/2006/relationships/endnotes" Target="endnotes.xml"/><Relationship Id="rId71" Type="http://schemas.openxmlformats.org/officeDocument/2006/relationships/image" Target="media/image61.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theme" Target="theme/theme1.xml"/><Relationship Id="rId61" Type="http://schemas.openxmlformats.org/officeDocument/2006/relationships/image" Target="media/image51.jpeg"/><Relationship Id="rId82" Type="http://schemas.openxmlformats.org/officeDocument/2006/relationships/hyperlink" Target="https://doi.org/10.1126/sciadv.aav5490"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EF011-A8E6-4F00-BF7D-0D8D78357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5505</Words>
  <Characters>32093</Characters>
  <Application>Microsoft Office Word</Application>
  <DocSecurity>0</DocSecurity>
  <Lines>267</Lines>
  <Paragraphs>75</Paragraphs>
  <ScaleCrop>false</ScaleCrop>
  <Company>HP Inc.</Company>
  <LinksUpToDate>false</LinksUpToDate>
  <CharactersWithSpaces>37523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Jiajie Chen</dc:creator>
  <cp:lastModifiedBy>Kanmani B Balakrishnan J</cp:lastModifiedBy>
  <cp:revision>11</cp:revision>
  <dcterms:created xsi:type="dcterms:W3CDTF">2026-03-08T11:26:00Z</dcterms:created>
  <dcterms:modified xsi:type="dcterms:W3CDTF">2026-03-31T08:01:00Z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eyJoZGlkIjoiMDZkMTI1Njk0NDFkNWIxODM4ZDFmOTg3NDcyMjZjNmYiLCJ1c2VySWQiOiIzMjYwOTExMDMifQ==</vt:lpwstr>
  </property>
  <property fmtid="{D5CDD505-2E9C-101B-9397-08002B2CF9AE}" pid="3" name="KSOProductBuildVer">
    <vt:lpwstr>2052-12.1.0.25225</vt:lpwstr>
  </property>
  <property fmtid="{D5CDD505-2E9C-101B-9397-08002B2CF9AE}" pid="4" name="ICV">
    <vt:lpwstr>402371661BD449DD8D5B4C85B0FC3000_12</vt:lpwstr>
  </property>
</Properties>
</file>