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046C0" w14:textId="77777777" w:rsidR="00712511" w:rsidRPr="00712511" w:rsidRDefault="00930DE9" w:rsidP="00600AA1">
      <w:pPr>
        <w:pStyle w:val="BATitle"/>
        <w:spacing w:before="120" w:after="120" w:line="240" w:lineRule="auto"/>
        <w:jc w:val="left"/>
        <w:rPr>
          <w:sz w:val="24"/>
          <w:szCs w:val="24"/>
          <w:lang w:eastAsia="zh-CN"/>
        </w:rPr>
      </w:pPr>
      <w:r w:rsidRPr="00C24B25">
        <w:rPr>
          <w:sz w:val="24"/>
          <w:szCs w:val="24"/>
          <w:lang w:eastAsia="zh-CN"/>
        </w:rPr>
        <w:t>Supporting Information</w:t>
      </w:r>
      <w:r w:rsidR="00D0367B" w:rsidRPr="00C24B25">
        <w:rPr>
          <w:sz w:val="24"/>
          <w:szCs w:val="24"/>
          <w:lang w:eastAsia="zh-CN"/>
        </w:rPr>
        <w:t xml:space="preserve"> for</w:t>
      </w:r>
    </w:p>
    <w:p w14:paraId="43EBEA7D" w14:textId="77777777" w:rsidR="00A73E01" w:rsidRPr="00A73E01" w:rsidRDefault="00A73E01" w:rsidP="00A73E01">
      <w:pPr>
        <w:widowControl/>
        <w:spacing w:beforeLines="50" w:before="156" w:afterLines="50" w:after="156"/>
        <w:jc w:val="left"/>
        <w:rPr>
          <w:rFonts w:ascii="Times New Roman" w:eastAsia="宋体" w:hAnsi="Times New Roman" w:cs="Times New Roman"/>
          <w:b/>
          <w:kern w:val="0"/>
          <w:sz w:val="28"/>
          <w:szCs w:val="28"/>
          <w:lang w:eastAsia="en-US"/>
          <w14:ligatures w14:val="none"/>
        </w:rPr>
      </w:pPr>
      <w:bookmarkStart w:id="0" w:name="_Hlk229923333"/>
      <w:bookmarkStart w:id="1" w:name="OLE_LINK54"/>
      <w:r w:rsidRPr="00A73E01">
        <w:rPr>
          <w:rFonts w:ascii="Times New Roman" w:eastAsia="宋体" w:hAnsi="Times New Roman" w:cs="Times New Roman"/>
          <w:b/>
          <w:kern w:val="0"/>
          <w:sz w:val="28"/>
          <w:szCs w:val="28"/>
          <w:lang w:eastAsia="en-US"/>
          <w14:ligatures w14:val="none"/>
        </w:rPr>
        <w:t>Ultramicropore-Confined Solvation and Interphase Regulation Unlock High-Performance Hard Carbon Anodes for Sodium-Ion Batteries</w:t>
      </w:r>
    </w:p>
    <w:bookmarkEnd w:id="0"/>
    <w:p w14:paraId="4C8F9959" w14:textId="77777777" w:rsidR="00A73E01" w:rsidRPr="00A73E01" w:rsidRDefault="00A73E01" w:rsidP="00A73E01">
      <w:pPr>
        <w:widowControl/>
        <w:spacing w:beforeLines="50" w:before="156" w:afterLines="50" w:after="156"/>
        <w:jc w:val="left"/>
        <w:rPr>
          <w:rFonts w:ascii="Times New Roman" w:eastAsia="MS Mincho" w:hAnsi="Times New Roman" w:cs="Times New Roman"/>
          <w:kern w:val="0"/>
          <w:sz w:val="24"/>
          <w:szCs w:val="24"/>
          <w:lang w:eastAsia="ja-JP"/>
          <w14:ligatures w14:val="none"/>
        </w:rPr>
      </w:pPr>
      <w:r w:rsidRPr="00A73E01">
        <w:rPr>
          <w:rFonts w:ascii="Times New Roman" w:eastAsia="MS Mincho" w:hAnsi="Times New Roman" w:cs="Times New Roman"/>
          <w:kern w:val="0"/>
          <w:sz w:val="24"/>
          <w:szCs w:val="24"/>
          <w:lang w:eastAsia="ja-JP"/>
          <w14:ligatures w14:val="none"/>
        </w:rPr>
        <w:t>Shunyuan Tan</w:t>
      </w:r>
      <w:r w:rsidRPr="00A73E01">
        <w:rPr>
          <w:rFonts w:ascii="Times New Roman" w:eastAsia="MS Mincho" w:hAnsi="Times New Roman" w:cs="Times New Roman"/>
          <w:kern w:val="0"/>
          <w:sz w:val="24"/>
          <w:szCs w:val="24"/>
          <w:vertAlign w:val="superscript"/>
          <w:lang w:eastAsia="ja-JP"/>
          <w14:ligatures w14:val="none"/>
        </w:rPr>
        <w:t>1</w:t>
      </w:r>
      <w:r w:rsidRPr="00A73E01">
        <w:rPr>
          <w:rFonts w:ascii="Times New Roman" w:eastAsia="MS Mincho" w:hAnsi="Times New Roman" w:cs="Times New Roman"/>
          <w:kern w:val="0"/>
          <w:sz w:val="24"/>
          <w:szCs w:val="24"/>
          <w:lang w:eastAsia="ja-JP"/>
          <w14:ligatures w14:val="none"/>
        </w:rPr>
        <w:t>, Zhiyuan Cheng</w:t>
      </w:r>
      <w:r w:rsidRPr="00A73E01">
        <w:rPr>
          <w:rFonts w:ascii="Times New Roman" w:eastAsia="MS Mincho" w:hAnsi="Times New Roman" w:cs="Times New Roman"/>
          <w:kern w:val="0"/>
          <w:sz w:val="24"/>
          <w:szCs w:val="24"/>
          <w:vertAlign w:val="superscript"/>
          <w:lang w:eastAsia="ja-JP"/>
          <w14:ligatures w14:val="none"/>
        </w:rPr>
        <w:t>1</w:t>
      </w:r>
      <w:r w:rsidRPr="00A73E01">
        <w:rPr>
          <w:rFonts w:ascii="Times New Roman" w:eastAsia="MS Mincho" w:hAnsi="Times New Roman" w:cs="Times New Roman"/>
          <w:kern w:val="0"/>
          <w:sz w:val="24"/>
          <w:szCs w:val="24"/>
          <w:lang w:eastAsia="ja-JP"/>
          <w14:ligatures w14:val="none"/>
        </w:rPr>
        <w:t>, Jiahao Xing</w:t>
      </w:r>
      <w:r w:rsidRPr="00A73E01">
        <w:rPr>
          <w:rFonts w:ascii="Times New Roman" w:eastAsia="MS Mincho" w:hAnsi="Times New Roman" w:cs="Times New Roman"/>
          <w:kern w:val="0"/>
          <w:sz w:val="24"/>
          <w:szCs w:val="24"/>
          <w:vertAlign w:val="superscript"/>
          <w:lang w:eastAsia="ja-JP"/>
          <w14:ligatures w14:val="none"/>
        </w:rPr>
        <w:t>1</w:t>
      </w:r>
      <w:r w:rsidRPr="00A73E01">
        <w:rPr>
          <w:rFonts w:ascii="Times New Roman" w:eastAsia="MS Mincho" w:hAnsi="Times New Roman" w:cs="Times New Roman"/>
          <w:kern w:val="0"/>
          <w:sz w:val="24"/>
          <w:szCs w:val="24"/>
          <w:lang w:eastAsia="ja-JP"/>
          <w14:ligatures w14:val="none"/>
        </w:rPr>
        <w:t>, Jingkai Gao</w:t>
      </w:r>
      <w:r w:rsidRPr="00A73E01">
        <w:rPr>
          <w:rFonts w:ascii="Times New Roman" w:eastAsia="MS Mincho" w:hAnsi="Times New Roman" w:cs="Times New Roman"/>
          <w:kern w:val="0"/>
          <w:sz w:val="24"/>
          <w:szCs w:val="24"/>
          <w:vertAlign w:val="superscript"/>
          <w:lang w:eastAsia="ja-JP"/>
          <w14:ligatures w14:val="none"/>
        </w:rPr>
        <w:t>1</w:t>
      </w:r>
      <w:r w:rsidRPr="00A73E01">
        <w:rPr>
          <w:rFonts w:ascii="Times New Roman" w:eastAsia="MS Mincho" w:hAnsi="Times New Roman" w:cs="Times New Roman"/>
          <w:kern w:val="0"/>
          <w:sz w:val="24"/>
          <w:szCs w:val="24"/>
          <w:lang w:eastAsia="ja-JP"/>
          <w14:ligatures w14:val="none"/>
        </w:rPr>
        <w:t>,</w:t>
      </w:r>
      <w:r w:rsidRPr="00A73E01">
        <w:rPr>
          <w:rFonts w:ascii="Times New Roman" w:eastAsia="MS Mincho" w:hAnsi="Times New Roman" w:cs="Times New Roman"/>
          <w:kern w:val="0"/>
          <w:sz w:val="24"/>
          <w:szCs w:val="24"/>
          <w:vertAlign w:val="superscript"/>
          <w:lang w:eastAsia="ja-JP"/>
          <w14:ligatures w14:val="none"/>
        </w:rPr>
        <w:t xml:space="preserve"> </w:t>
      </w:r>
      <w:r w:rsidRPr="00A73E01">
        <w:rPr>
          <w:rFonts w:ascii="Times New Roman" w:eastAsia="MS Mincho" w:hAnsi="Times New Roman" w:cs="Times New Roman"/>
          <w:kern w:val="0"/>
          <w:sz w:val="24"/>
          <w:szCs w:val="24"/>
          <w:lang w:eastAsia="ja-JP"/>
          <w14:ligatures w14:val="none"/>
        </w:rPr>
        <w:t>Zimo Huang</w:t>
      </w:r>
      <w:r w:rsidRPr="00A73E01">
        <w:rPr>
          <w:rFonts w:ascii="Times New Roman" w:eastAsia="MS Mincho" w:hAnsi="Times New Roman" w:cs="Times New Roman"/>
          <w:kern w:val="0"/>
          <w:sz w:val="24"/>
          <w:szCs w:val="24"/>
          <w:vertAlign w:val="superscript"/>
          <w:lang w:eastAsia="ja-JP"/>
          <w14:ligatures w14:val="none"/>
        </w:rPr>
        <w:t>1,2</w:t>
      </w:r>
      <w:r w:rsidRPr="00A73E01">
        <w:rPr>
          <w:rFonts w:ascii="Times New Roman" w:eastAsia="MS Mincho" w:hAnsi="Times New Roman" w:cs="Times New Roman"/>
          <w:kern w:val="0"/>
          <w:sz w:val="24"/>
          <w:szCs w:val="24"/>
          <w:lang w:eastAsia="ja-JP"/>
          <w14:ligatures w14:val="none"/>
        </w:rPr>
        <w:t>, Hongshuai Hou</w:t>
      </w:r>
      <w:r w:rsidRPr="00A73E01">
        <w:rPr>
          <w:rFonts w:ascii="Times New Roman" w:eastAsia="MS Mincho" w:hAnsi="Times New Roman" w:cs="Times New Roman"/>
          <w:kern w:val="0"/>
          <w:sz w:val="24"/>
          <w:szCs w:val="24"/>
          <w:vertAlign w:val="superscript"/>
          <w:lang w:eastAsia="ja-JP"/>
          <w14:ligatures w14:val="none"/>
        </w:rPr>
        <w:t>3</w:t>
      </w:r>
      <w:r w:rsidRPr="00A73E01">
        <w:rPr>
          <w:rFonts w:ascii="Times New Roman" w:eastAsia="MS Mincho" w:hAnsi="Times New Roman" w:cs="Times New Roman"/>
          <w:kern w:val="0"/>
          <w:sz w:val="24"/>
          <w:szCs w:val="24"/>
          <w:lang w:eastAsia="ja-JP"/>
          <w14:ligatures w14:val="none"/>
        </w:rPr>
        <w:t>, Zhongliang Tian</w:t>
      </w:r>
      <w:r w:rsidRPr="00A73E01">
        <w:rPr>
          <w:rFonts w:ascii="Times New Roman" w:eastAsia="MS Mincho" w:hAnsi="Times New Roman" w:cs="Times New Roman"/>
          <w:kern w:val="0"/>
          <w:sz w:val="24"/>
          <w:szCs w:val="24"/>
          <w:vertAlign w:val="superscript"/>
          <w:lang w:eastAsia="ja-JP"/>
          <w14:ligatures w14:val="none"/>
        </w:rPr>
        <w:t>1,2</w:t>
      </w:r>
      <w:r w:rsidRPr="00A73E01">
        <w:rPr>
          <w:rFonts w:ascii="Times New Roman" w:eastAsia="MS Mincho" w:hAnsi="Times New Roman" w:cs="Times New Roman"/>
          <w:kern w:val="0"/>
          <w:sz w:val="24"/>
          <w:szCs w:val="24"/>
          <w:lang w:eastAsia="ja-JP"/>
          <w14:ligatures w14:val="none"/>
        </w:rPr>
        <w:t>,</w:t>
      </w:r>
      <w:r w:rsidRPr="00A73E01">
        <w:rPr>
          <w:rFonts w:ascii="Times New Roman" w:eastAsia="MS Mincho" w:hAnsi="Times New Roman" w:cs="Times New Roman"/>
          <w:kern w:val="0"/>
          <w:sz w:val="24"/>
          <w:szCs w:val="24"/>
          <w:vertAlign w:val="superscript"/>
          <w:lang w:eastAsia="ja-JP"/>
          <w14:ligatures w14:val="none"/>
        </w:rPr>
        <w:t xml:space="preserve"> </w:t>
      </w:r>
      <w:r w:rsidRPr="00A73E01">
        <w:rPr>
          <w:rFonts w:ascii="Times New Roman" w:eastAsia="MS Mincho" w:hAnsi="Times New Roman" w:cs="Times New Roman"/>
          <w:kern w:val="0"/>
          <w:sz w:val="24"/>
          <w:szCs w:val="24"/>
          <w:lang w:eastAsia="ja-JP"/>
          <w14:ligatures w14:val="none"/>
        </w:rPr>
        <w:t>Yanqing Lai</w:t>
      </w:r>
      <w:r w:rsidRPr="00A73E01">
        <w:rPr>
          <w:rFonts w:ascii="Times New Roman" w:eastAsia="MS Mincho" w:hAnsi="Times New Roman" w:cs="Times New Roman"/>
          <w:kern w:val="0"/>
          <w:sz w:val="24"/>
          <w:szCs w:val="24"/>
          <w:vertAlign w:val="superscript"/>
          <w:lang w:eastAsia="ja-JP"/>
          <w14:ligatures w14:val="none"/>
        </w:rPr>
        <w:t>1,2</w:t>
      </w:r>
      <w:r w:rsidRPr="00A73E01">
        <w:rPr>
          <w:rFonts w:ascii="Times New Roman" w:eastAsia="MS Mincho" w:hAnsi="Times New Roman" w:cs="Times New Roman"/>
          <w:kern w:val="0"/>
          <w:sz w:val="24"/>
          <w:szCs w:val="24"/>
          <w:lang w:eastAsia="ja-JP"/>
          <w14:ligatures w14:val="none"/>
        </w:rPr>
        <w:t>, Jie Li</w:t>
      </w:r>
      <w:r w:rsidRPr="00A73E01">
        <w:rPr>
          <w:rFonts w:ascii="Times New Roman" w:eastAsia="MS Mincho" w:hAnsi="Times New Roman" w:cs="Times New Roman"/>
          <w:kern w:val="0"/>
          <w:sz w:val="24"/>
          <w:szCs w:val="24"/>
          <w:vertAlign w:val="superscript"/>
          <w:lang w:eastAsia="ja-JP"/>
          <w14:ligatures w14:val="none"/>
        </w:rPr>
        <w:t>1,2</w:t>
      </w:r>
      <w:r w:rsidRPr="00A73E01">
        <w:rPr>
          <w:rFonts w:ascii="Times New Roman" w:eastAsia="MS Mincho" w:hAnsi="Times New Roman" w:cs="Times New Roman"/>
          <w:kern w:val="0"/>
          <w:sz w:val="24"/>
          <w:szCs w:val="24"/>
          <w:lang w:eastAsia="ja-JP"/>
          <w14:ligatures w14:val="none"/>
        </w:rPr>
        <w:t>, Simin Li</w:t>
      </w:r>
      <w:r w:rsidRPr="00A73E01">
        <w:rPr>
          <w:rFonts w:ascii="Times New Roman" w:eastAsia="MS Mincho" w:hAnsi="Times New Roman" w:cs="Times New Roman"/>
          <w:kern w:val="0"/>
          <w:sz w:val="24"/>
          <w:szCs w:val="24"/>
          <w:vertAlign w:val="superscript"/>
          <w:lang w:eastAsia="ja-JP"/>
          <w14:ligatures w14:val="none"/>
        </w:rPr>
        <w:t>1,2</w:t>
      </w:r>
      <w:r w:rsidRPr="00A73E01">
        <w:rPr>
          <w:rFonts w:ascii="Times New Roman" w:eastAsia="MS Mincho" w:hAnsi="Times New Roman" w:cs="Times New Roman"/>
          <w:kern w:val="0"/>
          <w:sz w:val="24"/>
          <w:szCs w:val="24"/>
          <w:lang w:eastAsia="ja-JP"/>
          <w14:ligatures w14:val="none"/>
        </w:rPr>
        <w:t>* and Xiaobo Ji</w:t>
      </w:r>
      <w:r w:rsidRPr="00A73E01">
        <w:rPr>
          <w:rFonts w:ascii="Times New Roman" w:eastAsia="MS Mincho" w:hAnsi="Times New Roman" w:cs="Times New Roman"/>
          <w:kern w:val="0"/>
          <w:sz w:val="24"/>
          <w:szCs w:val="24"/>
          <w:vertAlign w:val="superscript"/>
          <w:lang w:eastAsia="ja-JP"/>
          <w14:ligatures w14:val="none"/>
        </w:rPr>
        <w:t>3</w:t>
      </w:r>
      <w:r w:rsidRPr="00A73E01">
        <w:rPr>
          <w:rFonts w:ascii="Times New Roman" w:eastAsia="MS Mincho" w:hAnsi="Times New Roman" w:cs="Times New Roman"/>
          <w:kern w:val="0"/>
          <w:sz w:val="24"/>
          <w:szCs w:val="24"/>
          <w:lang w:eastAsia="ja-JP"/>
          <w14:ligatures w14:val="none"/>
        </w:rPr>
        <w:t>*</w:t>
      </w:r>
    </w:p>
    <w:p w14:paraId="3BFAC04D" w14:textId="77777777" w:rsidR="00A73E01" w:rsidRPr="00A73E01" w:rsidRDefault="00A73E01" w:rsidP="00A73E01">
      <w:pPr>
        <w:widowControl/>
        <w:spacing w:beforeLines="50" w:before="156" w:afterLines="50" w:after="156"/>
        <w:jc w:val="left"/>
        <w:rPr>
          <w:rFonts w:ascii="Times New Roman" w:eastAsia="MS Mincho" w:hAnsi="Times New Roman" w:cs="Times New Roman"/>
          <w:kern w:val="0"/>
          <w:sz w:val="24"/>
          <w:szCs w:val="24"/>
          <w:lang w:eastAsia="ja-JP"/>
        </w:rPr>
      </w:pPr>
      <w:r w:rsidRPr="00A73E01">
        <w:rPr>
          <w:rFonts w:ascii="Times New Roman" w:eastAsia="MS Mincho" w:hAnsi="Times New Roman" w:cs="Times New Roman"/>
          <w:kern w:val="0"/>
          <w:sz w:val="24"/>
          <w:szCs w:val="24"/>
          <w:vertAlign w:val="superscript"/>
          <w:lang w:eastAsia="ja-JP"/>
        </w:rPr>
        <w:t>1</w:t>
      </w:r>
      <w:r w:rsidRPr="00A73E01">
        <w:rPr>
          <w:rFonts w:ascii="Times New Roman" w:eastAsia="MS Mincho" w:hAnsi="Times New Roman" w:cs="Times New Roman"/>
          <w:kern w:val="0"/>
          <w:sz w:val="24"/>
          <w:szCs w:val="24"/>
          <w:lang w:eastAsia="ja-JP"/>
        </w:rPr>
        <w:t xml:space="preserve"> National Energy Metal Resources and New Materials Key Laboratory, School of Metallurgy and Environment, Central South University, Changsha 410083, P. R. China</w:t>
      </w:r>
    </w:p>
    <w:p w14:paraId="1DB02311" w14:textId="77777777" w:rsidR="00A73E01" w:rsidRPr="00A73E01" w:rsidRDefault="00A73E01" w:rsidP="00A73E01">
      <w:pPr>
        <w:widowControl/>
        <w:spacing w:beforeLines="50" w:before="156" w:afterLines="50" w:after="156"/>
        <w:jc w:val="left"/>
        <w:rPr>
          <w:rFonts w:ascii="Times New Roman" w:eastAsia="MS Mincho" w:hAnsi="Times New Roman" w:cs="Times New Roman"/>
          <w:kern w:val="0"/>
          <w:sz w:val="24"/>
          <w:szCs w:val="24"/>
          <w:lang w:eastAsia="ja-JP"/>
        </w:rPr>
      </w:pPr>
      <w:r w:rsidRPr="00A73E01">
        <w:rPr>
          <w:rFonts w:ascii="Times New Roman" w:eastAsia="宋体" w:hAnsi="Times New Roman" w:cs="Times New Roman"/>
          <w:kern w:val="0"/>
          <w:sz w:val="24"/>
          <w:szCs w:val="20"/>
          <w:vertAlign w:val="superscript"/>
          <w:lang w:eastAsia="en-US"/>
          <w14:ligatures w14:val="none"/>
        </w:rPr>
        <w:t>2</w:t>
      </w:r>
      <w:r w:rsidRPr="00A73E01">
        <w:rPr>
          <w:rFonts w:ascii="Times New Roman" w:eastAsia="MS Mincho" w:hAnsi="Times New Roman" w:cs="Times New Roman"/>
          <w:kern w:val="0"/>
          <w:sz w:val="24"/>
          <w:szCs w:val="24"/>
          <w:lang w:eastAsia="ja-JP"/>
        </w:rPr>
        <w:t xml:space="preserve"> National Engineering Research Center of Low-carbon Nonferrous Metallurgy, National Energy Metal Resources and New Materials Key Laboratory, Hunan Provincial Key Laboratory of Nonferrous Value-Added Metallurgy, Engineering Research Center of the Ministry of Education for Advanced Battery Materials, Changsha 410083, P. R. China</w:t>
      </w:r>
    </w:p>
    <w:p w14:paraId="093DF588" w14:textId="77777777" w:rsidR="00A73E01" w:rsidRPr="00A73E01" w:rsidRDefault="00A73E01" w:rsidP="00A73E01">
      <w:pPr>
        <w:widowControl/>
        <w:spacing w:beforeLines="50" w:before="156" w:afterLines="50" w:after="156"/>
        <w:jc w:val="left"/>
        <w:rPr>
          <w:rFonts w:ascii="Times New Roman" w:eastAsia="宋体" w:hAnsi="Times New Roman" w:cs="Times New Roman"/>
          <w:kern w:val="0"/>
          <w:sz w:val="24"/>
          <w:szCs w:val="24"/>
          <w:lang w:val="de-DE" w:eastAsia="en-US"/>
          <w14:ligatures w14:val="none"/>
        </w:rPr>
      </w:pPr>
      <w:r w:rsidRPr="00A73E01">
        <w:rPr>
          <w:rFonts w:ascii="Times New Roman" w:eastAsia="宋体" w:hAnsi="Times New Roman" w:cs="Times New Roman"/>
          <w:kern w:val="0"/>
          <w:sz w:val="24"/>
          <w:szCs w:val="24"/>
          <w:vertAlign w:val="superscript"/>
          <w14:ligatures w14:val="none"/>
        </w:rPr>
        <w:t>3</w:t>
      </w:r>
      <w:r w:rsidRPr="00A73E01">
        <w:rPr>
          <w:rFonts w:ascii="Times" w:eastAsia="宋体" w:hAnsi="Times" w:cs="Times New Roman"/>
          <w:kern w:val="0"/>
          <w:sz w:val="24"/>
          <w:szCs w:val="20"/>
          <w:lang w:eastAsia="en-US"/>
          <w14:ligatures w14:val="none"/>
        </w:rPr>
        <w:t xml:space="preserve"> </w:t>
      </w:r>
      <w:r w:rsidRPr="00A73E01">
        <w:rPr>
          <w:rFonts w:ascii="Times" w:eastAsia="MS Mincho" w:hAnsi="Times" w:cs="Times New Roman"/>
          <w:kern w:val="0"/>
          <w:sz w:val="24"/>
          <w:szCs w:val="24"/>
          <w:lang w:eastAsia="ja-JP"/>
        </w:rPr>
        <w:t>College of Chemistry and Chemical Engineering, National Energy Metal Resources and New Materials Key Laboratory, State Key Laboratory of Powder Metallurgy, Central South University, Changsha 410083, P. R. China</w:t>
      </w:r>
    </w:p>
    <w:p w14:paraId="29011848" w14:textId="77777777" w:rsidR="00A73E01" w:rsidRPr="00A73E01" w:rsidRDefault="00A73E01" w:rsidP="00A73E01">
      <w:pPr>
        <w:widowControl/>
        <w:spacing w:beforeLines="50" w:before="156" w:afterLines="50" w:after="156"/>
        <w:jc w:val="left"/>
        <w:rPr>
          <w:rFonts w:ascii="Times New Roman" w:eastAsia="MS Mincho" w:hAnsi="Times New Roman" w:cs="Times New Roman"/>
          <w:kern w:val="0"/>
          <w:sz w:val="24"/>
          <w:szCs w:val="24"/>
          <w:lang w:eastAsia="ja-JP"/>
          <w14:ligatures w14:val="none"/>
        </w:rPr>
      </w:pPr>
      <w:r w:rsidRPr="00A73E01">
        <w:rPr>
          <w:rFonts w:ascii="Times New Roman" w:eastAsia="宋体" w:hAnsi="Times New Roman" w:cs="Times New Roman"/>
          <w:kern w:val="0"/>
          <w:sz w:val="24"/>
          <w:szCs w:val="24"/>
          <w:lang w:eastAsia="en-US"/>
          <w14:ligatures w14:val="none"/>
        </w:rPr>
        <w:t>* Corresponding author</w:t>
      </w:r>
      <w:r w:rsidRPr="00A73E01">
        <w:rPr>
          <w:rFonts w:ascii="Times New Roman" w:eastAsia="宋体" w:hAnsi="Times New Roman" w:cs="Times New Roman"/>
          <w:kern w:val="0"/>
          <w:sz w:val="24"/>
          <w:szCs w:val="24"/>
          <w14:ligatures w14:val="none"/>
        </w:rPr>
        <w:t>s</w:t>
      </w:r>
      <w:r w:rsidRPr="00A73E01">
        <w:rPr>
          <w:rFonts w:ascii="Times New Roman" w:eastAsia="MS Mincho" w:hAnsi="Times New Roman" w:cs="Times New Roman"/>
          <w:kern w:val="0"/>
          <w:sz w:val="24"/>
          <w:szCs w:val="24"/>
          <w:lang w:eastAsia="ja-JP"/>
          <w14:ligatures w14:val="none"/>
        </w:rPr>
        <w:t xml:space="preserve">. </w:t>
      </w:r>
      <w:r w:rsidRPr="00A73E01">
        <w:rPr>
          <w:rFonts w:ascii="Times New Roman" w:eastAsia="宋体" w:hAnsi="Times New Roman" w:cs="Times New Roman"/>
          <w:kern w:val="0"/>
          <w:sz w:val="24"/>
          <w:szCs w:val="24"/>
          <w:lang w:eastAsia="en-US"/>
          <w14:ligatures w14:val="none"/>
        </w:rPr>
        <w:t xml:space="preserve">E-mail: </w:t>
      </w:r>
      <w:hyperlink r:id="rId8" w:history="1">
        <w:r w:rsidRPr="00A73E01">
          <w:rPr>
            <w:rFonts w:ascii="Times New Roman" w:eastAsia="MS Mincho" w:hAnsi="Times New Roman" w:cs="Times New Roman"/>
            <w:color w:val="0000FF"/>
            <w:kern w:val="0"/>
            <w:sz w:val="24"/>
            <w:szCs w:val="24"/>
            <w:u w:val="single"/>
            <w:lang w:eastAsia="en-US"/>
            <w14:ligatures w14:val="none"/>
          </w:rPr>
          <w:t>simin.li@csu.edu.cn</w:t>
        </w:r>
      </w:hyperlink>
      <w:r w:rsidRPr="00A73E01">
        <w:rPr>
          <w:rFonts w:ascii="Times New Roman" w:eastAsia="等线" w:hAnsi="Times New Roman" w:cs="Times New Roman"/>
          <w:kern w:val="0"/>
          <w:sz w:val="24"/>
          <w:szCs w:val="24"/>
          <w14:ligatures w14:val="none"/>
        </w:rPr>
        <w:t xml:space="preserve"> (Simin Li)</w:t>
      </w:r>
      <w:r w:rsidRPr="00A73E01">
        <w:rPr>
          <w:rFonts w:ascii="Times New Roman" w:eastAsia="MS Mincho" w:hAnsi="Times New Roman" w:cs="Times New Roman"/>
          <w:kern w:val="0"/>
          <w:sz w:val="24"/>
          <w:szCs w:val="24"/>
          <w:lang w:eastAsia="ja-JP"/>
          <w14:ligatures w14:val="none"/>
        </w:rPr>
        <w:t xml:space="preserve">; </w:t>
      </w:r>
      <w:bookmarkStart w:id="2" w:name="_Hlk220068801"/>
      <w:r w:rsidRPr="00A73E01">
        <w:rPr>
          <w:rFonts w:ascii="Times New Roman" w:eastAsia="MS Mincho" w:hAnsi="Times New Roman" w:cs="Times New Roman"/>
          <w:kern w:val="0"/>
          <w:sz w:val="24"/>
          <w:szCs w:val="24"/>
          <w:lang w:eastAsia="ja-JP"/>
          <w14:ligatures w14:val="none"/>
        </w:rPr>
        <w:fldChar w:fldCharType="begin"/>
      </w:r>
      <w:r w:rsidRPr="00A73E01">
        <w:rPr>
          <w:rFonts w:ascii="Times New Roman" w:eastAsia="MS Mincho" w:hAnsi="Times New Roman" w:cs="Times New Roman"/>
          <w:kern w:val="0"/>
          <w:sz w:val="24"/>
          <w:szCs w:val="24"/>
          <w:lang w:eastAsia="ja-JP"/>
          <w14:ligatures w14:val="none"/>
        </w:rPr>
        <w:instrText>HYPERLINK "mailto:xji@csu.edu.cn"</w:instrText>
      </w:r>
      <w:r w:rsidRPr="00A73E01">
        <w:rPr>
          <w:rFonts w:ascii="Times New Roman" w:eastAsia="MS Mincho" w:hAnsi="Times New Roman" w:cs="Times New Roman"/>
          <w:kern w:val="0"/>
          <w:sz w:val="24"/>
          <w:szCs w:val="24"/>
          <w:lang w:eastAsia="ja-JP"/>
          <w14:ligatures w14:val="none"/>
        </w:rPr>
      </w:r>
      <w:r w:rsidRPr="00A73E01">
        <w:rPr>
          <w:rFonts w:ascii="Times New Roman" w:eastAsia="MS Mincho" w:hAnsi="Times New Roman" w:cs="Times New Roman"/>
          <w:kern w:val="0"/>
          <w:sz w:val="24"/>
          <w:szCs w:val="24"/>
          <w:lang w:eastAsia="ja-JP"/>
          <w14:ligatures w14:val="none"/>
        </w:rPr>
        <w:fldChar w:fldCharType="separate"/>
      </w:r>
      <w:r w:rsidRPr="00A73E01">
        <w:rPr>
          <w:rFonts w:ascii="Times New Roman" w:eastAsia="MS Mincho" w:hAnsi="Times New Roman" w:cs="Times New Roman"/>
          <w:color w:val="0000FF"/>
          <w:kern w:val="0"/>
          <w:sz w:val="24"/>
          <w:szCs w:val="24"/>
          <w:u w:val="single"/>
          <w:lang w:eastAsia="ja-JP"/>
          <w14:ligatures w14:val="none"/>
        </w:rPr>
        <w:t>xji@csu.edu.cn</w:t>
      </w:r>
      <w:bookmarkEnd w:id="2"/>
      <w:r w:rsidRPr="00A73E01">
        <w:rPr>
          <w:rFonts w:ascii="Times New Roman" w:eastAsia="MS Mincho" w:hAnsi="Times New Roman" w:cs="Times New Roman"/>
          <w:kern w:val="0"/>
          <w:sz w:val="24"/>
          <w:szCs w:val="24"/>
          <w:lang w:eastAsia="ja-JP"/>
          <w14:ligatures w14:val="none"/>
        </w:rPr>
        <w:fldChar w:fldCharType="end"/>
      </w:r>
      <w:r w:rsidRPr="00A73E01">
        <w:rPr>
          <w:rFonts w:ascii="Times New Roman" w:eastAsia="等线" w:hAnsi="Times New Roman" w:cs="Times New Roman"/>
          <w:kern w:val="0"/>
          <w:sz w:val="24"/>
          <w:szCs w:val="24"/>
          <w14:ligatures w14:val="none"/>
        </w:rPr>
        <w:t xml:space="preserve"> </w:t>
      </w:r>
      <w:r w:rsidRPr="00A73E01">
        <w:rPr>
          <w:rFonts w:ascii="Times New Roman" w:eastAsia="MS Mincho" w:hAnsi="Times New Roman" w:cs="Times New Roman"/>
          <w:kern w:val="0"/>
          <w:sz w:val="24"/>
          <w:szCs w:val="24"/>
          <w:lang w:eastAsia="ja-JP"/>
          <w14:ligatures w14:val="none"/>
        </w:rPr>
        <w:t>(Xiaobo Ji)</w:t>
      </w:r>
    </w:p>
    <w:bookmarkEnd w:id="1"/>
    <w:p w14:paraId="3FFF0012" w14:textId="1502E098" w:rsidR="00712511" w:rsidRPr="00972475" w:rsidRDefault="00972475" w:rsidP="00A73E01">
      <w:pPr>
        <w:widowControl/>
        <w:jc w:val="left"/>
        <w:rPr>
          <w:rFonts w:ascii="Times New Roman" w:hAnsi="Times New Roman" w:cs="Times New Roman"/>
          <w:b/>
          <w:bCs/>
          <w:kern w:val="0"/>
          <w:sz w:val="24"/>
          <w:szCs w:val="24"/>
          <w14:ligatures w14:val="none"/>
        </w:rPr>
      </w:pPr>
      <w:r w:rsidRPr="00972475">
        <w:rPr>
          <w:rFonts w:ascii="Times New Roman" w:hAnsi="Times New Roman" w:cs="Times New Roman"/>
          <w:b/>
          <w:bCs/>
          <w:kern w:val="0"/>
          <w:sz w:val="28"/>
          <w:szCs w:val="28"/>
          <w14:ligatures w14:val="none"/>
        </w:rPr>
        <w:t>S</w:t>
      </w:r>
      <w:r w:rsidR="00600AA1">
        <w:rPr>
          <w:rFonts w:ascii="Times New Roman" w:hAnsi="Times New Roman" w:cs="Times New Roman"/>
          <w:b/>
          <w:bCs/>
          <w:kern w:val="0"/>
          <w:sz w:val="28"/>
          <w:szCs w:val="28"/>
          <w14:ligatures w14:val="none"/>
        </w:rPr>
        <w:t>1</w:t>
      </w:r>
      <w:r w:rsidR="008D3FF1" w:rsidRPr="00972475">
        <w:rPr>
          <w:rFonts w:ascii="Times New Roman" w:hAnsi="Times New Roman" w:cs="Times New Roman" w:hint="eastAsia"/>
          <w:b/>
          <w:bCs/>
          <w:kern w:val="0"/>
          <w:sz w:val="28"/>
          <w:szCs w:val="28"/>
          <w14:ligatures w14:val="none"/>
        </w:rPr>
        <w:t xml:space="preserve"> Supporting </w:t>
      </w:r>
      <w:r>
        <w:rPr>
          <w:rFonts w:ascii="Times New Roman" w:hAnsi="Times New Roman" w:cs="Times New Roman"/>
          <w:b/>
          <w:bCs/>
          <w:kern w:val="0"/>
          <w:sz w:val="28"/>
          <w:szCs w:val="28"/>
          <w14:ligatures w14:val="none"/>
        </w:rPr>
        <w:t>F</w:t>
      </w:r>
      <w:r w:rsidR="008D3FF1" w:rsidRPr="00972475">
        <w:rPr>
          <w:rFonts w:ascii="Times New Roman" w:hAnsi="Times New Roman" w:cs="Times New Roman" w:hint="eastAsia"/>
          <w:b/>
          <w:bCs/>
          <w:kern w:val="0"/>
          <w:sz w:val="28"/>
          <w:szCs w:val="28"/>
          <w14:ligatures w14:val="none"/>
        </w:rPr>
        <w:t>igures</w:t>
      </w:r>
    </w:p>
    <w:p w14:paraId="3685D4FB" w14:textId="7B1A16D0" w:rsidR="00712511" w:rsidRPr="0018393D" w:rsidRDefault="002840E8" w:rsidP="00FC21C6">
      <w:pPr>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EA28CB" wp14:editId="6EB8DA53">
            <wp:extent cx="4719638" cy="3577076"/>
            <wp:effectExtent l="0" t="0" r="508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1.tif"/>
                    <pic:cNvPicPr/>
                  </pic:nvPicPr>
                  <pic:blipFill>
                    <a:blip r:embed="rId9" cstate="print">
                      <a:extLst>
                        <a:ext uri="{28A0092B-C50C-407E-A947-70E740481C1C}">
                          <a14:useLocalDpi xmlns:a14="http://schemas.microsoft.com/office/drawing/2010/main"/>
                        </a:ext>
                      </a:extLst>
                    </a:blip>
                    <a:stretch>
                      <a:fillRect/>
                    </a:stretch>
                  </pic:blipFill>
                  <pic:spPr>
                    <a:xfrm>
                      <a:off x="0" y="0"/>
                      <a:ext cx="4722026" cy="3578886"/>
                    </a:xfrm>
                    <a:prstGeom prst="rect">
                      <a:avLst/>
                    </a:prstGeom>
                  </pic:spPr>
                </pic:pic>
              </a:graphicData>
            </a:graphic>
          </wp:inline>
        </w:drawing>
      </w:r>
    </w:p>
    <w:p w14:paraId="41F6DDB9" w14:textId="6111AACB" w:rsidR="00600AA1" w:rsidRDefault="00600AA1" w:rsidP="00600AA1">
      <w:pPr>
        <w:pStyle w:val="Head1"/>
      </w:pPr>
      <w:r w:rsidRPr="001C1373">
        <w:rPr>
          <w:b/>
        </w:rPr>
        <w:t>Fig. S1</w:t>
      </w:r>
      <w:r w:rsidRPr="001C1373">
        <w:t xml:space="preserve"> Optical photographs of </w:t>
      </w:r>
      <w:r w:rsidRPr="00EF0834">
        <w:rPr>
          <w:b/>
        </w:rPr>
        <w:t>a</w:t>
      </w:r>
      <w:r w:rsidRPr="001C1373">
        <w:t xml:space="preserve"> S, </w:t>
      </w:r>
      <w:r w:rsidRPr="00EF0834">
        <w:rPr>
          <w:b/>
        </w:rPr>
        <w:t>b</w:t>
      </w:r>
      <w:r w:rsidRPr="001C1373">
        <w:t xml:space="preserve"> OS, and </w:t>
      </w:r>
      <w:r w:rsidRPr="00EF0834">
        <w:rPr>
          <w:b/>
        </w:rPr>
        <w:t>c</w:t>
      </w:r>
      <w:r w:rsidRPr="001C1373">
        <w:t xml:space="preserve"> IOS, showcasing their morphological evolution after pyrolysis at 600 °C for 1 h in </w:t>
      </w:r>
      <w:r w:rsidRPr="00EF0834">
        <w:rPr>
          <w:b/>
        </w:rPr>
        <w:t>d</w:t>
      </w:r>
      <w:r w:rsidRPr="001C1373">
        <w:t xml:space="preserve"> S-600, </w:t>
      </w:r>
      <w:r w:rsidRPr="00EF0834">
        <w:rPr>
          <w:b/>
        </w:rPr>
        <w:t>e</w:t>
      </w:r>
      <w:r w:rsidRPr="001C1373">
        <w:t xml:space="preserve"> OS-600, and </w:t>
      </w:r>
      <w:r w:rsidRPr="00EF0834">
        <w:rPr>
          <w:b/>
        </w:rPr>
        <w:t>f</w:t>
      </w:r>
      <w:r w:rsidRPr="001C1373">
        <w:t xml:space="preserve"> IOS-600.</w:t>
      </w:r>
    </w:p>
    <w:p w14:paraId="4742190E" w14:textId="77777777" w:rsidR="00600AA1" w:rsidRPr="00600AA1" w:rsidRDefault="00600AA1" w:rsidP="00600AA1">
      <w:pPr>
        <w:pStyle w:val="Head1"/>
      </w:pPr>
    </w:p>
    <w:p w14:paraId="0C0A77B5" w14:textId="23E07D27" w:rsidR="00712511" w:rsidRPr="0018393D" w:rsidRDefault="002840E8" w:rsidP="002840E8">
      <w:pPr>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ED4564" wp14:editId="47E673C6">
            <wp:extent cx="3760610" cy="2538412"/>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2.tif"/>
                    <pic:cNvPicPr/>
                  </pic:nvPicPr>
                  <pic:blipFill>
                    <a:blip r:embed="rId10"/>
                    <a:stretch>
                      <a:fillRect/>
                    </a:stretch>
                  </pic:blipFill>
                  <pic:spPr>
                    <a:xfrm>
                      <a:off x="0" y="0"/>
                      <a:ext cx="3765553" cy="2541748"/>
                    </a:xfrm>
                    <a:prstGeom prst="rect">
                      <a:avLst/>
                    </a:prstGeom>
                  </pic:spPr>
                </pic:pic>
              </a:graphicData>
            </a:graphic>
          </wp:inline>
        </w:drawing>
      </w:r>
    </w:p>
    <w:p w14:paraId="17DC1C0D" w14:textId="77777777" w:rsidR="00600AA1" w:rsidRPr="00600AA1" w:rsidRDefault="00600AA1" w:rsidP="00600AA1">
      <w:pPr>
        <w:spacing w:before="120" w:after="120"/>
        <w:rPr>
          <w:rFonts w:ascii="Times New Roman" w:hAnsi="Times New Roman" w:cs="Times New Roman"/>
          <w:bCs/>
          <w:sz w:val="24"/>
          <w:szCs w:val="24"/>
        </w:rPr>
      </w:pPr>
      <w:r w:rsidRPr="00600AA1">
        <w:rPr>
          <w:rFonts w:ascii="Times New Roman" w:hAnsi="Times New Roman" w:cs="Times New Roman"/>
          <w:b/>
          <w:sz w:val="24"/>
          <w:szCs w:val="24"/>
        </w:rPr>
        <w:t>Fig.</w:t>
      </w:r>
      <w:r w:rsidRPr="00600AA1">
        <w:rPr>
          <w:rFonts w:ascii="Times New Roman" w:hAnsi="Times New Roman" w:cs="Times New Roman"/>
          <w:b/>
          <w:bCs/>
          <w:sz w:val="24"/>
          <w:szCs w:val="24"/>
        </w:rPr>
        <w:t xml:space="preserve"> S2</w:t>
      </w:r>
      <w:r w:rsidRPr="00600AA1">
        <w:rPr>
          <w:rFonts w:ascii="Times New Roman" w:hAnsi="Times New Roman" w:cs="Times New Roman"/>
          <w:bCs/>
          <w:sz w:val="24"/>
          <w:szCs w:val="24"/>
        </w:rPr>
        <w:t xml:space="preserve"> TG-DSC curve of S in air.</w:t>
      </w:r>
    </w:p>
    <w:p w14:paraId="563978EB" w14:textId="5D488184" w:rsidR="00600AA1" w:rsidRDefault="00600AA1" w:rsidP="00600AA1">
      <w:pPr>
        <w:spacing w:before="120" w:after="120"/>
        <w:rPr>
          <w:rFonts w:ascii="Times New Roman" w:hAnsi="Times New Roman" w:cs="Times New Roman"/>
          <w:bCs/>
          <w:sz w:val="24"/>
          <w:szCs w:val="24"/>
        </w:rPr>
      </w:pPr>
      <w:r w:rsidRPr="00600AA1">
        <w:rPr>
          <w:rFonts w:ascii="Times New Roman" w:hAnsi="Times New Roman" w:cs="Times New Roman"/>
          <w:bCs/>
          <w:sz w:val="24"/>
          <w:szCs w:val="24"/>
        </w:rPr>
        <w:t>The thermogravimetric analysis-differential scanning calorimetry (TG-DSC) curve of S under an air atmosphere exhibits a small endothermic peak near 65 °C, corresponding to the evaporation of physically adsorbed water. A broad endothermic region appears between 120 and 290 °C, although no distinct peak is observed within this range. A pronounced exothermic peak is detected from 293 to 570 °C, indicating that thermal decomposition occurs concurrently with the melting of S microcrystals, meaning that decomposition begins prior to the complete melting of the crystalline domains.</w:t>
      </w:r>
    </w:p>
    <w:p w14:paraId="23C4216A" w14:textId="77777777" w:rsidR="00A73E01" w:rsidRDefault="00A73E01" w:rsidP="00600AA1">
      <w:pPr>
        <w:spacing w:before="120" w:after="120"/>
        <w:rPr>
          <w:rFonts w:ascii="Times New Roman" w:hAnsi="Times New Roman" w:cs="Times New Roman"/>
          <w:bCs/>
          <w:sz w:val="24"/>
          <w:szCs w:val="24"/>
        </w:rPr>
      </w:pPr>
    </w:p>
    <w:p w14:paraId="7C011DE3" w14:textId="77777777" w:rsidR="00A73E01" w:rsidRDefault="00A73E01" w:rsidP="00600AA1">
      <w:pPr>
        <w:spacing w:before="120" w:after="120"/>
        <w:rPr>
          <w:rFonts w:ascii="Times New Roman" w:hAnsi="Times New Roman" w:cs="Times New Roman"/>
          <w:bCs/>
          <w:sz w:val="24"/>
          <w:szCs w:val="24"/>
        </w:rPr>
      </w:pPr>
    </w:p>
    <w:p w14:paraId="419D8995" w14:textId="39298984" w:rsidR="002840E8" w:rsidRDefault="002840E8" w:rsidP="002840E8">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098D6AC4" wp14:editId="7E3B9285">
            <wp:extent cx="3340246" cy="2590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3.tif"/>
                    <pic:cNvPicPr/>
                  </pic:nvPicPr>
                  <pic:blipFill>
                    <a:blip r:embed="rId11"/>
                    <a:stretch>
                      <a:fillRect/>
                    </a:stretch>
                  </pic:blipFill>
                  <pic:spPr>
                    <a:xfrm>
                      <a:off x="0" y="0"/>
                      <a:ext cx="3343618" cy="2593416"/>
                    </a:xfrm>
                    <a:prstGeom prst="rect">
                      <a:avLst/>
                    </a:prstGeom>
                  </pic:spPr>
                </pic:pic>
              </a:graphicData>
            </a:graphic>
          </wp:inline>
        </w:drawing>
      </w:r>
    </w:p>
    <w:p w14:paraId="19703BFB" w14:textId="3803EDEE" w:rsidR="00600AA1" w:rsidRDefault="00600AA1" w:rsidP="00600AA1">
      <w:pPr>
        <w:spacing w:before="120" w:after="120"/>
        <w:rPr>
          <w:rFonts w:ascii="Times New Roman" w:hAnsi="Times New Roman" w:cs="Times New Roman"/>
          <w:bCs/>
          <w:sz w:val="24"/>
          <w:szCs w:val="24"/>
        </w:rPr>
      </w:pPr>
      <w:r w:rsidRPr="00600AA1">
        <w:rPr>
          <w:rFonts w:ascii="Times New Roman" w:hAnsi="Times New Roman" w:cs="Times New Roman"/>
          <w:b/>
          <w:bCs/>
          <w:sz w:val="24"/>
          <w:szCs w:val="24"/>
        </w:rPr>
        <w:t>Fig. S3</w:t>
      </w:r>
      <w:r w:rsidRPr="00600AA1">
        <w:rPr>
          <w:rFonts w:ascii="Times New Roman" w:hAnsi="Times New Roman" w:cs="Times New Roman"/>
          <w:bCs/>
          <w:sz w:val="24"/>
          <w:szCs w:val="24"/>
        </w:rPr>
        <w:t xml:space="preserve"> TG curve of S, OS and IOS in Ar.</w:t>
      </w:r>
    </w:p>
    <w:p w14:paraId="09CB8F24" w14:textId="4D4BB9FF" w:rsidR="002840E8" w:rsidRDefault="002840E8" w:rsidP="002840E8">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6D2B3FC7" wp14:editId="03CFC5D4">
            <wp:extent cx="5759450" cy="339153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4.tif"/>
                    <pic:cNvPicPr/>
                  </pic:nvPicPr>
                  <pic:blipFill>
                    <a:blip r:embed="rId12" cstate="print">
                      <a:extLst>
                        <a:ext uri="{28A0092B-C50C-407E-A947-70E740481C1C}">
                          <a14:useLocalDpi xmlns:a14="http://schemas.microsoft.com/office/drawing/2010/main"/>
                        </a:ext>
                      </a:extLst>
                    </a:blip>
                    <a:stretch>
                      <a:fillRect/>
                    </a:stretch>
                  </pic:blipFill>
                  <pic:spPr>
                    <a:xfrm>
                      <a:off x="0" y="0"/>
                      <a:ext cx="5759450" cy="3391535"/>
                    </a:xfrm>
                    <a:prstGeom prst="rect">
                      <a:avLst/>
                    </a:prstGeom>
                  </pic:spPr>
                </pic:pic>
              </a:graphicData>
            </a:graphic>
          </wp:inline>
        </w:drawing>
      </w:r>
    </w:p>
    <w:p w14:paraId="0D6402F6" w14:textId="32E50DDB" w:rsidR="00600AA1" w:rsidRDefault="00600AA1" w:rsidP="00600AA1">
      <w:pPr>
        <w:spacing w:before="120" w:after="120"/>
        <w:rPr>
          <w:rFonts w:ascii="Times New Roman" w:hAnsi="Times New Roman" w:cs="Times New Roman"/>
          <w:bCs/>
          <w:sz w:val="24"/>
          <w:szCs w:val="24"/>
        </w:rPr>
      </w:pPr>
      <w:r w:rsidRPr="00600AA1">
        <w:rPr>
          <w:rFonts w:ascii="Times New Roman" w:hAnsi="Times New Roman" w:cs="Times New Roman"/>
          <w:b/>
          <w:bCs/>
          <w:sz w:val="24"/>
          <w:szCs w:val="24"/>
        </w:rPr>
        <w:t>Fig. S4</w:t>
      </w:r>
      <w:r w:rsidRPr="00600AA1">
        <w:rPr>
          <w:rFonts w:ascii="Times New Roman" w:hAnsi="Times New Roman" w:cs="Times New Roman"/>
          <w:bCs/>
          <w:sz w:val="24"/>
          <w:szCs w:val="24"/>
        </w:rPr>
        <w:t xml:space="preserve"> FTIR spectra and corresponding enlarged views of gases evolved from </w:t>
      </w:r>
      <w:r w:rsidRPr="00EF0834">
        <w:rPr>
          <w:rFonts w:ascii="Times New Roman" w:hAnsi="Times New Roman" w:cs="Times New Roman"/>
          <w:b/>
          <w:bCs/>
          <w:sz w:val="24"/>
          <w:szCs w:val="24"/>
        </w:rPr>
        <w:t>a</w:t>
      </w:r>
      <w:r w:rsidR="002840E8" w:rsidRPr="002840E8">
        <w:rPr>
          <w:rFonts w:ascii="Times New Roman" w:hAnsi="Times New Roman" w:cs="Times New Roman"/>
          <w:bCs/>
          <w:sz w:val="24"/>
          <w:szCs w:val="24"/>
        </w:rPr>
        <w:t xml:space="preserve">, </w:t>
      </w:r>
      <w:r w:rsidRPr="00EF0834">
        <w:rPr>
          <w:rFonts w:ascii="Times New Roman" w:hAnsi="Times New Roman" w:cs="Times New Roman"/>
          <w:b/>
          <w:bCs/>
          <w:sz w:val="24"/>
          <w:szCs w:val="24"/>
        </w:rPr>
        <w:t xml:space="preserve">d </w:t>
      </w:r>
      <w:r w:rsidRPr="00600AA1">
        <w:rPr>
          <w:rFonts w:ascii="Times New Roman" w:hAnsi="Times New Roman" w:cs="Times New Roman"/>
          <w:bCs/>
          <w:sz w:val="24"/>
          <w:szCs w:val="24"/>
        </w:rPr>
        <w:t xml:space="preserve">S, </w:t>
      </w:r>
      <w:r w:rsidRPr="00EF0834">
        <w:rPr>
          <w:rFonts w:ascii="Times New Roman" w:hAnsi="Times New Roman" w:cs="Times New Roman"/>
          <w:b/>
          <w:bCs/>
          <w:sz w:val="24"/>
          <w:szCs w:val="24"/>
        </w:rPr>
        <w:t>b</w:t>
      </w:r>
      <w:r w:rsidR="002840E8">
        <w:rPr>
          <w:rFonts w:ascii="Times New Roman" w:eastAsia="宋体" w:hAnsi="Times New Roman" w:cs="Times New Roman"/>
          <w:sz w:val="24"/>
          <w:szCs w:val="24"/>
        </w:rPr>
        <w:t xml:space="preserve">, </w:t>
      </w:r>
      <w:r w:rsidRPr="00EF0834">
        <w:rPr>
          <w:rFonts w:ascii="Times New Roman" w:hAnsi="Times New Roman" w:cs="Times New Roman"/>
          <w:b/>
          <w:bCs/>
          <w:sz w:val="24"/>
          <w:szCs w:val="24"/>
        </w:rPr>
        <w:t>e</w:t>
      </w:r>
      <w:r w:rsidRPr="00600AA1">
        <w:rPr>
          <w:rFonts w:ascii="Times New Roman" w:hAnsi="Times New Roman" w:cs="Times New Roman"/>
          <w:bCs/>
          <w:sz w:val="24"/>
          <w:szCs w:val="24"/>
        </w:rPr>
        <w:t xml:space="preserve"> OS, </w:t>
      </w:r>
      <w:r w:rsidR="002840E8">
        <w:rPr>
          <w:rFonts w:ascii="Times New Roman" w:hAnsi="Times New Roman" w:cs="Times New Roman"/>
          <w:bCs/>
          <w:sz w:val="24"/>
          <w:szCs w:val="24"/>
        </w:rPr>
        <w:t xml:space="preserve">and </w:t>
      </w:r>
      <w:r w:rsidRPr="00EF0834">
        <w:rPr>
          <w:rFonts w:ascii="Times New Roman" w:hAnsi="Times New Roman" w:cs="Times New Roman"/>
          <w:b/>
          <w:bCs/>
          <w:sz w:val="24"/>
          <w:szCs w:val="24"/>
        </w:rPr>
        <w:t>c</w:t>
      </w:r>
      <w:r w:rsidR="002840E8">
        <w:rPr>
          <w:rFonts w:ascii="Times New Roman" w:eastAsia="宋体" w:hAnsi="Times New Roman" w:cs="Times New Roman"/>
          <w:sz w:val="24"/>
          <w:szCs w:val="24"/>
        </w:rPr>
        <w:t>,</w:t>
      </w:r>
      <w:r w:rsidR="002840E8" w:rsidRPr="00EF0834">
        <w:rPr>
          <w:rFonts w:ascii="Times New Roman" w:hAnsi="Times New Roman" w:cs="Times New Roman"/>
          <w:b/>
          <w:bCs/>
          <w:sz w:val="24"/>
          <w:szCs w:val="24"/>
        </w:rPr>
        <w:t xml:space="preserve"> </w:t>
      </w:r>
      <w:r w:rsidRPr="00EF0834">
        <w:rPr>
          <w:rFonts w:ascii="Times New Roman" w:hAnsi="Times New Roman" w:cs="Times New Roman"/>
          <w:b/>
          <w:bCs/>
          <w:sz w:val="24"/>
          <w:szCs w:val="24"/>
        </w:rPr>
        <w:t>f</w:t>
      </w:r>
      <w:r w:rsidRPr="00600AA1">
        <w:rPr>
          <w:rFonts w:ascii="Times New Roman" w:hAnsi="Times New Roman" w:cs="Times New Roman"/>
          <w:bCs/>
          <w:sz w:val="24"/>
          <w:szCs w:val="24"/>
        </w:rPr>
        <w:t xml:space="preserve"> IOS at different temperatures.</w:t>
      </w:r>
    </w:p>
    <w:p w14:paraId="5C2F1857" w14:textId="77777777" w:rsidR="00A73E01" w:rsidRDefault="00A73E01" w:rsidP="00600AA1">
      <w:pPr>
        <w:spacing w:before="120" w:after="120"/>
        <w:rPr>
          <w:rFonts w:ascii="Times New Roman" w:hAnsi="Times New Roman" w:cs="Times New Roman"/>
          <w:bCs/>
          <w:sz w:val="24"/>
          <w:szCs w:val="24"/>
        </w:rPr>
      </w:pPr>
    </w:p>
    <w:p w14:paraId="597BCF7D" w14:textId="77777777" w:rsidR="00A73E01" w:rsidRDefault="00A73E01" w:rsidP="00600AA1">
      <w:pPr>
        <w:spacing w:before="120" w:after="120"/>
        <w:rPr>
          <w:rFonts w:ascii="Times New Roman" w:hAnsi="Times New Roman" w:cs="Times New Roman"/>
          <w:bCs/>
          <w:sz w:val="24"/>
          <w:szCs w:val="24"/>
        </w:rPr>
      </w:pPr>
    </w:p>
    <w:p w14:paraId="61A64B9B" w14:textId="4AFF31D7" w:rsidR="002840E8" w:rsidRDefault="002840E8" w:rsidP="002840E8">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3B27DE45" wp14:editId="31F52D45">
            <wp:extent cx="2598746" cy="251936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S5.tif"/>
                    <pic:cNvPicPr/>
                  </pic:nvPicPr>
                  <pic:blipFill>
                    <a:blip r:embed="rId13"/>
                    <a:stretch>
                      <a:fillRect/>
                    </a:stretch>
                  </pic:blipFill>
                  <pic:spPr>
                    <a:xfrm>
                      <a:off x="0" y="0"/>
                      <a:ext cx="2601519" cy="2522051"/>
                    </a:xfrm>
                    <a:prstGeom prst="rect">
                      <a:avLst/>
                    </a:prstGeom>
                  </pic:spPr>
                </pic:pic>
              </a:graphicData>
            </a:graphic>
          </wp:inline>
        </w:drawing>
      </w:r>
    </w:p>
    <w:p w14:paraId="7E9E7103" w14:textId="197510F4" w:rsidR="00600AA1" w:rsidRDefault="00600AA1" w:rsidP="00600AA1">
      <w:pPr>
        <w:spacing w:before="120" w:after="120"/>
        <w:rPr>
          <w:rFonts w:ascii="Times New Roman" w:hAnsi="Times New Roman" w:cs="Times New Roman"/>
          <w:bCs/>
          <w:sz w:val="24"/>
          <w:szCs w:val="24"/>
        </w:rPr>
      </w:pPr>
      <w:r w:rsidRPr="00600AA1">
        <w:rPr>
          <w:rFonts w:ascii="Times New Roman" w:hAnsi="Times New Roman" w:cs="Times New Roman"/>
          <w:b/>
          <w:bCs/>
          <w:sz w:val="24"/>
          <w:szCs w:val="24"/>
        </w:rPr>
        <w:t xml:space="preserve">Fig. S5 </w:t>
      </w:r>
      <w:r w:rsidRPr="00600AA1">
        <w:rPr>
          <w:rFonts w:ascii="Times New Roman" w:hAnsi="Times New Roman" w:cs="Times New Roman"/>
          <w:bCs/>
          <w:sz w:val="24"/>
          <w:szCs w:val="24"/>
        </w:rPr>
        <w:t>TG-FTIR analysis of gas evolution from S.</w:t>
      </w:r>
    </w:p>
    <w:p w14:paraId="3B181671" w14:textId="613BA623" w:rsidR="002840E8"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4861850D" wp14:editId="7D857468">
            <wp:extent cx="5759450" cy="30003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S6.tif"/>
                    <pic:cNvPicPr/>
                  </pic:nvPicPr>
                  <pic:blipFill>
                    <a:blip r:embed="rId14" cstate="print">
                      <a:extLst>
                        <a:ext uri="{28A0092B-C50C-407E-A947-70E740481C1C}">
                          <a14:useLocalDpi xmlns:a14="http://schemas.microsoft.com/office/drawing/2010/main"/>
                        </a:ext>
                      </a:extLst>
                    </a:blip>
                    <a:stretch>
                      <a:fillRect/>
                    </a:stretch>
                  </pic:blipFill>
                  <pic:spPr>
                    <a:xfrm>
                      <a:off x="0" y="0"/>
                      <a:ext cx="5759450" cy="3000375"/>
                    </a:xfrm>
                    <a:prstGeom prst="rect">
                      <a:avLst/>
                    </a:prstGeom>
                  </pic:spPr>
                </pic:pic>
              </a:graphicData>
            </a:graphic>
          </wp:inline>
        </w:drawing>
      </w:r>
    </w:p>
    <w:p w14:paraId="7E6CEAF9" w14:textId="337F54C2" w:rsidR="00A37C34" w:rsidRPr="00600AA1" w:rsidRDefault="00600AA1" w:rsidP="00600AA1">
      <w:pPr>
        <w:pStyle w:val="Head1"/>
      </w:pPr>
      <w:r w:rsidRPr="00600AA1">
        <w:rPr>
          <w:b/>
        </w:rPr>
        <w:t>Fig. S6</w:t>
      </w:r>
      <w:r w:rsidRPr="00600AA1">
        <w:t xml:space="preserve"> MS analysis of gases evolved during the pyrolysis of </w:t>
      </w:r>
      <w:r w:rsidRPr="00600AA1">
        <w:rPr>
          <w:rFonts w:hint="eastAsia"/>
        </w:rPr>
        <w:t>S</w:t>
      </w:r>
      <w:r w:rsidRPr="00600AA1">
        <w:t xml:space="preserve">, OS, and IOS under an Ar atmosphere. The major mass fragments are presented in descending order of intensity </w:t>
      </w:r>
      <w:r w:rsidRPr="00EF0834">
        <w:rPr>
          <w:b/>
        </w:rPr>
        <w:t>a</w:t>
      </w:r>
      <w:r w:rsidR="00EF0834" w:rsidRPr="00EF0834">
        <w:rPr>
          <w:rFonts w:eastAsia="宋体"/>
          <w:b/>
          <w:kern w:val="2"/>
          <w:lang w:eastAsia="zh-CN"/>
        </w:rPr>
        <w:t>–</w:t>
      </w:r>
      <w:r w:rsidRPr="00EF0834">
        <w:rPr>
          <w:b/>
        </w:rPr>
        <w:t>m</w:t>
      </w:r>
      <w:r w:rsidRPr="00600AA1">
        <w:t xml:space="preserve">: </w:t>
      </w:r>
      <w:r w:rsidRPr="00600AA1">
        <w:rPr>
          <w:i/>
        </w:rPr>
        <w:t>m</w:t>
      </w:r>
      <w:r w:rsidRPr="00600AA1">
        <w:t>/</w:t>
      </w:r>
      <w:r w:rsidRPr="00600AA1">
        <w:rPr>
          <w:i/>
        </w:rPr>
        <w:t>z</w:t>
      </w:r>
      <w:r w:rsidRPr="00600AA1">
        <w:t xml:space="preserve"> 15 (CH</w:t>
      </w:r>
      <w:r w:rsidRPr="00600AA1">
        <w:rPr>
          <w:vertAlign w:val="subscript"/>
        </w:rPr>
        <w:t>3</w:t>
      </w:r>
      <w:r w:rsidRPr="00600AA1">
        <w:rPr>
          <w:vertAlign w:val="superscript"/>
        </w:rPr>
        <w:t>+</w:t>
      </w:r>
      <w:r w:rsidRPr="00600AA1">
        <w:t>), 16 (O</w:t>
      </w:r>
      <w:r w:rsidRPr="00600AA1">
        <w:rPr>
          <w:vertAlign w:val="superscript"/>
        </w:rPr>
        <w:t>+</w:t>
      </w:r>
      <w:r w:rsidRPr="00600AA1">
        <w:t>), 17 (OH</w:t>
      </w:r>
      <w:r w:rsidRPr="00600AA1">
        <w:rPr>
          <w:vertAlign w:val="superscript"/>
        </w:rPr>
        <w:t>+</w:t>
      </w:r>
      <w:r w:rsidRPr="00600AA1">
        <w:t>), 18 (H</w:t>
      </w:r>
      <w:r w:rsidRPr="00600AA1">
        <w:rPr>
          <w:vertAlign w:val="subscript"/>
        </w:rPr>
        <w:t>2</w:t>
      </w:r>
      <w:r w:rsidRPr="00600AA1">
        <w:t>O</w:t>
      </w:r>
      <w:r w:rsidRPr="00600AA1">
        <w:rPr>
          <w:vertAlign w:val="superscript"/>
        </w:rPr>
        <w:t>+</w:t>
      </w:r>
      <w:r w:rsidRPr="00600AA1">
        <w:t>), 28 (CO</w:t>
      </w:r>
      <w:r w:rsidRPr="00600AA1">
        <w:rPr>
          <w:vertAlign w:val="superscript"/>
        </w:rPr>
        <w:t>+</w:t>
      </w:r>
      <w:r w:rsidRPr="00600AA1">
        <w:t>), 29 (•CHO</w:t>
      </w:r>
      <w:r w:rsidRPr="00600AA1">
        <w:rPr>
          <w:vertAlign w:val="superscript"/>
        </w:rPr>
        <w:t>+</w:t>
      </w:r>
      <w:r w:rsidRPr="00600AA1">
        <w:t>), 32 (CH</w:t>
      </w:r>
      <w:r w:rsidRPr="00600AA1">
        <w:rPr>
          <w:vertAlign w:val="subscript"/>
        </w:rPr>
        <w:t>2</w:t>
      </w:r>
      <w:r w:rsidRPr="00600AA1">
        <w:t>OH</w:t>
      </w:r>
      <w:r w:rsidRPr="00600AA1">
        <w:rPr>
          <w:vertAlign w:val="superscript"/>
        </w:rPr>
        <w:t>+</w:t>
      </w:r>
      <w:r w:rsidRPr="00600AA1">
        <w:t>), 43 (CH</w:t>
      </w:r>
      <w:r w:rsidRPr="00600AA1">
        <w:rPr>
          <w:vertAlign w:val="subscript"/>
        </w:rPr>
        <w:t>3</w:t>
      </w:r>
      <w:r w:rsidRPr="00600AA1">
        <w:t>CO</w:t>
      </w:r>
      <w:r w:rsidRPr="00600AA1">
        <w:rPr>
          <w:vertAlign w:val="superscript"/>
        </w:rPr>
        <w:t>+</w:t>
      </w:r>
      <w:r w:rsidRPr="00600AA1">
        <w:t>), 44 (CO</w:t>
      </w:r>
      <w:r w:rsidRPr="00600AA1">
        <w:rPr>
          <w:vertAlign w:val="subscript"/>
        </w:rPr>
        <w:t>2</w:t>
      </w:r>
      <w:r w:rsidRPr="00600AA1">
        <w:rPr>
          <w:vertAlign w:val="superscript"/>
        </w:rPr>
        <w:t>+</w:t>
      </w:r>
      <w:r w:rsidRPr="00600AA1">
        <w:t>), 45 (CO</w:t>
      </w:r>
      <w:r w:rsidRPr="00600AA1">
        <w:rPr>
          <w:vertAlign w:val="subscript"/>
        </w:rPr>
        <w:t>2</w:t>
      </w:r>
      <w:r w:rsidRPr="00600AA1">
        <w:t>H</w:t>
      </w:r>
      <w:r w:rsidRPr="00600AA1">
        <w:rPr>
          <w:vertAlign w:val="superscript"/>
        </w:rPr>
        <w:t>+</w:t>
      </w:r>
      <w:r w:rsidRPr="00600AA1">
        <w:t>), 60 (CH</w:t>
      </w:r>
      <w:r w:rsidRPr="00600AA1">
        <w:rPr>
          <w:vertAlign w:val="subscript"/>
        </w:rPr>
        <w:t>3</w:t>
      </w:r>
      <w:r w:rsidRPr="00600AA1">
        <w:t>COOH</w:t>
      </w:r>
      <w:r w:rsidRPr="00600AA1">
        <w:rPr>
          <w:vertAlign w:val="superscript"/>
        </w:rPr>
        <w:t>+</w:t>
      </w:r>
      <w:r w:rsidRPr="00600AA1">
        <w:t>), 127 (I</w:t>
      </w:r>
      <w:r w:rsidRPr="00600AA1">
        <w:rPr>
          <w:vertAlign w:val="superscript"/>
        </w:rPr>
        <w:t>+</w:t>
      </w:r>
      <w:r w:rsidRPr="00600AA1">
        <w:t>), and 254 (I</w:t>
      </w:r>
      <w:r w:rsidRPr="00600AA1">
        <w:rPr>
          <w:vertAlign w:val="subscript"/>
        </w:rPr>
        <w:t>2</w:t>
      </w:r>
      <w:r w:rsidRPr="00600AA1">
        <w:rPr>
          <w:vertAlign w:val="superscript"/>
        </w:rPr>
        <w:t>+</w:t>
      </w:r>
      <w:r w:rsidRPr="00600AA1">
        <w:t>).</w:t>
      </w:r>
    </w:p>
    <w:p w14:paraId="44DDD673" w14:textId="77777777" w:rsidR="00600AA1" w:rsidRPr="00600AA1" w:rsidRDefault="00600AA1" w:rsidP="00600AA1">
      <w:pPr>
        <w:pStyle w:val="Head1"/>
      </w:pPr>
      <w:bookmarkStart w:id="3" w:name="_Hlk218607367"/>
      <w:r w:rsidRPr="00600AA1">
        <w:t>For S, pyrolysis is dominated by glycosidic bond cleavage and subsequent levoglucosan (LG) formation above ~280 °C. The volatilized LG further undergoes ring-opening fragmentation and secondary oxidation reactions, generating H</w:t>
      </w:r>
      <w:r w:rsidRPr="00600AA1">
        <w:rPr>
          <w:vertAlign w:val="subscript"/>
        </w:rPr>
        <w:t>2</w:t>
      </w:r>
      <w:r w:rsidRPr="00600AA1">
        <w:t>O, aldehyde fragments (</w:t>
      </w:r>
      <w:r w:rsidRPr="00EF0834">
        <w:rPr>
          <w:i/>
        </w:rPr>
        <w:t>m/z</w:t>
      </w:r>
      <w:r w:rsidRPr="00600AA1">
        <w:t xml:space="preserve"> 29, •CHO</w:t>
      </w:r>
      <w:r w:rsidRPr="00600AA1">
        <w:rPr>
          <w:vertAlign w:val="superscript"/>
        </w:rPr>
        <w:t>+</w:t>
      </w:r>
      <w:r w:rsidRPr="00600AA1">
        <w:t>), acetyl fragments (</w:t>
      </w:r>
      <w:r w:rsidRPr="00EF0834">
        <w:rPr>
          <w:i/>
        </w:rPr>
        <w:t>m/z</w:t>
      </w:r>
      <w:r w:rsidRPr="00600AA1">
        <w:t xml:space="preserve"> 43, CH</w:t>
      </w:r>
      <w:r w:rsidRPr="00600AA1">
        <w:rPr>
          <w:vertAlign w:val="subscript"/>
        </w:rPr>
        <w:t>3</w:t>
      </w:r>
      <w:r w:rsidRPr="00600AA1">
        <w:t>CO</w:t>
      </w:r>
      <w:r w:rsidRPr="00600AA1">
        <w:rPr>
          <w:vertAlign w:val="superscript"/>
        </w:rPr>
        <w:t>+</w:t>
      </w:r>
      <w:r w:rsidRPr="00600AA1">
        <w:t>), CO (</w:t>
      </w:r>
      <w:r w:rsidRPr="00EF0834">
        <w:rPr>
          <w:i/>
        </w:rPr>
        <w:t>m/z</w:t>
      </w:r>
      <w:r w:rsidRPr="00600AA1">
        <w:t xml:space="preserve"> 28), and minor CO</w:t>
      </w:r>
      <w:r w:rsidRPr="00600AA1">
        <w:rPr>
          <w:vertAlign w:val="subscript"/>
        </w:rPr>
        <w:t>2</w:t>
      </w:r>
      <w:r w:rsidRPr="00600AA1">
        <w:t xml:space="preserve"> (</w:t>
      </w:r>
      <w:r w:rsidRPr="00EF0834">
        <w:rPr>
          <w:i/>
        </w:rPr>
        <w:t>m/z</w:t>
      </w:r>
      <w:r w:rsidRPr="00600AA1">
        <w:t xml:space="preserve"> 44). Continuous evolution of these gaseous species disrupts the carbon backbone and promotes severe melt foaming during carbonization.</w:t>
      </w:r>
    </w:p>
    <w:p w14:paraId="0D78D591" w14:textId="28281079" w:rsidR="00600AA1" w:rsidRDefault="00600AA1" w:rsidP="00600AA1">
      <w:pPr>
        <w:pStyle w:val="Head1"/>
      </w:pPr>
      <w:r w:rsidRPr="00600AA1">
        <w:t>In OS, the pyrolysis chemistry is partially redirected by the pre-introduction of oxygenated functionalities during oxidative pretreatment. Oxygen-containing groups are incorporated primarily through hydrogen abstraction from hydroxyl groups, generating alkoxy intermediates that subsequently evolve into aldehyde and carboxyl functionalities [1]. Upon heating, aldehydes further transform into carboxylic acids (</w:t>
      </w:r>
      <w:r w:rsidRPr="00600AA1">
        <w:rPr>
          <w:i/>
        </w:rPr>
        <w:t>m/z</w:t>
      </w:r>
      <w:r w:rsidRPr="00600AA1">
        <w:t xml:space="preserve"> 45, CO</w:t>
      </w:r>
      <w:r w:rsidRPr="00600AA1">
        <w:rPr>
          <w:vertAlign w:val="subscript"/>
        </w:rPr>
        <w:t>2</w:t>
      </w:r>
      <w:r w:rsidRPr="00600AA1">
        <w:t>H</w:t>
      </w:r>
      <w:r w:rsidRPr="00600AA1">
        <w:rPr>
          <w:vertAlign w:val="superscript"/>
        </w:rPr>
        <w:t>+</w:t>
      </w:r>
      <w:r w:rsidRPr="00600AA1">
        <w:t xml:space="preserve">), while adjacent carboxyl groups undergo dehydration condensation to form anhydride-related intermediates, as evidenced by the characteristic </w:t>
      </w:r>
      <w:r w:rsidRPr="00600AA1">
        <w:rPr>
          <w:i/>
        </w:rPr>
        <w:t>m/z</w:t>
      </w:r>
      <w:r w:rsidRPr="00600AA1">
        <w:t xml:space="preserve"> 60 (CH</w:t>
      </w:r>
      <w:r w:rsidRPr="00600AA1">
        <w:rPr>
          <w:vertAlign w:val="subscript"/>
        </w:rPr>
        <w:t>3</w:t>
      </w:r>
      <w:r w:rsidRPr="00600AA1">
        <w:t>COOH</w:t>
      </w:r>
      <w:r w:rsidRPr="00600AA1">
        <w:rPr>
          <w:vertAlign w:val="superscript"/>
        </w:rPr>
        <w:t>+</w:t>
      </w:r>
      <w:r w:rsidRPr="00600AA1">
        <w:t xml:space="preserve">) signal. Based on these observations, the pyrolysis behavior of OS can be described by a “hydroxyl–aldehyde–carboxylic acid–anhydride” pathway. This process is further supported by the intensified MS signals at </w:t>
      </w:r>
      <w:r w:rsidRPr="00600AA1">
        <w:rPr>
          <w:i/>
        </w:rPr>
        <w:t xml:space="preserve">m/z </w:t>
      </w:r>
      <w:r w:rsidRPr="00600AA1">
        <w:t>29, 43, 44, and 60. Formation of anhydride-like structures partially suppresses melt foaming by promoting dehydration and crosslinking reactions before extensive volatilization occurs [2]. However, owing to the relatively short oxidation duration (6 h), glycosidic bond cleavage and LG generation are not completely inhibited. Consequently, the anhydride-forming pathway still competes with LG-driven volatilization and fragmentation, resulting in residual foaming and incomplete framework stabilization in OS.</w:t>
      </w:r>
      <w:bookmarkEnd w:id="3"/>
    </w:p>
    <w:p w14:paraId="240CA835" w14:textId="02E3B1FC" w:rsidR="00A37C34" w:rsidRPr="00600AA1" w:rsidRDefault="00A37C34" w:rsidP="00A37C34">
      <w:pPr>
        <w:pStyle w:val="Head1"/>
        <w:jc w:val="center"/>
      </w:pPr>
      <w:r>
        <w:rPr>
          <w:rFonts w:hint="eastAsia"/>
          <w:noProof/>
          <w14:ligatures w14:val="standardContextual"/>
        </w:rPr>
        <w:drawing>
          <wp:inline distT="0" distB="0" distL="0" distR="0" wp14:anchorId="742FC645" wp14:editId="37EC40F9">
            <wp:extent cx="5759450" cy="33775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S7.tif"/>
                    <pic:cNvPicPr/>
                  </pic:nvPicPr>
                  <pic:blipFill>
                    <a:blip r:embed="rId15" cstate="print">
                      <a:extLst>
                        <a:ext uri="{28A0092B-C50C-407E-A947-70E740481C1C}">
                          <a14:useLocalDpi xmlns:a14="http://schemas.microsoft.com/office/drawing/2010/main"/>
                        </a:ext>
                      </a:extLst>
                    </a:blip>
                    <a:stretch>
                      <a:fillRect/>
                    </a:stretch>
                  </pic:blipFill>
                  <pic:spPr>
                    <a:xfrm>
                      <a:off x="0" y="0"/>
                      <a:ext cx="5759450" cy="3377565"/>
                    </a:xfrm>
                    <a:prstGeom prst="rect">
                      <a:avLst/>
                    </a:prstGeom>
                  </pic:spPr>
                </pic:pic>
              </a:graphicData>
            </a:graphic>
          </wp:inline>
        </w:drawing>
      </w:r>
    </w:p>
    <w:p w14:paraId="48EF94E0" w14:textId="58DA55DD" w:rsidR="00600AA1" w:rsidRDefault="00600AA1" w:rsidP="00600AA1">
      <w:pPr>
        <w:spacing w:before="120" w:after="120"/>
        <w:rPr>
          <w:rFonts w:ascii="Times New Roman" w:hAnsi="Times New Roman" w:cs="Times New Roman"/>
          <w:bCs/>
          <w:sz w:val="24"/>
          <w:szCs w:val="24"/>
        </w:rPr>
      </w:pPr>
      <w:r w:rsidRPr="00600AA1">
        <w:rPr>
          <w:rFonts w:ascii="Times New Roman" w:hAnsi="Times New Roman" w:cs="Times New Roman"/>
          <w:b/>
          <w:bCs/>
          <w:sz w:val="24"/>
          <w:szCs w:val="24"/>
          <w:lang w:val="en-GB"/>
        </w:rPr>
        <w:t>Fig.</w:t>
      </w:r>
      <w:r w:rsidRPr="00600AA1">
        <w:rPr>
          <w:rFonts w:ascii="Times New Roman" w:hAnsi="Times New Roman" w:cs="Times New Roman"/>
          <w:b/>
          <w:bCs/>
          <w:sz w:val="24"/>
          <w:szCs w:val="24"/>
          <w:lang w:val="de-DE"/>
        </w:rPr>
        <w:t xml:space="preserve"> </w:t>
      </w:r>
      <w:r w:rsidRPr="00600AA1">
        <w:rPr>
          <w:rFonts w:ascii="Times New Roman" w:hAnsi="Times New Roman" w:cs="Times New Roman"/>
          <w:b/>
          <w:bCs/>
          <w:sz w:val="24"/>
          <w:szCs w:val="24"/>
        </w:rPr>
        <w:t xml:space="preserve">S7 </w:t>
      </w:r>
      <w:r w:rsidRPr="00600AA1">
        <w:rPr>
          <w:rFonts w:ascii="Times New Roman" w:hAnsi="Times New Roman" w:cs="Times New Roman"/>
          <w:bCs/>
          <w:sz w:val="24"/>
          <w:szCs w:val="24"/>
        </w:rPr>
        <w:t xml:space="preserve">Proposed pyrolysis pathways of OS, illustrating the competitive formation of levoglucosan and the “hydroxyl–aldehyde–carboxylic acid–anhydride” pathway </w:t>
      </w:r>
      <w:r w:rsidRPr="00600AA1">
        <w:rPr>
          <w:rFonts w:ascii="Times New Roman" w:hAnsi="Times New Roman" w:cs="Times New Roman"/>
          <w:bCs/>
          <w:sz w:val="24"/>
          <w:szCs w:val="24"/>
          <w:lang w:val="de-DE"/>
        </w:rPr>
        <w:t>[</w:t>
      </w:r>
      <w:r w:rsidR="00A73E01">
        <w:rPr>
          <w:rFonts w:ascii="Times New Roman" w:hAnsi="Times New Roman" w:cs="Times New Roman" w:hint="eastAsia"/>
          <w:bCs/>
          <w:sz w:val="24"/>
          <w:szCs w:val="24"/>
          <w:lang w:val="de-DE"/>
        </w:rPr>
        <w:t>S</w:t>
      </w:r>
      <w:r w:rsidRPr="00600AA1">
        <w:rPr>
          <w:rFonts w:ascii="Times New Roman" w:hAnsi="Times New Roman" w:cs="Times New Roman"/>
          <w:bCs/>
          <w:sz w:val="24"/>
          <w:szCs w:val="24"/>
          <w:lang w:val="de-DE"/>
        </w:rPr>
        <w:t>1–</w:t>
      </w:r>
      <w:r w:rsidR="00A73E01">
        <w:rPr>
          <w:rFonts w:ascii="Times New Roman" w:hAnsi="Times New Roman" w:cs="Times New Roman" w:hint="eastAsia"/>
          <w:bCs/>
          <w:sz w:val="24"/>
          <w:szCs w:val="24"/>
          <w:lang w:val="de-DE"/>
        </w:rPr>
        <w:t>S</w:t>
      </w:r>
      <w:r w:rsidRPr="00600AA1">
        <w:rPr>
          <w:rFonts w:ascii="Times New Roman" w:hAnsi="Times New Roman" w:cs="Times New Roman"/>
          <w:bCs/>
          <w:sz w:val="24"/>
          <w:szCs w:val="24"/>
          <w:lang w:val="de-DE"/>
        </w:rPr>
        <w:t>3]</w:t>
      </w:r>
      <w:r w:rsidRPr="00600AA1">
        <w:rPr>
          <w:rFonts w:ascii="Times New Roman" w:hAnsi="Times New Roman" w:cs="Times New Roman"/>
          <w:bCs/>
          <w:sz w:val="24"/>
          <w:szCs w:val="24"/>
        </w:rPr>
        <w:t xml:space="preserve">. </w:t>
      </w:r>
    </w:p>
    <w:p w14:paraId="30111680" w14:textId="77777777" w:rsidR="00A73E01" w:rsidRDefault="00A73E01" w:rsidP="00600AA1">
      <w:pPr>
        <w:spacing w:before="120" w:after="120"/>
        <w:rPr>
          <w:rFonts w:ascii="Times New Roman" w:hAnsi="Times New Roman" w:cs="Times New Roman"/>
          <w:bCs/>
          <w:sz w:val="24"/>
          <w:szCs w:val="24"/>
        </w:rPr>
      </w:pPr>
    </w:p>
    <w:p w14:paraId="37692C35" w14:textId="7F37DEC5" w:rsidR="00A37C34" w:rsidRPr="00600AA1"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1D6A39B5" wp14:editId="2CB1B151">
            <wp:extent cx="4111752" cy="3550920"/>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8.tif"/>
                    <pic:cNvPicPr/>
                  </pic:nvPicPr>
                  <pic:blipFill>
                    <a:blip r:embed="rId16" cstate="print">
                      <a:extLst>
                        <a:ext uri="{28A0092B-C50C-407E-A947-70E740481C1C}">
                          <a14:useLocalDpi xmlns:a14="http://schemas.microsoft.com/office/drawing/2010/main"/>
                        </a:ext>
                      </a:extLst>
                    </a:blip>
                    <a:stretch>
                      <a:fillRect/>
                    </a:stretch>
                  </pic:blipFill>
                  <pic:spPr>
                    <a:xfrm>
                      <a:off x="0" y="0"/>
                      <a:ext cx="4111752" cy="3550920"/>
                    </a:xfrm>
                    <a:prstGeom prst="rect">
                      <a:avLst/>
                    </a:prstGeom>
                  </pic:spPr>
                </pic:pic>
              </a:graphicData>
            </a:graphic>
          </wp:inline>
        </w:drawing>
      </w:r>
    </w:p>
    <w:p w14:paraId="5E4E3B2C" w14:textId="02E71872" w:rsidR="00600AA1" w:rsidRDefault="00600AA1" w:rsidP="00600AA1">
      <w:pPr>
        <w:pStyle w:val="FigS1"/>
        <w:spacing w:beforeLines="0" w:after="120" w:line="240" w:lineRule="auto"/>
      </w:pPr>
      <w:r w:rsidRPr="001C1373">
        <w:rPr>
          <w:b/>
          <w:lang w:val="en-GB"/>
        </w:rPr>
        <w:t>Fig.</w:t>
      </w:r>
      <w:r w:rsidRPr="001C1373">
        <w:rPr>
          <w:b/>
          <w:lang w:val="de-DE"/>
        </w:rPr>
        <w:t xml:space="preserve"> </w:t>
      </w:r>
      <w:r w:rsidRPr="001C1373">
        <w:rPr>
          <w:b/>
        </w:rPr>
        <w:t xml:space="preserve">S8 </w:t>
      </w:r>
      <w:r w:rsidRPr="001C1373">
        <w:t xml:space="preserve">High-resolution XPS spectra of C 1s and O 1s for </w:t>
      </w:r>
      <w:r w:rsidRPr="00EF0834">
        <w:rPr>
          <w:b/>
        </w:rPr>
        <w:t>a–b</w:t>
      </w:r>
      <w:r w:rsidRPr="001C1373">
        <w:t xml:space="preserve"> S-1200 and </w:t>
      </w:r>
      <w:r w:rsidRPr="00EF0834">
        <w:rPr>
          <w:b/>
        </w:rPr>
        <w:t>c–d</w:t>
      </w:r>
      <w:r w:rsidRPr="001C1373">
        <w:t xml:space="preserve"> OS-1200.</w:t>
      </w:r>
    </w:p>
    <w:p w14:paraId="76A17A4B" w14:textId="6CB2C496" w:rsidR="00A37C34" w:rsidRPr="001C1373" w:rsidRDefault="00A37C34" w:rsidP="00E21CB3">
      <w:pPr>
        <w:pStyle w:val="FigS1"/>
        <w:spacing w:beforeLines="0" w:after="120" w:line="240" w:lineRule="auto"/>
        <w:jc w:val="center"/>
      </w:pPr>
      <w:r>
        <w:rPr>
          <w:rFonts w:hint="eastAsia"/>
          <w:noProof/>
          <w14:ligatures w14:val="standardContextual"/>
        </w:rPr>
        <w:drawing>
          <wp:inline distT="0" distB="0" distL="0" distR="0" wp14:anchorId="212CA661" wp14:editId="118B6BC2">
            <wp:extent cx="5759450" cy="3313430"/>
            <wp:effectExtent l="0" t="0" r="0"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S9.tif"/>
                    <pic:cNvPicPr/>
                  </pic:nvPicPr>
                  <pic:blipFill>
                    <a:blip r:embed="rId17" cstate="print">
                      <a:extLst>
                        <a:ext uri="{28A0092B-C50C-407E-A947-70E740481C1C}">
                          <a14:useLocalDpi xmlns:a14="http://schemas.microsoft.com/office/drawing/2010/main"/>
                        </a:ext>
                      </a:extLst>
                    </a:blip>
                    <a:stretch>
                      <a:fillRect/>
                    </a:stretch>
                  </pic:blipFill>
                  <pic:spPr>
                    <a:xfrm>
                      <a:off x="0" y="0"/>
                      <a:ext cx="5759450" cy="3313430"/>
                    </a:xfrm>
                    <a:prstGeom prst="rect">
                      <a:avLst/>
                    </a:prstGeom>
                  </pic:spPr>
                </pic:pic>
              </a:graphicData>
            </a:graphic>
          </wp:inline>
        </w:drawing>
      </w:r>
    </w:p>
    <w:p w14:paraId="2464FA34" w14:textId="0A7337A0" w:rsidR="00600AA1" w:rsidRPr="001C1373" w:rsidRDefault="00600AA1" w:rsidP="00600AA1">
      <w:pPr>
        <w:pStyle w:val="FigS1"/>
        <w:spacing w:beforeLines="0" w:after="120" w:line="240" w:lineRule="auto"/>
      </w:pPr>
      <w:r w:rsidRPr="001C1373">
        <w:rPr>
          <w:b/>
        </w:rPr>
        <w:t>Fig.</w:t>
      </w:r>
      <w:r w:rsidRPr="001C1373">
        <w:rPr>
          <w:b/>
          <w:lang w:val="de-DE"/>
        </w:rPr>
        <w:t xml:space="preserve"> </w:t>
      </w:r>
      <w:r w:rsidRPr="001C1373">
        <w:rPr>
          <w:b/>
        </w:rPr>
        <w:t xml:space="preserve">S9 </w:t>
      </w:r>
      <w:r w:rsidRPr="001C1373">
        <w:t xml:space="preserve">High-resolution XPS spectra of C 1s, O 1s, and I 3d for </w:t>
      </w:r>
      <w:r w:rsidRPr="00EF0834">
        <w:rPr>
          <w:b/>
        </w:rPr>
        <w:t>a–c</w:t>
      </w:r>
      <w:r w:rsidRPr="001C1373">
        <w:t xml:space="preserve"> IOS and </w:t>
      </w:r>
      <w:r w:rsidRPr="00EF0834">
        <w:rPr>
          <w:b/>
        </w:rPr>
        <w:t xml:space="preserve">d–f </w:t>
      </w:r>
      <w:r w:rsidRPr="001C1373">
        <w:t>IOS-1200.</w:t>
      </w:r>
    </w:p>
    <w:p w14:paraId="50DF71DC" w14:textId="6EA9652D" w:rsidR="00600AA1" w:rsidRDefault="00600AA1" w:rsidP="00600AA1">
      <w:pPr>
        <w:pStyle w:val="FigS1"/>
        <w:spacing w:beforeLines="0" w:after="120" w:line="240" w:lineRule="auto"/>
      </w:pPr>
      <w:r w:rsidRPr="00600AA1">
        <w:t>Figure</w:t>
      </w:r>
      <w:r w:rsidRPr="00600AA1">
        <w:rPr>
          <w:rFonts w:eastAsiaTheme="minorEastAsia" w:hint="eastAsia"/>
          <w:lang w:eastAsia="zh-CN"/>
        </w:rPr>
        <w:t xml:space="preserve"> </w:t>
      </w:r>
      <w:r w:rsidR="00614C4B">
        <w:rPr>
          <w:rFonts w:eastAsiaTheme="minorEastAsia"/>
          <w:lang w:eastAsia="zh-CN"/>
        </w:rPr>
        <w:t>S</w:t>
      </w:r>
      <w:r w:rsidRPr="00600AA1">
        <w:t>9c, f shows the I 3d spectra of IOS and IOS-1200. IOS contains coexisting I</w:t>
      </w:r>
      <w:r w:rsidRPr="00600AA1">
        <w:rPr>
          <w:vertAlign w:val="subscript"/>
        </w:rPr>
        <w:t>3</w:t>
      </w:r>
      <w:r w:rsidRPr="00600AA1">
        <w:rPr>
          <w:rFonts w:eastAsia="宋体"/>
          <w:kern w:val="2"/>
          <w:vertAlign w:val="superscript"/>
          <w:lang w:eastAsia="zh-CN"/>
        </w:rPr>
        <w:sym w:font="Symbol" w:char="F02D"/>
      </w:r>
      <w:r w:rsidRPr="00600AA1">
        <w:t xml:space="preserve"> and I</w:t>
      </w:r>
      <w:r w:rsidRPr="00600AA1">
        <w:rPr>
          <w:vertAlign w:val="subscript"/>
        </w:rPr>
        <w:t>5</w:t>
      </w:r>
      <w:r w:rsidRPr="00600AA1">
        <w:rPr>
          <w:rFonts w:eastAsia="宋体"/>
          <w:kern w:val="2"/>
          <w:vertAlign w:val="superscript"/>
          <w:lang w:eastAsia="zh-CN"/>
        </w:rPr>
        <w:sym w:font="Symbol" w:char="F02D"/>
      </w:r>
      <w:r w:rsidRPr="00600AA1">
        <w:t xml:space="preserve"> species, while IOS-1200 is dominated by I</w:t>
      </w:r>
      <w:r w:rsidRPr="00600AA1">
        <w:rPr>
          <w:vertAlign w:val="subscript"/>
        </w:rPr>
        <w:t>5</w:t>
      </w:r>
      <w:r w:rsidRPr="00600AA1">
        <w:rPr>
          <w:rFonts w:eastAsia="宋体"/>
          <w:kern w:val="2"/>
          <w:vertAlign w:val="superscript"/>
          <w:lang w:eastAsia="zh-CN"/>
        </w:rPr>
        <w:sym w:font="Symbol" w:char="F02D"/>
      </w:r>
      <w:r w:rsidRPr="00600AA1">
        <w:t>. The relative fractions of I</w:t>
      </w:r>
      <w:r w:rsidRPr="00600AA1">
        <w:rPr>
          <w:vertAlign w:val="subscript"/>
        </w:rPr>
        <w:t>3</w:t>
      </w:r>
      <w:r w:rsidRPr="00600AA1">
        <w:rPr>
          <w:rFonts w:eastAsia="宋体"/>
          <w:kern w:val="2"/>
          <w:vertAlign w:val="superscript"/>
          <w:lang w:eastAsia="zh-CN"/>
        </w:rPr>
        <w:sym w:font="Symbol" w:char="F02D"/>
      </w:r>
      <w:r w:rsidRPr="00600AA1">
        <w:t xml:space="preserve"> and I</w:t>
      </w:r>
      <w:r w:rsidRPr="00600AA1">
        <w:rPr>
          <w:vertAlign w:val="subscript"/>
        </w:rPr>
        <w:t>5</w:t>
      </w:r>
      <w:r w:rsidRPr="00600AA1">
        <w:rPr>
          <w:rFonts w:eastAsia="宋体"/>
          <w:kern w:val="2"/>
          <w:vertAlign w:val="superscript"/>
          <w:lang w:eastAsia="zh-CN"/>
        </w:rPr>
        <w:sym w:font="Symbol" w:char="F02D"/>
      </w:r>
      <w:r w:rsidRPr="00600AA1">
        <w:t xml:space="preserve"> are summarized in Table S1. These observations indicate a temperature-dependent redistribution of polyiodide species during carbonization, representing the residual iodine states in the final carbonized material.</w:t>
      </w:r>
    </w:p>
    <w:p w14:paraId="739B667B" w14:textId="382AEEA1" w:rsidR="00A37C34" w:rsidRPr="00600AA1" w:rsidRDefault="00A37C34" w:rsidP="00A37C34">
      <w:pPr>
        <w:pStyle w:val="FigS1"/>
        <w:spacing w:beforeLines="0" w:after="120" w:line="240" w:lineRule="auto"/>
        <w:jc w:val="center"/>
      </w:pPr>
      <w:r>
        <w:rPr>
          <w:rFonts w:hint="eastAsia"/>
          <w:noProof/>
          <w14:ligatures w14:val="standardContextual"/>
        </w:rPr>
        <w:drawing>
          <wp:inline distT="0" distB="0" distL="0" distR="0" wp14:anchorId="62115C78" wp14:editId="6AA686BA">
            <wp:extent cx="4062984" cy="2764536"/>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S10.tif"/>
                    <pic:cNvPicPr/>
                  </pic:nvPicPr>
                  <pic:blipFill>
                    <a:blip r:embed="rId18" cstate="print">
                      <a:extLst>
                        <a:ext uri="{28A0092B-C50C-407E-A947-70E740481C1C}">
                          <a14:useLocalDpi xmlns:a14="http://schemas.microsoft.com/office/drawing/2010/main"/>
                        </a:ext>
                      </a:extLst>
                    </a:blip>
                    <a:stretch>
                      <a:fillRect/>
                    </a:stretch>
                  </pic:blipFill>
                  <pic:spPr>
                    <a:xfrm>
                      <a:off x="0" y="0"/>
                      <a:ext cx="4062984" cy="2764536"/>
                    </a:xfrm>
                    <a:prstGeom prst="rect">
                      <a:avLst/>
                    </a:prstGeom>
                  </pic:spPr>
                </pic:pic>
              </a:graphicData>
            </a:graphic>
          </wp:inline>
        </w:drawing>
      </w:r>
    </w:p>
    <w:p w14:paraId="16CC6F2E" w14:textId="015F928D" w:rsidR="00614C4B" w:rsidRP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lang w:val="en-GB"/>
        </w:rPr>
        <w:t>Fig.</w:t>
      </w:r>
      <w:r w:rsidRPr="00614C4B">
        <w:rPr>
          <w:rFonts w:ascii="Times New Roman" w:hAnsi="Times New Roman" w:cs="Times New Roman"/>
          <w:b/>
          <w:bCs/>
          <w:sz w:val="24"/>
          <w:szCs w:val="24"/>
          <w:lang w:val="de-DE"/>
        </w:rPr>
        <w:t xml:space="preserve"> </w:t>
      </w:r>
      <w:r w:rsidRPr="00614C4B">
        <w:rPr>
          <w:rFonts w:ascii="Times New Roman" w:hAnsi="Times New Roman" w:cs="Times New Roman"/>
          <w:b/>
          <w:bCs/>
          <w:sz w:val="24"/>
          <w:szCs w:val="24"/>
        </w:rPr>
        <w:t>S10</w:t>
      </w:r>
      <w:r w:rsidRPr="00614C4B">
        <w:rPr>
          <w:rFonts w:ascii="Times New Roman" w:hAnsi="Times New Roman" w:cs="Times New Roman"/>
          <w:bCs/>
          <w:sz w:val="24"/>
          <w:szCs w:val="24"/>
        </w:rPr>
        <w:t xml:space="preserve"> SEM images of </w:t>
      </w:r>
      <w:r w:rsidRPr="00EF0834">
        <w:rPr>
          <w:rFonts w:ascii="Times New Roman" w:hAnsi="Times New Roman" w:cs="Times New Roman"/>
          <w:b/>
          <w:bCs/>
          <w:sz w:val="24"/>
          <w:szCs w:val="24"/>
        </w:rPr>
        <w:t>a</w:t>
      </w:r>
      <w:r w:rsidRPr="00614C4B">
        <w:rPr>
          <w:rFonts w:ascii="Times New Roman" w:hAnsi="Times New Roman" w:cs="Times New Roman"/>
          <w:bCs/>
          <w:sz w:val="24"/>
          <w:szCs w:val="24"/>
        </w:rPr>
        <w:t xml:space="preserve"> </w:t>
      </w:r>
      <w:r w:rsidRPr="00614C4B">
        <w:rPr>
          <w:rFonts w:ascii="Times New Roman" w:hAnsi="Times New Roman" w:cs="Times New Roman" w:hint="eastAsia"/>
          <w:bCs/>
          <w:sz w:val="24"/>
          <w:szCs w:val="24"/>
          <w:lang w:val="de-DE"/>
        </w:rPr>
        <w:t>S</w:t>
      </w:r>
      <w:r w:rsidRPr="00614C4B">
        <w:rPr>
          <w:rFonts w:ascii="Times New Roman" w:hAnsi="Times New Roman" w:cs="Times New Roman"/>
          <w:bCs/>
          <w:sz w:val="24"/>
          <w:szCs w:val="24"/>
        </w:rPr>
        <w:t xml:space="preserve">, </w:t>
      </w:r>
      <w:r w:rsidRPr="00EF0834">
        <w:rPr>
          <w:rFonts w:ascii="Times New Roman" w:hAnsi="Times New Roman" w:cs="Times New Roman"/>
          <w:b/>
          <w:bCs/>
          <w:sz w:val="24"/>
          <w:szCs w:val="24"/>
        </w:rPr>
        <w:t>b</w:t>
      </w:r>
      <w:r w:rsidR="00C66DCF" w:rsidRPr="00C66DCF">
        <w:rPr>
          <w:rFonts w:ascii="Times New Roman" w:hAnsi="Times New Roman" w:cs="Times New Roman"/>
          <w:b/>
          <w:bCs/>
          <w:sz w:val="24"/>
          <w:szCs w:val="24"/>
        </w:rPr>
        <w:t xml:space="preserve">, </w:t>
      </w:r>
      <w:r w:rsidRPr="00C66DCF">
        <w:rPr>
          <w:rFonts w:ascii="Times New Roman" w:hAnsi="Times New Roman" w:cs="Times New Roman"/>
          <w:b/>
          <w:bCs/>
          <w:sz w:val="24"/>
          <w:szCs w:val="24"/>
        </w:rPr>
        <w:t>c</w:t>
      </w:r>
      <w:r w:rsidRPr="00614C4B">
        <w:rPr>
          <w:rFonts w:ascii="Times New Roman" w:hAnsi="Times New Roman" w:cs="Times New Roman"/>
          <w:bCs/>
          <w:sz w:val="24"/>
          <w:szCs w:val="24"/>
        </w:rPr>
        <w:t xml:space="preserve"> </w:t>
      </w:r>
      <w:r w:rsidRPr="00614C4B">
        <w:rPr>
          <w:rFonts w:ascii="Times New Roman" w:hAnsi="Times New Roman" w:cs="Times New Roman"/>
          <w:bCs/>
          <w:sz w:val="24"/>
          <w:szCs w:val="24"/>
          <w:lang w:val="de-DE"/>
        </w:rPr>
        <w:t>S-6</w:t>
      </w:r>
      <w:r w:rsidRPr="00614C4B">
        <w:rPr>
          <w:rFonts w:ascii="Times New Roman" w:hAnsi="Times New Roman" w:cs="Times New Roman"/>
          <w:bCs/>
          <w:sz w:val="24"/>
          <w:szCs w:val="24"/>
        </w:rPr>
        <w:t xml:space="preserve">00 before and after ball milling, respectively, </w:t>
      </w:r>
      <w:r w:rsidRPr="00EF0834">
        <w:rPr>
          <w:rFonts w:ascii="Times New Roman" w:hAnsi="Times New Roman" w:cs="Times New Roman"/>
          <w:b/>
          <w:bCs/>
          <w:sz w:val="24"/>
          <w:szCs w:val="24"/>
        </w:rPr>
        <w:t>d</w:t>
      </w:r>
      <w:r w:rsidRPr="00614C4B">
        <w:rPr>
          <w:rFonts w:ascii="Times New Roman" w:hAnsi="Times New Roman" w:cs="Times New Roman"/>
          <w:bCs/>
          <w:sz w:val="24"/>
          <w:szCs w:val="24"/>
        </w:rPr>
        <w:t xml:space="preserve"> IOS-1200, and </w:t>
      </w:r>
      <w:r w:rsidRPr="00C66DCF">
        <w:rPr>
          <w:rFonts w:ascii="Times New Roman" w:hAnsi="Times New Roman" w:cs="Times New Roman"/>
          <w:b/>
          <w:bCs/>
          <w:sz w:val="24"/>
          <w:szCs w:val="24"/>
        </w:rPr>
        <w:t>e</w:t>
      </w:r>
      <w:r w:rsidR="00C66DCF" w:rsidRPr="00C66DCF">
        <w:rPr>
          <w:rFonts w:ascii="Times New Roman" w:hAnsi="Times New Roman" w:cs="Times New Roman"/>
          <w:b/>
          <w:bCs/>
          <w:sz w:val="24"/>
          <w:szCs w:val="24"/>
        </w:rPr>
        <w:t xml:space="preserve">, </w:t>
      </w:r>
      <w:r w:rsidRPr="00C66DCF">
        <w:rPr>
          <w:rFonts w:ascii="Times New Roman" w:hAnsi="Times New Roman" w:cs="Times New Roman"/>
          <w:b/>
          <w:bCs/>
          <w:sz w:val="24"/>
          <w:szCs w:val="24"/>
        </w:rPr>
        <w:t>f</w:t>
      </w:r>
      <w:r w:rsidRPr="00614C4B">
        <w:rPr>
          <w:rFonts w:ascii="Times New Roman" w:hAnsi="Times New Roman" w:cs="Times New Roman"/>
          <w:bCs/>
          <w:sz w:val="24"/>
          <w:szCs w:val="24"/>
        </w:rPr>
        <w:t xml:space="preserve"> OS-600 before and after ball milling, respectively.</w:t>
      </w:r>
    </w:p>
    <w:p w14:paraId="3BD1E664" w14:textId="7B830781" w:rsidR="00614C4B" w:rsidRDefault="00614C4B" w:rsidP="00614C4B">
      <w:pPr>
        <w:spacing w:before="120" w:after="120"/>
        <w:rPr>
          <w:rFonts w:ascii="Times New Roman" w:hAnsi="Times New Roman" w:cs="Times New Roman"/>
          <w:bCs/>
          <w:sz w:val="24"/>
          <w:szCs w:val="24"/>
        </w:rPr>
      </w:pPr>
      <w:bookmarkStart w:id="4" w:name="_Hlk218607833"/>
      <w:r w:rsidRPr="00614C4B">
        <w:rPr>
          <w:rFonts w:ascii="Times New Roman" w:hAnsi="Times New Roman" w:cs="Times New Roman"/>
          <w:bCs/>
          <w:sz w:val="24"/>
          <w:szCs w:val="24"/>
        </w:rPr>
        <w:t xml:space="preserve">The </w:t>
      </w:r>
      <w:r w:rsidRPr="00614C4B">
        <w:rPr>
          <w:rFonts w:ascii="Times New Roman" w:hAnsi="Times New Roman" w:cs="Times New Roman" w:hint="eastAsia"/>
          <w:bCs/>
          <w:sz w:val="24"/>
          <w:szCs w:val="24"/>
          <w:lang w:val="de-DE"/>
        </w:rPr>
        <w:t>S</w:t>
      </w:r>
      <w:r w:rsidRPr="00614C4B">
        <w:rPr>
          <w:rFonts w:ascii="Times New Roman" w:hAnsi="Times New Roman" w:cs="Times New Roman"/>
          <w:bCs/>
          <w:sz w:val="24"/>
          <w:szCs w:val="24"/>
        </w:rPr>
        <w:t xml:space="preserve"> consists of particles ranging in shape from polyhedral to nearly spherical (Fig. S10a), with diameters of approximately 5–25 µm. After pyrolysis, S-600 and OS-600 exhibit foam-like architectures (Fig. S1d, e), and their SEM images reveal thin-film morphologies</w:t>
      </w:r>
      <w:r w:rsidRPr="00EF0834">
        <w:rPr>
          <w:rFonts w:ascii="Times New Roman" w:hAnsi="Times New Roman" w:cs="Times New Roman"/>
          <w:bCs/>
          <w:sz w:val="24"/>
          <w:szCs w:val="24"/>
        </w:rPr>
        <w:t xml:space="preserve"> (Fig. S10b, e), </w:t>
      </w:r>
      <w:r w:rsidRPr="00614C4B">
        <w:rPr>
          <w:rFonts w:ascii="Times New Roman" w:hAnsi="Times New Roman" w:cs="Times New Roman"/>
          <w:bCs/>
          <w:sz w:val="24"/>
          <w:szCs w:val="24"/>
        </w:rPr>
        <w:t xml:space="preserve">which transform into granular flakes upon ball milling (Fig. S10c, f). Carbonization at 1200 </w:t>
      </w:r>
      <w:r w:rsidRPr="00614C4B">
        <w:rPr>
          <w:rFonts w:ascii="Times New Roman" w:hAnsi="Times New Roman" w:cs="Times New Roman"/>
          <w:bCs/>
          <w:sz w:val="24"/>
          <w:szCs w:val="24"/>
          <w:lang w:val="de-DE"/>
        </w:rPr>
        <w:t>°C</w:t>
      </w:r>
      <w:r w:rsidRPr="00614C4B">
        <w:rPr>
          <w:rFonts w:ascii="Times New Roman" w:hAnsi="Times New Roman" w:cs="Times New Roman"/>
          <w:bCs/>
          <w:sz w:val="24"/>
          <w:szCs w:val="24"/>
        </w:rPr>
        <w:t xml:space="preserve"> causes pronounced particle fusion and agglomeration in S-1200 and OS-1200 (Fig. 2a, b), indicating incomplete decomposition of the sugar-ring structures. </w:t>
      </w:r>
      <w:bookmarkEnd w:id="4"/>
    </w:p>
    <w:p w14:paraId="6CC3DE7E" w14:textId="4FAF03AD" w:rsidR="00A37C34" w:rsidRPr="00614C4B" w:rsidRDefault="00A37C34" w:rsidP="00E21CB3">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082CE2B6" wp14:editId="55319824">
            <wp:extent cx="5759450" cy="175768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S11.tif"/>
                    <pic:cNvPicPr/>
                  </pic:nvPicPr>
                  <pic:blipFill>
                    <a:blip r:embed="rId19" cstate="print">
                      <a:extLst>
                        <a:ext uri="{28A0092B-C50C-407E-A947-70E740481C1C}">
                          <a14:useLocalDpi xmlns:a14="http://schemas.microsoft.com/office/drawing/2010/main"/>
                        </a:ext>
                      </a:extLst>
                    </a:blip>
                    <a:stretch>
                      <a:fillRect/>
                    </a:stretch>
                  </pic:blipFill>
                  <pic:spPr>
                    <a:xfrm>
                      <a:off x="0" y="0"/>
                      <a:ext cx="5759450" cy="1757680"/>
                    </a:xfrm>
                    <a:prstGeom prst="rect">
                      <a:avLst/>
                    </a:prstGeom>
                  </pic:spPr>
                </pic:pic>
              </a:graphicData>
            </a:graphic>
          </wp:inline>
        </w:drawing>
      </w:r>
    </w:p>
    <w:p w14:paraId="601C7FF1" w14:textId="77777777" w:rsidR="00614C4B" w:rsidRP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 S11</w:t>
      </w:r>
      <w:r w:rsidRPr="00614C4B">
        <w:rPr>
          <w:rFonts w:ascii="Times New Roman" w:hAnsi="Times New Roman" w:cs="Times New Roman"/>
          <w:bCs/>
          <w:sz w:val="24"/>
          <w:szCs w:val="24"/>
        </w:rPr>
        <w:t xml:space="preserve"> </w:t>
      </w:r>
      <w:r w:rsidRPr="00614C4B">
        <w:rPr>
          <w:rFonts w:ascii="Times New Roman" w:hAnsi="Times New Roman" w:cs="Times New Roman" w:hint="eastAsia"/>
          <w:bCs/>
          <w:sz w:val="24"/>
          <w:szCs w:val="24"/>
        </w:rPr>
        <w:t>Raman spectra and fitted curves of S</w:t>
      </w:r>
      <w:r w:rsidRPr="00614C4B">
        <w:rPr>
          <w:rFonts w:ascii="Times New Roman" w:hAnsi="Times New Roman" w:cs="Times New Roman"/>
          <w:bCs/>
          <w:sz w:val="24"/>
          <w:szCs w:val="24"/>
        </w:rPr>
        <w:t>-1200, O</w:t>
      </w:r>
      <w:r w:rsidRPr="00614C4B">
        <w:rPr>
          <w:rFonts w:ascii="Times New Roman" w:hAnsi="Times New Roman" w:cs="Times New Roman" w:hint="eastAsia"/>
          <w:bCs/>
          <w:sz w:val="24"/>
          <w:szCs w:val="24"/>
        </w:rPr>
        <w:t>S</w:t>
      </w:r>
      <w:r w:rsidRPr="00614C4B">
        <w:rPr>
          <w:rFonts w:ascii="Times New Roman" w:hAnsi="Times New Roman" w:cs="Times New Roman"/>
          <w:bCs/>
          <w:sz w:val="24"/>
          <w:szCs w:val="24"/>
        </w:rPr>
        <w:t>-1200 and IO</w:t>
      </w:r>
      <w:r w:rsidRPr="00614C4B">
        <w:rPr>
          <w:rFonts w:ascii="Times New Roman" w:hAnsi="Times New Roman" w:cs="Times New Roman" w:hint="eastAsia"/>
          <w:bCs/>
          <w:sz w:val="24"/>
          <w:szCs w:val="24"/>
        </w:rPr>
        <w:t>S</w:t>
      </w:r>
      <w:r w:rsidRPr="00614C4B">
        <w:rPr>
          <w:rFonts w:ascii="Times New Roman" w:hAnsi="Times New Roman" w:cs="Times New Roman"/>
          <w:bCs/>
          <w:sz w:val="24"/>
          <w:szCs w:val="24"/>
        </w:rPr>
        <w:t>-1200.</w:t>
      </w:r>
    </w:p>
    <w:p w14:paraId="40653A62" w14:textId="243F791C"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Cs/>
          <w:sz w:val="24"/>
          <w:szCs w:val="24"/>
        </w:rPr>
        <w:t>The G band at 1580 cm</w:t>
      </w:r>
      <w:r w:rsidRPr="00614C4B">
        <w:rPr>
          <w:rFonts w:ascii="Times New Roman" w:hAnsi="Times New Roman" w:cs="Times New Roman"/>
          <w:bCs/>
          <w:sz w:val="24"/>
          <w:szCs w:val="24"/>
          <w:vertAlign w:val="superscript"/>
          <w:lang w:val="de-DE"/>
        </w:rPr>
        <w:t>–</w:t>
      </w:r>
      <w:r w:rsidRPr="00614C4B">
        <w:rPr>
          <w:rFonts w:ascii="Times New Roman" w:hAnsi="Times New Roman" w:cs="Times New Roman" w:hint="eastAsia"/>
          <w:bCs/>
          <w:sz w:val="24"/>
          <w:szCs w:val="24"/>
          <w:vertAlign w:val="superscript"/>
          <w:lang w:val="de-DE"/>
        </w:rPr>
        <w:t>1</w:t>
      </w:r>
      <w:r w:rsidRPr="00614C4B">
        <w:rPr>
          <w:rFonts w:ascii="Times New Roman" w:hAnsi="Times New Roman" w:cs="Times New Roman"/>
          <w:bCs/>
          <w:sz w:val="24"/>
          <w:szCs w:val="24"/>
        </w:rPr>
        <w:t xml:space="preserve"> corresponds to the in-plane vibration of sp</w:t>
      </w:r>
      <w:r w:rsidRPr="00614C4B">
        <w:rPr>
          <w:rFonts w:ascii="Times New Roman" w:hAnsi="Times New Roman" w:cs="Times New Roman"/>
          <w:bCs/>
          <w:sz w:val="24"/>
          <w:szCs w:val="24"/>
          <w:vertAlign w:val="superscript"/>
        </w:rPr>
        <w:t>2</w:t>
      </w:r>
      <w:r w:rsidRPr="00614C4B">
        <w:rPr>
          <w:rFonts w:ascii="Times New Roman" w:hAnsi="Times New Roman" w:cs="Times New Roman"/>
          <w:bCs/>
          <w:sz w:val="24"/>
          <w:szCs w:val="24"/>
        </w:rPr>
        <w:t>-hybridized graphitic carbon with E</w:t>
      </w:r>
      <w:r w:rsidRPr="00614C4B">
        <w:rPr>
          <w:rFonts w:ascii="Times New Roman" w:hAnsi="Times New Roman" w:cs="Times New Roman"/>
          <w:bCs/>
          <w:sz w:val="24"/>
          <w:szCs w:val="24"/>
          <w:vertAlign w:val="subscript"/>
        </w:rPr>
        <w:t>2</w:t>
      </w:r>
      <w:r w:rsidRPr="00614C4B">
        <w:rPr>
          <w:rFonts w:ascii="Times New Roman" w:hAnsi="Times New Roman" w:cs="Times New Roman"/>
          <w:bCs/>
          <w:sz w:val="24"/>
          <w:szCs w:val="24"/>
        </w:rPr>
        <w:t>g symmetry. The D band at 1350 cm</w:t>
      </w:r>
      <w:r w:rsidRPr="00614C4B">
        <w:rPr>
          <w:rFonts w:ascii="Times New Roman" w:hAnsi="Times New Roman" w:cs="Times New Roman"/>
          <w:bCs/>
          <w:sz w:val="24"/>
          <w:szCs w:val="24"/>
          <w:vertAlign w:val="superscript"/>
          <w:lang w:val="de-DE"/>
        </w:rPr>
        <w:t>–</w:t>
      </w:r>
      <w:r w:rsidRPr="00614C4B">
        <w:rPr>
          <w:rFonts w:ascii="Times New Roman" w:hAnsi="Times New Roman" w:cs="Times New Roman" w:hint="eastAsia"/>
          <w:bCs/>
          <w:sz w:val="24"/>
          <w:szCs w:val="24"/>
          <w:vertAlign w:val="superscript"/>
          <w:lang w:val="de-DE"/>
        </w:rPr>
        <w:t>1</w:t>
      </w:r>
      <w:r w:rsidRPr="00614C4B">
        <w:rPr>
          <w:rFonts w:ascii="Times New Roman" w:hAnsi="Times New Roman" w:cs="Times New Roman"/>
          <w:bCs/>
          <w:sz w:val="24"/>
          <w:szCs w:val="24"/>
        </w:rPr>
        <w:t xml:space="preserve"> is associated with disordered carbon present at graphite edges or structural defects with A</w:t>
      </w:r>
      <w:r w:rsidRPr="00614C4B">
        <w:rPr>
          <w:rFonts w:ascii="Times New Roman" w:hAnsi="Times New Roman" w:cs="Times New Roman"/>
          <w:bCs/>
          <w:sz w:val="24"/>
          <w:szCs w:val="24"/>
          <w:vertAlign w:val="subscript"/>
        </w:rPr>
        <w:t>1</w:t>
      </w:r>
      <w:r w:rsidRPr="00614C4B">
        <w:rPr>
          <w:rFonts w:ascii="Times New Roman" w:hAnsi="Times New Roman" w:cs="Times New Roman"/>
          <w:bCs/>
          <w:sz w:val="24"/>
          <w:szCs w:val="24"/>
        </w:rPr>
        <w:t>g symmetry. The D</w:t>
      </w:r>
      <w:r w:rsidRPr="00614C4B">
        <w:rPr>
          <w:rFonts w:ascii="Times New Roman" w:hAnsi="Times New Roman" w:cs="Times New Roman"/>
          <w:bCs/>
          <w:sz w:val="24"/>
          <w:szCs w:val="24"/>
          <w:vertAlign w:val="subscript"/>
        </w:rPr>
        <w:t>3</w:t>
      </w:r>
      <w:r w:rsidRPr="00614C4B">
        <w:rPr>
          <w:rFonts w:ascii="Times New Roman" w:hAnsi="Times New Roman" w:cs="Times New Roman"/>
          <w:bCs/>
          <w:sz w:val="24"/>
          <w:szCs w:val="24"/>
        </w:rPr>
        <w:t xml:space="preserve"> band at 1500 cm</w:t>
      </w:r>
      <w:r w:rsidRPr="00614C4B">
        <w:rPr>
          <w:rFonts w:ascii="Times New Roman" w:hAnsi="Times New Roman" w:cs="Times New Roman"/>
          <w:bCs/>
          <w:sz w:val="24"/>
          <w:szCs w:val="24"/>
          <w:vertAlign w:val="superscript"/>
          <w:lang w:val="de-DE"/>
        </w:rPr>
        <w:t>–</w:t>
      </w:r>
      <w:r w:rsidRPr="00614C4B">
        <w:rPr>
          <w:rFonts w:ascii="Times New Roman" w:hAnsi="Times New Roman" w:cs="Times New Roman" w:hint="eastAsia"/>
          <w:bCs/>
          <w:sz w:val="24"/>
          <w:szCs w:val="24"/>
          <w:vertAlign w:val="superscript"/>
          <w:lang w:val="de-DE"/>
        </w:rPr>
        <w:t>1</w:t>
      </w:r>
      <w:r w:rsidRPr="00614C4B">
        <w:rPr>
          <w:rFonts w:ascii="Times New Roman" w:hAnsi="Times New Roman" w:cs="Times New Roman"/>
          <w:bCs/>
          <w:sz w:val="24"/>
          <w:szCs w:val="24"/>
        </w:rPr>
        <w:t xml:space="preserve"> originates from short-range sp</w:t>
      </w:r>
      <w:r w:rsidRPr="00614C4B">
        <w:rPr>
          <w:rFonts w:ascii="Times New Roman" w:hAnsi="Times New Roman" w:cs="Times New Roman"/>
          <w:bCs/>
          <w:sz w:val="24"/>
          <w:szCs w:val="24"/>
          <w:vertAlign w:val="superscript"/>
        </w:rPr>
        <w:t>3</w:t>
      </w:r>
      <w:r w:rsidRPr="00614C4B">
        <w:rPr>
          <w:rFonts w:ascii="Times New Roman" w:hAnsi="Times New Roman" w:cs="Times New Roman"/>
          <w:bCs/>
          <w:sz w:val="24"/>
          <w:szCs w:val="24"/>
        </w:rPr>
        <w:t xml:space="preserve"> carbon vibrations in amorphous regions, while the D</w:t>
      </w:r>
      <w:r w:rsidRPr="00614C4B">
        <w:rPr>
          <w:rFonts w:ascii="Times New Roman" w:hAnsi="Times New Roman" w:cs="Times New Roman"/>
          <w:bCs/>
          <w:sz w:val="24"/>
          <w:szCs w:val="24"/>
          <w:vertAlign w:val="subscript"/>
        </w:rPr>
        <w:t>4</w:t>
      </w:r>
      <w:r w:rsidRPr="00614C4B">
        <w:rPr>
          <w:rFonts w:ascii="Times New Roman" w:hAnsi="Times New Roman" w:cs="Times New Roman"/>
          <w:bCs/>
          <w:sz w:val="24"/>
          <w:szCs w:val="24"/>
        </w:rPr>
        <w:t xml:space="preserve"> band at 1200 cm</w:t>
      </w:r>
      <w:r w:rsidRPr="00614C4B">
        <w:rPr>
          <w:rFonts w:ascii="Times New Roman" w:hAnsi="Times New Roman" w:cs="Times New Roman"/>
          <w:bCs/>
          <w:sz w:val="24"/>
          <w:szCs w:val="24"/>
          <w:vertAlign w:val="superscript"/>
          <w:lang w:val="de-DE"/>
        </w:rPr>
        <w:t>–</w:t>
      </w:r>
      <w:r w:rsidRPr="00614C4B">
        <w:rPr>
          <w:rFonts w:ascii="Times New Roman" w:hAnsi="Times New Roman" w:cs="Times New Roman" w:hint="eastAsia"/>
          <w:bCs/>
          <w:sz w:val="24"/>
          <w:szCs w:val="24"/>
          <w:vertAlign w:val="superscript"/>
          <w:lang w:val="de-DE"/>
        </w:rPr>
        <w:t>1</w:t>
      </w:r>
      <w:r w:rsidRPr="00614C4B">
        <w:rPr>
          <w:rFonts w:ascii="Times New Roman" w:hAnsi="Times New Roman" w:cs="Times New Roman"/>
          <w:bCs/>
          <w:sz w:val="24"/>
          <w:szCs w:val="24"/>
        </w:rPr>
        <w:t xml:space="preserve"> is linked to disordered graphitic lattices.</w:t>
      </w:r>
    </w:p>
    <w:p w14:paraId="2D9A0899" w14:textId="77777777" w:rsidR="00A73E01" w:rsidRDefault="00A73E01" w:rsidP="00614C4B">
      <w:pPr>
        <w:spacing w:before="120" w:after="120"/>
        <w:rPr>
          <w:rFonts w:ascii="Times New Roman" w:hAnsi="Times New Roman" w:cs="Times New Roman"/>
          <w:bCs/>
          <w:sz w:val="24"/>
          <w:szCs w:val="24"/>
        </w:rPr>
      </w:pPr>
    </w:p>
    <w:p w14:paraId="3215F3AD" w14:textId="0B21EEB2"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2FCED491" wp14:editId="4C0C2820">
            <wp:extent cx="2714737" cy="2314575"/>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S12.tif"/>
                    <pic:cNvPicPr/>
                  </pic:nvPicPr>
                  <pic:blipFill>
                    <a:blip r:embed="rId20"/>
                    <a:stretch>
                      <a:fillRect/>
                    </a:stretch>
                  </pic:blipFill>
                  <pic:spPr>
                    <a:xfrm>
                      <a:off x="0" y="0"/>
                      <a:ext cx="2715826" cy="2315504"/>
                    </a:xfrm>
                    <a:prstGeom prst="rect">
                      <a:avLst/>
                    </a:prstGeom>
                  </pic:spPr>
                </pic:pic>
              </a:graphicData>
            </a:graphic>
          </wp:inline>
        </w:drawing>
      </w:r>
    </w:p>
    <w:p w14:paraId="566AF253" w14:textId="77777777" w:rsidR="00614C4B" w:rsidRP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lang w:val="de-DE"/>
        </w:rPr>
        <w:t>Fig. S12</w:t>
      </w:r>
      <w:r w:rsidRPr="00614C4B">
        <w:rPr>
          <w:rFonts w:ascii="Times New Roman" w:hAnsi="Times New Roman" w:cs="Times New Roman"/>
          <w:bCs/>
          <w:sz w:val="24"/>
          <w:szCs w:val="24"/>
          <w:lang w:val="de-DE"/>
        </w:rPr>
        <w:t xml:space="preserve"> </w:t>
      </w:r>
      <w:r w:rsidRPr="00614C4B">
        <w:rPr>
          <w:rFonts w:ascii="Times New Roman" w:hAnsi="Times New Roman" w:cs="Times New Roman"/>
          <w:bCs/>
          <w:sz w:val="24"/>
          <w:szCs w:val="24"/>
        </w:rPr>
        <w:t>The fitted SAXS patterns of IOS-1200</w:t>
      </w:r>
    </w:p>
    <w:p w14:paraId="5FDF4825" w14:textId="77777777" w:rsidR="00614C4B" w:rsidRP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Cs/>
          <w:sz w:val="24"/>
          <w:szCs w:val="24"/>
        </w:rPr>
        <w:t>The SAXS profiles were further analyzed using a sphere and power-law model in SasView to obtain additional information regarding the closed-pore structure of IOS-1200. The sphere component was employed to capture the nanoscale structural feature associated with closed ultramicropores, while the power-law contribution represents the pore–carbon interfacial scattering behavior.</w:t>
      </w:r>
    </w:p>
    <w:p w14:paraId="13DFA629" w14:textId="7C8315FA"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Cs/>
          <w:sz w:val="24"/>
          <w:szCs w:val="24"/>
        </w:rPr>
        <w:t>The fitting results reveal a Porod exponent close to 4, suggesting relatively compact pore–carbon interfaces and dense carbon walls. Considering the highly disordered nature of HC, the fitted sphere contribution should be regarded as an equivalent structural correlation feature rather than an ideal geometric spherical pore model.</w:t>
      </w:r>
    </w:p>
    <w:p w14:paraId="4BEF1E3E" w14:textId="449EEC40"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1FDA3855" wp14:editId="0A8CC36B">
            <wp:extent cx="2816151" cy="2160000"/>
            <wp:effectExtent l="0" t="0" r="381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 S13.tif"/>
                    <pic:cNvPicPr/>
                  </pic:nvPicPr>
                  <pic:blipFill>
                    <a:blip r:embed="rId21" cstate="print">
                      <a:extLst>
                        <a:ext uri="{28A0092B-C50C-407E-A947-70E740481C1C}">
                          <a14:useLocalDpi xmlns:a14="http://schemas.microsoft.com/office/drawing/2010/main"/>
                        </a:ext>
                      </a:extLst>
                    </a:blip>
                    <a:stretch>
                      <a:fillRect/>
                    </a:stretch>
                  </pic:blipFill>
                  <pic:spPr>
                    <a:xfrm>
                      <a:off x="0" y="0"/>
                      <a:ext cx="2816151" cy="2160000"/>
                    </a:xfrm>
                    <a:prstGeom prst="rect">
                      <a:avLst/>
                    </a:prstGeom>
                  </pic:spPr>
                </pic:pic>
              </a:graphicData>
            </a:graphic>
          </wp:inline>
        </w:drawing>
      </w:r>
    </w:p>
    <w:p w14:paraId="2722E26F" w14:textId="006F4BD6" w:rsidR="00600AA1" w:rsidRDefault="00614C4B" w:rsidP="00600AA1">
      <w:pPr>
        <w:spacing w:before="120" w:after="120"/>
        <w:rPr>
          <w:rFonts w:ascii="Times New Roman" w:hAnsi="Times New Roman" w:cs="Times New Roman"/>
          <w:bCs/>
          <w:sz w:val="24"/>
          <w:szCs w:val="24"/>
          <w:lang w:val="de-DE"/>
        </w:rPr>
      </w:pPr>
      <w:r w:rsidRPr="00614C4B">
        <w:rPr>
          <w:rFonts w:ascii="Times New Roman" w:hAnsi="Times New Roman" w:cs="Times New Roman"/>
          <w:b/>
          <w:bCs/>
          <w:sz w:val="24"/>
          <w:szCs w:val="24"/>
          <w:lang w:val="de-DE"/>
        </w:rPr>
        <w:t>Fig. S13</w:t>
      </w:r>
      <w:r w:rsidRPr="00614C4B">
        <w:rPr>
          <w:rFonts w:ascii="Times New Roman" w:hAnsi="Times New Roman" w:cs="Times New Roman"/>
          <w:bCs/>
          <w:sz w:val="24"/>
          <w:szCs w:val="24"/>
          <w:lang w:val="de-DE"/>
        </w:rPr>
        <w:t xml:space="preserve"> CV profiles of OS-1200 at a scan rate of 0.1 mV s</w:t>
      </w:r>
      <w:r w:rsidRPr="00614C4B">
        <w:rPr>
          <w:rFonts w:ascii="Times New Roman" w:hAnsi="Times New Roman" w:cs="Times New Roman"/>
          <w:bCs/>
          <w:sz w:val="24"/>
          <w:szCs w:val="24"/>
          <w:vertAlign w:val="superscript"/>
          <w:lang w:val="de-DE"/>
        </w:rPr>
        <w:t>−1</w:t>
      </w:r>
      <w:r w:rsidRPr="00614C4B">
        <w:rPr>
          <w:rFonts w:ascii="Times New Roman" w:hAnsi="Times New Roman" w:cs="Times New Roman"/>
          <w:bCs/>
          <w:sz w:val="24"/>
          <w:szCs w:val="24"/>
          <w:lang w:val="de-DE"/>
        </w:rPr>
        <w:t>.</w:t>
      </w:r>
    </w:p>
    <w:p w14:paraId="179765B5" w14:textId="77777777" w:rsidR="00A73E01" w:rsidRDefault="00A73E01" w:rsidP="00600AA1">
      <w:pPr>
        <w:spacing w:before="120" w:after="120"/>
        <w:rPr>
          <w:rFonts w:ascii="Times New Roman" w:hAnsi="Times New Roman" w:cs="Times New Roman"/>
          <w:bCs/>
          <w:sz w:val="24"/>
          <w:szCs w:val="24"/>
          <w:lang w:val="de-DE"/>
        </w:rPr>
      </w:pPr>
    </w:p>
    <w:p w14:paraId="48BD0D82" w14:textId="263D8AC0"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2200B60D" wp14:editId="5899422E">
            <wp:extent cx="5032871" cy="216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 S14.tif"/>
                    <pic:cNvPicPr/>
                  </pic:nvPicPr>
                  <pic:blipFill>
                    <a:blip r:embed="rId22" cstate="print">
                      <a:extLst>
                        <a:ext uri="{28A0092B-C50C-407E-A947-70E740481C1C}">
                          <a14:useLocalDpi xmlns:a14="http://schemas.microsoft.com/office/drawing/2010/main"/>
                        </a:ext>
                      </a:extLst>
                    </a:blip>
                    <a:stretch>
                      <a:fillRect/>
                    </a:stretch>
                  </pic:blipFill>
                  <pic:spPr>
                    <a:xfrm>
                      <a:off x="0" y="0"/>
                      <a:ext cx="5032871" cy="2160000"/>
                    </a:xfrm>
                    <a:prstGeom prst="rect">
                      <a:avLst/>
                    </a:prstGeom>
                  </pic:spPr>
                </pic:pic>
              </a:graphicData>
            </a:graphic>
          </wp:inline>
        </w:drawing>
      </w:r>
    </w:p>
    <w:p w14:paraId="7957F42C" w14:textId="35CA7903" w:rsidR="00614C4B" w:rsidRDefault="00614C4B" w:rsidP="00614C4B">
      <w:pPr>
        <w:spacing w:before="120" w:after="120"/>
        <w:rPr>
          <w:rFonts w:ascii="Times New Roman" w:hAnsi="Times New Roman" w:cs="Times New Roman"/>
          <w:bCs/>
          <w:sz w:val="24"/>
          <w:szCs w:val="24"/>
        </w:rPr>
      </w:pPr>
      <w:bookmarkStart w:id="5" w:name="_Hlk230629382"/>
      <w:r w:rsidRPr="00614C4B">
        <w:rPr>
          <w:rFonts w:ascii="Times New Roman" w:hAnsi="Times New Roman" w:cs="Times New Roman"/>
          <w:b/>
          <w:bCs/>
          <w:sz w:val="24"/>
          <w:szCs w:val="24"/>
        </w:rPr>
        <w:t>Fig. S14.</w:t>
      </w:r>
      <w:r w:rsidRPr="00614C4B">
        <w:rPr>
          <w:rFonts w:ascii="Times New Roman" w:hAnsi="Times New Roman" w:cs="Times New Roman"/>
          <w:bCs/>
          <w:sz w:val="24"/>
          <w:szCs w:val="24"/>
        </w:rPr>
        <w:t xml:space="preserve"> </w:t>
      </w:r>
      <w:r w:rsidRPr="00EF0834">
        <w:rPr>
          <w:rFonts w:ascii="Times New Roman" w:hAnsi="Times New Roman" w:cs="Times New Roman"/>
          <w:b/>
          <w:bCs/>
          <w:sz w:val="24"/>
          <w:szCs w:val="24"/>
        </w:rPr>
        <w:t>a</w:t>
      </w:r>
      <w:r w:rsidRPr="00614C4B">
        <w:rPr>
          <w:rFonts w:ascii="Times New Roman" w:hAnsi="Times New Roman" w:cs="Times New Roman"/>
          <w:bCs/>
          <w:sz w:val="24"/>
          <w:szCs w:val="24"/>
        </w:rPr>
        <w:t xml:space="preserve"> Rate capability of the three HC samples</w:t>
      </w:r>
      <w:r w:rsidRPr="00614C4B">
        <w:rPr>
          <w:rFonts w:ascii="Times New Roman" w:hAnsi="Times New Roman" w:cs="Times New Roman" w:hint="eastAsia"/>
          <w:bCs/>
          <w:sz w:val="24"/>
          <w:szCs w:val="24"/>
        </w:rPr>
        <w:t>.</w:t>
      </w:r>
      <w:r w:rsidRPr="00614C4B">
        <w:rPr>
          <w:rFonts w:ascii="Times New Roman" w:hAnsi="Times New Roman" w:cs="Times New Roman"/>
          <w:bCs/>
          <w:sz w:val="24"/>
          <w:szCs w:val="24"/>
        </w:rPr>
        <w:t xml:space="preserve"> </w:t>
      </w:r>
      <w:r w:rsidRPr="00EF0834">
        <w:rPr>
          <w:rFonts w:ascii="Times New Roman" w:hAnsi="Times New Roman" w:cs="Times New Roman"/>
          <w:b/>
          <w:bCs/>
          <w:sz w:val="24"/>
          <w:szCs w:val="24"/>
        </w:rPr>
        <w:t>b</w:t>
      </w:r>
      <w:r w:rsidRPr="00614C4B">
        <w:rPr>
          <w:rFonts w:ascii="Times New Roman" w:hAnsi="Times New Roman" w:cs="Times New Roman"/>
          <w:bCs/>
          <w:sz w:val="24"/>
          <w:szCs w:val="24"/>
        </w:rPr>
        <w:t xml:space="preserve"> Comparative rate performance of IOS-1200 and previously reported carbon anodes [</w:t>
      </w:r>
      <w:r w:rsidR="00A73E01">
        <w:rPr>
          <w:rFonts w:ascii="Times New Roman" w:hAnsi="Times New Roman" w:cs="Times New Roman" w:hint="eastAsia"/>
          <w:bCs/>
          <w:sz w:val="24"/>
          <w:szCs w:val="24"/>
        </w:rPr>
        <w:t>S</w:t>
      </w:r>
      <w:r w:rsidRPr="00614C4B">
        <w:rPr>
          <w:rFonts w:ascii="Times New Roman" w:hAnsi="Times New Roman" w:cs="Times New Roman"/>
          <w:bCs/>
          <w:sz w:val="24"/>
          <w:szCs w:val="24"/>
        </w:rPr>
        <w:t>4–</w:t>
      </w:r>
      <w:r w:rsidR="00A73E01">
        <w:rPr>
          <w:rFonts w:ascii="Times New Roman" w:hAnsi="Times New Roman" w:cs="Times New Roman" w:hint="eastAsia"/>
          <w:bCs/>
          <w:sz w:val="24"/>
          <w:szCs w:val="24"/>
        </w:rPr>
        <w:t>S</w:t>
      </w:r>
      <w:r w:rsidRPr="00614C4B">
        <w:rPr>
          <w:rFonts w:ascii="Times New Roman" w:hAnsi="Times New Roman" w:cs="Times New Roman"/>
          <w:bCs/>
          <w:sz w:val="24"/>
          <w:szCs w:val="24"/>
        </w:rPr>
        <w:t>9].</w:t>
      </w:r>
      <w:bookmarkEnd w:id="5"/>
      <w:r w:rsidRPr="00614C4B">
        <w:rPr>
          <w:rFonts w:ascii="Times New Roman" w:hAnsi="Times New Roman" w:cs="Times New Roman"/>
          <w:bCs/>
          <w:sz w:val="24"/>
          <w:szCs w:val="24"/>
        </w:rPr>
        <w:t xml:space="preserve"> </w:t>
      </w:r>
    </w:p>
    <w:p w14:paraId="0AFABE54" w14:textId="77777777" w:rsidR="00A73E01" w:rsidRDefault="00A73E01" w:rsidP="00614C4B">
      <w:pPr>
        <w:spacing w:before="120" w:after="120"/>
        <w:rPr>
          <w:rFonts w:ascii="Times New Roman" w:hAnsi="Times New Roman" w:cs="Times New Roman"/>
          <w:bCs/>
          <w:sz w:val="24"/>
          <w:szCs w:val="24"/>
        </w:rPr>
      </w:pPr>
    </w:p>
    <w:p w14:paraId="26066CE9" w14:textId="3F9A49B5"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1A00A76B" wp14:editId="6A87035F">
            <wp:extent cx="5759450" cy="158813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S15.tif"/>
                    <pic:cNvPicPr/>
                  </pic:nvPicPr>
                  <pic:blipFill>
                    <a:blip r:embed="rId23" cstate="print">
                      <a:extLst>
                        <a:ext uri="{28A0092B-C50C-407E-A947-70E740481C1C}">
                          <a14:useLocalDpi xmlns:a14="http://schemas.microsoft.com/office/drawing/2010/main"/>
                        </a:ext>
                      </a:extLst>
                    </a:blip>
                    <a:stretch>
                      <a:fillRect/>
                    </a:stretch>
                  </pic:blipFill>
                  <pic:spPr>
                    <a:xfrm>
                      <a:off x="0" y="0"/>
                      <a:ext cx="5759450" cy="1588135"/>
                    </a:xfrm>
                    <a:prstGeom prst="rect">
                      <a:avLst/>
                    </a:prstGeom>
                  </pic:spPr>
                </pic:pic>
              </a:graphicData>
            </a:graphic>
          </wp:inline>
        </w:drawing>
      </w:r>
    </w:p>
    <w:p w14:paraId="01FA1BAC" w14:textId="1D0A8ABC"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w:t>
      </w:r>
      <w:r w:rsidRPr="00614C4B">
        <w:rPr>
          <w:rFonts w:ascii="Times New Roman" w:hAnsi="Times New Roman" w:cs="Times New Roman"/>
          <w:b/>
          <w:bCs/>
          <w:sz w:val="24"/>
          <w:szCs w:val="24"/>
          <w:lang w:val="de-DE"/>
        </w:rPr>
        <w:t xml:space="preserve"> </w:t>
      </w:r>
      <w:r w:rsidRPr="00614C4B">
        <w:rPr>
          <w:rFonts w:ascii="Times New Roman" w:hAnsi="Times New Roman" w:cs="Times New Roman"/>
          <w:b/>
          <w:bCs/>
          <w:sz w:val="24"/>
          <w:szCs w:val="24"/>
        </w:rPr>
        <w:t>S15</w:t>
      </w:r>
      <w:r w:rsidRPr="00614C4B">
        <w:rPr>
          <w:rFonts w:ascii="Times New Roman" w:hAnsi="Times New Roman" w:cs="Times New Roman"/>
          <w:bCs/>
          <w:sz w:val="24"/>
          <w:szCs w:val="24"/>
        </w:rPr>
        <w:t xml:space="preserve"> </w:t>
      </w:r>
      <w:r w:rsidRPr="00EF0834">
        <w:rPr>
          <w:rFonts w:ascii="Times New Roman" w:hAnsi="Times New Roman" w:cs="Times New Roman"/>
          <w:b/>
          <w:bCs/>
          <w:sz w:val="24"/>
          <w:szCs w:val="24"/>
        </w:rPr>
        <w:t>a</w:t>
      </w:r>
      <w:r w:rsidRPr="00614C4B">
        <w:rPr>
          <w:rFonts w:ascii="Times New Roman" w:hAnsi="Times New Roman" w:cs="Times New Roman"/>
          <w:bCs/>
          <w:sz w:val="24"/>
          <w:szCs w:val="24"/>
        </w:rPr>
        <w:t xml:space="preserve"> CV curves at different scan rates, </w:t>
      </w:r>
      <w:r w:rsidRPr="00EF0834">
        <w:rPr>
          <w:rFonts w:ascii="Times New Roman" w:hAnsi="Times New Roman" w:cs="Times New Roman"/>
          <w:b/>
          <w:bCs/>
          <w:sz w:val="24"/>
          <w:szCs w:val="24"/>
        </w:rPr>
        <w:t>b</w:t>
      </w:r>
      <w:r w:rsidRPr="00614C4B">
        <w:rPr>
          <w:rFonts w:ascii="Times New Roman" w:hAnsi="Times New Roman" w:cs="Times New Roman"/>
          <w:bCs/>
          <w:sz w:val="24"/>
          <w:szCs w:val="24"/>
        </w:rPr>
        <w:t xml:space="preserve"> linear fitting between log (</w:t>
      </w:r>
      <m:oMath>
        <m:r>
          <w:rPr>
            <w:rFonts w:ascii="Cambria Math" w:hAnsi="Cambria Math" w:cs="Times New Roman"/>
            <w:sz w:val="24"/>
            <w:szCs w:val="24"/>
          </w:rPr>
          <m:t>v</m:t>
        </m:r>
      </m:oMath>
      <w:r w:rsidRPr="00614C4B">
        <w:rPr>
          <w:rFonts w:ascii="Times New Roman" w:hAnsi="Times New Roman" w:cs="Times New Roman"/>
          <w:bCs/>
          <w:sz w:val="24"/>
          <w:szCs w:val="24"/>
        </w:rPr>
        <w:t>) and log (</w:t>
      </w:r>
      <m:oMath>
        <m:r>
          <w:rPr>
            <w:rFonts w:ascii="Cambria Math" w:hAnsi="Cambria Math" w:cs="Times New Roman"/>
            <w:sz w:val="24"/>
            <w:szCs w:val="24"/>
          </w:rPr>
          <m:t>i</m:t>
        </m:r>
      </m:oMath>
      <w:r w:rsidRPr="00614C4B">
        <w:rPr>
          <w:rFonts w:ascii="Times New Roman" w:hAnsi="Times New Roman" w:cs="Times New Roman"/>
          <w:bCs/>
          <w:sz w:val="24"/>
          <w:szCs w:val="24"/>
        </w:rPr>
        <w:t xml:space="preserve">) based on the power‑law relationship, and </w:t>
      </w:r>
      <w:r w:rsidRPr="00EF0834">
        <w:rPr>
          <w:rFonts w:ascii="Times New Roman" w:hAnsi="Times New Roman" w:cs="Times New Roman"/>
          <w:b/>
          <w:bCs/>
          <w:sz w:val="24"/>
          <w:szCs w:val="24"/>
        </w:rPr>
        <w:t>c</w:t>
      </w:r>
      <w:r w:rsidRPr="00614C4B">
        <w:rPr>
          <w:rFonts w:ascii="Times New Roman" w:hAnsi="Times New Roman" w:cs="Times New Roman"/>
          <w:bCs/>
          <w:sz w:val="24"/>
          <w:szCs w:val="24"/>
        </w:rPr>
        <w:t xml:space="preserve"> quantitative capacitive contribution at various scan rates of OS‑1200.</w:t>
      </w:r>
    </w:p>
    <w:p w14:paraId="387909F1" w14:textId="27DB356B"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1F9D1A92" wp14:editId="46B3606D">
            <wp:extent cx="5396314" cy="216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S16.tif"/>
                    <pic:cNvPicPr/>
                  </pic:nvPicPr>
                  <pic:blipFill>
                    <a:blip r:embed="rId24" cstate="print">
                      <a:extLst>
                        <a:ext uri="{28A0092B-C50C-407E-A947-70E740481C1C}">
                          <a14:useLocalDpi xmlns:a14="http://schemas.microsoft.com/office/drawing/2010/main"/>
                        </a:ext>
                      </a:extLst>
                    </a:blip>
                    <a:stretch>
                      <a:fillRect/>
                    </a:stretch>
                  </pic:blipFill>
                  <pic:spPr>
                    <a:xfrm>
                      <a:off x="0" y="0"/>
                      <a:ext cx="5396314" cy="2160000"/>
                    </a:xfrm>
                    <a:prstGeom prst="rect">
                      <a:avLst/>
                    </a:prstGeom>
                  </pic:spPr>
                </pic:pic>
              </a:graphicData>
            </a:graphic>
          </wp:inline>
        </w:drawing>
      </w:r>
    </w:p>
    <w:p w14:paraId="7294B94E" w14:textId="2B60DCB9"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w:t>
      </w:r>
      <w:r w:rsidRPr="00614C4B">
        <w:rPr>
          <w:rFonts w:ascii="Times New Roman" w:hAnsi="Times New Roman" w:cs="Times New Roman"/>
          <w:b/>
          <w:bCs/>
          <w:sz w:val="24"/>
          <w:szCs w:val="24"/>
          <w:lang w:val="de-DE"/>
        </w:rPr>
        <w:t xml:space="preserve"> </w:t>
      </w:r>
      <w:r w:rsidRPr="00614C4B">
        <w:rPr>
          <w:rFonts w:ascii="Times New Roman" w:hAnsi="Times New Roman" w:cs="Times New Roman"/>
          <w:b/>
          <w:bCs/>
          <w:sz w:val="24"/>
          <w:szCs w:val="24"/>
        </w:rPr>
        <w:t>S16</w:t>
      </w:r>
      <w:r w:rsidRPr="00614C4B">
        <w:rPr>
          <w:rFonts w:ascii="Times New Roman" w:hAnsi="Times New Roman" w:cs="Times New Roman"/>
          <w:bCs/>
          <w:sz w:val="24"/>
          <w:szCs w:val="24"/>
        </w:rPr>
        <w:t xml:space="preserve"> Na</w:t>
      </w:r>
      <w:r w:rsidRPr="00614C4B">
        <w:rPr>
          <w:rFonts w:ascii="Times New Roman" w:hAnsi="Times New Roman" w:cs="Times New Roman"/>
          <w:bCs/>
          <w:sz w:val="24"/>
          <w:szCs w:val="24"/>
          <w:vertAlign w:val="superscript"/>
        </w:rPr>
        <w:t>+</w:t>
      </w:r>
      <w:r w:rsidRPr="00614C4B">
        <w:rPr>
          <w:rFonts w:ascii="Times New Roman" w:hAnsi="Times New Roman" w:cs="Times New Roman"/>
          <w:bCs/>
          <w:sz w:val="24"/>
          <w:szCs w:val="24"/>
        </w:rPr>
        <w:t xml:space="preserve"> diffusion coefficients (</w:t>
      </w:r>
      <w:r w:rsidRPr="00614C4B">
        <w:rPr>
          <w:rFonts w:ascii="Times New Roman" w:hAnsi="Times New Roman" w:cs="Times New Roman"/>
          <w:bCs/>
          <w:i/>
          <w:sz w:val="24"/>
          <w:szCs w:val="24"/>
        </w:rPr>
        <w:t>D</w:t>
      </w:r>
      <w:r w:rsidRPr="00614C4B">
        <w:rPr>
          <w:rFonts w:ascii="Times New Roman" w:hAnsi="Times New Roman" w:cs="Times New Roman"/>
          <w:bCs/>
          <w:sz w:val="24"/>
          <w:szCs w:val="24"/>
          <w:vertAlign w:val="subscript"/>
        </w:rPr>
        <w:t>Na⁺</w:t>
      </w:r>
      <w:r w:rsidRPr="00614C4B">
        <w:rPr>
          <w:rFonts w:ascii="Times New Roman" w:hAnsi="Times New Roman" w:cs="Times New Roman"/>
          <w:bCs/>
          <w:sz w:val="24"/>
          <w:szCs w:val="24"/>
        </w:rPr>
        <w:t xml:space="preserve">) derived from GITT analysis during the </w:t>
      </w:r>
      <w:r w:rsidRPr="00EF0834">
        <w:rPr>
          <w:rFonts w:ascii="Times New Roman" w:hAnsi="Times New Roman" w:cs="Times New Roman"/>
          <w:b/>
          <w:bCs/>
          <w:sz w:val="24"/>
          <w:szCs w:val="24"/>
        </w:rPr>
        <w:t>a</w:t>
      </w:r>
      <w:r w:rsidRPr="00614C4B">
        <w:rPr>
          <w:rFonts w:ascii="Times New Roman" w:hAnsi="Times New Roman" w:cs="Times New Roman"/>
          <w:bCs/>
          <w:sz w:val="24"/>
          <w:szCs w:val="24"/>
        </w:rPr>
        <w:t xml:space="preserve"> sodiation and </w:t>
      </w:r>
      <w:r w:rsidRPr="00EF0834">
        <w:rPr>
          <w:rFonts w:ascii="Times New Roman" w:hAnsi="Times New Roman" w:cs="Times New Roman"/>
          <w:b/>
          <w:bCs/>
          <w:sz w:val="24"/>
          <w:szCs w:val="24"/>
        </w:rPr>
        <w:t>b</w:t>
      </w:r>
      <w:r w:rsidRPr="00614C4B">
        <w:rPr>
          <w:rFonts w:ascii="Times New Roman" w:hAnsi="Times New Roman" w:cs="Times New Roman"/>
          <w:bCs/>
          <w:sz w:val="24"/>
          <w:szCs w:val="24"/>
        </w:rPr>
        <w:t xml:space="preserve"> desodiation processes for S-1200, OS-1200, and IOS-1200.</w:t>
      </w:r>
    </w:p>
    <w:p w14:paraId="655EE75B" w14:textId="77777777" w:rsidR="00A73E01" w:rsidRDefault="00A73E01" w:rsidP="00614C4B">
      <w:pPr>
        <w:spacing w:before="120" w:after="120"/>
        <w:rPr>
          <w:rFonts w:ascii="Times New Roman" w:hAnsi="Times New Roman" w:cs="Times New Roman"/>
          <w:bCs/>
          <w:sz w:val="24"/>
          <w:szCs w:val="24"/>
        </w:rPr>
      </w:pPr>
    </w:p>
    <w:p w14:paraId="3E005D8E" w14:textId="1ADEDF30" w:rsidR="00A37C34"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74150C32" wp14:editId="4FDF5B03">
            <wp:extent cx="3998976" cy="3889248"/>
            <wp:effectExtent l="0" t="0" r="190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 S17-1.tif"/>
                    <pic:cNvPicPr/>
                  </pic:nvPicPr>
                  <pic:blipFill>
                    <a:blip r:embed="rId25" cstate="print">
                      <a:extLst>
                        <a:ext uri="{28A0092B-C50C-407E-A947-70E740481C1C}">
                          <a14:useLocalDpi xmlns:a14="http://schemas.microsoft.com/office/drawing/2010/main"/>
                        </a:ext>
                      </a:extLst>
                    </a:blip>
                    <a:stretch>
                      <a:fillRect/>
                    </a:stretch>
                  </pic:blipFill>
                  <pic:spPr>
                    <a:xfrm>
                      <a:off x="0" y="0"/>
                      <a:ext cx="3998976" cy="3889248"/>
                    </a:xfrm>
                    <a:prstGeom prst="rect">
                      <a:avLst/>
                    </a:prstGeom>
                  </pic:spPr>
                </pic:pic>
              </a:graphicData>
            </a:graphic>
          </wp:inline>
        </w:drawing>
      </w:r>
    </w:p>
    <w:p w14:paraId="732506B5" w14:textId="49A2A547" w:rsidR="00A37C34"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7FAB7539" wp14:editId="7EEFC82D">
            <wp:extent cx="3691938" cy="3738562"/>
            <wp:effectExtent l="0" t="0" r="381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 S17-2.tif"/>
                    <pic:cNvPicPr/>
                  </pic:nvPicPr>
                  <pic:blipFill>
                    <a:blip r:embed="rId26" cstate="print">
                      <a:extLst>
                        <a:ext uri="{28A0092B-C50C-407E-A947-70E740481C1C}">
                          <a14:useLocalDpi xmlns:a14="http://schemas.microsoft.com/office/drawing/2010/main"/>
                        </a:ext>
                      </a:extLst>
                    </a:blip>
                    <a:stretch>
                      <a:fillRect/>
                    </a:stretch>
                  </pic:blipFill>
                  <pic:spPr>
                    <a:xfrm>
                      <a:off x="0" y="0"/>
                      <a:ext cx="3697812" cy="3744511"/>
                    </a:xfrm>
                    <a:prstGeom prst="rect">
                      <a:avLst/>
                    </a:prstGeom>
                  </pic:spPr>
                </pic:pic>
              </a:graphicData>
            </a:graphic>
          </wp:inline>
        </w:drawing>
      </w:r>
    </w:p>
    <w:p w14:paraId="6C838B57" w14:textId="0F903381"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2A148EBE" wp14:editId="0106DA42">
            <wp:extent cx="3495675" cy="36831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 S17-3.tif"/>
                    <pic:cNvPicPr/>
                  </pic:nvPicPr>
                  <pic:blipFill>
                    <a:blip r:embed="rId27" cstate="print">
                      <a:extLst>
                        <a:ext uri="{28A0092B-C50C-407E-A947-70E740481C1C}">
                          <a14:useLocalDpi xmlns:a14="http://schemas.microsoft.com/office/drawing/2010/main"/>
                        </a:ext>
                      </a:extLst>
                    </a:blip>
                    <a:stretch>
                      <a:fillRect/>
                    </a:stretch>
                  </pic:blipFill>
                  <pic:spPr>
                    <a:xfrm>
                      <a:off x="0" y="0"/>
                      <a:ext cx="3498484" cy="3686110"/>
                    </a:xfrm>
                    <a:prstGeom prst="rect">
                      <a:avLst/>
                    </a:prstGeom>
                  </pic:spPr>
                </pic:pic>
              </a:graphicData>
            </a:graphic>
          </wp:inline>
        </w:drawing>
      </w:r>
    </w:p>
    <w:p w14:paraId="44ABB1AA" w14:textId="21001754" w:rsidR="00614C4B" w:rsidRP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 S</w:t>
      </w:r>
      <w:r w:rsidRPr="00614C4B">
        <w:rPr>
          <w:rFonts w:ascii="Times New Roman" w:hAnsi="Times New Roman" w:cs="Times New Roman" w:hint="eastAsia"/>
          <w:b/>
          <w:bCs/>
          <w:sz w:val="24"/>
          <w:szCs w:val="24"/>
        </w:rPr>
        <w:t>1</w:t>
      </w:r>
      <w:r w:rsidRPr="00614C4B">
        <w:rPr>
          <w:rFonts w:ascii="Times New Roman" w:hAnsi="Times New Roman" w:cs="Times New Roman"/>
          <w:b/>
          <w:bCs/>
          <w:sz w:val="24"/>
          <w:szCs w:val="24"/>
        </w:rPr>
        <w:t>7</w:t>
      </w:r>
      <w:r w:rsidRPr="00614C4B">
        <w:rPr>
          <w:rFonts w:ascii="Times New Roman" w:hAnsi="Times New Roman" w:cs="Times New Roman"/>
          <w:bCs/>
          <w:sz w:val="24"/>
          <w:szCs w:val="24"/>
        </w:rPr>
        <w:t xml:space="preserve"> Depth-profiling XPS spectra of the SEI on the S-1200 and OS-1200 anode after 10 cycles charged to 3.0 V: </w:t>
      </w:r>
      <w:r w:rsidRPr="00EF0834">
        <w:rPr>
          <w:rFonts w:ascii="Times New Roman" w:hAnsi="Times New Roman" w:cs="Times New Roman"/>
          <w:b/>
          <w:bCs/>
          <w:sz w:val="24"/>
          <w:szCs w:val="24"/>
        </w:rPr>
        <w:t>a–b</w:t>
      </w:r>
      <w:r w:rsidRPr="00614C4B">
        <w:rPr>
          <w:rFonts w:ascii="Times New Roman" w:hAnsi="Times New Roman" w:cs="Times New Roman"/>
          <w:bCs/>
          <w:sz w:val="24"/>
          <w:szCs w:val="24"/>
        </w:rPr>
        <w:t xml:space="preserve"> C 1s, </w:t>
      </w:r>
      <w:r w:rsidRPr="00EF0834">
        <w:rPr>
          <w:rFonts w:ascii="Times New Roman" w:hAnsi="Times New Roman" w:cs="Times New Roman"/>
          <w:b/>
          <w:bCs/>
          <w:sz w:val="24"/>
          <w:szCs w:val="24"/>
        </w:rPr>
        <w:t>c–d</w:t>
      </w:r>
      <w:r w:rsidRPr="00614C4B">
        <w:rPr>
          <w:rFonts w:ascii="Times New Roman" w:hAnsi="Times New Roman" w:cs="Times New Roman"/>
          <w:bCs/>
          <w:sz w:val="24"/>
          <w:szCs w:val="24"/>
        </w:rPr>
        <w:t xml:space="preserve"> O 1s, and </w:t>
      </w:r>
      <w:r w:rsidRPr="00EF0834">
        <w:rPr>
          <w:rFonts w:ascii="Times New Roman" w:hAnsi="Times New Roman" w:cs="Times New Roman"/>
          <w:b/>
          <w:bCs/>
          <w:sz w:val="24"/>
          <w:szCs w:val="24"/>
        </w:rPr>
        <w:t xml:space="preserve">e–f </w:t>
      </w:r>
      <w:r w:rsidRPr="00614C4B">
        <w:rPr>
          <w:rFonts w:ascii="Times New Roman" w:hAnsi="Times New Roman" w:cs="Times New Roman"/>
          <w:bCs/>
          <w:sz w:val="24"/>
          <w:szCs w:val="24"/>
        </w:rPr>
        <w:t>F 1s.</w:t>
      </w:r>
    </w:p>
    <w:p w14:paraId="09CBA65F" w14:textId="11BB8F69"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Cs/>
          <w:sz w:val="24"/>
          <w:szCs w:val="24"/>
        </w:rPr>
        <w:t>Notably, the XPS spectra for S-1200 and OS-1200 (Fig. S1</w:t>
      </w:r>
      <w:r w:rsidR="00F54FBA">
        <w:rPr>
          <w:rFonts w:ascii="Times New Roman" w:hAnsi="Times New Roman" w:cs="Times New Roman"/>
          <w:bCs/>
          <w:sz w:val="24"/>
          <w:szCs w:val="24"/>
        </w:rPr>
        <w:t>7</w:t>
      </w:r>
      <w:r w:rsidRPr="00614C4B">
        <w:rPr>
          <w:rFonts w:ascii="Times New Roman" w:hAnsi="Times New Roman" w:cs="Times New Roman"/>
          <w:bCs/>
          <w:sz w:val="24"/>
          <w:szCs w:val="24"/>
        </w:rPr>
        <w:t>) are plotted on the same relative intensity scale (a.u.) as those for IOS-1200 (Fig. 4d–f) to facilitate direct comparison. Therefore, substantial blank spaces appear in Fig. S1</w:t>
      </w:r>
      <w:r w:rsidR="000D13D6">
        <w:rPr>
          <w:rFonts w:ascii="Times New Roman" w:hAnsi="Times New Roman" w:cs="Times New Roman"/>
          <w:bCs/>
          <w:sz w:val="24"/>
          <w:szCs w:val="24"/>
        </w:rPr>
        <w:t>7</w:t>
      </w:r>
      <w:r w:rsidRPr="00614C4B">
        <w:rPr>
          <w:rFonts w:ascii="Times New Roman" w:hAnsi="Times New Roman" w:cs="Times New Roman"/>
          <w:bCs/>
          <w:sz w:val="24"/>
          <w:szCs w:val="24"/>
        </w:rPr>
        <w:t>e</w:t>
      </w:r>
      <w:r w:rsidR="000D13D6" w:rsidRPr="00EF0834">
        <w:rPr>
          <w:rFonts w:ascii="Times New Roman" w:hAnsi="Times New Roman" w:cs="Times New Roman"/>
          <w:b/>
          <w:bCs/>
          <w:sz w:val="24"/>
          <w:szCs w:val="24"/>
        </w:rPr>
        <w:t>–</w:t>
      </w:r>
      <w:r w:rsidRPr="00614C4B">
        <w:rPr>
          <w:rFonts w:ascii="Times New Roman" w:hAnsi="Times New Roman" w:cs="Times New Roman"/>
          <w:bCs/>
          <w:sz w:val="24"/>
          <w:szCs w:val="24"/>
        </w:rPr>
        <w:t>f, as the F 1s peak intensities of S-1200 and OS-1200 are much lower relative to that of IOS-1200.</w:t>
      </w:r>
    </w:p>
    <w:p w14:paraId="2072630C" w14:textId="61F50D1C" w:rsidR="00A37C34" w:rsidRPr="00614C4B" w:rsidRDefault="00A37C34" w:rsidP="00E21CB3">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1104C9BC" wp14:editId="48DA7D54">
            <wp:extent cx="5641848" cy="2124456"/>
            <wp:effectExtent l="0" t="0" r="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 S18.tif"/>
                    <pic:cNvPicPr/>
                  </pic:nvPicPr>
                  <pic:blipFill>
                    <a:blip r:embed="rId28" cstate="print">
                      <a:extLst>
                        <a:ext uri="{28A0092B-C50C-407E-A947-70E740481C1C}">
                          <a14:useLocalDpi xmlns:a14="http://schemas.microsoft.com/office/drawing/2010/main"/>
                        </a:ext>
                      </a:extLst>
                    </a:blip>
                    <a:stretch>
                      <a:fillRect/>
                    </a:stretch>
                  </pic:blipFill>
                  <pic:spPr>
                    <a:xfrm>
                      <a:off x="0" y="0"/>
                      <a:ext cx="5641848" cy="2124456"/>
                    </a:xfrm>
                    <a:prstGeom prst="rect">
                      <a:avLst/>
                    </a:prstGeom>
                  </pic:spPr>
                </pic:pic>
              </a:graphicData>
            </a:graphic>
          </wp:inline>
        </w:drawing>
      </w:r>
    </w:p>
    <w:p w14:paraId="434C66E0" w14:textId="7BF25B64"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 S18</w:t>
      </w:r>
      <w:r w:rsidRPr="00614C4B">
        <w:rPr>
          <w:rFonts w:ascii="Times New Roman" w:hAnsi="Times New Roman" w:cs="Times New Roman"/>
          <w:bCs/>
          <w:sz w:val="24"/>
          <w:szCs w:val="24"/>
        </w:rPr>
        <w:t xml:space="preserve"> In situ EIS profiles recorded during the discharging </w:t>
      </w:r>
      <w:r w:rsidRPr="00614C4B">
        <w:rPr>
          <w:rFonts w:ascii="Times New Roman" w:hAnsi="Times New Roman" w:cs="Times New Roman" w:hint="eastAsia"/>
          <w:bCs/>
          <w:sz w:val="24"/>
          <w:szCs w:val="24"/>
        </w:rPr>
        <w:t>and</w:t>
      </w:r>
      <w:r w:rsidRPr="00614C4B">
        <w:rPr>
          <w:rFonts w:ascii="Times New Roman" w:hAnsi="Times New Roman" w:cs="Times New Roman"/>
          <w:bCs/>
          <w:sz w:val="24"/>
          <w:szCs w:val="24"/>
        </w:rPr>
        <w:t xml:space="preserve"> charging cycling of </w:t>
      </w:r>
      <w:r w:rsidRPr="00D75BFB">
        <w:rPr>
          <w:rFonts w:ascii="Times New Roman" w:hAnsi="Times New Roman" w:cs="Times New Roman"/>
          <w:b/>
          <w:bCs/>
          <w:sz w:val="24"/>
          <w:szCs w:val="24"/>
        </w:rPr>
        <w:t>a</w:t>
      </w:r>
      <w:r w:rsidRPr="00614C4B">
        <w:rPr>
          <w:rFonts w:ascii="Times New Roman" w:hAnsi="Times New Roman" w:cs="Times New Roman"/>
          <w:bCs/>
          <w:sz w:val="24"/>
          <w:szCs w:val="24"/>
        </w:rPr>
        <w:t xml:space="preserve"> IOS-1200 and </w:t>
      </w:r>
      <w:r w:rsidRPr="00D75BFB">
        <w:rPr>
          <w:rFonts w:ascii="Times New Roman" w:hAnsi="Times New Roman" w:cs="Times New Roman"/>
          <w:b/>
          <w:bCs/>
          <w:sz w:val="24"/>
          <w:szCs w:val="24"/>
        </w:rPr>
        <w:t>b</w:t>
      </w:r>
      <w:r w:rsidRPr="00614C4B">
        <w:rPr>
          <w:rFonts w:ascii="Times New Roman" w:hAnsi="Times New Roman" w:cs="Times New Roman"/>
          <w:bCs/>
          <w:sz w:val="24"/>
          <w:szCs w:val="24"/>
        </w:rPr>
        <w:t xml:space="preserve"> OS-1200.</w:t>
      </w:r>
    </w:p>
    <w:p w14:paraId="46FCF4B4" w14:textId="77777777" w:rsidR="00A73E01" w:rsidRDefault="00A73E01" w:rsidP="00614C4B">
      <w:pPr>
        <w:spacing w:before="120" w:after="120"/>
        <w:rPr>
          <w:rFonts w:ascii="Times New Roman" w:hAnsi="Times New Roman" w:cs="Times New Roman"/>
          <w:bCs/>
          <w:sz w:val="24"/>
          <w:szCs w:val="24"/>
        </w:rPr>
      </w:pPr>
    </w:p>
    <w:p w14:paraId="1BA903E4" w14:textId="2D7EB1AE"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70732A76" wp14:editId="32A04096">
            <wp:extent cx="2723839" cy="21600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 S19.tif"/>
                    <pic:cNvPicPr/>
                  </pic:nvPicPr>
                  <pic:blipFill>
                    <a:blip r:embed="rId29" cstate="print">
                      <a:extLst>
                        <a:ext uri="{28A0092B-C50C-407E-A947-70E740481C1C}">
                          <a14:useLocalDpi xmlns:a14="http://schemas.microsoft.com/office/drawing/2010/main"/>
                        </a:ext>
                      </a:extLst>
                    </a:blip>
                    <a:stretch>
                      <a:fillRect/>
                    </a:stretch>
                  </pic:blipFill>
                  <pic:spPr>
                    <a:xfrm>
                      <a:off x="0" y="0"/>
                      <a:ext cx="2723839" cy="2160000"/>
                    </a:xfrm>
                    <a:prstGeom prst="rect">
                      <a:avLst/>
                    </a:prstGeom>
                  </pic:spPr>
                </pic:pic>
              </a:graphicData>
            </a:graphic>
          </wp:inline>
        </w:drawing>
      </w:r>
    </w:p>
    <w:p w14:paraId="285A83DB" w14:textId="5764D220"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 xml:space="preserve">Fig. S19 </w:t>
      </w:r>
      <w:r w:rsidRPr="00614C4B">
        <w:rPr>
          <w:rFonts w:ascii="Times New Roman" w:hAnsi="Times New Roman" w:cs="Times New Roman"/>
          <w:bCs/>
          <w:sz w:val="24"/>
          <w:szCs w:val="24"/>
        </w:rPr>
        <w:t>DRT curve fitted from EIS spectra for OS-1200.</w:t>
      </w:r>
    </w:p>
    <w:p w14:paraId="68F8571D" w14:textId="77777777" w:rsidR="00A73E01" w:rsidRDefault="00A73E01" w:rsidP="00614C4B">
      <w:pPr>
        <w:spacing w:before="120" w:after="120"/>
        <w:rPr>
          <w:rFonts w:ascii="Times New Roman" w:hAnsi="Times New Roman" w:cs="Times New Roman"/>
          <w:bCs/>
          <w:sz w:val="24"/>
          <w:szCs w:val="24"/>
        </w:rPr>
      </w:pPr>
    </w:p>
    <w:p w14:paraId="51DDF947" w14:textId="61B19BFC"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75B9EB7C" wp14:editId="69C7D76C">
            <wp:extent cx="5026152" cy="2447544"/>
            <wp:effectExtent l="0" t="0" r="317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 S20.tif"/>
                    <pic:cNvPicPr/>
                  </pic:nvPicPr>
                  <pic:blipFill>
                    <a:blip r:embed="rId30" cstate="print">
                      <a:extLst>
                        <a:ext uri="{28A0092B-C50C-407E-A947-70E740481C1C}">
                          <a14:useLocalDpi xmlns:a14="http://schemas.microsoft.com/office/drawing/2010/main"/>
                        </a:ext>
                      </a:extLst>
                    </a:blip>
                    <a:stretch>
                      <a:fillRect/>
                    </a:stretch>
                  </pic:blipFill>
                  <pic:spPr>
                    <a:xfrm>
                      <a:off x="0" y="0"/>
                      <a:ext cx="5026152" cy="2447544"/>
                    </a:xfrm>
                    <a:prstGeom prst="rect">
                      <a:avLst/>
                    </a:prstGeom>
                  </pic:spPr>
                </pic:pic>
              </a:graphicData>
            </a:graphic>
          </wp:inline>
        </w:drawing>
      </w:r>
    </w:p>
    <w:p w14:paraId="7B4EB9F1" w14:textId="1E1FBBC0" w:rsidR="00600AA1" w:rsidRDefault="00614C4B" w:rsidP="00600AA1">
      <w:pPr>
        <w:spacing w:before="120" w:after="120"/>
        <w:rPr>
          <w:rFonts w:ascii="Times New Roman" w:hAnsi="Times New Roman" w:cs="Times New Roman"/>
          <w:bCs/>
          <w:sz w:val="24"/>
          <w:szCs w:val="24"/>
          <w:lang w:val="de-DE"/>
        </w:rPr>
      </w:pPr>
      <w:r w:rsidRPr="00614C4B">
        <w:rPr>
          <w:rFonts w:ascii="Times New Roman" w:hAnsi="Times New Roman" w:cs="Times New Roman"/>
          <w:b/>
          <w:bCs/>
          <w:sz w:val="24"/>
          <w:szCs w:val="24"/>
          <w:lang w:val="en-GB"/>
        </w:rPr>
        <w:t>Fig.</w:t>
      </w:r>
      <w:r w:rsidRPr="00614C4B">
        <w:rPr>
          <w:rFonts w:ascii="Times New Roman" w:hAnsi="Times New Roman" w:cs="Times New Roman"/>
          <w:b/>
          <w:bCs/>
          <w:sz w:val="24"/>
          <w:szCs w:val="24"/>
          <w:lang w:val="de-DE"/>
        </w:rPr>
        <w:t xml:space="preserve"> S20</w:t>
      </w:r>
      <w:r w:rsidRPr="00614C4B">
        <w:rPr>
          <w:rFonts w:ascii="Times New Roman" w:hAnsi="Times New Roman" w:cs="Times New Roman"/>
          <w:bCs/>
          <w:sz w:val="24"/>
          <w:szCs w:val="24"/>
          <w:lang w:val="de-DE"/>
        </w:rPr>
        <w:t xml:space="preserve"> Schematic adsorption model of EC and PF</w:t>
      </w:r>
      <w:r w:rsidRPr="00614C4B">
        <w:rPr>
          <w:rFonts w:ascii="Times New Roman" w:hAnsi="Times New Roman" w:cs="Times New Roman"/>
          <w:bCs/>
          <w:sz w:val="24"/>
          <w:szCs w:val="24"/>
          <w:vertAlign w:val="subscript"/>
          <w:lang w:val="de-DE"/>
        </w:rPr>
        <w:t>6</w:t>
      </w:r>
      <w:r w:rsidRPr="00614C4B">
        <w:rPr>
          <w:rFonts w:ascii="Times New Roman" w:hAnsi="Times New Roman" w:cs="Times New Roman"/>
          <w:bCs/>
          <w:sz w:val="24"/>
          <w:szCs w:val="24"/>
          <w:vertAlign w:val="superscript"/>
          <w:lang w:val="de-DE"/>
        </w:rPr>
        <w:sym w:font="Symbol" w:char="F02D"/>
      </w:r>
      <w:r w:rsidRPr="00614C4B">
        <w:rPr>
          <w:rFonts w:ascii="Times New Roman" w:hAnsi="Times New Roman" w:cs="Times New Roman"/>
          <w:bCs/>
          <w:sz w:val="24"/>
          <w:szCs w:val="24"/>
          <w:lang w:val="de-DE"/>
        </w:rPr>
        <w:t xml:space="preserve"> on the </w:t>
      </w:r>
      <w:r w:rsidRPr="00614C4B">
        <w:rPr>
          <w:rFonts w:ascii="Times New Roman" w:hAnsi="Times New Roman" w:cs="Times New Roman" w:hint="eastAsia"/>
          <w:bCs/>
          <w:sz w:val="24"/>
          <w:szCs w:val="24"/>
          <w:lang w:val="de-DE"/>
        </w:rPr>
        <w:t>pure</w:t>
      </w:r>
      <w:r w:rsidRPr="00614C4B">
        <w:rPr>
          <w:rFonts w:ascii="Times New Roman" w:hAnsi="Times New Roman" w:cs="Times New Roman"/>
          <w:bCs/>
          <w:sz w:val="24"/>
          <w:szCs w:val="24"/>
          <w:lang w:val="de-DE"/>
        </w:rPr>
        <w:t xml:space="preserve"> carbon surface.</w:t>
      </w:r>
    </w:p>
    <w:p w14:paraId="42726813" w14:textId="015460A3" w:rsidR="00A37C34" w:rsidRPr="00614C4B" w:rsidRDefault="00A37C34" w:rsidP="00A37C34">
      <w:pPr>
        <w:spacing w:before="120" w:after="120"/>
        <w:jc w:val="center"/>
        <w:rPr>
          <w:rFonts w:ascii="Times New Roman" w:hAnsi="Times New Roman" w:cs="Times New Roman"/>
          <w:bCs/>
          <w:sz w:val="24"/>
          <w:szCs w:val="24"/>
        </w:rPr>
      </w:pPr>
      <w:r>
        <w:rPr>
          <w:rFonts w:ascii="Times New Roman" w:hAnsi="Times New Roman" w:cs="Times New Roman" w:hint="eastAsia"/>
          <w:bCs/>
          <w:noProof/>
          <w:sz w:val="24"/>
          <w:szCs w:val="24"/>
        </w:rPr>
        <w:drawing>
          <wp:inline distT="0" distB="0" distL="0" distR="0" wp14:anchorId="1D0BF454" wp14:editId="5584886E">
            <wp:extent cx="2520000" cy="3960000"/>
            <wp:effectExtent l="0" t="0" r="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 S21.tif"/>
                    <pic:cNvPicPr/>
                  </pic:nvPicPr>
                  <pic:blipFill>
                    <a:blip r:embed="rId31"/>
                    <a:stretch>
                      <a:fillRect/>
                    </a:stretch>
                  </pic:blipFill>
                  <pic:spPr>
                    <a:xfrm>
                      <a:off x="0" y="0"/>
                      <a:ext cx="2520000" cy="3960000"/>
                    </a:xfrm>
                    <a:prstGeom prst="rect">
                      <a:avLst/>
                    </a:prstGeom>
                  </pic:spPr>
                </pic:pic>
              </a:graphicData>
            </a:graphic>
          </wp:inline>
        </w:drawing>
      </w:r>
    </w:p>
    <w:p w14:paraId="5037B0F7" w14:textId="5872D8D9" w:rsidR="00614C4B"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 S21</w:t>
      </w:r>
      <w:r w:rsidRPr="00614C4B">
        <w:rPr>
          <w:rFonts w:ascii="Times New Roman" w:hAnsi="Times New Roman" w:cs="Times New Roman" w:hint="eastAsia"/>
          <w:b/>
          <w:bCs/>
          <w:sz w:val="24"/>
          <w:szCs w:val="24"/>
        </w:rPr>
        <w:t xml:space="preserve"> </w:t>
      </w:r>
      <w:r w:rsidRPr="00614C4B">
        <w:rPr>
          <w:rFonts w:ascii="Times New Roman" w:hAnsi="Times New Roman" w:cs="Times New Roman"/>
          <w:bCs/>
          <w:sz w:val="24"/>
          <w:szCs w:val="24"/>
        </w:rPr>
        <w:t>Selective in situ XRD patterns of IOS-1200 during discharge and charge process.</w:t>
      </w:r>
    </w:p>
    <w:p w14:paraId="2E7B79D1" w14:textId="77777777" w:rsidR="00A73E01" w:rsidRDefault="00A73E01" w:rsidP="00614C4B">
      <w:pPr>
        <w:spacing w:before="120" w:after="120"/>
        <w:rPr>
          <w:rFonts w:ascii="Times New Roman" w:hAnsi="Times New Roman" w:cs="Times New Roman"/>
          <w:bCs/>
          <w:sz w:val="24"/>
          <w:szCs w:val="24"/>
        </w:rPr>
      </w:pPr>
    </w:p>
    <w:p w14:paraId="48F5E475" w14:textId="674731CD" w:rsidR="00A37C34" w:rsidRPr="00614C4B" w:rsidRDefault="00A37C34" w:rsidP="00A37C34">
      <w:pPr>
        <w:spacing w:before="120" w:after="120"/>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314E7245" wp14:editId="1BDF8A42">
            <wp:extent cx="3706899" cy="2160000"/>
            <wp:effectExtent l="0" t="0" r="825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 S22.tif"/>
                    <pic:cNvPicPr/>
                  </pic:nvPicPr>
                  <pic:blipFill>
                    <a:blip r:embed="rId32" cstate="print">
                      <a:extLst>
                        <a:ext uri="{28A0092B-C50C-407E-A947-70E740481C1C}">
                          <a14:useLocalDpi xmlns:a14="http://schemas.microsoft.com/office/drawing/2010/main"/>
                        </a:ext>
                      </a:extLst>
                    </a:blip>
                    <a:stretch>
                      <a:fillRect/>
                    </a:stretch>
                  </pic:blipFill>
                  <pic:spPr>
                    <a:xfrm>
                      <a:off x="0" y="0"/>
                      <a:ext cx="3706899" cy="2160000"/>
                    </a:xfrm>
                    <a:prstGeom prst="rect">
                      <a:avLst/>
                    </a:prstGeom>
                  </pic:spPr>
                </pic:pic>
              </a:graphicData>
            </a:graphic>
          </wp:inline>
        </w:drawing>
      </w:r>
    </w:p>
    <w:p w14:paraId="33F5C19B" w14:textId="1EA37305" w:rsidR="00A37C34" w:rsidRDefault="00614C4B" w:rsidP="00614C4B">
      <w:pPr>
        <w:spacing w:before="120" w:after="120"/>
        <w:rPr>
          <w:rFonts w:ascii="Times New Roman" w:hAnsi="Times New Roman" w:cs="Times New Roman"/>
          <w:bCs/>
          <w:sz w:val="24"/>
          <w:szCs w:val="24"/>
        </w:rPr>
      </w:pPr>
      <w:r w:rsidRPr="00614C4B">
        <w:rPr>
          <w:rFonts w:ascii="Times New Roman" w:hAnsi="Times New Roman" w:cs="Times New Roman"/>
          <w:b/>
          <w:bCs/>
          <w:sz w:val="24"/>
          <w:szCs w:val="24"/>
        </w:rPr>
        <w:t>Fig. S22</w:t>
      </w:r>
      <w:r w:rsidRPr="00614C4B">
        <w:rPr>
          <w:rFonts w:ascii="Times New Roman" w:hAnsi="Times New Roman" w:cs="Times New Roman"/>
          <w:bCs/>
          <w:sz w:val="24"/>
          <w:szCs w:val="24"/>
        </w:rPr>
        <w:t xml:space="preserve"> Picture of the reaction of IOS-1200 with ethanol solution containing 1% phenolphthalein at different potentials.</w:t>
      </w:r>
    </w:p>
    <w:p w14:paraId="7ACF594C" w14:textId="76FB8F94" w:rsidR="00614C4B" w:rsidRPr="00A73E01" w:rsidRDefault="00614C4B" w:rsidP="00A73E01">
      <w:pPr>
        <w:widowControl/>
        <w:jc w:val="left"/>
        <w:rPr>
          <w:rFonts w:ascii="Times New Roman" w:hAnsi="Times New Roman" w:cs="Times New Roman"/>
          <w:bCs/>
          <w:sz w:val="24"/>
          <w:szCs w:val="24"/>
        </w:rPr>
      </w:pPr>
      <w:r w:rsidRPr="00972475">
        <w:rPr>
          <w:rFonts w:ascii="Times New Roman" w:hAnsi="Times New Roman" w:cs="Times New Roman"/>
          <w:b/>
          <w:bCs/>
          <w:kern w:val="0"/>
          <w:sz w:val="28"/>
          <w:szCs w:val="28"/>
          <w14:ligatures w14:val="none"/>
        </w:rPr>
        <w:t>S</w:t>
      </w:r>
      <w:r w:rsidR="00EF0834">
        <w:rPr>
          <w:rFonts w:ascii="Times New Roman" w:hAnsi="Times New Roman" w:cs="Times New Roman"/>
          <w:b/>
          <w:bCs/>
          <w:kern w:val="0"/>
          <w:sz w:val="28"/>
          <w:szCs w:val="28"/>
          <w14:ligatures w14:val="none"/>
        </w:rPr>
        <w:t>2</w:t>
      </w:r>
      <w:r w:rsidRPr="00972475">
        <w:rPr>
          <w:rFonts w:ascii="Times New Roman" w:hAnsi="Times New Roman" w:cs="Times New Roman" w:hint="eastAsia"/>
          <w:b/>
          <w:bCs/>
          <w:kern w:val="0"/>
          <w:sz w:val="28"/>
          <w:szCs w:val="28"/>
          <w14:ligatures w14:val="none"/>
        </w:rPr>
        <w:t xml:space="preserve"> Supporting </w:t>
      </w:r>
      <w:r w:rsidRPr="00614C4B">
        <w:rPr>
          <w:rFonts w:ascii="Times New Roman" w:hAnsi="Times New Roman" w:cs="Times New Roman"/>
          <w:b/>
          <w:bCs/>
          <w:kern w:val="0"/>
          <w:sz w:val="28"/>
          <w:szCs w:val="28"/>
          <w:lang w:val="de-DE"/>
          <w14:ligatures w14:val="none"/>
        </w:rPr>
        <w:t>Table</w:t>
      </w:r>
      <w:r>
        <w:rPr>
          <w:rFonts w:ascii="Times New Roman" w:hAnsi="Times New Roman" w:cs="Times New Roman" w:hint="eastAsia"/>
          <w:b/>
          <w:bCs/>
          <w:kern w:val="0"/>
          <w:sz w:val="28"/>
          <w:szCs w:val="28"/>
          <w:lang w:val="de-DE"/>
          <w14:ligatures w14:val="none"/>
        </w:rPr>
        <w:t>s</w:t>
      </w:r>
    </w:p>
    <w:p w14:paraId="043F2189" w14:textId="77777777" w:rsidR="00A73E01" w:rsidRDefault="00A73E01" w:rsidP="00614C4B">
      <w:pPr>
        <w:widowControl/>
        <w:spacing w:before="120" w:after="120"/>
        <w:rPr>
          <w:rFonts w:ascii="Times New Roman" w:hAnsi="Times New Roman" w:cs="Times New Roman"/>
          <w:b/>
          <w:bCs/>
          <w:kern w:val="0"/>
          <w:sz w:val="24"/>
          <w:szCs w:val="24"/>
          <w14:ligatures w14:val="none"/>
        </w:rPr>
      </w:pPr>
      <w:bookmarkStart w:id="6" w:name="_Hlk232447918"/>
    </w:p>
    <w:p w14:paraId="74404169" w14:textId="77777777" w:rsidR="00A73E01" w:rsidRDefault="00A73E01" w:rsidP="00614C4B">
      <w:pPr>
        <w:widowControl/>
        <w:spacing w:before="120" w:after="120"/>
        <w:rPr>
          <w:rFonts w:ascii="Times New Roman" w:hAnsi="Times New Roman" w:cs="Times New Roman"/>
          <w:b/>
          <w:bCs/>
          <w:kern w:val="0"/>
          <w:sz w:val="24"/>
          <w:szCs w:val="24"/>
          <w14:ligatures w14:val="none"/>
        </w:rPr>
      </w:pPr>
    </w:p>
    <w:p w14:paraId="6C0DF215" w14:textId="77777777" w:rsidR="00A73E01" w:rsidRDefault="00A73E01" w:rsidP="00614C4B">
      <w:pPr>
        <w:widowControl/>
        <w:spacing w:before="120" w:after="120"/>
        <w:rPr>
          <w:rFonts w:ascii="Times New Roman" w:hAnsi="Times New Roman" w:cs="Times New Roman"/>
          <w:b/>
          <w:bCs/>
          <w:kern w:val="0"/>
          <w:sz w:val="24"/>
          <w:szCs w:val="24"/>
          <w14:ligatures w14:val="none"/>
        </w:rPr>
      </w:pPr>
    </w:p>
    <w:p w14:paraId="50F71D77" w14:textId="4382F747" w:rsidR="00614C4B" w:rsidRPr="00614C4B" w:rsidRDefault="00614C4B" w:rsidP="00614C4B">
      <w:pPr>
        <w:widowControl/>
        <w:spacing w:before="120" w:after="120"/>
        <w:rPr>
          <w:rFonts w:ascii="Times New Roman" w:hAnsi="Times New Roman" w:cs="Times New Roman"/>
          <w:bCs/>
          <w:kern w:val="0"/>
          <w:sz w:val="24"/>
          <w:szCs w:val="24"/>
          <w14:ligatures w14:val="none"/>
        </w:rPr>
      </w:pPr>
      <w:r w:rsidRPr="00614C4B">
        <w:rPr>
          <w:rFonts w:ascii="Times New Roman" w:hAnsi="Times New Roman" w:cs="Times New Roman"/>
          <w:b/>
          <w:bCs/>
          <w:kern w:val="0"/>
          <w:sz w:val="24"/>
          <w:szCs w:val="24"/>
          <w14:ligatures w14:val="none"/>
        </w:rPr>
        <w:t>Table</w:t>
      </w:r>
      <w:bookmarkEnd w:id="6"/>
      <w:r w:rsidRPr="00614C4B">
        <w:rPr>
          <w:rFonts w:ascii="Times New Roman" w:hAnsi="Times New Roman" w:cs="Times New Roman"/>
          <w:b/>
          <w:bCs/>
          <w:kern w:val="0"/>
          <w:sz w:val="24"/>
          <w:szCs w:val="24"/>
          <w14:ligatures w14:val="none"/>
        </w:rPr>
        <w:t xml:space="preserve"> S1</w:t>
      </w:r>
      <w:r w:rsidRPr="00614C4B">
        <w:rPr>
          <w:rFonts w:ascii="Times New Roman" w:hAnsi="Times New Roman" w:cs="Times New Roman"/>
          <w:bCs/>
          <w:kern w:val="0"/>
          <w:sz w:val="24"/>
          <w:szCs w:val="24"/>
          <w14:ligatures w14:val="none"/>
        </w:rPr>
        <w:t xml:space="preserve"> Fitting atomic proportion of O 1s</w:t>
      </w:r>
      <w:r w:rsidRPr="00614C4B">
        <w:rPr>
          <w:rFonts w:ascii="Times New Roman" w:hAnsi="Times New Roman" w:cs="Times New Roman" w:hint="eastAsia"/>
          <w:bCs/>
          <w:kern w:val="0"/>
          <w:sz w:val="24"/>
          <w:szCs w:val="24"/>
          <w14:ligatures w14:val="none"/>
        </w:rPr>
        <w:t>,</w:t>
      </w:r>
      <w:r w:rsidRPr="00614C4B">
        <w:rPr>
          <w:rFonts w:ascii="Times New Roman" w:hAnsi="Times New Roman" w:cs="Times New Roman"/>
          <w:bCs/>
          <w:kern w:val="0"/>
          <w:sz w:val="24"/>
          <w:szCs w:val="24"/>
          <w14:ligatures w14:val="none"/>
        </w:rPr>
        <w:t xml:space="preserve"> C 1s and I 3d spectra in the XPS pattern of the</w:t>
      </w:r>
      <w:r w:rsidR="0056495B">
        <w:rPr>
          <w:rFonts w:ascii="Times New Roman" w:hAnsi="Times New Roman" w:cs="Times New Roman"/>
          <w:bCs/>
          <w:kern w:val="0"/>
          <w:sz w:val="24"/>
          <w:szCs w:val="24"/>
          <w14:ligatures w14:val="none"/>
        </w:rPr>
        <w:t xml:space="preserve"> </w:t>
      </w:r>
      <w:r w:rsidRPr="00614C4B">
        <w:rPr>
          <w:rFonts w:ascii="Times New Roman" w:hAnsi="Times New Roman" w:cs="Times New Roman"/>
          <w:bCs/>
          <w:kern w:val="0"/>
          <w:sz w:val="24"/>
          <w:szCs w:val="24"/>
          <w14:ligatures w14:val="none"/>
        </w:rPr>
        <w:t>different HC materials</w:t>
      </w:r>
    </w:p>
    <w:tbl>
      <w:tblPr>
        <w:tblStyle w:val="11"/>
        <w:tblW w:w="9836" w:type="dxa"/>
        <w:tblLook w:val="04A0" w:firstRow="1" w:lastRow="0" w:firstColumn="1" w:lastColumn="0" w:noHBand="0" w:noVBand="1"/>
      </w:tblPr>
      <w:tblGrid>
        <w:gridCol w:w="1261"/>
        <w:gridCol w:w="699"/>
        <w:gridCol w:w="747"/>
        <w:gridCol w:w="825"/>
        <w:gridCol w:w="269"/>
        <w:gridCol w:w="832"/>
        <w:gridCol w:w="832"/>
        <w:gridCol w:w="832"/>
        <w:gridCol w:w="1021"/>
        <w:gridCol w:w="700"/>
        <w:gridCol w:w="269"/>
        <w:gridCol w:w="775"/>
        <w:gridCol w:w="680"/>
        <w:gridCol w:w="94"/>
      </w:tblGrid>
      <w:tr w:rsidR="00614C4B" w:rsidRPr="00A73E01" w14:paraId="0E44D316" w14:textId="77777777" w:rsidTr="00614C4B">
        <w:trPr>
          <w:gridAfter w:val="1"/>
          <w:wAfter w:w="94" w:type="dxa"/>
          <w:trHeight w:val="465"/>
        </w:trPr>
        <w:tc>
          <w:tcPr>
            <w:tcW w:w="1261" w:type="dxa"/>
            <w:vMerge w:val="restart"/>
            <w:tcBorders>
              <w:top w:val="single" w:sz="4" w:space="0" w:color="auto"/>
              <w:left w:val="nil"/>
              <w:right w:val="nil"/>
            </w:tcBorders>
            <w:vAlign w:val="center"/>
          </w:tcPr>
          <w:p w14:paraId="712B00A9"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等线" w:hAnsi="Times New Roman" w:cs="Times New Roman"/>
                <w:bCs/>
                <w:szCs w:val="21"/>
              </w:rPr>
              <w:t>Sample</w:t>
            </w:r>
          </w:p>
        </w:tc>
        <w:tc>
          <w:tcPr>
            <w:tcW w:w="2271" w:type="dxa"/>
            <w:gridSpan w:val="3"/>
            <w:tcBorders>
              <w:top w:val="single" w:sz="4" w:space="0" w:color="auto"/>
              <w:left w:val="nil"/>
              <w:bottom w:val="single" w:sz="8" w:space="0" w:color="auto"/>
              <w:right w:val="nil"/>
            </w:tcBorders>
            <w:vAlign w:val="center"/>
          </w:tcPr>
          <w:p w14:paraId="19C54643"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等线" w:hAnsi="Times New Roman" w:cs="Times New Roman"/>
                <w:bCs/>
                <w:szCs w:val="21"/>
              </w:rPr>
              <w:t>O 1s (%)</w:t>
            </w:r>
          </w:p>
        </w:tc>
        <w:tc>
          <w:tcPr>
            <w:tcW w:w="269" w:type="dxa"/>
            <w:vMerge w:val="restart"/>
            <w:tcBorders>
              <w:top w:val="single" w:sz="4" w:space="0" w:color="auto"/>
              <w:left w:val="nil"/>
              <w:right w:val="nil"/>
            </w:tcBorders>
            <w:vAlign w:val="center"/>
          </w:tcPr>
          <w:p w14:paraId="402548E3"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3517" w:type="dxa"/>
            <w:gridSpan w:val="4"/>
            <w:tcBorders>
              <w:top w:val="single" w:sz="4" w:space="0" w:color="auto"/>
              <w:left w:val="nil"/>
              <w:bottom w:val="single" w:sz="6" w:space="0" w:color="auto"/>
              <w:right w:val="nil"/>
            </w:tcBorders>
            <w:vAlign w:val="center"/>
          </w:tcPr>
          <w:p w14:paraId="716A106B"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等线" w:hAnsi="Times New Roman" w:cs="Times New Roman"/>
                <w:bCs/>
                <w:szCs w:val="21"/>
              </w:rPr>
              <w:t>C 1s (%)</w:t>
            </w:r>
          </w:p>
        </w:tc>
        <w:tc>
          <w:tcPr>
            <w:tcW w:w="700" w:type="dxa"/>
            <w:tcBorders>
              <w:top w:val="single" w:sz="4" w:space="0" w:color="auto"/>
              <w:left w:val="nil"/>
              <w:bottom w:val="single" w:sz="8" w:space="0" w:color="auto"/>
              <w:right w:val="nil"/>
            </w:tcBorders>
            <w:vAlign w:val="center"/>
          </w:tcPr>
          <w:p w14:paraId="0D04BE8D"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p>
        </w:tc>
        <w:tc>
          <w:tcPr>
            <w:tcW w:w="269" w:type="dxa"/>
            <w:vMerge w:val="restart"/>
            <w:tcBorders>
              <w:top w:val="single" w:sz="4" w:space="0" w:color="auto"/>
              <w:left w:val="nil"/>
              <w:right w:val="nil"/>
            </w:tcBorders>
            <w:vAlign w:val="center"/>
          </w:tcPr>
          <w:p w14:paraId="0A0EED6F"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p>
        </w:tc>
        <w:tc>
          <w:tcPr>
            <w:tcW w:w="1455" w:type="dxa"/>
            <w:gridSpan w:val="2"/>
            <w:tcBorders>
              <w:top w:val="single" w:sz="4" w:space="0" w:color="auto"/>
              <w:left w:val="nil"/>
              <w:bottom w:val="nil"/>
              <w:right w:val="nil"/>
            </w:tcBorders>
            <w:vAlign w:val="center"/>
          </w:tcPr>
          <w:p w14:paraId="79B7765D"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等线" w:hAnsi="Times New Roman" w:cs="Times New Roman"/>
                <w:bCs/>
                <w:szCs w:val="21"/>
              </w:rPr>
              <w:t>I 3d (%)</w:t>
            </w:r>
          </w:p>
        </w:tc>
      </w:tr>
      <w:tr w:rsidR="00614C4B" w:rsidRPr="00A73E01" w14:paraId="22B5555D" w14:textId="77777777" w:rsidTr="00614C4B">
        <w:trPr>
          <w:trHeight w:val="465"/>
        </w:trPr>
        <w:tc>
          <w:tcPr>
            <w:tcW w:w="1261" w:type="dxa"/>
            <w:vMerge/>
            <w:tcBorders>
              <w:left w:val="nil"/>
              <w:bottom w:val="single" w:sz="12" w:space="0" w:color="auto"/>
              <w:right w:val="nil"/>
            </w:tcBorders>
            <w:vAlign w:val="center"/>
          </w:tcPr>
          <w:p w14:paraId="0162ABD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699" w:type="dxa"/>
            <w:tcBorders>
              <w:top w:val="single" w:sz="8" w:space="0" w:color="auto"/>
              <w:left w:val="nil"/>
              <w:bottom w:val="single" w:sz="12" w:space="0" w:color="auto"/>
              <w:right w:val="nil"/>
            </w:tcBorders>
            <w:vAlign w:val="center"/>
          </w:tcPr>
          <w:p w14:paraId="416811F4"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O-</w:t>
            </w:r>
            <w:r w:rsidRPr="00A73E01">
              <w:rPr>
                <w:rFonts w:ascii="Times New Roman" w:eastAsia="微软雅黑" w:hAnsi="Times New Roman" w:cs="Times New Roman"/>
                <w:szCs w:val="21"/>
              </w:rPr>
              <w:t>Ⅰ</w:t>
            </w:r>
          </w:p>
        </w:tc>
        <w:tc>
          <w:tcPr>
            <w:tcW w:w="747" w:type="dxa"/>
            <w:tcBorders>
              <w:top w:val="single" w:sz="8" w:space="0" w:color="auto"/>
              <w:left w:val="nil"/>
              <w:bottom w:val="single" w:sz="12" w:space="0" w:color="auto"/>
              <w:right w:val="nil"/>
            </w:tcBorders>
            <w:vAlign w:val="center"/>
          </w:tcPr>
          <w:p w14:paraId="5085A139"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O-</w:t>
            </w:r>
            <w:r w:rsidRPr="00A73E01">
              <w:rPr>
                <w:rFonts w:ascii="Times New Roman" w:eastAsia="微软雅黑" w:hAnsi="Times New Roman" w:cs="Times New Roman"/>
                <w:szCs w:val="21"/>
              </w:rPr>
              <w:t>Ⅱ</w:t>
            </w:r>
          </w:p>
        </w:tc>
        <w:tc>
          <w:tcPr>
            <w:tcW w:w="825" w:type="dxa"/>
            <w:tcBorders>
              <w:top w:val="single" w:sz="8" w:space="0" w:color="auto"/>
              <w:left w:val="nil"/>
              <w:bottom w:val="single" w:sz="12" w:space="0" w:color="auto"/>
              <w:right w:val="nil"/>
            </w:tcBorders>
            <w:vAlign w:val="center"/>
          </w:tcPr>
          <w:p w14:paraId="3186D602"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O-</w:t>
            </w:r>
            <w:r w:rsidRPr="00A73E01">
              <w:rPr>
                <w:rFonts w:ascii="Times New Roman" w:eastAsia="微软雅黑" w:hAnsi="Times New Roman" w:cs="Times New Roman"/>
                <w:szCs w:val="21"/>
              </w:rPr>
              <w:t>Ⅲ</w:t>
            </w:r>
          </w:p>
        </w:tc>
        <w:tc>
          <w:tcPr>
            <w:tcW w:w="269" w:type="dxa"/>
            <w:vMerge/>
            <w:tcBorders>
              <w:left w:val="nil"/>
              <w:right w:val="nil"/>
            </w:tcBorders>
            <w:vAlign w:val="center"/>
          </w:tcPr>
          <w:p w14:paraId="1CCCDD73"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832" w:type="dxa"/>
            <w:tcBorders>
              <w:top w:val="single" w:sz="8" w:space="0" w:color="auto"/>
              <w:left w:val="nil"/>
              <w:bottom w:val="single" w:sz="12" w:space="0" w:color="auto"/>
              <w:right w:val="nil"/>
            </w:tcBorders>
            <w:vAlign w:val="center"/>
          </w:tcPr>
          <w:p w14:paraId="7A584CA1"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C=C</w:t>
            </w:r>
          </w:p>
        </w:tc>
        <w:tc>
          <w:tcPr>
            <w:tcW w:w="832" w:type="dxa"/>
            <w:tcBorders>
              <w:top w:val="single" w:sz="8" w:space="0" w:color="auto"/>
              <w:left w:val="nil"/>
              <w:bottom w:val="single" w:sz="12" w:space="0" w:color="auto"/>
              <w:right w:val="nil"/>
            </w:tcBorders>
            <w:vAlign w:val="center"/>
          </w:tcPr>
          <w:p w14:paraId="2880C41C"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C</w:t>
            </w:r>
            <w:r w:rsidRPr="00A73E01">
              <w:rPr>
                <w:rFonts w:ascii="Times New Roman" w:hAnsi="Times New Roman" w:cs="Times New Roman"/>
                <w:szCs w:val="21"/>
              </w:rPr>
              <w:t>–</w:t>
            </w:r>
            <w:r w:rsidRPr="00A73E01">
              <w:rPr>
                <w:rFonts w:ascii="Times New Roman" w:eastAsia="等线" w:hAnsi="Times New Roman" w:cs="Times New Roman"/>
                <w:szCs w:val="21"/>
              </w:rPr>
              <w:t>O</w:t>
            </w:r>
          </w:p>
        </w:tc>
        <w:tc>
          <w:tcPr>
            <w:tcW w:w="832" w:type="dxa"/>
            <w:tcBorders>
              <w:top w:val="single" w:sz="8" w:space="0" w:color="auto"/>
              <w:left w:val="nil"/>
              <w:bottom w:val="single" w:sz="12" w:space="0" w:color="auto"/>
              <w:right w:val="nil"/>
            </w:tcBorders>
            <w:vAlign w:val="center"/>
          </w:tcPr>
          <w:p w14:paraId="6EF03751"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C=O</w:t>
            </w:r>
          </w:p>
        </w:tc>
        <w:tc>
          <w:tcPr>
            <w:tcW w:w="1021" w:type="dxa"/>
            <w:tcBorders>
              <w:top w:val="single" w:sz="8" w:space="0" w:color="auto"/>
              <w:left w:val="nil"/>
              <w:bottom w:val="single" w:sz="12" w:space="0" w:color="auto"/>
              <w:right w:val="nil"/>
            </w:tcBorders>
            <w:vAlign w:val="center"/>
          </w:tcPr>
          <w:p w14:paraId="108713C4"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O-C=O</w:t>
            </w:r>
          </w:p>
        </w:tc>
        <w:tc>
          <w:tcPr>
            <w:tcW w:w="700" w:type="dxa"/>
            <w:tcBorders>
              <w:top w:val="single" w:sz="8" w:space="0" w:color="auto"/>
              <w:left w:val="nil"/>
              <w:bottom w:val="single" w:sz="12" w:space="0" w:color="auto"/>
              <w:right w:val="nil"/>
            </w:tcBorders>
            <w:vAlign w:val="center"/>
          </w:tcPr>
          <w:p w14:paraId="290E0B10"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π–π*</w:t>
            </w:r>
          </w:p>
        </w:tc>
        <w:tc>
          <w:tcPr>
            <w:tcW w:w="269" w:type="dxa"/>
            <w:vMerge/>
            <w:tcBorders>
              <w:left w:val="nil"/>
              <w:right w:val="nil"/>
            </w:tcBorders>
            <w:vAlign w:val="center"/>
          </w:tcPr>
          <w:p w14:paraId="1ACB3BE2"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775" w:type="dxa"/>
            <w:tcBorders>
              <w:top w:val="single" w:sz="8" w:space="0" w:color="auto"/>
              <w:left w:val="nil"/>
              <w:bottom w:val="single" w:sz="12" w:space="0" w:color="auto"/>
              <w:right w:val="nil"/>
            </w:tcBorders>
            <w:vAlign w:val="center"/>
          </w:tcPr>
          <w:p w14:paraId="01C50321"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I</w:t>
            </w:r>
            <w:r w:rsidRPr="00A73E01">
              <w:rPr>
                <w:rFonts w:ascii="Times New Roman" w:eastAsia="等线" w:hAnsi="Times New Roman" w:cs="Times New Roman"/>
                <w:szCs w:val="21"/>
                <w:vertAlign w:val="subscript"/>
              </w:rPr>
              <w:t>3</w:t>
            </w:r>
            <w:r w:rsidRPr="00A73E01">
              <w:rPr>
                <w:rFonts w:ascii="Times New Roman" w:eastAsia="宋体" w:hAnsi="Times New Roman" w:cs="Times New Roman"/>
                <w:szCs w:val="21"/>
                <w:vertAlign w:val="superscript"/>
              </w:rPr>
              <w:sym w:font="Symbol" w:char="F02D"/>
            </w:r>
          </w:p>
        </w:tc>
        <w:tc>
          <w:tcPr>
            <w:tcW w:w="774" w:type="dxa"/>
            <w:gridSpan w:val="2"/>
            <w:tcBorders>
              <w:top w:val="single" w:sz="8" w:space="0" w:color="auto"/>
              <w:left w:val="nil"/>
              <w:bottom w:val="single" w:sz="12" w:space="0" w:color="auto"/>
              <w:right w:val="nil"/>
            </w:tcBorders>
            <w:vAlign w:val="center"/>
          </w:tcPr>
          <w:p w14:paraId="7E15BB09"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I</w:t>
            </w:r>
            <w:r w:rsidRPr="00A73E01">
              <w:rPr>
                <w:rFonts w:ascii="Times New Roman" w:eastAsia="等线" w:hAnsi="Times New Roman" w:cs="Times New Roman"/>
                <w:szCs w:val="21"/>
                <w:vertAlign w:val="subscript"/>
              </w:rPr>
              <w:t>5</w:t>
            </w:r>
            <w:r w:rsidRPr="00A73E01">
              <w:rPr>
                <w:rFonts w:ascii="Times New Roman" w:eastAsia="宋体" w:hAnsi="Times New Roman" w:cs="Times New Roman"/>
                <w:szCs w:val="21"/>
                <w:vertAlign w:val="superscript"/>
              </w:rPr>
              <w:sym w:font="Symbol" w:char="F02D"/>
            </w:r>
          </w:p>
        </w:tc>
      </w:tr>
      <w:tr w:rsidR="00614C4B" w:rsidRPr="00A73E01" w14:paraId="78CE1F60" w14:textId="77777777" w:rsidTr="00614C4B">
        <w:trPr>
          <w:trHeight w:val="465"/>
        </w:trPr>
        <w:tc>
          <w:tcPr>
            <w:tcW w:w="1261" w:type="dxa"/>
            <w:tcBorders>
              <w:top w:val="single" w:sz="12" w:space="0" w:color="auto"/>
              <w:left w:val="nil"/>
              <w:bottom w:val="nil"/>
              <w:right w:val="nil"/>
            </w:tcBorders>
            <w:vAlign w:val="center"/>
          </w:tcPr>
          <w:p w14:paraId="21989C64"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Times New Roman" w:hAnsi="Times New Roman" w:cs="Times New Roman"/>
                <w:bCs/>
                <w:szCs w:val="21"/>
              </w:rPr>
              <w:t>S-1200</w:t>
            </w:r>
          </w:p>
        </w:tc>
        <w:tc>
          <w:tcPr>
            <w:tcW w:w="699" w:type="dxa"/>
            <w:tcBorders>
              <w:top w:val="single" w:sz="12" w:space="0" w:color="auto"/>
              <w:left w:val="nil"/>
              <w:bottom w:val="nil"/>
              <w:right w:val="nil"/>
            </w:tcBorders>
            <w:vAlign w:val="center"/>
          </w:tcPr>
          <w:p w14:paraId="76B4665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0.47</w:t>
            </w:r>
          </w:p>
        </w:tc>
        <w:tc>
          <w:tcPr>
            <w:tcW w:w="747" w:type="dxa"/>
            <w:tcBorders>
              <w:top w:val="single" w:sz="12" w:space="0" w:color="auto"/>
              <w:left w:val="nil"/>
              <w:bottom w:val="nil"/>
              <w:right w:val="nil"/>
            </w:tcBorders>
            <w:vAlign w:val="center"/>
          </w:tcPr>
          <w:p w14:paraId="01C80D47"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3.05</w:t>
            </w:r>
          </w:p>
        </w:tc>
        <w:tc>
          <w:tcPr>
            <w:tcW w:w="825" w:type="dxa"/>
            <w:tcBorders>
              <w:top w:val="single" w:sz="12" w:space="0" w:color="auto"/>
              <w:left w:val="nil"/>
              <w:bottom w:val="nil"/>
              <w:right w:val="nil"/>
            </w:tcBorders>
            <w:vAlign w:val="center"/>
          </w:tcPr>
          <w:p w14:paraId="72B20A4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3.50</w:t>
            </w:r>
          </w:p>
        </w:tc>
        <w:tc>
          <w:tcPr>
            <w:tcW w:w="269" w:type="dxa"/>
            <w:vMerge/>
            <w:tcBorders>
              <w:top w:val="single" w:sz="8" w:space="0" w:color="auto"/>
              <w:left w:val="nil"/>
              <w:right w:val="nil"/>
            </w:tcBorders>
            <w:vAlign w:val="center"/>
          </w:tcPr>
          <w:p w14:paraId="3341031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832" w:type="dxa"/>
            <w:tcBorders>
              <w:top w:val="single" w:sz="12" w:space="0" w:color="auto"/>
              <w:left w:val="nil"/>
              <w:bottom w:val="nil"/>
              <w:right w:val="nil"/>
            </w:tcBorders>
            <w:vAlign w:val="center"/>
          </w:tcPr>
          <w:p w14:paraId="602043DF"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62.91</w:t>
            </w:r>
          </w:p>
        </w:tc>
        <w:tc>
          <w:tcPr>
            <w:tcW w:w="832" w:type="dxa"/>
            <w:tcBorders>
              <w:top w:val="single" w:sz="12" w:space="0" w:color="auto"/>
              <w:left w:val="nil"/>
              <w:bottom w:val="nil"/>
              <w:right w:val="nil"/>
            </w:tcBorders>
            <w:vAlign w:val="center"/>
          </w:tcPr>
          <w:p w14:paraId="50D8BCE5"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8.90</w:t>
            </w:r>
          </w:p>
        </w:tc>
        <w:tc>
          <w:tcPr>
            <w:tcW w:w="832" w:type="dxa"/>
            <w:tcBorders>
              <w:top w:val="single" w:sz="12" w:space="0" w:color="auto"/>
              <w:left w:val="nil"/>
              <w:bottom w:val="nil"/>
              <w:right w:val="nil"/>
            </w:tcBorders>
            <w:vAlign w:val="center"/>
          </w:tcPr>
          <w:p w14:paraId="25D372D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10.44</w:t>
            </w:r>
          </w:p>
        </w:tc>
        <w:tc>
          <w:tcPr>
            <w:tcW w:w="1021" w:type="dxa"/>
            <w:tcBorders>
              <w:top w:val="single" w:sz="12" w:space="0" w:color="auto"/>
              <w:left w:val="nil"/>
              <w:bottom w:val="nil"/>
              <w:right w:val="nil"/>
            </w:tcBorders>
            <w:vAlign w:val="center"/>
          </w:tcPr>
          <w:p w14:paraId="3BE946D2"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10.73</w:t>
            </w:r>
          </w:p>
        </w:tc>
        <w:tc>
          <w:tcPr>
            <w:tcW w:w="700" w:type="dxa"/>
            <w:tcBorders>
              <w:top w:val="single" w:sz="12" w:space="0" w:color="auto"/>
              <w:left w:val="nil"/>
              <w:bottom w:val="nil"/>
              <w:right w:val="nil"/>
            </w:tcBorders>
            <w:vAlign w:val="center"/>
          </w:tcPr>
          <w:p w14:paraId="7F4EC04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269" w:type="dxa"/>
            <w:vMerge/>
            <w:tcBorders>
              <w:left w:val="nil"/>
              <w:right w:val="nil"/>
            </w:tcBorders>
            <w:vAlign w:val="center"/>
          </w:tcPr>
          <w:p w14:paraId="0B334368"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775" w:type="dxa"/>
            <w:tcBorders>
              <w:top w:val="single" w:sz="12" w:space="0" w:color="auto"/>
              <w:left w:val="nil"/>
              <w:bottom w:val="nil"/>
              <w:right w:val="nil"/>
            </w:tcBorders>
            <w:vAlign w:val="center"/>
          </w:tcPr>
          <w:p w14:paraId="48AD9791"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774" w:type="dxa"/>
            <w:gridSpan w:val="2"/>
            <w:tcBorders>
              <w:top w:val="single" w:sz="12" w:space="0" w:color="auto"/>
              <w:left w:val="nil"/>
              <w:bottom w:val="nil"/>
              <w:right w:val="nil"/>
            </w:tcBorders>
            <w:vAlign w:val="center"/>
          </w:tcPr>
          <w:p w14:paraId="469C64A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r>
      <w:tr w:rsidR="00614C4B" w:rsidRPr="00A73E01" w14:paraId="45F38F10" w14:textId="77777777" w:rsidTr="00614C4B">
        <w:trPr>
          <w:trHeight w:val="465"/>
        </w:trPr>
        <w:tc>
          <w:tcPr>
            <w:tcW w:w="1261" w:type="dxa"/>
            <w:tcBorders>
              <w:top w:val="nil"/>
              <w:left w:val="nil"/>
              <w:bottom w:val="nil"/>
              <w:right w:val="nil"/>
            </w:tcBorders>
            <w:vAlign w:val="center"/>
          </w:tcPr>
          <w:p w14:paraId="1696955F"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Times New Roman" w:hAnsi="Times New Roman" w:cs="Times New Roman"/>
                <w:bCs/>
                <w:szCs w:val="21"/>
              </w:rPr>
              <w:t>OS-1200</w:t>
            </w:r>
          </w:p>
        </w:tc>
        <w:tc>
          <w:tcPr>
            <w:tcW w:w="699" w:type="dxa"/>
            <w:tcBorders>
              <w:top w:val="nil"/>
              <w:left w:val="nil"/>
              <w:bottom w:val="nil"/>
              <w:right w:val="nil"/>
            </w:tcBorders>
            <w:vAlign w:val="center"/>
          </w:tcPr>
          <w:p w14:paraId="29ED1BC7"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0.50</w:t>
            </w:r>
          </w:p>
        </w:tc>
        <w:tc>
          <w:tcPr>
            <w:tcW w:w="747" w:type="dxa"/>
            <w:tcBorders>
              <w:top w:val="nil"/>
              <w:left w:val="nil"/>
              <w:bottom w:val="nil"/>
              <w:right w:val="nil"/>
            </w:tcBorders>
            <w:vAlign w:val="center"/>
          </w:tcPr>
          <w:p w14:paraId="084F78F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3.48</w:t>
            </w:r>
          </w:p>
        </w:tc>
        <w:tc>
          <w:tcPr>
            <w:tcW w:w="825" w:type="dxa"/>
            <w:tcBorders>
              <w:top w:val="nil"/>
              <w:left w:val="nil"/>
              <w:bottom w:val="nil"/>
              <w:right w:val="nil"/>
            </w:tcBorders>
            <w:vAlign w:val="center"/>
          </w:tcPr>
          <w:p w14:paraId="6BE03CC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3.88</w:t>
            </w:r>
          </w:p>
        </w:tc>
        <w:tc>
          <w:tcPr>
            <w:tcW w:w="269" w:type="dxa"/>
            <w:vMerge/>
            <w:tcBorders>
              <w:left w:val="nil"/>
              <w:right w:val="nil"/>
            </w:tcBorders>
            <w:vAlign w:val="center"/>
          </w:tcPr>
          <w:p w14:paraId="148855B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832" w:type="dxa"/>
            <w:tcBorders>
              <w:top w:val="nil"/>
              <w:left w:val="nil"/>
              <w:bottom w:val="nil"/>
              <w:right w:val="nil"/>
            </w:tcBorders>
            <w:vAlign w:val="center"/>
          </w:tcPr>
          <w:p w14:paraId="4D4E1D62"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58.92</w:t>
            </w:r>
          </w:p>
        </w:tc>
        <w:tc>
          <w:tcPr>
            <w:tcW w:w="832" w:type="dxa"/>
            <w:tcBorders>
              <w:top w:val="nil"/>
              <w:left w:val="nil"/>
              <w:bottom w:val="nil"/>
              <w:right w:val="nil"/>
            </w:tcBorders>
            <w:vAlign w:val="center"/>
          </w:tcPr>
          <w:p w14:paraId="48CA1DC1"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12.19</w:t>
            </w:r>
          </w:p>
        </w:tc>
        <w:tc>
          <w:tcPr>
            <w:tcW w:w="832" w:type="dxa"/>
            <w:tcBorders>
              <w:top w:val="nil"/>
              <w:left w:val="nil"/>
              <w:bottom w:val="nil"/>
              <w:right w:val="nil"/>
            </w:tcBorders>
            <w:vAlign w:val="center"/>
          </w:tcPr>
          <w:p w14:paraId="0CE45733"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10.14</w:t>
            </w:r>
          </w:p>
        </w:tc>
        <w:tc>
          <w:tcPr>
            <w:tcW w:w="1021" w:type="dxa"/>
            <w:tcBorders>
              <w:top w:val="nil"/>
              <w:left w:val="nil"/>
              <w:bottom w:val="nil"/>
              <w:right w:val="nil"/>
            </w:tcBorders>
            <w:vAlign w:val="center"/>
          </w:tcPr>
          <w:p w14:paraId="2EF1EA17"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10.89</w:t>
            </w:r>
          </w:p>
        </w:tc>
        <w:tc>
          <w:tcPr>
            <w:tcW w:w="700" w:type="dxa"/>
            <w:tcBorders>
              <w:top w:val="nil"/>
              <w:left w:val="nil"/>
              <w:bottom w:val="nil"/>
              <w:right w:val="nil"/>
            </w:tcBorders>
            <w:vAlign w:val="center"/>
          </w:tcPr>
          <w:p w14:paraId="11AE2E6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269" w:type="dxa"/>
            <w:vMerge/>
            <w:tcBorders>
              <w:left w:val="nil"/>
              <w:right w:val="nil"/>
            </w:tcBorders>
            <w:vAlign w:val="center"/>
          </w:tcPr>
          <w:p w14:paraId="6237DCAB"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775" w:type="dxa"/>
            <w:tcBorders>
              <w:top w:val="nil"/>
              <w:left w:val="nil"/>
              <w:bottom w:val="nil"/>
              <w:right w:val="nil"/>
            </w:tcBorders>
            <w:vAlign w:val="center"/>
          </w:tcPr>
          <w:p w14:paraId="14197A7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774" w:type="dxa"/>
            <w:gridSpan w:val="2"/>
            <w:tcBorders>
              <w:top w:val="nil"/>
              <w:left w:val="nil"/>
              <w:bottom w:val="nil"/>
              <w:right w:val="nil"/>
            </w:tcBorders>
            <w:vAlign w:val="center"/>
          </w:tcPr>
          <w:p w14:paraId="307CFC9B"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r>
      <w:tr w:rsidR="00614C4B" w:rsidRPr="00A73E01" w14:paraId="0B34684F" w14:textId="77777777" w:rsidTr="00614C4B">
        <w:trPr>
          <w:trHeight w:val="465"/>
        </w:trPr>
        <w:tc>
          <w:tcPr>
            <w:tcW w:w="1261" w:type="dxa"/>
            <w:tcBorders>
              <w:top w:val="nil"/>
              <w:left w:val="nil"/>
              <w:bottom w:val="nil"/>
              <w:right w:val="nil"/>
            </w:tcBorders>
            <w:vAlign w:val="center"/>
          </w:tcPr>
          <w:p w14:paraId="2BC440F7"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Times New Roman" w:hAnsi="Times New Roman" w:cs="Times New Roman"/>
                <w:bCs/>
                <w:szCs w:val="21"/>
              </w:rPr>
              <w:t>IOS-1200</w:t>
            </w:r>
          </w:p>
        </w:tc>
        <w:tc>
          <w:tcPr>
            <w:tcW w:w="699" w:type="dxa"/>
            <w:tcBorders>
              <w:top w:val="nil"/>
              <w:left w:val="nil"/>
              <w:bottom w:val="nil"/>
              <w:right w:val="nil"/>
            </w:tcBorders>
            <w:vAlign w:val="center"/>
          </w:tcPr>
          <w:p w14:paraId="22FD09A4"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1.71</w:t>
            </w:r>
          </w:p>
        </w:tc>
        <w:tc>
          <w:tcPr>
            <w:tcW w:w="747" w:type="dxa"/>
            <w:tcBorders>
              <w:top w:val="nil"/>
              <w:left w:val="nil"/>
              <w:bottom w:val="nil"/>
              <w:right w:val="nil"/>
            </w:tcBorders>
            <w:vAlign w:val="center"/>
          </w:tcPr>
          <w:p w14:paraId="60679E1C"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1.75</w:t>
            </w:r>
          </w:p>
        </w:tc>
        <w:tc>
          <w:tcPr>
            <w:tcW w:w="825" w:type="dxa"/>
            <w:tcBorders>
              <w:top w:val="nil"/>
              <w:left w:val="nil"/>
              <w:bottom w:val="nil"/>
              <w:right w:val="nil"/>
            </w:tcBorders>
            <w:vAlign w:val="center"/>
          </w:tcPr>
          <w:p w14:paraId="02298798"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2.45</w:t>
            </w:r>
          </w:p>
        </w:tc>
        <w:tc>
          <w:tcPr>
            <w:tcW w:w="269" w:type="dxa"/>
            <w:vMerge/>
            <w:tcBorders>
              <w:left w:val="nil"/>
              <w:right w:val="nil"/>
            </w:tcBorders>
            <w:vAlign w:val="center"/>
          </w:tcPr>
          <w:p w14:paraId="0E438985"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832" w:type="dxa"/>
            <w:tcBorders>
              <w:top w:val="nil"/>
              <w:left w:val="nil"/>
              <w:bottom w:val="nil"/>
              <w:right w:val="nil"/>
            </w:tcBorders>
            <w:vAlign w:val="center"/>
          </w:tcPr>
          <w:p w14:paraId="4FFF68B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59.10</w:t>
            </w:r>
          </w:p>
        </w:tc>
        <w:tc>
          <w:tcPr>
            <w:tcW w:w="832" w:type="dxa"/>
            <w:tcBorders>
              <w:top w:val="nil"/>
              <w:left w:val="nil"/>
              <w:bottom w:val="nil"/>
              <w:right w:val="nil"/>
            </w:tcBorders>
            <w:vAlign w:val="center"/>
          </w:tcPr>
          <w:p w14:paraId="14621F10"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13.22</w:t>
            </w:r>
          </w:p>
        </w:tc>
        <w:tc>
          <w:tcPr>
            <w:tcW w:w="832" w:type="dxa"/>
            <w:tcBorders>
              <w:top w:val="nil"/>
              <w:left w:val="nil"/>
              <w:bottom w:val="nil"/>
              <w:right w:val="nil"/>
            </w:tcBorders>
            <w:vAlign w:val="center"/>
          </w:tcPr>
          <w:p w14:paraId="134E5AB8"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15.25</w:t>
            </w:r>
          </w:p>
        </w:tc>
        <w:tc>
          <w:tcPr>
            <w:tcW w:w="1021" w:type="dxa"/>
            <w:tcBorders>
              <w:top w:val="nil"/>
              <w:left w:val="nil"/>
              <w:bottom w:val="nil"/>
              <w:right w:val="nil"/>
            </w:tcBorders>
            <w:vAlign w:val="center"/>
          </w:tcPr>
          <w:p w14:paraId="3FFAF745"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700" w:type="dxa"/>
            <w:tcBorders>
              <w:top w:val="nil"/>
              <w:left w:val="nil"/>
              <w:bottom w:val="nil"/>
              <w:right w:val="nil"/>
            </w:tcBorders>
            <w:vAlign w:val="center"/>
          </w:tcPr>
          <w:p w14:paraId="19ECF54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5.91</w:t>
            </w:r>
          </w:p>
        </w:tc>
        <w:tc>
          <w:tcPr>
            <w:tcW w:w="269" w:type="dxa"/>
            <w:vMerge/>
            <w:tcBorders>
              <w:left w:val="nil"/>
              <w:right w:val="nil"/>
            </w:tcBorders>
            <w:vAlign w:val="center"/>
          </w:tcPr>
          <w:p w14:paraId="328A44CA"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775" w:type="dxa"/>
            <w:tcBorders>
              <w:top w:val="nil"/>
              <w:left w:val="nil"/>
              <w:bottom w:val="nil"/>
              <w:right w:val="nil"/>
            </w:tcBorders>
            <w:vAlign w:val="center"/>
          </w:tcPr>
          <w:p w14:paraId="7D7DC25C"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774" w:type="dxa"/>
            <w:gridSpan w:val="2"/>
            <w:tcBorders>
              <w:top w:val="nil"/>
              <w:left w:val="nil"/>
              <w:bottom w:val="nil"/>
              <w:right w:val="nil"/>
            </w:tcBorders>
            <w:vAlign w:val="center"/>
          </w:tcPr>
          <w:p w14:paraId="5C96407A"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0.62</w:t>
            </w:r>
          </w:p>
        </w:tc>
      </w:tr>
      <w:tr w:rsidR="00614C4B" w:rsidRPr="00A73E01" w14:paraId="7F3521D5" w14:textId="77777777" w:rsidTr="00614C4B">
        <w:trPr>
          <w:trHeight w:val="465"/>
        </w:trPr>
        <w:tc>
          <w:tcPr>
            <w:tcW w:w="1261" w:type="dxa"/>
            <w:tcBorders>
              <w:top w:val="nil"/>
              <w:left w:val="nil"/>
              <w:bottom w:val="single" w:sz="4" w:space="0" w:color="auto"/>
              <w:right w:val="nil"/>
            </w:tcBorders>
            <w:vAlign w:val="center"/>
          </w:tcPr>
          <w:p w14:paraId="749245F5" w14:textId="77777777" w:rsidR="00614C4B" w:rsidRPr="00A73E01" w:rsidRDefault="00614C4B" w:rsidP="002147A8">
            <w:pPr>
              <w:adjustRightInd w:val="0"/>
              <w:snapToGrid w:val="0"/>
              <w:spacing w:line="360" w:lineRule="auto"/>
              <w:jc w:val="center"/>
              <w:rPr>
                <w:rFonts w:ascii="Times New Roman" w:eastAsia="等线" w:hAnsi="Times New Roman" w:cs="Times New Roman"/>
                <w:bCs/>
                <w:szCs w:val="21"/>
              </w:rPr>
            </w:pPr>
            <w:r w:rsidRPr="00A73E01">
              <w:rPr>
                <w:rFonts w:ascii="Times New Roman" w:eastAsia="Times New Roman" w:hAnsi="Times New Roman" w:cs="Times New Roman"/>
                <w:bCs/>
                <w:szCs w:val="21"/>
              </w:rPr>
              <w:t>IOS</w:t>
            </w:r>
          </w:p>
        </w:tc>
        <w:tc>
          <w:tcPr>
            <w:tcW w:w="699" w:type="dxa"/>
            <w:tcBorders>
              <w:top w:val="nil"/>
              <w:left w:val="nil"/>
              <w:bottom w:val="single" w:sz="4" w:space="0" w:color="auto"/>
              <w:right w:val="nil"/>
            </w:tcBorders>
            <w:vAlign w:val="center"/>
          </w:tcPr>
          <w:p w14:paraId="2A92CF1A"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8.03</w:t>
            </w:r>
          </w:p>
        </w:tc>
        <w:tc>
          <w:tcPr>
            <w:tcW w:w="747" w:type="dxa"/>
            <w:tcBorders>
              <w:top w:val="nil"/>
              <w:left w:val="nil"/>
              <w:bottom w:val="single" w:sz="4" w:space="0" w:color="auto"/>
              <w:right w:val="nil"/>
            </w:tcBorders>
            <w:vAlign w:val="center"/>
          </w:tcPr>
          <w:p w14:paraId="5D1FDF1A"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9.88</w:t>
            </w:r>
          </w:p>
        </w:tc>
        <w:tc>
          <w:tcPr>
            <w:tcW w:w="825" w:type="dxa"/>
            <w:tcBorders>
              <w:top w:val="nil"/>
              <w:left w:val="nil"/>
              <w:bottom w:val="single" w:sz="4" w:space="0" w:color="auto"/>
              <w:right w:val="nil"/>
            </w:tcBorders>
            <w:vAlign w:val="center"/>
          </w:tcPr>
          <w:p w14:paraId="2ABECD4D"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6.65</w:t>
            </w:r>
          </w:p>
        </w:tc>
        <w:tc>
          <w:tcPr>
            <w:tcW w:w="269" w:type="dxa"/>
            <w:vMerge/>
            <w:tcBorders>
              <w:left w:val="nil"/>
              <w:bottom w:val="single" w:sz="4" w:space="0" w:color="auto"/>
              <w:right w:val="nil"/>
            </w:tcBorders>
            <w:vAlign w:val="center"/>
          </w:tcPr>
          <w:p w14:paraId="74D6C92D"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832" w:type="dxa"/>
            <w:tcBorders>
              <w:top w:val="nil"/>
              <w:left w:val="nil"/>
              <w:bottom w:val="single" w:sz="4" w:space="0" w:color="auto"/>
              <w:right w:val="nil"/>
            </w:tcBorders>
            <w:vAlign w:val="center"/>
          </w:tcPr>
          <w:p w14:paraId="6EF0CB1D"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40.34</w:t>
            </w:r>
          </w:p>
        </w:tc>
        <w:tc>
          <w:tcPr>
            <w:tcW w:w="832" w:type="dxa"/>
            <w:tcBorders>
              <w:top w:val="nil"/>
              <w:left w:val="nil"/>
              <w:bottom w:val="single" w:sz="4" w:space="0" w:color="auto"/>
              <w:right w:val="nil"/>
            </w:tcBorders>
            <w:vAlign w:val="center"/>
          </w:tcPr>
          <w:p w14:paraId="26AD1CD6"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12.7</w:t>
            </w:r>
          </w:p>
        </w:tc>
        <w:tc>
          <w:tcPr>
            <w:tcW w:w="832" w:type="dxa"/>
            <w:tcBorders>
              <w:top w:val="nil"/>
              <w:left w:val="nil"/>
              <w:bottom w:val="single" w:sz="4" w:space="0" w:color="auto"/>
              <w:right w:val="nil"/>
            </w:tcBorders>
            <w:vAlign w:val="center"/>
          </w:tcPr>
          <w:p w14:paraId="5A37F69D"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11.47</w:t>
            </w:r>
          </w:p>
        </w:tc>
        <w:tc>
          <w:tcPr>
            <w:tcW w:w="1021" w:type="dxa"/>
            <w:tcBorders>
              <w:top w:val="nil"/>
              <w:left w:val="nil"/>
              <w:bottom w:val="single" w:sz="4" w:space="0" w:color="auto"/>
              <w:right w:val="nil"/>
            </w:tcBorders>
            <w:vAlign w:val="center"/>
          </w:tcPr>
          <w:p w14:paraId="2FFCB9B5"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10.55</w:t>
            </w:r>
          </w:p>
        </w:tc>
        <w:tc>
          <w:tcPr>
            <w:tcW w:w="700" w:type="dxa"/>
            <w:tcBorders>
              <w:top w:val="nil"/>
              <w:left w:val="nil"/>
              <w:bottom w:val="single" w:sz="4" w:space="0" w:color="auto"/>
              <w:right w:val="nil"/>
            </w:tcBorders>
            <w:vAlign w:val="center"/>
          </w:tcPr>
          <w:p w14:paraId="0D6D11F9"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w:t>
            </w:r>
          </w:p>
        </w:tc>
        <w:tc>
          <w:tcPr>
            <w:tcW w:w="269" w:type="dxa"/>
            <w:vMerge/>
            <w:tcBorders>
              <w:left w:val="nil"/>
              <w:bottom w:val="single" w:sz="4" w:space="0" w:color="auto"/>
              <w:right w:val="nil"/>
            </w:tcBorders>
            <w:vAlign w:val="center"/>
          </w:tcPr>
          <w:p w14:paraId="2C57404B"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p>
        </w:tc>
        <w:tc>
          <w:tcPr>
            <w:tcW w:w="775" w:type="dxa"/>
            <w:tcBorders>
              <w:top w:val="nil"/>
              <w:left w:val="nil"/>
              <w:bottom w:val="single" w:sz="4" w:space="0" w:color="auto"/>
              <w:right w:val="nil"/>
            </w:tcBorders>
            <w:vAlign w:val="center"/>
          </w:tcPr>
          <w:p w14:paraId="2A4A57FC"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0.22</w:t>
            </w:r>
          </w:p>
        </w:tc>
        <w:tc>
          <w:tcPr>
            <w:tcW w:w="774" w:type="dxa"/>
            <w:gridSpan w:val="2"/>
            <w:tcBorders>
              <w:top w:val="nil"/>
              <w:left w:val="nil"/>
              <w:bottom w:val="single" w:sz="4" w:space="0" w:color="auto"/>
              <w:right w:val="nil"/>
            </w:tcBorders>
            <w:vAlign w:val="center"/>
          </w:tcPr>
          <w:p w14:paraId="011E371E" w14:textId="77777777" w:rsidR="00614C4B" w:rsidRPr="00A73E01" w:rsidRDefault="00614C4B" w:rsidP="002147A8">
            <w:pPr>
              <w:adjustRightInd w:val="0"/>
              <w:snapToGrid w:val="0"/>
              <w:spacing w:line="360" w:lineRule="auto"/>
              <w:jc w:val="center"/>
              <w:rPr>
                <w:rFonts w:ascii="Times New Roman" w:eastAsia="等线" w:hAnsi="Times New Roman" w:cs="Times New Roman"/>
                <w:szCs w:val="21"/>
              </w:rPr>
            </w:pPr>
            <w:r w:rsidRPr="00A73E01">
              <w:rPr>
                <w:rFonts w:ascii="Times New Roman" w:eastAsia="等线" w:hAnsi="Times New Roman" w:cs="Times New Roman"/>
                <w:szCs w:val="21"/>
              </w:rPr>
              <w:t>0.16</w:t>
            </w:r>
          </w:p>
        </w:tc>
      </w:tr>
    </w:tbl>
    <w:p w14:paraId="69AF98ED" w14:textId="77777777" w:rsidR="00A73E01" w:rsidRDefault="00A73E01" w:rsidP="00614C4B">
      <w:pPr>
        <w:widowControl/>
        <w:spacing w:before="120" w:after="120"/>
        <w:rPr>
          <w:rFonts w:ascii="Times New Roman" w:hAnsi="Times New Roman" w:cs="Times New Roman"/>
          <w:b/>
          <w:bCs/>
          <w:kern w:val="0"/>
          <w:sz w:val="24"/>
          <w:szCs w:val="24"/>
          <w14:ligatures w14:val="none"/>
        </w:rPr>
      </w:pPr>
    </w:p>
    <w:p w14:paraId="2025E88B" w14:textId="125533C4" w:rsidR="00614C4B" w:rsidRPr="00614C4B" w:rsidRDefault="00614C4B" w:rsidP="00614C4B">
      <w:pPr>
        <w:widowControl/>
        <w:spacing w:before="120" w:after="120"/>
        <w:rPr>
          <w:rFonts w:ascii="Times New Roman" w:hAnsi="Times New Roman" w:cs="Times New Roman"/>
          <w:bCs/>
          <w:kern w:val="0"/>
          <w:sz w:val="24"/>
          <w:szCs w:val="24"/>
          <w14:ligatures w14:val="none"/>
        </w:rPr>
      </w:pPr>
      <w:r w:rsidRPr="00614C4B">
        <w:rPr>
          <w:rFonts w:ascii="Times New Roman" w:hAnsi="Times New Roman" w:cs="Times New Roman"/>
          <w:b/>
          <w:bCs/>
          <w:kern w:val="0"/>
          <w:sz w:val="24"/>
          <w:szCs w:val="24"/>
          <w14:ligatures w14:val="none"/>
        </w:rPr>
        <w:t xml:space="preserve">Table S2 </w:t>
      </w:r>
      <w:r w:rsidRPr="00614C4B">
        <w:rPr>
          <w:rFonts w:ascii="Times New Roman" w:hAnsi="Times New Roman" w:cs="Times New Roman"/>
          <w:bCs/>
          <w:kern w:val="0"/>
          <w:sz w:val="24"/>
          <w:szCs w:val="24"/>
          <w14:ligatures w14:val="none"/>
        </w:rPr>
        <w:t>The first cycle discharge/charge capacity and ICE</w:t>
      </w:r>
    </w:p>
    <w:tbl>
      <w:tblPr>
        <w:tblStyle w:val="af4"/>
        <w:tblW w:w="986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22"/>
        <w:gridCol w:w="2909"/>
        <w:gridCol w:w="2821"/>
        <w:gridCol w:w="2110"/>
      </w:tblGrid>
      <w:tr w:rsidR="00614C4B" w:rsidRPr="00A73E01" w14:paraId="7212FE55" w14:textId="77777777" w:rsidTr="00231F8C">
        <w:trPr>
          <w:trHeight w:val="724"/>
        </w:trPr>
        <w:tc>
          <w:tcPr>
            <w:tcW w:w="2022" w:type="dxa"/>
            <w:tcBorders>
              <w:top w:val="single" w:sz="4" w:space="0" w:color="auto"/>
              <w:bottom w:val="single" w:sz="12" w:space="0" w:color="auto"/>
            </w:tcBorders>
            <w:vAlign w:val="center"/>
          </w:tcPr>
          <w:p w14:paraId="3F81A7AC"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Sample</w:t>
            </w:r>
          </w:p>
        </w:tc>
        <w:tc>
          <w:tcPr>
            <w:tcW w:w="2909" w:type="dxa"/>
            <w:tcBorders>
              <w:top w:val="single" w:sz="4" w:space="0" w:color="auto"/>
              <w:bottom w:val="single" w:sz="12" w:space="0" w:color="auto"/>
            </w:tcBorders>
            <w:vAlign w:val="center"/>
          </w:tcPr>
          <w:p w14:paraId="6C0A54D6"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Discharging capacity</w:t>
            </w:r>
          </w:p>
          <w:p w14:paraId="63659066"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(mAh g</w:t>
            </w:r>
            <w:r w:rsidRPr="00A73E01">
              <w:rPr>
                <w:rFonts w:ascii="Times New Roman" w:hAnsi="Times New Roman" w:cs="Times New Roman"/>
                <w:bCs/>
                <w:kern w:val="0"/>
                <w:szCs w:val="21"/>
                <w:vertAlign w:val="superscript"/>
                <w:lang w:val="de-DE"/>
                <w14:ligatures w14:val="none"/>
              </w:rPr>
              <w:t>-1</w:t>
            </w:r>
            <w:r w:rsidRPr="00A73E01">
              <w:rPr>
                <w:rFonts w:ascii="Times New Roman" w:hAnsi="Times New Roman" w:cs="Times New Roman"/>
                <w:bCs/>
                <w:kern w:val="0"/>
                <w:szCs w:val="21"/>
                <w:lang w:val="de-DE"/>
                <w14:ligatures w14:val="none"/>
              </w:rPr>
              <w:t>)</w:t>
            </w:r>
          </w:p>
        </w:tc>
        <w:tc>
          <w:tcPr>
            <w:tcW w:w="2821" w:type="dxa"/>
            <w:tcBorders>
              <w:top w:val="single" w:sz="4" w:space="0" w:color="auto"/>
              <w:bottom w:val="single" w:sz="12" w:space="0" w:color="auto"/>
            </w:tcBorders>
            <w:vAlign w:val="center"/>
          </w:tcPr>
          <w:p w14:paraId="4A61803B"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Charging capacity</w:t>
            </w:r>
          </w:p>
          <w:p w14:paraId="198135D9"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(mAh g</w:t>
            </w:r>
            <w:r w:rsidRPr="00A73E01">
              <w:rPr>
                <w:rFonts w:ascii="Times New Roman" w:hAnsi="Times New Roman" w:cs="Times New Roman"/>
                <w:bCs/>
                <w:kern w:val="0"/>
                <w:szCs w:val="21"/>
                <w:vertAlign w:val="superscript"/>
                <w:lang w:val="de-DE"/>
                <w14:ligatures w14:val="none"/>
              </w:rPr>
              <w:t>-1</w:t>
            </w:r>
            <w:r w:rsidRPr="00A73E01">
              <w:rPr>
                <w:rFonts w:ascii="Times New Roman" w:hAnsi="Times New Roman" w:cs="Times New Roman"/>
                <w:bCs/>
                <w:kern w:val="0"/>
                <w:szCs w:val="21"/>
                <w:lang w:val="de-DE"/>
                <w14:ligatures w14:val="none"/>
              </w:rPr>
              <w:t>)</w:t>
            </w:r>
          </w:p>
        </w:tc>
        <w:tc>
          <w:tcPr>
            <w:tcW w:w="2110" w:type="dxa"/>
            <w:tcBorders>
              <w:top w:val="single" w:sz="4" w:space="0" w:color="auto"/>
              <w:bottom w:val="single" w:sz="12" w:space="0" w:color="auto"/>
            </w:tcBorders>
            <w:vAlign w:val="center"/>
          </w:tcPr>
          <w:p w14:paraId="0CFB7437"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ICE</w:t>
            </w:r>
          </w:p>
          <w:p w14:paraId="25A6262B"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w:t>
            </w:r>
          </w:p>
        </w:tc>
      </w:tr>
      <w:tr w:rsidR="00614C4B" w:rsidRPr="00A73E01" w14:paraId="6356931D" w14:textId="77777777" w:rsidTr="00231F8C">
        <w:trPr>
          <w:trHeight w:val="362"/>
        </w:trPr>
        <w:tc>
          <w:tcPr>
            <w:tcW w:w="2022" w:type="dxa"/>
            <w:tcBorders>
              <w:top w:val="single" w:sz="12" w:space="0" w:color="auto"/>
            </w:tcBorders>
            <w:vAlign w:val="center"/>
          </w:tcPr>
          <w:p w14:paraId="5DB4045A"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S-1200</w:t>
            </w:r>
          </w:p>
        </w:tc>
        <w:tc>
          <w:tcPr>
            <w:tcW w:w="2909" w:type="dxa"/>
            <w:tcBorders>
              <w:top w:val="single" w:sz="12" w:space="0" w:color="auto"/>
            </w:tcBorders>
            <w:vAlign w:val="center"/>
          </w:tcPr>
          <w:p w14:paraId="5E17EC1A"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394.63</w:t>
            </w:r>
          </w:p>
        </w:tc>
        <w:tc>
          <w:tcPr>
            <w:tcW w:w="2821" w:type="dxa"/>
            <w:tcBorders>
              <w:top w:val="single" w:sz="12" w:space="0" w:color="auto"/>
            </w:tcBorders>
            <w:vAlign w:val="center"/>
          </w:tcPr>
          <w:p w14:paraId="56C98181"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287.63</w:t>
            </w:r>
          </w:p>
        </w:tc>
        <w:tc>
          <w:tcPr>
            <w:tcW w:w="2110" w:type="dxa"/>
            <w:tcBorders>
              <w:top w:val="single" w:sz="12" w:space="0" w:color="auto"/>
            </w:tcBorders>
            <w:vAlign w:val="center"/>
          </w:tcPr>
          <w:p w14:paraId="0B7A0676"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72.96</w:t>
            </w:r>
          </w:p>
        </w:tc>
      </w:tr>
      <w:tr w:rsidR="00614C4B" w:rsidRPr="00A73E01" w14:paraId="5117E203" w14:textId="77777777" w:rsidTr="00231F8C">
        <w:trPr>
          <w:trHeight w:val="362"/>
        </w:trPr>
        <w:tc>
          <w:tcPr>
            <w:tcW w:w="2022" w:type="dxa"/>
            <w:vAlign w:val="center"/>
          </w:tcPr>
          <w:p w14:paraId="0B56ACDC"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OS-1200</w:t>
            </w:r>
          </w:p>
        </w:tc>
        <w:tc>
          <w:tcPr>
            <w:tcW w:w="2909" w:type="dxa"/>
            <w:vAlign w:val="center"/>
          </w:tcPr>
          <w:p w14:paraId="173227ED"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385.79</w:t>
            </w:r>
          </w:p>
        </w:tc>
        <w:tc>
          <w:tcPr>
            <w:tcW w:w="2821" w:type="dxa"/>
            <w:vAlign w:val="center"/>
          </w:tcPr>
          <w:p w14:paraId="7A3264D1"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288.59</w:t>
            </w:r>
          </w:p>
        </w:tc>
        <w:tc>
          <w:tcPr>
            <w:tcW w:w="2110" w:type="dxa"/>
            <w:vAlign w:val="center"/>
          </w:tcPr>
          <w:p w14:paraId="7A52AF31"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74.81</w:t>
            </w:r>
          </w:p>
        </w:tc>
      </w:tr>
      <w:tr w:rsidR="00614C4B" w:rsidRPr="00A73E01" w14:paraId="1374BB88" w14:textId="77777777" w:rsidTr="00231F8C">
        <w:trPr>
          <w:trHeight w:val="362"/>
        </w:trPr>
        <w:tc>
          <w:tcPr>
            <w:tcW w:w="2022" w:type="dxa"/>
            <w:tcBorders>
              <w:bottom w:val="single" w:sz="4" w:space="0" w:color="auto"/>
            </w:tcBorders>
            <w:vAlign w:val="center"/>
          </w:tcPr>
          <w:p w14:paraId="1C4666A2"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IOS-1200</w:t>
            </w:r>
          </w:p>
        </w:tc>
        <w:tc>
          <w:tcPr>
            <w:tcW w:w="2909" w:type="dxa"/>
            <w:tcBorders>
              <w:bottom w:val="single" w:sz="4" w:space="0" w:color="auto"/>
            </w:tcBorders>
            <w:vAlign w:val="center"/>
          </w:tcPr>
          <w:p w14:paraId="53DC0AA6"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399.10</w:t>
            </w:r>
          </w:p>
        </w:tc>
        <w:tc>
          <w:tcPr>
            <w:tcW w:w="2821" w:type="dxa"/>
            <w:tcBorders>
              <w:bottom w:val="single" w:sz="4" w:space="0" w:color="auto"/>
            </w:tcBorders>
            <w:vAlign w:val="center"/>
          </w:tcPr>
          <w:p w14:paraId="3B916C2E"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352.85</w:t>
            </w:r>
          </w:p>
        </w:tc>
        <w:tc>
          <w:tcPr>
            <w:tcW w:w="2110" w:type="dxa"/>
            <w:tcBorders>
              <w:bottom w:val="single" w:sz="4" w:space="0" w:color="auto"/>
            </w:tcBorders>
            <w:vAlign w:val="center"/>
          </w:tcPr>
          <w:p w14:paraId="54EFED70" w14:textId="77777777" w:rsidR="00614C4B" w:rsidRPr="00A73E01" w:rsidRDefault="00614C4B" w:rsidP="00614C4B">
            <w:pPr>
              <w:widowControl/>
              <w:spacing w:before="120" w:after="120"/>
              <w:jc w:val="center"/>
              <w:rPr>
                <w:rFonts w:ascii="Times New Roman" w:hAnsi="Times New Roman" w:cs="Times New Roman"/>
                <w:bCs/>
                <w:kern w:val="0"/>
                <w:szCs w:val="21"/>
                <w:lang w:val="de-DE"/>
                <w14:ligatures w14:val="none"/>
              </w:rPr>
            </w:pPr>
            <w:r w:rsidRPr="00A73E01">
              <w:rPr>
                <w:rFonts w:ascii="Times New Roman" w:hAnsi="Times New Roman" w:cs="Times New Roman"/>
                <w:bCs/>
                <w:kern w:val="0"/>
                <w:szCs w:val="21"/>
                <w:lang w:val="de-DE"/>
                <w14:ligatures w14:val="none"/>
              </w:rPr>
              <w:t>88.41</w:t>
            </w:r>
          </w:p>
        </w:tc>
      </w:tr>
    </w:tbl>
    <w:p w14:paraId="5E3DEFBB" w14:textId="7283425A" w:rsidR="00712511" w:rsidRPr="0018393D" w:rsidRDefault="00972475" w:rsidP="00972475">
      <w:pPr>
        <w:spacing w:before="240" w:after="240"/>
        <w:rPr>
          <w:rFonts w:ascii="Times New Roman" w:hAnsi="Times New Roman" w:cs="Times New Roman"/>
          <w:b/>
          <w:bCs/>
          <w:sz w:val="24"/>
          <w:szCs w:val="24"/>
          <w:lang w:val="de-DE"/>
        </w:rPr>
      </w:pPr>
      <w:r w:rsidRPr="00972475">
        <w:rPr>
          <w:rFonts w:ascii="Times New Roman" w:hAnsi="Times New Roman" w:cs="Times New Roman"/>
          <w:b/>
          <w:bCs/>
          <w:sz w:val="28"/>
          <w:szCs w:val="28"/>
          <w:lang w:val="de-DE"/>
        </w:rPr>
        <w:t xml:space="preserve">Supplementary </w:t>
      </w:r>
      <w:r w:rsidR="00CC46B9" w:rsidRPr="00972475">
        <w:rPr>
          <w:rFonts w:ascii="Times New Roman" w:hAnsi="Times New Roman" w:cs="Times New Roman" w:hint="eastAsia"/>
          <w:b/>
          <w:bCs/>
          <w:sz w:val="28"/>
          <w:szCs w:val="28"/>
          <w:lang w:val="de-DE"/>
        </w:rPr>
        <w:t>References</w:t>
      </w:r>
    </w:p>
    <w:p w14:paraId="53C09418" w14:textId="3DF7FFC1"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J. Huang, E. Li, B. Dai, et al., Regulating the active hydroxyl group of starch: revealing the evolution of hard carbon structure and sodium storage behavior. Carbon </w:t>
      </w:r>
      <w:r w:rsidRPr="00A34E9E">
        <w:rPr>
          <w:rStyle w:val="af2"/>
          <w:rFonts w:ascii="Times New Roman" w:hAnsi="Times New Roman" w:cs="Times New Roman"/>
          <w:b/>
          <w:color w:val="auto"/>
          <w:sz w:val="24"/>
          <w:szCs w:val="24"/>
          <w:u w:val="none"/>
        </w:rPr>
        <w:t>229</w:t>
      </w:r>
      <w:r w:rsidRPr="00231F8C">
        <w:rPr>
          <w:rStyle w:val="af2"/>
          <w:rFonts w:ascii="Times New Roman" w:hAnsi="Times New Roman" w:cs="Times New Roman"/>
          <w:color w:val="auto"/>
          <w:sz w:val="24"/>
          <w:szCs w:val="24"/>
          <w:u w:val="none"/>
        </w:rPr>
        <w:t xml:space="preserve">, 119527 (2024). </w:t>
      </w:r>
      <w:hyperlink r:id="rId33" w:history="1">
        <w:r w:rsidRPr="00384442">
          <w:rPr>
            <w:rStyle w:val="af2"/>
            <w:rFonts w:ascii="Times New Roman" w:hAnsi="Times New Roman" w:cs="Times New Roman"/>
            <w:sz w:val="24"/>
            <w:szCs w:val="24"/>
          </w:rPr>
          <w:t>https://doi.org/10.1016/j.carbon.2024.119527</w:t>
        </w:r>
      </w:hyperlink>
    </w:p>
    <w:p w14:paraId="314FF1DC" w14:textId="0F0E7199"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J. Huang, S. Liu, E. Li, et al., Double functionalization strategy: using acetate metal salt as medium to optimize hard carbon. Carbon </w:t>
      </w:r>
      <w:r w:rsidRPr="00A34E9E">
        <w:rPr>
          <w:rStyle w:val="af2"/>
          <w:rFonts w:ascii="Times New Roman" w:hAnsi="Times New Roman" w:cs="Times New Roman"/>
          <w:b/>
          <w:color w:val="auto"/>
          <w:sz w:val="24"/>
          <w:szCs w:val="24"/>
          <w:u w:val="none"/>
        </w:rPr>
        <w:t>234</w:t>
      </w:r>
      <w:r w:rsidRPr="00231F8C">
        <w:rPr>
          <w:rStyle w:val="af2"/>
          <w:rFonts w:ascii="Times New Roman" w:hAnsi="Times New Roman" w:cs="Times New Roman"/>
          <w:color w:val="auto"/>
          <w:sz w:val="24"/>
          <w:szCs w:val="24"/>
          <w:u w:val="none"/>
        </w:rPr>
        <w:t xml:space="preserve">, 119981 (2025). </w:t>
      </w:r>
      <w:hyperlink r:id="rId34" w:history="1">
        <w:r w:rsidRPr="00384442">
          <w:rPr>
            <w:rStyle w:val="af2"/>
            <w:rFonts w:ascii="Times New Roman" w:hAnsi="Times New Roman" w:cs="Times New Roman"/>
            <w:sz w:val="24"/>
            <w:szCs w:val="24"/>
          </w:rPr>
          <w:t>https://doi.org/10.1016/j.carbon.2024.119981</w:t>
        </w:r>
      </w:hyperlink>
    </w:p>
    <w:p w14:paraId="21536725" w14:textId="7A8411EE"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S. Jia, B. Zhang, J. Gao, et al., Biomass-derived hard carbon anodes: From structural engineering to industrial sodium-ion battery applications. Energy Storage Mater. </w:t>
      </w:r>
      <w:r w:rsidRPr="00A34E9E">
        <w:rPr>
          <w:rStyle w:val="af2"/>
          <w:rFonts w:ascii="Times New Roman" w:hAnsi="Times New Roman" w:cs="Times New Roman"/>
          <w:b/>
          <w:color w:val="auto"/>
          <w:sz w:val="24"/>
          <w:szCs w:val="24"/>
          <w:u w:val="none"/>
        </w:rPr>
        <w:t>80</w:t>
      </w:r>
      <w:r w:rsidRPr="00231F8C">
        <w:rPr>
          <w:rStyle w:val="af2"/>
          <w:rFonts w:ascii="Times New Roman" w:hAnsi="Times New Roman" w:cs="Times New Roman"/>
          <w:color w:val="auto"/>
          <w:sz w:val="24"/>
          <w:szCs w:val="24"/>
          <w:u w:val="none"/>
        </w:rPr>
        <w:t xml:space="preserve">, 104420 (2025). </w:t>
      </w:r>
      <w:hyperlink r:id="rId35" w:history="1">
        <w:r w:rsidRPr="00384442">
          <w:rPr>
            <w:rStyle w:val="af2"/>
            <w:rFonts w:ascii="Times New Roman" w:hAnsi="Times New Roman" w:cs="Times New Roman"/>
            <w:sz w:val="24"/>
            <w:szCs w:val="24"/>
          </w:rPr>
          <w:t>https://doi.org/10.1016/j.ensm.2025.104420</w:t>
        </w:r>
      </w:hyperlink>
    </w:p>
    <w:p w14:paraId="5685EE47" w14:textId="6B37F27C"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H. Zhong, Q. Huang, M. Zou, et al., From food to hard carbon: citric acid enhanced biomass-derived anodes for high-performance sodium storage. Chem. Eng. J. </w:t>
      </w:r>
      <w:r w:rsidRPr="00A34E9E">
        <w:rPr>
          <w:rStyle w:val="af2"/>
          <w:rFonts w:ascii="Times New Roman" w:hAnsi="Times New Roman" w:cs="Times New Roman"/>
          <w:b/>
          <w:color w:val="auto"/>
          <w:sz w:val="24"/>
          <w:szCs w:val="24"/>
          <w:u w:val="none"/>
        </w:rPr>
        <w:t>508</w:t>
      </w:r>
      <w:r w:rsidRPr="00231F8C">
        <w:rPr>
          <w:rStyle w:val="af2"/>
          <w:rFonts w:ascii="Times New Roman" w:hAnsi="Times New Roman" w:cs="Times New Roman"/>
          <w:color w:val="auto"/>
          <w:sz w:val="24"/>
          <w:szCs w:val="24"/>
          <w:u w:val="none"/>
        </w:rPr>
        <w:t xml:space="preserve">, 160879 (2025). </w:t>
      </w:r>
      <w:hyperlink r:id="rId36" w:history="1">
        <w:r w:rsidRPr="00384442">
          <w:rPr>
            <w:rStyle w:val="af2"/>
            <w:rFonts w:ascii="Times New Roman" w:hAnsi="Times New Roman" w:cs="Times New Roman"/>
            <w:sz w:val="24"/>
            <w:szCs w:val="24"/>
          </w:rPr>
          <w:t>https://doi.org/10.1016/j.cej.2025.160879</w:t>
        </w:r>
      </w:hyperlink>
    </w:p>
    <w:p w14:paraId="5F24B0C7" w14:textId="6619578F"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S. Xu, W. Liu, S. Mao, et al., Lotus root starch derived sustainable hard carbon for fast-charging sodium-ion batteries. Chem. Eng. J. </w:t>
      </w:r>
      <w:r w:rsidRPr="00A34E9E">
        <w:rPr>
          <w:rStyle w:val="af2"/>
          <w:rFonts w:ascii="Times New Roman" w:hAnsi="Times New Roman" w:cs="Times New Roman"/>
          <w:b/>
          <w:color w:val="auto"/>
          <w:sz w:val="24"/>
          <w:szCs w:val="24"/>
          <w:u w:val="none"/>
        </w:rPr>
        <w:t>519</w:t>
      </w:r>
      <w:r w:rsidRPr="00231F8C">
        <w:rPr>
          <w:rStyle w:val="af2"/>
          <w:rFonts w:ascii="Times New Roman" w:hAnsi="Times New Roman" w:cs="Times New Roman"/>
          <w:color w:val="auto"/>
          <w:sz w:val="24"/>
          <w:szCs w:val="24"/>
          <w:u w:val="none"/>
        </w:rPr>
        <w:t xml:space="preserve">, 165014 (2025). </w:t>
      </w:r>
      <w:hyperlink r:id="rId37" w:history="1">
        <w:r w:rsidRPr="00384442">
          <w:rPr>
            <w:rStyle w:val="af2"/>
            <w:rFonts w:ascii="Times New Roman" w:hAnsi="Times New Roman" w:cs="Times New Roman"/>
            <w:sz w:val="24"/>
            <w:szCs w:val="24"/>
          </w:rPr>
          <w:t>https://doi.org/10.1016/j.cej.2025.165014</w:t>
        </w:r>
      </w:hyperlink>
    </w:p>
    <w:p w14:paraId="6770F05B" w14:textId="65383E8C"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H. Zeng, J. Zhang, J. He, et al., Starch-derived N-doped hard carbons for sodium-ion storage: preparation and enhanced electrochemical performance. J. Power Sources </w:t>
      </w:r>
      <w:r w:rsidRPr="00A34E9E">
        <w:rPr>
          <w:rStyle w:val="af2"/>
          <w:rFonts w:ascii="Times New Roman" w:hAnsi="Times New Roman" w:cs="Times New Roman"/>
          <w:b/>
          <w:color w:val="auto"/>
          <w:sz w:val="24"/>
          <w:szCs w:val="24"/>
          <w:u w:val="none"/>
        </w:rPr>
        <w:t>654</w:t>
      </w:r>
      <w:r w:rsidRPr="00231F8C">
        <w:rPr>
          <w:rStyle w:val="af2"/>
          <w:rFonts w:ascii="Times New Roman" w:hAnsi="Times New Roman" w:cs="Times New Roman"/>
          <w:color w:val="auto"/>
          <w:sz w:val="24"/>
          <w:szCs w:val="24"/>
          <w:u w:val="none"/>
        </w:rPr>
        <w:t xml:space="preserve">, 237850 (2025). </w:t>
      </w:r>
      <w:hyperlink r:id="rId38" w:history="1">
        <w:r w:rsidRPr="00384442">
          <w:rPr>
            <w:rStyle w:val="af2"/>
            <w:rFonts w:ascii="Times New Roman" w:hAnsi="Times New Roman" w:cs="Times New Roman"/>
            <w:sz w:val="24"/>
            <w:szCs w:val="24"/>
          </w:rPr>
          <w:t>https://doi.org/10.1016/j.jpowsour.2025.237850</w:t>
        </w:r>
      </w:hyperlink>
    </w:p>
    <w:p w14:paraId="5901F7F5" w14:textId="39D1DEB3"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G. Yang, J. Zhang, Z. Zhang, et al., Surface functionalized porous spherical hard carbon material derived from taro starch for high performance sodium storage. Electrochim. Acta </w:t>
      </w:r>
      <w:r w:rsidRPr="00A34E9E">
        <w:rPr>
          <w:rStyle w:val="af2"/>
          <w:rFonts w:ascii="Times New Roman" w:hAnsi="Times New Roman" w:cs="Times New Roman"/>
          <w:b/>
          <w:color w:val="auto"/>
          <w:sz w:val="24"/>
          <w:szCs w:val="24"/>
          <w:u w:val="none"/>
        </w:rPr>
        <w:t>521</w:t>
      </w:r>
      <w:r w:rsidRPr="00231F8C">
        <w:rPr>
          <w:rStyle w:val="af2"/>
          <w:rFonts w:ascii="Times New Roman" w:hAnsi="Times New Roman" w:cs="Times New Roman"/>
          <w:color w:val="auto"/>
          <w:sz w:val="24"/>
          <w:szCs w:val="24"/>
          <w:u w:val="none"/>
        </w:rPr>
        <w:t xml:space="preserve">, 145935 (2025). </w:t>
      </w:r>
      <w:hyperlink r:id="rId39" w:history="1">
        <w:r w:rsidRPr="00384442">
          <w:rPr>
            <w:rStyle w:val="af2"/>
            <w:rFonts w:ascii="Times New Roman" w:hAnsi="Times New Roman" w:cs="Times New Roman"/>
            <w:sz w:val="24"/>
            <w:szCs w:val="24"/>
          </w:rPr>
          <w:t>https://doi.org/10.1016/j.electacta.2025.145935</w:t>
        </w:r>
      </w:hyperlink>
    </w:p>
    <w:p w14:paraId="55241C1F" w14:textId="27767B35" w:rsidR="00231F8C" w:rsidRDefault="00231F8C" w:rsidP="00231F8C">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X. Ma, J. Hu, W. Zhang, et al., An effective B-doped strategy to regulate the closed-pore formation of hard carbon nanospheres for sodium-ion batteries. J. Energy Storage </w:t>
      </w:r>
      <w:r w:rsidRPr="00A34E9E">
        <w:rPr>
          <w:rStyle w:val="af2"/>
          <w:rFonts w:ascii="Times New Roman" w:hAnsi="Times New Roman" w:cs="Times New Roman"/>
          <w:b/>
          <w:color w:val="auto"/>
          <w:sz w:val="24"/>
          <w:szCs w:val="24"/>
          <w:u w:val="none"/>
        </w:rPr>
        <w:t>126</w:t>
      </w:r>
      <w:r w:rsidRPr="00231F8C">
        <w:rPr>
          <w:rStyle w:val="af2"/>
          <w:rFonts w:ascii="Times New Roman" w:hAnsi="Times New Roman" w:cs="Times New Roman"/>
          <w:color w:val="auto"/>
          <w:sz w:val="24"/>
          <w:szCs w:val="24"/>
          <w:u w:val="none"/>
        </w:rPr>
        <w:t xml:space="preserve">, 117149 (2025). </w:t>
      </w:r>
      <w:hyperlink r:id="rId40" w:history="1">
        <w:r w:rsidRPr="00384442">
          <w:rPr>
            <w:rStyle w:val="af2"/>
            <w:rFonts w:ascii="Times New Roman" w:hAnsi="Times New Roman" w:cs="Times New Roman"/>
            <w:sz w:val="24"/>
            <w:szCs w:val="24"/>
          </w:rPr>
          <w:t>https://doi.org/10.1016/j.est.2025.117149</w:t>
        </w:r>
      </w:hyperlink>
    </w:p>
    <w:p w14:paraId="12C4B173" w14:textId="57D45EC5" w:rsidR="00231F8C" w:rsidRDefault="00231F8C" w:rsidP="00A34E9E">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231F8C">
        <w:rPr>
          <w:rStyle w:val="af2"/>
          <w:rFonts w:ascii="Times New Roman" w:hAnsi="Times New Roman" w:cs="Times New Roman"/>
          <w:color w:val="auto"/>
          <w:sz w:val="24"/>
          <w:szCs w:val="24"/>
          <w:u w:val="none"/>
        </w:rPr>
        <w:t xml:space="preserve">C. Yu, Y. Guan, P. Huang, et al., Crosslinked starch-derived hard carbon with abundant closed pores for enhanced plateau capacity in sodium-ion storage. Carbon </w:t>
      </w:r>
      <w:r w:rsidRPr="00A34E9E">
        <w:rPr>
          <w:rStyle w:val="af2"/>
          <w:rFonts w:ascii="Times New Roman" w:hAnsi="Times New Roman" w:cs="Times New Roman"/>
          <w:b/>
          <w:color w:val="auto"/>
          <w:sz w:val="24"/>
          <w:szCs w:val="24"/>
          <w:u w:val="none"/>
        </w:rPr>
        <w:t>247</w:t>
      </w:r>
      <w:r w:rsidRPr="00231F8C">
        <w:rPr>
          <w:rStyle w:val="af2"/>
          <w:rFonts w:ascii="Times New Roman" w:hAnsi="Times New Roman" w:cs="Times New Roman"/>
          <w:color w:val="auto"/>
          <w:sz w:val="24"/>
          <w:szCs w:val="24"/>
          <w:u w:val="none"/>
        </w:rPr>
        <w:t xml:space="preserve">, 121020 (2026). </w:t>
      </w:r>
      <w:hyperlink r:id="rId41" w:history="1">
        <w:r w:rsidR="00A34E9E" w:rsidRPr="00384442">
          <w:rPr>
            <w:rStyle w:val="af2"/>
            <w:rFonts w:ascii="Times New Roman" w:hAnsi="Times New Roman" w:cs="Times New Roman"/>
            <w:sz w:val="24"/>
            <w:szCs w:val="24"/>
          </w:rPr>
          <w:t>https://doi.org/10.1016/j.carbon.2025.121020</w:t>
        </w:r>
      </w:hyperlink>
    </w:p>
    <w:p w14:paraId="3EEE2ACB" w14:textId="77777777" w:rsidR="00526DD4" w:rsidRPr="00526DD4" w:rsidRDefault="00526DD4" w:rsidP="00A34E9E">
      <w:pPr>
        <w:rPr>
          <w:rFonts w:hint="eastAsia"/>
        </w:rPr>
      </w:pPr>
    </w:p>
    <w:sectPr w:rsidR="00526DD4" w:rsidRPr="00526DD4" w:rsidSect="00D0367B">
      <w:headerReference w:type="even" r:id="rId42"/>
      <w:headerReference w:type="default" r:id="rId43"/>
      <w:footerReference w:type="even" r:id="rId44"/>
      <w:footerReference w:type="default" r:id="rId45"/>
      <w:headerReference w:type="first" r:id="rId46"/>
      <w:footerReference w:type="first" r:id="rId47"/>
      <w:pgSz w:w="11906" w:h="16838"/>
      <w:pgMar w:top="1418" w:right="1418"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774FB" w14:textId="77777777" w:rsidR="00B6749D" w:rsidRDefault="00B6749D" w:rsidP="00F64C21">
      <w:pPr>
        <w:rPr>
          <w:rFonts w:hint="eastAsia"/>
        </w:rPr>
      </w:pPr>
      <w:r>
        <w:separator/>
      </w:r>
    </w:p>
  </w:endnote>
  <w:endnote w:type="continuationSeparator" w:id="0">
    <w:p w14:paraId="5AB0144D" w14:textId="77777777" w:rsidR="00B6749D" w:rsidRDefault="00B6749D" w:rsidP="00F64C2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D189" w14:textId="77777777" w:rsidR="00A73E01" w:rsidRDefault="00A73E01">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color w:val="808080" w:themeColor="background1" w:themeShade="80"/>
        <w:sz w:val="21"/>
        <w:szCs w:val="21"/>
      </w:rPr>
      <w:id w:val="-544905568"/>
      <w:docPartObj>
        <w:docPartGallery w:val="Page Numbers (Bottom of Page)"/>
        <w:docPartUnique/>
      </w:docPartObj>
    </w:sdtPr>
    <w:sdtContent>
      <w:sdt>
        <w:sdtPr>
          <w:rPr>
            <w:rFonts w:ascii="Times New Roman" w:hAnsi="Times New Roman" w:cs="Times New Roman"/>
            <w:color w:val="808080" w:themeColor="background1" w:themeShade="80"/>
            <w:sz w:val="21"/>
            <w:szCs w:val="21"/>
          </w:rPr>
          <w:id w:val="1728636285"/>
          <w:docPartObj>
            <w:docPartGallery w:val="Page Numbers (Top of Page)"/>
            <w:docPartUnique/>
          </w:docPartObj>
        </w:sdtPr>
        <w:sdtContent>
          <w:p w14:paraId="31052046" w14:textId="46A51D2A" w:rsidR="00B56291" w:rsidRPr="00526DD4" w:rsidRDefault="00B56291" w:rsidP="00972475">
            <w:pPr>
              <w:pStyle w:val="af0"/>
              <w:jc w:val="center"/>
              <w:rPr>
                <w:rFonts w:ascii="Times New Roman" w:hAnsi="Times New Roman" w:cs="Times New Roman"/>
                <w:color w:val="808080" w:themeColor="background1" w:themeShade="80"/>
                <w:sz w:val="21"/>
                <w:szCs w:val="21"/>
              </w:rPr>
            </w:pPr>
            <w:r w:rsidRPr="00526DD4">
              <w:rPr>
                <w:rFonts w:ascii="Times New Roman" w:hAnsi="Times New Roman" w:cs="Times New Roman"/>
                <w:color w:val="808080" w:themeColor="background1" w:themeShade="80"/>
                <w:sz w:val="24"/>
                <w:szCs w:val="24"/>
                <w:lang w:val="zh-CN"/>
              </w:rPr>
              <w:t xml:space="preserve"> </w:t>
            </w:r>
            <w:r w:rsidR="00526DD4" w:rsidRPr="00526DD4">
              <w:rPr>
                <w:rFonts w:ascii="Times New Roman" w:hAnsi="Times New Roman" w:cs="Times New Roman"/>
                <w:color w:val="808080" w:themeColor="background1" w:themeShade="80"/>
                <w:sz w:val="24"/>
                <w:szCs w:val="24"/>
                <w:lang w:val="zh-CN"/>
              </w:rPr>
              <w:t>S</w:t>
            </w:r>
            <w:r w:rsidRPr="00526DD4">
              <w:rPr>
                <w:rFonts w:ascii="Times New Roman" w:hAnsi="Times New Roman" w:cs="Times New Roman"/>
                <w:color w:val="808080" w:themeColor="background1" w:themeShade="80"/>
                <w:sz w:val="24"/>
                <w:szCs w:val="24"/>
              </w:rPr>
              <w:fldChar w:fldCharType="begin"/>
            </w:r>
            <w:r w:rsidRPr="00526DD4">
              <w:rPr>
                <w:rFonts w:ascii="Times New Roman" w:hAnsi="Times New Roman" w:cs="Times New Roman"/>
                <w:color w:val="808080" w:themeColor="background1" w:themeShade="80"/>
                <w:sz w:val="24"/>
                <w:szCs w:val="24"/>
              </w:rPr>
              <w:instrText>PAGE</w:instrText>
            </w:r>
            <w:r w:rsidRPr="00526DD4">
              <w:rPr>
                <w:rFonts w:ascii="Times New Roman" w:hAnsi="Times New Roman" w:cs="Times New Roman"/>
                <w:color w:val="808080" w:themeColor="background1" w:themeShade="80"/>
                <w:sz w:val="24"/>
                <w:szCs w:val="24"/>
              </w:rPr>
              <w:fldChar w:fldCharType="separate"/>
            </w:r>
            <w:r w:rsidRPr="00526DD4">
              <w:rPr>
                <w:rFonts w:ascii="Times New Roman" w:hAnsi="Times New Roman" w:cs="Times New Roman"/>
                <w:color w:val="808080" w:themeColor="background1" w:themeShade="80"/>
                <w:sz w:val="24"/>
                <w:szCs w:val="24"/>
                <w:lang w:val="zh-CN"/>
              </w:rPr>
              <w:t>2</w:t>
            </w:r>
            <w:r w:rsidRPr="00526DD4">
              <w:rPr>
                <w:rFonts w:ascii="Times New Roman" w:hAnsi="Times New Roman" w:cs="Times New Roman"/>
                <w:color w:val="808080" w:themeColor="background1" w:themeShade="80"/>
                <w:sz w:val="24"/>
                <w:szCs w:val="24"/>
              </w:rPr>
              <w:fldChar w:fldCharType="end"/>
            </w:r>
            <w:r w:rsidRPr="00526DD4">
              <w:rPr>
                <w:rFonts w:ascii="Times New Roman" w:hAnsi="Times New Roman" w:cs="Times New Roman"/>
                <w:color w:val="808080" w:themeColor="background1" w:themeShade="80"/>
                <w:sz w:val="24"/>
                <w:szCs w:val="24"/>
                <w:lang w:val="zh-CN"/>
              </w:rPr>
              <w:t>/</w:t>
            </w:r>
            <w:r w:rsidR="00526DD4" w:rsidRPr="00526DD4">
              <w:rPr>
                <w:rFonts w:ascii="Times New Roman" w:hAnsi="Times New Roman" w:cs="Times New Roman"/>
                <w:color w:val="808080" w:themeColor="background1" w:themeShade="80"/>
                <w:sz w:val="24"/>
                <w:szCs w:val="24"/>
                <w:lang w:val="zh-CN"/>
              </w:rPr>
              <w:t>S</w:t>
            </w:r>
            <w:r w:rsidR="00A73E01">
              <w:rPr>
                <w:rFonts w:ascii="Times New Roman" w:hAnsi="Times New Roman" w:cs="Times New Roman" w:hint="eastAsia"/>
                <w:color w:val="808080" w:themeColor="background1" w:themeShade="80"/>
                <w:sz w:val="24"/>
                <w:szCs w:val="24"/>
              </w:rPr>
              <w:t>14</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D1D8" w14:textId="77777777" w:rsidR="00A73E01" w:rsidRDefault="00A73E01">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82221" w14:textId="77777777" w:rsidR="00B6749D" w:rsidRDefault="00B6749D" w:rsidP="00F64C21">
      <w:pPr>
        <w:rPr>
          <w:rFonts w:hint="eastAsia"/>
        </w:rPr>
      </w:pPr>
      <w:r>
        <w:separator/>
      </w:r>
    </w:p>
  </w:footnote>
  <w:footnote w:type="continuationSeparator" w:id="0">
    <w:p w14:paraId="49EBC751" w14:textId="77777777" w:rsidR="00B6749D" w:rsidRDefault="00B6749D" w:rsidP="00F64C2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B929" w14:textId="77777777" w:rsidR="00A73E01" w:rsidRDefault="00A73E01">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F58B" w14:textId="6DCF023F" w:rsidR="00961028" w:rsidRPr="00961028" w:rsidRDefault="00961028">
    <w:pPr>
      <w:pStyle w:val="ae"/>
      <w:rPr>
        <w:rFonts w:ascii="Times New Roman" w:hAnsi="Times New Roman" w:cs="Times New Roman"/>
        <w:sz w:val="24"/>
        <w:szCs w:val="24"/>
      </w:rPr>
    </w:pPr>
    <w:hyperlink r:id="rId1" w:history="1">
      <w:r w:rsidRPr="00961028">
        <w:rPr>
          <w:rStyle w:val="af2"/>
          <w:rFonts w:ascii="Times New Roman" w:hAnsi="Times New Roman" w:cs="Times New Roman" w:hint="eastAsia"/>
          <w:sz w:val="24"/>
          <w:szCs w:val="24"/>
        </w:rPr>
        <w:t>N</w:t>
      </w:r>
      <w:r w:rsidRPr="00961028">
        <w:rPr>
          <w:rStyle w:val="af2"/>
          <w:rFonts w:ascii="Times New Roman" w:hAnsi="Times New Roman" w:cs="Times New Roman"/>
          <w:sz w:val="24"/>
          <w:szCs w:val="24"/>
        </w:rPr>
        <w:t>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65FA" w14:textId="77777777" w:rsidR="00A73E01" w:rsidRDefault="00A73E01">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47EA5"/>
    <w:multiLevelType w:val="hybridMultilevel"/>
    <w:tmpl w:val="CCF209F0"/>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66502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C1"/>
    <w:rsid w:val="00006059"/>
    <w:rsid w:val="00025EF7"/>
    <w:rsid w:val="00033C75"/>
    <w:rsid w:val="0004270F"/>
    <w:rsid w:val="000636C6"/>
    <w:rsid w:val="00063E21"/>
    <w:rsid w:val="00077CE4"/>
    <w:rsid w:val="00077D71"/>
    <w:rsid w:val="00084BD2"/>
    <w:rsid w:val="000A31AA"/>
    <w:rsid w:val="000B2493"/>
    <w:rsid w:val="000D13D6"/>
    <w:rsid w:val="000D1AEF"/>
    <w:rsid w:val="000E188F"/>
    <w:rsid w:val="000E5598"/>
    <w:rsid w:val="000F0AD5"/>
    <w:rsid w:val="000F75B4"/>
    <w:rsid w:val="00103B0A"/>
    <w:rsid w:val="00111D39"/>
    <w:rsid w:val="00113FB1"/>
    <w:rsid w:val="001243ED"/>
    <w:rsid w:val="0015431A"/>
    <w:rsid w:val="001608F0"/>
    <w:rsid w:val="00161388"/>
    <w:rsid w:val="00162C01"/>
    <w:rsid w:val="00165D1D"/>
    <w:rsid w:val="00170C0D"/>
    <w:rsid w:val="0018393D"/>
    <w:rsid w:val="00187EE5"/>
    <w:rsid w:val="001B0A88"/>
    <w:rsid w:val="001B4AE1"/>
    <w:rsid w:val="001B6592"/>
    <w:rsid w:val="001D66AC"/>
    <w:rsid w:val="001D7E67"/>
    <w:rsid w:val="00201DC4"/>
    <w:rsid w:val="00202A99"/>
    <w:rsid w:val="002246B0"/>
    <w:rsid w:val="002263FE"/>
    <w:rsid w:val="00231F8C"/>
    <w:rsid w:val="002344D8"/>
    <w:rsid w:val="00236CD0"/>
    <w:rsid w:val="00237F95"/>
    <w:rsid w:val="00243614"/>
    <w:rsid w:val="002514E5"/>
    <w:rsid w:val="00260A90"/>
    <w:rsid w:val="002627D1"/>
    <w:rsid w:val="002652BD"/>
    <w:rsid w:val="002840E8"/>
    <w:rsid w:val="00293110"/>
    <w:rsid w:val="002938C1"/>
    <w:rsid w:val="002D2217"/>
    <w:rsid w:val="002E3EF2"/>
    <w:rsid w:val="002E5A18"/>
    <w:rsid w:val="002E65F4"/>
    <w:rsid w:val="00323C23"/>
    <w:rsid w:val="00327F9C"/>
    <w:rsid w:val="00332B0C"/>
    <w:rsid w:val="00334151"/>
    <w:rsid w:val="00336F83"/>
    <w:rsid w:val="003376F3"/>
    <w:rsid w:val="00340DD0"/>
    <w:rsid w:val="00346349"/>
    <w:rsid w:val="003463A6"/>
    <w:rsid w:val="00357A05"/>
    <w:rsid w:val="0037011F"/>
    <w:rsid w:val="00377B83"/>
    <w:rsid w:val="00381FF9"/>
    <w:rsid w:val="00382DF4"/>
    <w:rsid w:val="003954F4"/>
    <w:rsid w:val="003C5120"/>
    <w:rsid w:val="003F3653"/>
    <w:rsid w:val="00423A17"/>
    <w:rsid w:val="00424EDF"/>
    <w:rsid w:val="00431B41"/>
    <w:rsid w:val="004547C2"/>
    <w:rsid w:val="0047393C"/>
    <w:rsid w:val="0048124B"/>
    <w:rsid w:val="00486D16"/>
    <w:rsid w:val="00494D77"/>
    <w:rsid w:val="004A4B54"/>
    <w:rsid w:val="004B06FA"/>
    <w:rsid w:val="004B0EAD"/>
    <w:rsid w:val="004F07CA"/>
    <w:rsid w:val="004F1CD5"/>
    <w:rsid w:val="00506A4D"/>
    <w:rsid w:val="00522D56"/>
    <w:rsid w:val="00526DD4"/>
    <w:rsid w:val="00535B2D"/>
    <w:rsid w:val="005641A0"/>
    <w:rsid w:val="0056495B"/>
    <w:rsid w:val="005A6D71"/>
    <w:rsid w:val="005B43F1"/>
    <w:rsid w:val="005B6672"/>
    <w:rsid w:val="005C6B87"/>
    <w:rsid w:val="005D065B"/>
    <w:rsid w:val="005E05F1"/>
    <w:rsid w:val="005E15E9"/>
    <w:rsid w:val="005E6B58"/>
    <w:rsid w:val="00600AA1"/>
    <w:rsid w:val="00601AA3"/>
    <w:rsid w:val="00614C4B"/>
    <w:rsid w:val="00616354"/>
    <w:rsid w:val="00616A41"/>
    <w:rsid w:val="00620DE8"/>
    <w:rsid w:val="00626F51"/>
    <w:rsid w:val="0063385C"/>
    <w:rsid w:val="0064383F"/>
    <w:rsid w:val="00651129"/>
    <w:rsid w:val="00651C64"/>
    <w:rsid w:val="006566AA"/>
    <w:rsid w:val="00683E18"/>
    <w:rsid w:val="006C5E15"/>
    <w:rsid w:val="006F40F2"/>
    <w:rsid w:val="00712511"/>
    <w:rsid w:val="00734E82"/>
    <w:rsid w:val="00763280"/>
    <w:rsid w:val="007775C6"/>
    <w:rsid w:val="007828BE"/>
    <w:rsid w:val="007874CE"/>
    <w:rsid w:val="007937B7"/>
    <w:rsid w:val="007B73ED"/>
    <w:rsid w:val="007C0101"/>
    <w:rsid w:val="007C2E22"/>
    <w:rsid w:val="007C62BC"/>
    <w:rsid w:val="007D6A49"/>
    <w:rsid w:val="007E4E9F"/>
    <w:rsid w:val="0080293B"/>
    <w:rsid w:val="008077B9"/>
    <w:rsid w:val="00815502"/>
    <w:rsid w:val="00833A36"/>
    <w:rsid w:val="00835DF4"/>
    <w:rsid w:val="00844B6F"/>
    <w:rsid w:val="00854866"/>
    <w:rsid w:val="00854867"/>
    <w:rsid w:val="00866F65"/>
    <w:rsid w:val="00870F22"/>
    <w:rsid w:val="00874033"/>
    <w:rsid w:val="00893D0B"/>
    <w:rsid w:val="008970E6"/>
    <w:rsid w:val="008D3FF1"/>
    <w:rsid w:val="008E5919"/>
    <w:rsid w:val="008F288E"/>
    <w:rsid w:val="00906CA1"/>
    <w:rsid w:val="00912379"/>
    <w:rsid w:val="00914AF3"/>
    <w:rsid w:val="00920A2D"/>
    <w:rsid w:val="00925E14"/>
    <w:rsid w:val="00930DE9"/>
    <w:rsid w:val="00947E71"/>
    <w:rsid w:val="009517B9"/>
    <w:rsid w:val="00961028"/>
    <w:rsid w:val="009656A7"/>
    <w:rsid w:val="00972475"/>
    <w:rsid w:val="0098613E"/>
    <w:rsid w:val="00987F5B"/>
    <w:rsid w:val="00991C2B"/>
    <w:rsid w:val="009A7F08"/>
    <w:rsid w:val="009B13E9"/>
    <w:rsid w:val="009C3650"/>
    <w:rsid w:val="009F2DF4"/>
    <w:rsid w:val="009F49AC"/>
    <w:rsid w:val="00A00444"/>
    <w:rsid w:val="00A14651"/>
    <w:rsid w:val="00A16708"/>
    <w:rsid w:val="00A34E9E"/>
    <w:rsid w:val="00A37C34"/>
    <w:rsid w:val="00A4013F"/>
    <w:rsid w:val="00A4231F"/>
    <w:rsid w:val="00A43E60"/>
    <w:rsid w:val="00A71740"/>
    <w:rsid w:val="00A73E01"/>
    <w:rsid w:val="00AA75E8"/>
    <w:rsid w:val="00AB104C"/>
    <w:rsid w:val="00AC5299"/>
    <w:rsid w:val="00AE2283"/>
    <w:rsid w:val="00AE5460"/>
    <w:rsid w:val="00AF1B91"/>
    <w:rsid w:val="00B138E9"/>
    <w:rsid w:val="00B240E2"/>
    <w:rsid w:val="00B245D3"/>
    <w:rsid w:val="00B30D75"/>
    <w:rsid w:val="00B33ED3"/>
    <w:rsid w:val="00B33F41"/>
    <w:rsid w:val="00B477AE"/>
    <w:rsid w:val="00B5204A"/>
    <w:rsid w:val="00B55638"/>
    <w:rsid w:val="00B56291"/>
    <w:rsid w:val="00B6749D"/>
    <w:rsid w:val="00B71797"/>
    <w:rsid w:val="00BA710A"/>
    <w:rsid w:val="00BC063D"/>
    <w:rsid w:val="00BC7D9A"/>
    <w:rsid w:val="00BD14FA"/>
    <w:rsid w:val="00BD3CD8"/>
    <w:rsid w:val="00BD49F8"/>
    <w:rsid w:val="00BE410B"/>
    <w:rsid w:val="00BF06A7"/>
    <w:rsid w:val="00BF12EF"/>
    <w:rsid w:val="00BF24AD"/>
    <w:rsid w:val="00BF2837"/>
    <w:rsid w:val="00BF6D3A"/>
    <w:rsid w:val="00C1774B"/>
    <w:rsid w:val="00C22B91"/>
    <w:rsid w:val="00C23F9E"/>
    <w:rsid w:val="00C24B25"/>
    <w:rsid w:val="00C37911"/>
    <w:rsid w:val="00C446B6"/>
    <w:rsid w:val="00C66DCF"/>
    <w:rsid w:val="00C778EE"/>
    <w:rsid w:val="00C77C03"/>
    <w:rsid w:val="00C859D5"/>
    <w:rsid w:val="00CA6CA0"/>
    <w:rsid w:val="00CB1EFD"/>
    <w:rsid w:val="00CC11DB"/>
    <w:rsid w:val="00CC46B9"/>
    <w:rsid w:val="00CD5CA4"/>
    <w:rsid w:val="00CE3C36"/>
    <w:rsid w:val="00CF3B4C"/>
    <w:rsid w:val="00D0102D"/>
    <w:rsid w:val="00D0367B"/>
    <w:rsid w:val="00D21670"/>
    <w:rsid w:val="00D2330F"/>
    <w:rsid w:val="00D25936"/>
    <w:rsid w:val="00D419E0"/>
    <w:rsid w:val="00D53FBC"/>
    <w:rsid w:val="00D667F8"/>
    <w:rsid w:val="00D712ED"/>
    <w:rsid w:val="00D75BFB"/>
    <w:rsid w:val="00D8380B"/>
    <w:rsid w:val="00DA36C1"/>
    <w:rsid w:val="00DC2714"/>
    <w:rsid w:val="00DE465A"/>
    <w:rsid w:val="00DE49CE"/>
    <w:rsid w:val="00DE62FE"/>
    <w:rsid w:val="00E032A7"/>
    <w:rsid w:val="00E076C9"/>
    <w:rsid w:val="00E116BA"/>
    <w:rsid w:val="00E21CB3"/>
    <w:rsid w:val="00E33937"/>
    <w:rsid w:val="00E46079"/>
    <w:rsid w:val="00E62375"/>
    <w:rsid w:val="00E8249E"/>
    <w:rsid w:val="00E863C6"/>
    <w:rsid w:val="00E91FA9"/>
    <w:rsid w:val="00E95984"/>
    <w:rsid w:val="00E964DB"/>
    <w:rsid w:val="00EA64FF"/>
    <w:rsid w:val="00EC5778"/>
    <w:rsid w:val="00EE6406"/>
    <w:rsid w:val="00EF0834"/>
    <w:rsid w:val="00EF1F4C"/>
    <w:rsid w:val="00EF35FB"/>
    <w:rsid w:val="00EF65B3"/>
    <w:rsid w:val="00F00514"/>
    <w:rsid w:val="00F01093"/>
    <w:rsid w:val="00F0530B"/>
    <w:rsid w:val="00F128C4"/>
    <w:rsid w:val="00F35C66"/>
    <w:rsid w:val="00F4683A"/>
    <w:rsid w:val="00F51B1D"/>
    <w:rsid w:val="00F54FBA"/>
    <w:rsid w:val="00F60266"/>
    <w:rsid w:val="00F62132"/>
    <w:rsid w:val="00F64C21"/>
    <w:rsid w:val="00F708FF"/>
    <w:rsid w:val="00F759F6"/>
    <w:rsid w:val="00F75A8B"/>
    <w:rsid w:val="00F8429F"/>
    <w:rsid w:val="00F90619"/>
    <w:rsid w:val="00F929ED"/>
    <w:rsid w:val="00F950D1"/>
    <w:rsid w:val="00FA7DB5"/>
    <w:rsid w:val="00FB0C88"/>
    <w:rsid w:val="00FC187F"/>
    <w:rsid w:val="00FC21C6"/>
    <w:rsid w:val="00FC6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D1269C"/>
  <w14:defaultImageDpi w14:val="32767"/>
  <w15:chartTrackingRefBased/>
  <w15:docId w15:val="{18E59D19-8B71-4C16-84C2-CFB15E9E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A36C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36C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A36C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A36C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A36C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A36C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A36C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36C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36C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36C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A36C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A36C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A36C1"/>
    <w:rPr>
      <w:rFonts w:cstheme="majorBidi"/>
      <w:color w:val="0F4761" w:themeColor="accent1" w:themeShade="BF"/>
      <w:sz w:val="28"/>
      <w:szCs w:val="28"/>
    </w:rPr>
  </w:style>
  <w:style w:type="character" w:customStyle="1" w:styleId="50">
    <w:name w:val="标题 5 字符"/>
    <w:basedOn w:val="a0"/>
    <w:link w:val="5"/>
    <w:uiPriority w:val="9"/>
    <w:semiHidden/>
    <w:rsid w:val="00DA36C1"/>
    <w:rPr>
      <w:rFonts w:cstheme="majorBidi"/>
      <w:color w:val="0F4761" w:themeColor="accent1" w:themeShade="BF"/>
      <w:sz w:val="24"/>
      <w:szCs w:val="24"/>
    </w:rPr>
  </w:style>
  <w:style w:type="character" w:customStyle="1" w:styleId="60">
    <w:name w:val="标题 6 字符"/>
    <w:basedOn w:val="a0"/>
    <w:link w:val="6"/>
    <w:uiPriority w:val="9"/>
    <w:semiHidden/>
    <w:rsid w:val="00DA36C1"/>
    <w:rPr>
      <w:rFonts w:cstheme="majorBidi"/>
      <w:b/>
      <w:bCs/>
      <w:color w:val="0F4761" w:themeColor="accent1" w:themeShade="BF"/>
    </w:rPr>
  </w:style>
  <w:style w:type="character" w:customStyle="1" w:styleId="70">
    <w:name w:val="标题 7 字符"/>
    <w:basedOn w:val="a0"/>
    <w:link w:val="7"/>
    <w:uiPriority w:val="9"/>
    <w:semiHidden/>
    <w:rsid w:val="00DA36C1"/>
    <w:rPr>
      <w:rFonts w:cstheme="majorBidi"/>
      <w:b/>
      <w:bCs/>
      <w:color w:val="595959" w:themeColor="text1" w:themeTint="A6"/>
    </w:rPr>
  </w:style>
  <w:style w:type="character" w:customStyle="1" w:styleId="80">
    <w:name w:val="标题 8 字符"/>
    <w:basedOn w:val="a0"/>
    <w:link w:val="8"/>
    <w:uiPriority w:val="9"/>
    <w:semiHidden/>
    <w:rsid w:val="00DA36C1"/>
    <w:rPr>
      <w:rFonts w:cstheme="majorBidi"/>
      <w:color w:val="595959" w:themeColor="text1" w:themeTint="A6"/>
    </w:rPr>
  </w:style>
  <w:style w:type="character" w:customStyle="1" w:styleId="90">
    <w:name w:val="标题 9 字符"/>
    <w:basedOn w:val="a0"/>
    <w:link w:val="9"/>
    <w:uiPriority w:val="9"/>
    <w:semiHidden/>
    <w:rsid w:val="00DA36C1"/>
    <w:rPr>
      <w:rFonts w:eastAsiaTheme="majorEastAsia" w:cstheme="majorBidi"/>
      <w:color w:val="595959" w:themeColor="text1" w:themeTint="A6"/>
    </w:rPr>
  </w:style>
  <w:style w:type="paragraph" w:styleId="a3">
    <w:name w:val="Title"/>
    <w:basedOn w:val="a"/>
    <w:next w:val="a"/>
    <w:link w:val="a4"/>
    <w:uiPriority w:val="10"/>
    <w:qFormat/>
    <w:rsid w:val="00DA3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A3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3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A3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36C1"/>
    <w:pPr>
      <w:spacing w:before="160" w:after="160"/>
      <w:jc w:val="center"/>
    </w:pPr>
    <w:rPr>
      <w:i/>
      <w:iCs/>
      <w:color w:val="404040" w:themeColor="text1" w:themeTint="BF"/>
    </w:rPr>
  </w:style>
  <w:style w:type="character" w:customStyle="1" w:styleId="a8">
    <w:name w:val="引用 字符"/>
    <w:basedOn w:val="a0"/>
    <w:link w:val="a7"/>
    <w:uiPriority w:val="29"/>
    <w:rsid w:val="00DA36C1"/>
    <w:rPr>
      <w:i/>
      <w:iCs/>
      <w:color w:val="404040" w:themeColor="text1" w:themeTint="BF"/>
    </w:rPr>
  </w:style>
  <w:style w:type="paragraph" w:styleId="a9">
    <w:name w:val="List Paragraph"/>
    <w:basedOn w:val="a"/>
    <w:uiPriority w:val="34"/>
    <w:qFormat/>
    <w:rsid w:val="00DA36C1"/>
    <w:pPr>
      <w:ind w:left="720"/>
      <w:contextualSpacing/>
    </w:pPr>
  </w:style>
  <w:style w:type="character" w:styleId="aa">
    <w:name w:val="Intense Emphasis"/>
    <w:basedOn w:val="a0"/>
    <w:uiPriority w:val="21"/>
    <w:qFormat/>
    <w:rsid w:val="00DA36C1"/>
    <w:rPr>
      <w:i/>
      <w:iCs/>
      <w:color w:val="0F4761" w:themeColor="accent1" w:themeShade="BF"/>
    </w:rPr>
  </w:style>
  <w:style w:type="paragraph" w:styleId="ab">
    <w:name w:val="Intense Quote"/>
    <w:basedOn w:val="a"/>
    <w:next w:val="a"/>
    <w:link w:val="ac"/>
    <w:uiPriority w:val="30"/>
    <w:qFormat/>
    <w:rsid w:val="00DA3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A36C1"/>
    <w:rPr>
      <w:i/>
      <w:iCs/>
      <w:color w:val="0F4761" w:themeColor="accent1" w:themeShade="BF"/>
    </w:rPr>
  </w:style>
  <w:style w:type="character" w:styleId="ad">
    <w:name w:val="Intense Reference"/>
    <w:basedOn w:val="a0"/>
    <w:uiPriority w:val="32"/>
    <w:qFormat/>
    <w:rsid w:val="00DA36C1"/>
    <w:rPr>
      <w:b/>
      <w:bCs/>
      <w:smallCaps/>
      <w:color w:val="0F4761" w:themeColor="accent1" w:themeShade="BF"/>
      <w:spacing w:val="5"/>
    </w:rPr>
  </w:style>
  <w:style w:type="paragraph" w:styleId="ae">
    <w:name w:val="header"/>
    <w:basedOn w:val="a"/>
    <w:link w:val="af"/>
    <w:uiPriority w:val="99"/>
    <w:unhideWhenUsed/>
    <w:rsid w:val="00F64C21"/>
    <w:pPr>
      <w:tabs>
        <w:tab w:val="center" w:pos="4153"/>
        <w:tab w:val="right" w:pos="8306"/>
      </w:tabs>
      <w:snapToGrid w:val="0"/>
      <w:jc w:val="center"/>
    </w:pPr>
    <w:rPr>
      <w:sz w:val="18"/>
      <w:szCs w:val="18"/>
    </w:rPr>
  </w:style>
  <w:style w:type="character" w:customStyle="1" w:styleId="af">
    <w:name w:val="页眉 字符"/>
    <w:basedOn w:val="a0"/>
    <w:link w:val="ae"/>
    <w:uiPriority w:val="99"/>
    <w:rsid w:val="00F64C21"/>
    <w:rPr>
      <w:sz w:val="18"/>
      <w:szCs w:val="18"/>
    </w:rPr>
  </w:style>
  <w:style w:type="paragraph" w:styleId="af0">
    <w:name w:val="footer"/>
    <w:basedOn w:val="a"/>
    <w:link w:val="af1"/>
    <w:uiPriority w:val="99"/>
    <w:unhideWhenUsed/>
    <w:rsid w:val="00F64C21"/>
    <w:pPr>
      <w:tabs>
        <w:tab w:val="center" w:pos="4153"/>
        <w:tab w:val="right" w:pos="8306"/>
      </w:tabs>
      <w:snapToGrid w:val="0"/>
      <w:jc w:val="left"/>
    </w:pPr>
    <w:rPr>
      <w:sz w:val="18"/>
      <w:szCs w:val="18"/>
    </w:rPr>
  </w:style>
  <w:style w:type="character" w:customStyle="1" w:styleId="af1">
    <w:name w:val="页脚 字符"/>
    <w:basedOn w:val="a0"/>
    <w:link w:val="af0"/>
    <w:uiPriority w:val="99"/>
    <w:rsid w:val="00F64C21"/>
    <w:rPr>
      <w:sz w:val="18"/>
      <w:szCs w:val="18"/>
    </w:rPr>
  </w:style>
  <w:style w:type="paragraph" w:customStyle="1" w:styleId="BATitle">
    <w:name w:val="BA_Title"/>
    <w:basedOn w:val="a"/>
    <w:next w:val="BBAuthorName"/>
    <w:qFormat/>
    <w:rsid w:val="00930DE9"/>
    <w:pPr>
      <w:widowControl/>
      <w:spacing w:before="720" w:after="360" w:line="480" w:lineRule="auto"/>
      <w:jc w:val="center"/>
    </w:pPr>
    <w:rPr>
      <w:rFonts w:ascii="Times New Roman" w:eastAsia="宋体" w:hAnsi="Times New Roman" w:cs="Times New Roman"/>
      <w:kern w:val="0"/>
      <w:sz w:val="44"/>
      <w:szCs w:val="20"/>
      <w:lang w:eastAsia="en-US"/>
      <w14:ligatures w14:val="none"/>
    </w:rPr>
  </w:style>
  <w:style w:type="paragraph" w:customStyle="1" w:styleId="BBAuthorName">
    <w:name w:val="BB_Author_Name"/>
    <w:basedOn w:val="a"/>
    <w:next w:val="a"/>
    <w:rsid w:val="00930DE9"/>
    <w:pPr>
      <w:widowControl/>
      <w:spacing w:after="240" w:line="480" w:lineRule="auto"/>
      <w:jc w:val="center"/>
    </w:pPr>
    <w:rPr>
      <w:rFonts w:ascii="Times" w:eastAsia="宋体" w:hAnsi="Times" w:cs="Times New Roman"/>
      <w:i/>
      <w:kern w:val="0"/>
      <w:sz w:val="24"/>
      <w:szCs w:val="20"/>
      <w:lang w:eastAsia="en-US"/>
      <w14:ligatures w14:val="none"/>
    </w:rPr>
  </w:style>
  <w:style w:type="paragraph" w:customStyle="1" w:styleId="BCAuthorAddress">
    <w:name w:val="BC_Author_Address"/>
    <w:basedOn w:val="a"/>
    <w:next w:val="a"/>
    <w:qFormat/>
    <w:rsid w:val="00930DE9"/>
    <w:pPr>
      <w:widowControl/>
      <w:spacing w:after="240" w:line="480" w:lineRule="auto"/>
      <w:jc w:val="center"/>
    </w:pPr>
    <w:rPr>
      <w:rFonts w:ascii="Times" w:eastAsia="宋体" w:hAnsi="Times" w:cs="Times New Roman"/>
      <w:kern w:val="0"/>
      <w:sz w:val="24"/>
      <w:szCs w:val="20"/>
      <w:lang w:eastAsia="en-US"/>
      <w14:ligatures w14:val="none"/>
    </w:rPr>
  </w:style>
  <w:style w:type="paragraph" w:customStyle="1" w:styleId="BIEmailAddress">
    <w:name w:val="BI_Email_Address"/>
    <w:basedOn w:val="a"/>
    <w:next w:val="a"/>
    <w:rsid w:val="00161388"/>
    <w:pPr>
      <w:widowControl/>
      <w:spacing w:after="200" w:line="480" w:lineRule="auto"/>
    </w:pPr>
    <w:rPr>
      <w:rFonts w:ascii="Times" w:eastAsia="宋体" w:hAnsi="Times" w:cs="Times New Roman"/>
      <w:kern w:val="0"/>
      <w:sz w:val="24"/>
      <w:szCs w:val="20"/>
      <w:lang w:eastAsia="en-US"/>
      <w14:ligatures w14:val="none"/>
    </w:rPr>
  </w:style>
  <w:style w:type="character" w:styleId="af2">
    <w:name w:val="Hyperlink"/>
    <w:rsid w:val="00161388"/>
    <w:rPr>
      <w:color w:val="0000FF"/>
      <w:u w:val="single"/>
    </w:rPr>
  </w:style>
  <w:style w:type="paragraph" w:customStyle="1" w:styleId="AuthorsFull">
    <w:name w:val="Authors Full"/>
    <w:basedOn w:val="a"/>
    <w:qFormat/>
    <w:rsid w:val="00E46079"/>
    <w:pPr>
      <w:widowControl/>
      <w:jc w:val="left"/>
    </w:pPr>
    <w:rPr>
      <w:rFonts w:ascii="Times New Roman" w:eastAsia="MS Mincho" w:hAnsi="Times New Roman" w:cs="Times New Roman"/>
      <w:i/>
      <w:kern w:val="0"/>
      <w:sz w:val="24"/>
      <w:szCs w:val="24"/>
      <w:lang w:eastAsia="ja-JP"/>
    </w:rPr>
  </w:style>
  <w:style w:type="character" w:styleId="af3">
    <w:name w:val="Unresolved Mention"/>
    <w:basedOn w:val="a0"/>
    <w:uiPriority w:val="99"/>
    <w:semiHidden/>
    <w:unhideWhenUsed/>
    <w:rsid w:val="00712511"/>
    <w:rPr>
      <w:color w:val="605E5C"/>
      <w:shd w:val="clear" w:color="auto" w:fill="E1DFDD"/>
    </w:rPr>
  </w:style>
  <w:style w:type="paragraph" w:customStyle="1" w:styleId="Addresses">
    <w:name w:val="Addresses"/>
    <w:basedOn w:val="a"/>
    <w:rsid w:val="00600AA1"/>
    <w:pPr>
      <w:widowControl/>
      <w:jc w:val="left"/>
    </w:pPr>
    <w:rPr>
      <w:rFonts w:ascii="Times New Roman" w:eastAsia="MS Mincho" w:hAnsi="Times New Roman" w:cs="Times New Roman"/>
      <w:kern w:val="0"/>
      <w:sz w:val="24"/>
      <w:szCs w:val="24"/>
      <w:lang w:eastAsia="ja-JP"/>
      <w14:ligatures w14:val="none"/>
    </w:rPr>
  </w:style>
  <w:style w:type="paragraph" w:customStyle="1" w:styleId="Head1">
    <w:name w:val="Head 1"/>
    <w:basedOn w:val="a"/>
    <w:autoRedefine/>
    <w:rsid w:val="00600AA1"/>
    <w:pPr>
      <w:widowControl/>
      <w:spacing w:before="120" w:after="120"/>
    </w:pPr>
    <w:rPr>
      <w:rFonts w:ascii="Times New Roman" w:eastAsia="MS Mincho" w:hAnsi="Times New Roman" w:cs="Times New Roman"/>
      <w:bCs/>
      <w:kern w:val="0"/>
      <w:sz w:val="24"/>
      <w:szCs w:val="24"/>
      <w:lang w:val="de-DE" w:eastAsia="ja-JP"/>
      <w14:ligatures w14:val="none"/>
    </w:rPr>
  </w:style>
  <w:style w:type="paragraph" w:customStyle="1" w:styleId="FigS1">
    <w:name w:val="Fig. S1"/>
    <w:basedOn w:val="a"/>
    <w:link w:val="FigS10"/>
    <w:qFormat/>
    <w:rsid w:val="00600AA1"/>
    <w:pPr>
      <w:widowControl/>
      <w:spacing w:beforeLines="50" w:before="120" w:line="360" w:lineRule="auto"/>
    </w:pPr>
    <w:rPr>
      <w:rFonts w:ascii="Times New Roman" w:eastAsia="MS Mincho" w:hAnsi="Times New Roman" w:cs="Times New Roman"/>
      <w:bCs/>
      <w:kern w:val="0"/>
      <w:sz w:val="24"/>
      <w:szCs w:val="24"/>
      <w:lang w:eastAsia="ja-JP"/>
      <w14:ligatures w14:val="none"/>
    </w:rPr>
  </w:style>
  <w:style w:type="character" w:customStyle="1" w:styleId="FigS10">
    <w:name w:val="Fig. S1 字符"/>
    <w:basedOn w:val="a0"/>
    <w:link w:val="FigS1"/>
    <w:rsid w:val="00600AA1"/>
    <w:rPr>
      <w:rFonts w:ascii="Times New Roman" w:eastAsia="MS Mincho" w:hAnsi="Times New Roman" w:cs="Times New Roman"/>
      <w:bCs/>
      <w:kern w:val="0"/>
      <w:sz w:val="24"/>
      <w:szCs w:val="24"/>
      <w:lang w:eastAsia="ja-JP"/>
      <w14:ligatures w14:val="none"/>
    </w:rPr>
  </w:style>
  <w:style w:type="table" w:customStyle="1" w:styleId="11">
    <w:name w:val="网格型1"/>
    <w:basedOn w:val="a1"/>
    <w:next w:val="af4"/>
    <w:uiPriority w:val="39"/>
    <w:rsid w:val="00614C4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614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ibliography"/>
    <w:basedOn w:val="a"/>
    <w:next w:val="a"/>
    <w:uiPriority w:val="37"/>
    <w:semiHidden/>
    <w:unhideWhenUsed/>
    <w:rsid w:val="00231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Relationship Id="rId18" Type="http://schemas.openxmlformats.org/officeDocument/2006/relationships/image" Target="media/image10.jpeg"/><Relationship Id="rId26" Type="http://schemas.openxmlformats.org/officeDocument/2006/relationships/image" Target="media/image18.tiff"/><Relationship Id="rId39" Type="http://schemas.openxmlformats.org/officeDocument/2006/relationships/hyperlink" Target="https://doi.org/10.1016/j.electacta.2025.145935" TargetMode="External"/><Relationship Id="rId21" Type="http://schemas.openxmlformats.org/officeDocument/2006/relationships/image" Target="media/image13.tiff"/><Relationship Id="rId34" Type="http://schemas.openxmlformats.org/officeDocument/2006/relationships/hyperlink" Target="https://doi.org/10.1016/j.carbon.2024.119981"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tiff"/><Relationship Id="rId29" Type="http://schemas.openxmlformats.org/officeDocument/2006/relationships/image" Target="media/image21.tiff"/><Relationship Id="rId11" Type="http://schemas.openxmlformats.org/officeDocument/2006/relationships/image" Target="media/image3.tif"/><Relationship Id="rId24" Type="http://schemas.openxmlformats.org/officeDocument/2006/relationships/image" Target="media/image16.tiff"/><Relationship Id="rId32" Type="http://schemas.openxmlformats.org/officeDocument/2006/relationships/image" Target="media/image24.jpeg"/><Relationship Id="rId37" Type="http://schemas.openxmlformats.org/officeDocument/2006/relationships/hyperlink" Target="https://doi.org/10.1016/j.cej.2025.165014" TargetMode="External"/><Relationship Id="rId40" Type="http://schemas.openxmlformats.org/officeDocument/2006/relationships/hyperlink" Target="https://doi.org/10.1016/j.est.2025.117149"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tiff"/><Relationship Id="rId36" Type="http://schemas.openxmlformats.org/officeDocument/2006/relationships/hyperlink" Target="https://doi.org/10.1016/j.cej.2025.160879" TargetMode="External"/><Relationship Id="rId49" Type="http://schemas.openxmlformats.org/officeDocument/2006/relationships/theme" Target="theme/theme1.xml"/><Relationship Id="rId10" Type="http://schemas.openxmlformats.org/officeDocument/2006/relationships/image" Target="media/image2.tif"/><Relationship Id="rId19" Type="http://schemas.openxmlformats.org/officeDocument/2006/relationships/image" Target="media/image11.tiff"/><Relationship Id="rId31" Type="http://schemas.openxmlformats.org/officeDocument/2006/relationships/image" Target="media/image23.ti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hyperlink" Target="https://doi.org/10.1016/j.ensm.2025.104420"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mailto:simin.li@csu.edu.cn" TargetMode="Externa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hyperlink" Target="https://doi.org/10.1016/j.carbon.2024.119527" TargetMode="External"/><Relationship Id="rId38" Type="http://schemas.openxmlformats.org/officeDocument/2006/relationships/hyperlink" Target="https://doi.org/10.1016/j.jpowsour.2025.237850" TargetMode="External"/><Relationship Id="rId46" Type="http://schemas.openxmlformats.org/officeDocument/2006/relationships/header" Target="header3.xml"/><Relationship Id="rId20" Type="http://schemas.openxmlformats.org/officeDocument/2006/relationships/image" Target="media/image12.tif"/><Relationship Id="rId41" Type="http://schemas.openxmlformats.org/officeDocument/2006/relationships/hyperlink" Target="https://doi.org/10.1016/j.carbon.2025.1210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25A2A-028A-4B19-A681-812D98B23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1773</Words>
  <Characters>10054</Characters>
  <Application>Microsoft Office Word</Application>
  <DocSecurity>0</DocSecurity>
  <Lines>295</Lines>
  <Paragraphs>159</Paragraphs>
  <ScaleCrop>false</ScaleCrop>
  <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少聪 钟</dc:creator>
  <cp:keywords/>
  <dc:description/>
  <cp:lastModifiedBy>rong he</cp:lastModifiedBy>
  <cp:revision>24</cp:revision>
  <dcterms:created xsi:type="dcterms:W3CDTF">2026-04-09T06:46:00Z</dcterms:created>
  <dcterms:modified xsi:type="dcterms:W3CDTF">2026-06-21T10:58:00Z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(S#E1)</vt:lpwstr>
  </property>
  <property fmtid="{D5CDD505-2E9C-101B-9397-08002B2CF9AE}" pid="3" name="MTCustomEquationNumber">
    <vt:lpwstr>1</vt:lpwstr>
  </property>
</Properties>
</file>