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160B2" w14:textId="06D27C77" w:rsidR="00283073" w:rsidRPr="007A3496" w:rsidRDefault="00283073" w:rsidP="00283073">
      <w:pPr>
        <w:pStyle w:val="Paragrafoelenco"/>
        <w:spacing w:line="360" w:lineRule="auto"/>
        <w:ind w:left="0"/>
        <w:rPr>
          <w:rFonts w:ascii="Times New Roman" w:hAnsi="Times New Roman" w:cs="Times New Roman"/>
          <w:b/>
          <w:bCs/>
          <w:color w:val="000000" w:themeColor="text1"/>
          <w:lang w:val="en-GB"/>
        </w:rPr>
      </w:pPr>
      <w:r w:rsidRPr="007A3496">
        <w:rPr>
          <w:rFonts w:ascii="Times New Roman" w:hAnsi="Times New Roman" w:cs="Times New Roman"/>
          <w:b/>
          <w:bCs/>
          <w:color w:val="000000" w:themeColor="text1"/>
          <w:lang w:val="en-GB"/>
        </w:rPr>
        <w:t xml:space="preserve">Appendix – </w:t>
      </w:r>
      <w:r w:rsidR="007A3496" w:rsidRPr="007A3496">
        <w:rPr>
          <w:rFonts w:ascii="Times New Roman" w:hAnsi="Times New Roman" w:cs="Times New Roman"/>
          <w:b/>
          <w:bCs/>
          <w:iCs/>
          <w:color w:val="000000" w:themeColor="text1"/>
        </w:rPr>
        <w:t xml:space="preserve">Generalized Method of Moments </w:t>
      </w:r>
      <w:r w:rsidRPr="007A3496">
        <w:rPr>
          <w:rFonts w:ascii="Times New Roman" w:hAnsi="Times New Roman" w:cs="Times New Roman"/>
          <w:b/>
          <w:bCs/>
          <w:color w:val="000000" w:themeColor="text1"/>
          <w:lang w:val="en-GB"/>
        </w:rPr>
        <w:t xml:space="preserve">estimates results </w:t>
      </w:r>
    </w:p>
    <w:p w14:paraId="30776F7F" w14:textId="6702B6AB" w:rsidR="00283073" w:rsidRPr="00283073" w:rsidRDefault="00283073" w:rsidP="00283073">
      <w:pPr>
        <w:pStyle w:val="Testocommento"/>
        <w:spacing w:before="100" w:beforeAutospacing="1" w:after="100" w:afterAutospacing="1" w:line="360" w:lineRule="auto"/>
        <w:ind w:firstLine="708"/>
        <w:jc w:val="both"/>
        <w:rPr>
          <w:bCs/>
          <w:iCs/>
          <w:color w:val="000000" w:themeColor="text1"/>
        </w:rPr>
      </w:pPr>
      <w:r w:rsidRPr="00283073">
        <w:rPr>
          <w:bCs/>
          <w:iCs/>
          <w:color w:val="000000" w:themeColor="text1"/>
        </w:rPr>
        <w:t xml:space="preserve">The relation of debt with its covariates for Italian regions and American states has been analysed with the Generalized Method of Moments (GMM) as a robustness check </w:t>
      </w:r>
      <w:r w:rsidRPr="00283073">
        <w:rPr>
          <w:bCs/>
          <w:iCs/>
          <w:color w:val="000000" w:themeColor="text1"/>
        </w:rPr>
        <w:fldChar w:fldCharType="begin" w:fldLock="1"/>
      </w:r>
      <w:r w:rsidRPr="00283073">
        <w:rPr>
          <w:bCs/>
          <w:iCs/>
          <w:color w:val="000000" w:themeColor="text1"/>
        </w:rPr>
        <w:instrText>ADDIN CSL_CITATION {"citationItems":[{"id":"ITEM-1","itemData":{"DOI":"10.2307/2297968","ISSN":"1467937X","abstract":"This paper presents specification tests that are applicable after estimating a dynamic model from panel data by the generalized method of moments (GMM), and studies the practical performance of these procedures using both generated and real data. Our GMM estimator optimally exploits all the linear moment restrictions that follow from the assumption of no serial correlation in the errors, in an equation which contains individual effects, lagged dependent variables and no strictly exogenous variables. We propose a test of serial correlation based on the GMM residuals and compare this with Sargan tests of over-identifying restrictions and Hausman specification tests. © 1991 The Review of Economic Studies Limited.","author":[{"dropping-particle":"","family":"Arellano","given":"Manuel","non-dropping-particle":"","parse-names":false,"suffix":""},{"dropping-particle":"","family":"Bond","given":"Stephen","non-dropping-particle":"","parse-names":false,"suffix":""}],"container-title":"Review of Economic Studies","id":"ITEM-1","issue":"2","issued":{"date-parts":[["1991"]]},"page":"277-297","title":"Some tests of specification for panel data: Monte Carlo evidence and an application to employment equations","type":"article-journal","volume":"58"},"uris":["http://www.mendeley.com/documents/?uuid=0988cd57-4216-46c3-aadd-b2e17a52d5b0"]}],"mendeley":{"formattedCitation":"(Arellano and Bond 1991)","plainTextFormattedCitation":"(Arellano and Bond 1991)","previouslyFormattedCitation":"(Arellano and Bond 1991)"},"properties":{"noteIndex":0},"schema":"https://github.com/citation-style-language/schema/raw/master/csl-citation.json"}</w:instrText>
      </w:r>
      <w:r w:rsidRPr="00283073">
        <w:rPr>
          <w:bCs/>
          <w:iCs/>
          <w:color w:val="000000" w:themeColor="text1"/>
        </w:rPr>
        <w:fldChar w:fldCharType="separate"/>
      </w:r>
      <w:r w:rsidRPr="00283073">
        <w:rPr>
          <w:bCs/>
          <w:iCs/>
          <w:noProof/>
          <w:color w:val="000000" w:themeColor="text1"/>
        </w:rPr>
        <w:t>(Arellano and Bond 1991)</w:t>
      </w:r>
      <w:r w:rsidRPr="00283073">
        <w:rPr>
          <w:bCs/>
          <w:iCs/>
          <w:color w:val="000000" w:themeColor="text1"/>
        </w:rPr>
        <w:fldChar w:fldCharType="end"/>
      </w:r>
      <w:r w:rsidRPr="00283073">
        <w:rPr>
          <w:bCs/>
          <w:iCs/>
          <w:color w:val="000000" w:themeColor="text1"/>
        </w:rPr>
        <w:t xml:space="preserve">. This technique </w:t>
      </w:r>
      <w:r w:rsidRPr="00283073">
        <w:rPr>
          <w:color w:val="000000" w:themeColor="text1"/>
        </w:rPr>
        <w:t xml:space="preserve">allows to correct for the endogeneity among macroeconomic and fiscal variables, widely reported on the literature. </w:t>
      </w:r>
      <w:r w:rsidRPr="00283073">
        <w:rPr>
          <w:bCs/>
          <w:iCs/>
          <w:color w:val="000000" w:themeColor="text1"/>
        </w:rPr>
        <w:t>Equation is as follows:</w:t>
      </w:r>
    </w:p>
    <w:p w14:paraId="70FD2503" w14:textId="77777777" w:rsidR="00283073" w:rsidRPr="00283073" w:rsidRDefault="00283073" w:rsidP="00283073">
      <w:pPr>
        <w:spacing w:line="360" w:lineRule="auto"/>
        <w:ind w:left="708" w:firstLine="708"/>
        <w:jc w:val="both"/>
        <w:rPr>
          <w:rFonts w:ascii="Times New Roman" w:hAnsi="Times New Roman" w:cs="Times New Roman"/>
          <w:iCs/>
          <w:color w:val="000000" w:themeColor="text1"/>
          <w:lang w:val="en-GB"/>
        </w:rPr>
      </w:pPr>
      <m:oMath>
        <m:r>
          <w:rPr>
            <w:rFonts w:ascii="Cambria Math" w:hAnsi="Cambria Math" w:cs="Times New Roman"/>
            <w:color w:val="000000" w:themeColor="text1"/>
            <w:lang w:val="en-GB"/>
          </w:rPr>
          <m:t>Deb</m:t>
        </m:r>
        <m:sSub>
          <m:sSubPr>
            <m:ctrlPr>
              <w:rPr>
                <w:rFonts w:ascii="Cambria Math" w:hAnsi="Cambria Math" w:cs="Times New Roman"/>
                <w:i/>
                <w:iCs/>
                <w:color w:val="000000" w:themeColor="text1"/>
                <w:lang w:val="en-GB"/>
              </w:rPr>
            </m:ctrlPr>
          </m:sSubPr>
          <m:e>
            <m:r>
              <w:rPr>
                <w:rFonts w:ascii="Cambria Math" w:hAnsi="Cambria Math" w:cs="Times New Roman"/>
                <w:color w:val="000000" w:themeColor="text1"/>
                <w:lang w:val="en-GB"/>
              </w:rPr>
              <m:t>t</m:t>
            </m:r>
          </m:e>
          <m:sub>
            <m:r>
              <w:rPr>
                <w:rFonts w:ascii="Cambria Math" w:hAnsi="Cambria Math" w:cs="Times New Roman"/>
                <w:color w:val="000000" w:themeColor="text1"/>
                <w:vertAlign w:val="subscript"/>
                <w:lang w:val="en-GB"/>
              </w:rPr>
              <m:t>it</m:t>
            </m:r>
          </m:sub>
        </m:sSub>
        <m:r>
          <w:rPr>
            <w:rFonts w:ascii="Cambria Math" w:hAnsi="Cambria Math" w:cs="Times New Roman"/>
            <w:color w:val="000000" w:themeColor="text1"/>
            <w:lang w:val="en-GB"/>
          </w:rPr>
          <m:t>= Deb</m:t>
        </m:r>
        <m:sSub>
          <m:sSubPr>
            <m:ctrlPr>
              <w:rPr>
                <w:rFonts w:ascii="Cambria Math" w:hAnsi="Cambria Math" w:cs="Times New Roman"/>
                <w:i/>
                <w:iCs/>
                <w:color w:val="000000" w:themeColor="text1"/>
                <w:lang w:val="en-GB"/>
              </w:rPr>
            </m:ctrlPr>
          </m:sSubPr>
          <m:e>
            <m:r>
              <w:rPr>
                <w:rFonts w:ascii="Cambria Math" w:hAnsi="Cambria Math" w:cs="Times New Roman"/>
                <w:color w:val="000000" w:themeColor="text1"/>
                <w:lang w:val="en-GB"/>
              </w:rPr>
              <m:t>t</m:t>
            </m:r>
          </m:e>
          <m:sub>
            <m:r>
              <w:rPr>
                <w:rFonts w:ascii="Cambria Math" w:hAnsi="Cambria Math" w:cs="Times New Roman"/>
                <w:color w:val="000000" w:themeColor="text1"/>
                <w:vertAlign w:val="subscript"/>
                <w:lang w:val="en-GB"/>
              </w:rPr>
              <m:t>it-1</m:t>
            </m:r>
          </m:sub>
        </m:sSub>
        <m:r>
          <w:rPr>
            <w:rFonts w:ascii="Cambria Math" w:hAnsi="Cambria Math" w:cs="Times New Roman"/>
            <w:color w:val="000000" w:themeColor="text1"/>
            <w:lang w:val="en-GB"/>
          </w:rPr>
          <m:t xml:space="preserve"> + α</m:t>
        </m:r>
        <m:sSub>
          <m:sSubPr>
            <m:ctrlPr>
              <w:rPr>
                <w:rFonts w:ascii="Cambria Math" w:hAnsi="Cambria Math" w:cs="Times New Roman"/>
                <w:i/>
                <w:iCs/>
                <w:color w:val="000000" w:themeColor="text1"/>
                <w:lang w:val="en-GB"/>
              </w:rPr>
            </m:ctrlPr>
          </m:sSubPr>
          <m:e>
            <m:r>
              <w:rPr>
                <w:rFonts w:ascii="Cambria Math" w:hAnsi="Cambria Math" w:cs="Times New Roman"/>
                <w:color w:val="000000" w:themeColor="text1"/>
                <w:lang w:val="en-GB"/>
              </w:rPr>
              <m:t>X</m:t>
            </m:r>
          </m:e>
          <m:sub>
            <m:r>
              <w:rPr>
                <w:rFonts w:ascii="Cambria Math" w:hAnsi="Cambria Math" w:cs="Times New Roman"/>
                <w:color w:val="000000" w:themeColor="text1"/>
                <w:vertAlign w:val="subscript"/>
                <w:lang w:val="en-GB"/>
              </w:rPr>
              <m:t>it</m:t>
            </m:r>
          </m:sub>
        </m:sSub>
        <m:r>
          <w:rPr>
            <w:rFonts w:ascii="Cambria Math" w:hAnsi="Cambria Math" w:cs="Times New Roman"/>
            <w:color w:val="000000" w:themeColor="text1"/>
            <w:lang w:val="en-GB"/>
          </w:rPr>
          <m:t xml:space="preserve"> + γ</m:t>
        </m:r>
        <m:r>
          <w:rPr>
            <w:rFonts w:ascii="Cambria Math" w:hAnsi="Cambria Math" w:cs="Times New Roman"/>
            <w:color w:val="000000" w:themeColor="text1"/>
            <w:vertAlign w:val="subscript"/>
            <w:lang w:val="en-GB"/>
          </w:rPr>
          <m:t>t</m:t>
        </m:r>
        <m:r>
          <w:rPr>
            <w:rFonts w:ascii="Cambria Math" w:hAnsi="Cambria Math" w:cs="Times New Roman"/>
            <w:color w:val="000000" w:themeColor="text1"/>
            <w:lang w:val="en-GB"/>
          </w:rPr>
          <m:t>+ ν</m:t>
        </m:r>
        <m:r>
          <w:rPr>
            <w:rFonts w:ascii="Cambria Math" w:hAnsi="Cambria Math" w:cs="Times New Roman"/>
            <w:color w:val="000000" w:themeColor="text1"/>
            <w:vertAlign w:val="subscript"/>
            <w:lang w:val="en-GB"/>
          </w:rPr>
          <m:t>i</m:t>
        </m:r>
        <m:r>
          <w:rPr>
            <w:rFonts w:ascii="Cambria Math" w:hAnsi="Cambria Math" w:cs="Times New Roman"/>
            <w:color w:val="000000" w:themeColor="text1"/>
            <w:lang w:val="en-GB"/>
          </w:rPr>
          <m:t xml:space="preserve"> + </m:t>
        </m:r>
        <m:sSub>
          <m:sSubPr>
            <m:ctrlPr>
              <w:rPr>
                <w:rFonts w:ascii="Cambria Math" w:hAnsi="Cambria Math" w:cs="Times New Roman"/>
                <w:i/>
                <w:iCs/>
                <w:color w:val="000000" w:themeColor="text1"/>
                <w:lang w:val="en-GB"/>
              </w:rPr>
            </m:ctrlPr>
          </m:sSubPr>
          <m:e>
            <m:r>
              <w:rPr>
                <w:rFonts w:ascii="Cambria Math" w:hAnsi="Cambria Math" w:cs="Times New Roman"/>
                <w:color w:val="000000" w:themeColor="text1"/>
                <w:lang w:val="en-GB"/>
              </w:rPr>
              <m:t>ε</m:t>
            </m:r>
          </m:e>
          <m:sub>
            <m:r>
              <w:rPr>
                <w:rFonts w:ascii="Cambria Math" w:hAnsi="Cambria Math" w:cs="Times New Roman"/>
                <w:color w:val="000000" w:themeColor="text1"/>
                <w:vertAlign w:val="subscript"/>
                <w:lang w:val="en-GB"/>
              </w:rPr>
              <m:t>it</m:t>
            </m:r>
          </m:sub>
        </m:sSub>
        <m:r>
          <w:rPr>
            <w:rFonts w:ascii="Cambria Math" w:hAnsi="Cambria Math" w:cs="Times New Roman"/>
            <w:color w:val="000000" w:themeColor="text1"/>
            <w:vertAlign w:val="subscript"/>
            <w:lang w:val="en-GB"/>
          </w:rPr>
          <m:t xml:space="preserve"> </m:t>
        </m:r>
      </m:oMath>
      <w:r w:rsidRPr="00283073">
        <w:rPr>
          <w:rFonts w:ascii="Times New Roman" w:hAnsi="Times New Roman" w:cs="Times New Roman"/>
          <w:i/>
          <w:iCs/>
          <w:color w:val="000000" w:themeColor="text1"/>
          <w:lang w:val="en-GB"/>
        </w:rPr>
        <w:tab/>
      </w:r>
      <w:r w:rsidRPr="00283073">
        <w:rPr>
          <w:rFonts w:ascii="Times New Roman" w:hAnsi="Times New Roman" w:cs="Times New Roman"/>
          <w:i/>
          <w:iCs/>
          <w:color w:val="000000" w:themeColor="text1"/>
          <w:lang w:val="en-GB"/>
        </w:rPr>
        <w:tab/>
        <w:t xml:space="preserve">    </w:t>
      </w:r>
      <w:r w:rsidRPr="00283073">
        <w:rPr>
          <w:rFonts w:ascii="Times New Roman" w:hAnsi="Times New Roman" w:cs="Times New Roman"/>
          <w:iCs/>
          <w:color w:val="000000" w:themeColor="text1"/>
          <w:lang w:val="en-GB"/>
        </w:rPr>
        <w:t>(A)</w:t>
      </w:r>
    </w:p>
    <w:p w14:paraId="3A81E80A" w14:textId="77777777" w:rsidR="00283073" w:rsidRPr="00283073" w:rsidRDefault="00283073" w:rsidP="00283073">
      <w:pPr>
        <w:spacing w:line="360" w:lineRule="auto"/>
        <w:jc w:val="both"/>
        <w:outlineLvl w:val="0"/>
        <w:rPr>
          <w:rFonts w:ascii="Times New Roman" w:hAnsi="Times New Roman" w:cs="Times New Roman"/>
          <w:bCs/>
          <w:iCs/>
          <w:color w:val="000000" w:themeColor="text1"/>
          <w:lang w:val="en-GB"/>
        </w:rPr>
      </w:pPr>
    </w:p>
    <w:p w14:paraId="24AF9C87" w14:textId="5CBAD399" w:rsidR="00283073" w:rsidRPr="00283073" w:rsidRDefault="00283073" w:rsidP="00283073">
      <w:pPr>
        <w:spacing w:line="360" w:lineRule="auto"/>
        <w:jc w:val="both"/>
        <w:outlineLvl w:val="0"/>
        <w:rPr>
          <w:rFonts w:ascii="Times New Roman" w:hAnsi="Times New Roman" w:cs="Times New Roman"/>
          <w:color w:val="000000" w:themeColor="text1"/>
          <w:lang w:val="en-GB"/>
        </w:rPr>
      </w:pPr>
      <w:r w:rsidRPr="00283073">
        <w:rPr>
          <w:rFonts w:ascii="Times New Roman" w:hAnsi="Times New Roman" w:cs="Times New Roman"/>
          <w:bCs/>
          <w:iCs/>
          <w:color w:val="000000" w:themeColor="text1"/>
          <w:lang w:val="en-GB"/>
        </w:rPr>
        <w:t xml:space="preserve">where </w:t>
      </w:r>
      <w:r w:rsidRPr="00283073">
        <w:rPr>
          <w:rFonts w:ascii="Times New Roman" w:hAnsi="Times New Roman" w:cs="Times New Roman"/>
          <w:bCs/>
          <w:i/>
          <w:iCs/>
          <w:color w:val="000000" w:themeColor="text1"/>
          <w:lang w:val="en-GB"/>
        </w:rPr>
        <w:t>i</w:t>
      </w:r>
      <w:r w:rsidRPr="00283073">
        <w:rPr>
          <w:rFonts w:ascii="Times New Roman" w:hAnsi="Times New Roman" w:cs="Times New Roman"/>
          <w:bCs/>
          <w:iCs/>
          <w:color w:val="000000" w:themeColor="text1"/>
          <w:lang w:val="en-GB"/>
        </w:rPr>
        <w:t xml:space="preserve"> refers to regions/states and </w:t>
      </w:r>
      <w:r w:rsidRPr="00283073">
        <w:rPr>
          <w:rFonts w:ascii="Times New Roman" w:hAnsi="Times New Roman" w:cs="Times New Roman"/>
          <w:bCs/>
          <w:i/>
          <w:iCs/>
          <w:color w:val="000000" w:themeColor="text1"/>
          <w:lang w:val="en-GB"/>
        </w:rPr>
        <w:t>t</w:t>
      </w:r>
      <w:r w:rsidRPr="00283073">
        <w:rPr>
          <w:rFonts w:ascii="Times New Roman" w:hAnsi="Times New Roman" w:cs="Times New Roman"/>
          <w:bCs/>
          <w:iCs/>
          <w:color w:val="000000" w:themeColor="text1"/>
          <w:lang w:val="en-GB"/>
        </w:rPr>
        <w:t xml:space="preserve"> to years; </w:t>
      </w:r>
      <w:r w:rsidRPr="00283073">
        <w:rPr>
          <w:rFonts w:ascii="Times New Roman" w:hAnsi="Times New Roman" w:cs="Times New Roman"/>
          <w:bCs/>
          <w:i/>
          <w:iCs/>
          <w:color w:val="000000" w:themeColor="text1"/>
          <w:lang w:val="en-GB"/>
        </w:rPr>
        <w:t>Debt</w:t>
      </w:r>
      <w:r w:rsidRPr="00283073">
        <w:rPr>
          <w:rFonts w:ascii="Times New Roman" w:hAnsi="Times New Roman" w:cs="Times New Roman"/>
          <w:bCs/>
          <w:iCs/>
          <w:color w:val="000000" w:themeColor="text1"/>
          <w:lang w:val="en-GB"/>
        </w:rPr>
        <w:t xml:space="preserve"> refers to regional or state outstanding debt measures over time; </w:t>
      </w:r>
      <w:r w:rsidRPr="00283073">
        <w:rPr>
          <w:rFonts w:ascii="Times New Roman" w:hAnsi="Times New Roman" w:cs="Times New Roman"/>
          <w:bCs/>
          <w:i/>
          <w:iCs/>
          <w:color w:val="000000" w:themeColor="text1"/>
          <w:lang w:val="en-GB"/>
        </w:rPr>
        <w:t>X</w:t>
      </w:r>
      <w:r w:rsidRPr="00283073">
        <w:rPr>
          <w:rFonts w:ascii="Times New Roman" w:hAnsi="Times New Roman" w:cs="Times New Roman"/>
          <w:bCs/>
          <w:iCs/>
          <w:color w:val="000000" w:themeColor="text1"/>
          <w:lang w:val="en-GB"/>
        </w:rPr>
        <w:t xml:space="preserve"> is </w:t>
      </w:r>
      <w:r>
        <w:rPr>
          <w:rFonts w:ascii="Times New Roman" w:hAnsi="Times New Roman" w:cs="Times New Roman"/>
          <w:bCs/>
          <w:iCs/>
          <w:color w:val="000000" w:themeColor="text1"/>
          <w:lang w:val="en-GB"/>
        </w:rPr>
        <w:t>the</w:t>
      </w:r>
      <w:r w:rsidRPr="00283073">
        <w:rPr>
          <w:rFonts w:ascii="Times New Roman" w:hAnsi="Times New Roman" w:cs="Times New Roman"/>
          <w:bCs/>
          <w:iCs/>
          <w:color w:val="000000" w:themeColor="text1"/>
          <w:lang w:val="en-GB"/>
        </w:rPr>
        <w:t xml:space="preserve"> set of fiscal variables used in the Bayesian estimates, plus controls; </w:t>
      </w:r>
      <w:r w:rsidRPr="00283073">
        <w:rPr>
          <w:rFonts w:ascii="Times New Roman" w:hAnsi="Times New Roman" w:cs="Times New Roman"/>
          <w:i/>
          <w:iCs/>
          <w:color w:val="000000" w:themeColor="text1"/>
          <w:lang w:val="en-GB"/>
        </w:rPr>
        <w:t>γ</w:t>
      </w:r>
      <w:r w:rsidRPr="00283073">
        <w:rPr>
          <w:rFonts w:ascii="Times New Roman" w:hAnsi="Times New Roman" w:cs="Times New Roman"/>
          <w:i/>
          <w:iCs/>
          <w:color w:val="000000" w:themeColor="text1"/>
          <w:vertAlign w:val="subscript"/>
          <w:lang w:val="en-GB"/>
        </w:rPr>
        <w:t xml:space="preserve">t </w:t>
      </w:r>
      <w:r w:rsidRPr="00283073">
        <w:rPr>
          <w:rFonts w:ascii="Times New Roman" w:hAnsi="Times New Roman" w:cs="Times New Roman"/>
          <w:bCs/>
          <w:iCs/>
          <w:color w:val="000000" w:themeColor="text1"/>
          <w:lang w:val="en-GB"/>
        </w:rPr>
        <w:t xml:space="preserve">is a year dummy, and </w:t>
      </w:r>
      <w:r w:rsidRPr="00283073">
        <w:rPr>
          <w:rFonts w:ascii="Times New Roman" w:hAnsi="Times New Roman" w:cs="Times New Roman"/>
          <w:i/>
          <w:iCs/>
          <w:color w:val="000000" w:themeColor="text1"/>
          <w:lang w:val="en-GB"/>
        </w:rPr>
        <w:t>ν</w:t>
      </w:r>
      <w:r w:rsidRPr="00283073">
        <w:rPr>
          <w:rFonts w:ascii="Times New Roman" w:hAnsi="Times New Roman" w:cs="Times New Roman"/>
          <w:i/>
          <w:iCs/>
          <w:color w:val="000000" w:themeColor="text1"/>
          <w:vertAlign w:val="subscript"/>
          <w:lang w:val="en-GB"/>
        </w:rPr>
        <w:t>i</w:t>
      </w:r>
      <w:r w:rsidRPr="00283073">
        <w:rPr>
          <w:rFonts w:ascii="Times New Roman" w:hAnsi="Times New Roman" w:cs="Times New Roman"/>
          <w:bCs/>
          <w:iCs/>
          <w:color w:val="000000" w:themeColor="text1"/>
          <w:lang w:val="en-GB"/>
        </w:rPr>
        <w:t xml:space="preserve"> is a region dummy.</w:t>
      </w:r>
      <w:r w:rsidRPr="00283073">
        <w:rPr>
          <w:rFonts w:ascii="Times New Roman" w:hAnsi="Times New Roman" w:cs="Times New Roman"/>
          <w:color w:val="000000" w:themeColor="text1"/>
          <w:lang w:val="en-GB"/>
        </w:rPr>
        <w:t xml:space="preserve"> All variables are taken on a per capita basis. </w:t>
      </w:r>
      <w:r w:rsidRPr="00283073">
        <w:rPr>
          <w:rFonts w:ascii="Times New Roman" w:hAnsi="Times New Roman" w:cs="Times New Roman"/>
          <w:bCs/>
          <w:iCs/>
          <w:color w:val="000000" w:themeColor="text1"/>
          <w:lang w:val="en-GB"/>
        </w:rPr>
        <w:t>Given the signs of serial autocorrelation, lagged measures of debt are included in the models for proper model specification, which gives us a final sample of 650 region/state-year observations, 150 for the Italian regions and 500 for the American states.</w:t>
      </w:r>
    </w:p>
    <w:p w14:paraId="0014B92B" w14:textId="77777777" w:rsidR="00283073" w:rsidRPr="00283073" w:rsidRDefault="00283073" w:rsidP="00283073">
      <w:pPr>
        <w:pStyle w:val="Paragrafoelenco"/>
        <w:spacing w:line="360" w:lineRule="auto"/>
        <w:ind w:left="0"/>
        <w:rPr>
          <w:rFonts w:ascii="Times New Roman" w:hAnsi="Times New Roman" w:cs="Times New Roman"/>
          <w:color w:val="000000" w:themeColor="text1"/>
          <w:lang w:val="en-GB"/>
        </w:rPr>
      </w:pPr>
      <w:r w:rsidRPr="00283073">
        <w:rPr>
          <w:rFonts w:ascii="Times New Roman" w:hAnsi="Times New Roman" w:cs="Times New Roman"/>
          <w:color w:val="000000" w:themeColor="text1"/>
          <w:lang w:val="en-GB"/>
        </w:rPr>
        <w:t>Arellano Bond GMM dynamic panel data estimates results on the full sample, and the two separate countries are reported in Table A1 (long-term debt) and Table A2 (short-term debt). Results confirm that the revenue burden is positively related to (long and short-term) debt in the full sample (n=650), and in the American (n=500), while the fiscal and financial limits reverse the sign in Italy (n=150). Fiscal balance is inversely related to (long and short-term) debt in all samples. Tax revenues are positively related to (long-term) debt in the full sample (n=650), and in the American (n=500), while the fiscal and financial limits reverse the sign in Italy (n=150). Due to the ‘most different’ nature of short-term debt, tax revenues is inversely related with it in the American and positively in the Italian sample.</w:t>
      </w:r>
    </w:p>
    <w:p w14:paraId="36105D18" w14:textId="77777777" w:rsidR="00283073" w:rsidRPr="00283073" w:rsidRDefault="00283073" w:rsidP="00283073">
      <w:pPr>
        <w:pStyle w:val="Paragrafoelenco"/>
        <w:spacing w:line="360" w:lineRule="auto"/>
        <w:ind w:left="0"/>
        <w:rPr>
          <w:rFonts w:ascii="Times New Roman" w:hAnsi="Times New Roman" w:cs="Times New Roman"/>
          <w:color w:val="000000" w:themeColor="text1"/>
          <w:lang w:val="en-GB"/>
        </w:rPr>
      </w:pPr>
      <w:r w:rsidRPr="00283073">
        <w:rPr>
          <w:rFonts w:ascii="Times New Roman" w:hAnsi="Times New Roman" w:cs="Times New Roman"/>
          <w:color w:val="000000" w:themeColor="text1"/>
          <w:lang w:val="en-GB"/>
        </w:rPr>
        <w:t>The coefficients of the liberalism ideology index (LLI) shows that more liberal administrations dislike short-term debt in all samples, while they prefer long-term debt in the US and in the full sample. Top-down controls in Europe minimize the impact of ideology on debt.</w:t>
      </w:r>
    </w:p>
    <w:p w14:paraId="4BD758C4" w14:textId="065479F7" w:rsidR="00283073" w:rsidRPr="00283073" w:rsidRDefault="00283073" w:rsidP="00283073">
      <w:pPr>
        <w:pStyle w:val="Paragrafoelenco"/>
        <w:spacing w:line="360" w:lineRule="auto"/>
        <w:ind w:left="0"/>
        <w:rPr>
          <w:rFonts w:ascii="Times New Roman" w:hAnsi="Times New Roman" w:cs="Times New Roman"/>
          <w:color w:val="000000" w:themeColor="text1"/>
          <w:lang w:val="en-GB"/>
        </w:rPr>
      </w:pPr>
      <w:r w:rsidRPr="00283073">
        <w:rPr>
          <w:rFonts w:ascii="Times New Roman" w:hAnsi="Times New Roman" w:cs="Times New Roman"/>
          <w:color w:val="000000" w:themeColor="text1"/>
          <w:lang w:val="en-GB"/>
        </w:rPr>
        <w:t xml:space="preserve">State transfers do not impact on short term debt, while they do long term debt. The GMM results are in line with the existing literature </w:t>
      </w:r>
      <w:r w:rsidRPr="00283073">
        <w:rPr>
          <w:rFonts w:ascii="Times New Roman" w:hAnsi="Times New Roman" w:cs="Times New Roman"/>
          <w:color w:val="000000" w:themeColor="text1"/>
          <w:lang w:val="en-GB"/>
        </w:rPr>
        <w:fldChar w:fldCharType="begin" w:fldLock="1"/>
      </w:r>
      <w:r w:rsidRPr="00283073">
        <w:rPr>
          <w:rFonts w:ascii="Times New Roman" w:hAnsi="Times New Roman" w:cs="Times New Roman"/>
          <w:color w:val="000000" w:themeColor="text1"/>
          <w:lang w:val="en-GB"/>
        </w:rPr>
        <w:instrText>ADDIN CSL_CITATION {"citationItems":[{"id":"ITEM-1","itemData":{"DOI":"10.1080/10967494.2015.1104403","ISSN":"10967494","abstract":"This article analyzes the factors that directly influence levels of debt in Spanish local governments. Specifically, the main objective is to find out the extent to which indebtedness is originated by controllable factors that public managers can influence, or whether it hinges on other variables beyond managers’ control. The importance of this issue has intensified since the start of the crisis in 2008, due to the abrupt decline of revenues and, simultaneously, to the fact that the levels of costs these institutions face has remained the same or, in some cases, increased. Results can be explored from multiple perspectives, given that the set of explanatory factors is also multiple. However, the most interesting finding is the varying effect of each covariate depending on a municipality's specific debt level, which suggests that economic policy recommendations should not be homogeneous across local governments.","author":[{"dropping-particle":"","family":"Balaguer-Coll","given":"Maria Teresa","non-dropping-particle":"","parse-names":false,"suffix":""},{"dropping-particle":"","family":"Prior","given":"Diego","non-dropping-particle":"","parse-names":false,"suffix":""},{"dropping-particle":"","family":"Tortosa-Ausina","given":"Emili","non-dropping-particle":"","parse-names":false,"suffix":""}],"container-title":"International Public Management Journal","id":"ITEM-1","issue":"4","issued":{"date-parts":[["2016"]]},"page":"513-542","publisher":"Taylor &amp; Francis","title":"On the Determinants of Local Government Debt: Does One Size Fit All?","type":"article-journal","volume":"19"},"uris":["http://www.mendeley.com/documents/?uuid=e4959e5a-037b-4c0f-a205-6824f3e91a68"]},{"id":"ITEM-2","itemData":{"DOI":"10.1177/1091142114545678","ISBN":"1091142114","ISSN":"15527530","abstract":"In a complex federalist system, the interactions across levels of government have important fiscal implications. Municipal debt has become increasingly important as local governments turn to tax-backed bonds as a significant source of funds. In a system of local governments that have overlapping borders, fiscal interactions become a factor in issuing debt. In this system, debt acts as a fiscal common resource similar to traditional common-pool resources. Specifically, vertical externalities are created with multiple levels of governments issuing bonds backed by the same tax base. Empirical results show that on average an increase in the total amount of debt issued by subcounty governments increases the true interest cost paid by county governments on tax-backed debt. Furthermore, increasing the number of overlapping governments also increases the interest costs for county debt. These findings show support for analyzing debt capacity as a fiscal common resource and have implications for debt management strategies.","author":[{"dropping-particle":"","family":"Greer","given":"Robert A.","non-dropping-particle":"","parse-names":false,"suffix":""}],"container-title":"Public Finance Review","id":"ITEM-2","issue":"6","issued":{"date-parts":[["2015"]]},"page":"762-785","title":"Overlapping Local Government Debt and the Fiscal Common","type":"article-journal","volume":"43"},"uris":["http://www.mendeley.com/documents/?uuid=b11577a5-464d-461d-a806-c104fd0f3ca8"]},{"id":"ITEM-3","itemData":{"DOI":"10.1111/puar.12711","ISSN":"15406210","abstract":"Theories describing rent seeking in the public sector posit a number of negative fiscal outcomes that the choices of corrupt officials may generate. The evidence presented in this article shows that states with greater intensities of public corruption have higher aggregate levels of state and local debt. If corruption in the 10 most corrupt states were only at an average level, their public debt would be 9 percent lower, or about $249.35 per capita, all else being equal. Notably, institutional control measures may not have succeeded in restraining the expansion of state and local public debt in the presence of greater levels of corruption. State and local governments would achieve more efficient levels of fiscal discipline by curbing public sector corruption.","author":[{"dropping-particle":"","family":"Liu","given":"Cheol","non-dropping-particle":"","parse-names":false,"suffix":""},{"dropping-particle":"","family":"Moldogaziev","given":"Tima T.","non-dropping-particle":"","parse-names":false,"suffix":""},{"dropping-particle":"","family":"Mikesell","given":"John L.","non-dropping-particle":"","parse-names":false,"suffix":""}],"container-title":"Public Administration Review","id":"ITEM-3","issue":"5","issued":{"date-parts":[["2017"]]},"page":"681-690","title":"Corruption and State and Local Government Debt Expansion","type":"article-journal","volume":"77"},"uris":["http://www.mendeley.com/documents/?uuid=e44be137-55df-4b94-a2b1-c214e3d23958"]}],"mendeley":{"formattedCitation":"(Balaguer-Coll, Prior, and Tortosa-Ausina 2016; Greer 2015; Liu, Moldogaziev, and Mikesell 2017)","plainTextFormattedCitation":"(Balaguer-Coll, Prior, and Tortosa-Ausina 2016; Greer 2015; Liu, Moldogaziev, and Mikesell 2017)"},"properties":{"noteIndex":0},"schema":"https://github.com/citation-style-language/schema/raw/master/csl-citation.json"}</w:instrText>
      </w:r>
      <w:r w:rsidRPr="00283073">
        <w:rPr>
          <w:rFonts w:ascii="Times New Roman" w:hAnsi="Times New Roman" w:cs="Times New Roman"/>
          <w:color w:val="000000" w:themeColor="text1"/>
          <w:lang w:val="en-GB"/>
        </w:rPr>
        <w:fldChar w:fldCharType="separate"/>
      </w:r>
      <w:r w:rsidRPr="00283073">
        <w:rPr>
          <w:rFonts w:ascii="Times New Roman" w:hAnsi="Times New Roman" w:cs="Times New Roman"/>
          <w:noProof/>
          <w:color w:val="000000" w:themeColor="text1"/>
          <w:lang w:val="en-GB"/>
        </w:rPr>
        <w:t>(Balaguer-Coll, Prior, and Tortosa-Ausina 2016; Greer 2015; Liu, Moldogaziev, and Mikesell 2017)</w:t>
      </w:r>
      <w:r w:rsidRPr="00283073">
        <w:rPr>
          <w:rFonts w:ascii="Times New Roman" w:hAnsi="Times New Roman" w:cs="Times New Roman"/>
          <w:color w:val="000000" w:themeColor="text1"/>
          <w:lang w:val="en-GB"/>
        </w:rPr>
        <w:fldChar w:fldCharType="end"/>
      </w:r>
      <w:r w:rsidRPr="00283073">
        <w:rPr>
          <w:rFonts w:ascii="Times New Roman" w:hAnsi="Times New Roman" w:cs="Times New Roman"/>
          <w:color w:val="000000" w:themeColor="text1"/>
          <w:lang w:val="en-GB"/>
        </w:rPr>
        <w:t xml:space="preserve"> and confirm the Bayesian results presented in the paper; the comparative analysis of Italian and US local administrations shows that fiscal variables influence the level of subnational debt. </w:t>
      </w:r>
    </w:p>
    <w:p w14:paraId="2AC594DE" w14:textId="71D7A2FD" w:rsidR="00283073" w:rsidRDefault="00283073" w:rsidP="00283073">
      <w:pPr>
        <w:pStyle w:val="Paragrafoelenco"/>
        <w:spacing w:line="360" w:lineRule="auto"/>
        <w:ind w:left="0"/>
        <w:rPr>
          <w:rFonts w:ascii="Times New Roman" w:hAnsi="Times New Roman" w:cs="Times New Roman"/>
          <w:color w:val="000000" w:themeColor="text1"/>
          <w:lang w:val="en-GB"/>
        </w:rPr>
      </w:pPr>
      <w:r w:rsidRPr="00283073">
        <w:rPr>
          <w:rFonts w:ascii="Times New Roman" w:hAnsi="Times New Roman" w:cs="Times New Roman"/>
          <w:color w:val="000000" w:themeColor="text1"/>
          <w:lang w:val="en-GB"/>
        </w:rPr>
        <w:t xml:space="preserve">According to empirical results on the two separate samples, Italian and the American administrations have been prudent in managing their debt, regardless of the differences in the institutional constraints, in the legal and political systems, and in the degrees of autonomy. With </w:t>
      </w:r>
      <w:r w:rsidRPr="00283073">
        <w:rPr>
          <w:rFonts w:ascii="Times New Roman" w:hAnsi="Times New Roman" w:cs="Times New Roman"/>
          <w:color w:val="000000" w:themeColor="text1"/>
          <w:lang w:val="en-GB"/>
        </w:rPr>
        <w:lastRenderedPageBreak/>
        <w:t>respect to the Italian case, during the period under consideration the European financial constraints have succeeded in limiting the growth of debt. US states have been prudent too, and fiscal discipline definitely prevailed.</w:t>
      </w:r>
      <w:r>
        <w:rPr>
          <w:rFonts w:ascii="Times New Roman" w:hAnsi="Times New Roman" w:cs="Times New Roman"/>
          <w:color w:val="000000" w:themeColor="text1"/>
          <w:lang w:val="en-GB"/>
        </w:rPr>
        <w:t xml:space="preserve"> </w:t>
      </w:r>
      <w:r w:rsidRPr="00283073">
        <w:rPr>
          <w:rFonts w:ascii="Times New Roman" w:hAnsi="Times New Roman" w:cs="Times New Roman"/>
          <w:color w:val="000000" w:themeColor="text1"/>
          <w:lang w:val="en-GB"/>
        </w:rPr>
        <w:t xml:space="preserve">Empirical results are coherent with the existing literature, and confirm that fiscal drivers of debt matter in country-level analyses, but also in comparative terms. </w:t>
      </w:r>
    </w:p>
    <w:p w14:paraId="46A27227" w14:textId="77777777" w:rsidR="00283073" w:rsidRDefault="00283073" w:rsidP="00283073">
      <w:pPr>
        <w:pStyle w:val="Paragrafoelenco"/>
        <w:spacing w:line="360" w:lineRule="auto"/>
        <w:ind w:left="0"/>
        <w:rPr>
          <w:rFonts w:ascii="Times New Roman" w:hAnsi="Times New Roman" w:cs="Times New Roman"/>
          <w:color w:val="000000" w:themeColor="text1"/>
          <w:lang w:val="en-GB"/>
        </w:rPr>
      </w:pPr>
    </w:p>
    <w:tbl>
      <w:tblPr>
        <w:tblW w:w="7340" w:type="dxa"/>
        <w:tblCellMar>
          <w:left w:w="70" w:type="dxa"/>
          <w:right w:w="70" w:type="dxa"/>
        </w:tblCellMar>
        <w:tblLook w:val="04A0" w:firstRow="1" w:lastRow="0" w:firstColumn="1" w:lastColumn="0" w:noHBand="0" w:noVBand="1"/>
      </w:tblPr>
      <w:tblGrid>
        <w:gridCol w:w="3224"/>
        <w:gridCol w:w="1372"/>
        <w:gridCol w:w="1372"/>
        <w:gridCol w:w="1372"/>
      </w:tblGrid>
      <w:tr w:rsidR="00283073" w:rsidRPr="00283073" w14:paraId="53A7309A" w14:textId="77777777" w:rsidTr="00283073">
        <w:trPr>
          <w:trHeight w:val="320"/>
        </w:trPr>
        <w:tc>
          <w:tcPr>
            <w:tcW w:w="7340" w:type="dxa"/>
            <w:gridSpan w:val="4"/>
            <w:tcBorders>
              <w:top w:val="nil"/>
              <w:left w:val="nil"/>
              <w:bottom w:val="single" w:sz="4" w:space="0" w:color="auto"/>
              <w:right w:val="nil"/>
            </w:tcBorders>
            <w:shd w:val="clear" w:color="auto" w:fill="auto"/>
            <w:vAlign w:val="center"/>
            <w:hideMark/>
          </w:tcPr>
          <w:p w14:paraId="0BABAA0B" w14:textId="77777777" w:rsidR="00283073" w:rsidRPr="00283073" w:rsidRDefault="00283073" w:rsidP="00283073">
            <w:pPr>
              <w:rPr>
                <w:rFonts w:ascii="Times New Roman" w:eastAsia="Times New Roman" w:hAnsi="Times New Roman" w:cs="Times New Roman"/>
                <w:b/>
                <w:bCs/>
                <w:color w:val="000000"/>
                <w:sz w:val="20"/>
                <w:szCs w:val="20"/>
                <w:lang w:eastAsia="it-IT"/>
              </w:rPr>
            </w:pPr>
            <w:r w:rsidRPr="00283073">
              <w:rPr>
                <w:rFonts w:ascii="Times New Roman" w:eastAsia="Times New Roman" w:hAnsi="Times New Roman" w:cs="Times New Roman"/>
                <w:b/>
                <w:bCs/>
                <w:color w:val="000000"/>
                <w:sz w:val="20"/>
                <w:szCs w:val="20"/>
                <w:lang w:val="en-US" w:eastAsia="it-IT"/>
              </w:rPr>
              <w:t>Table A1 Panel Arellano-Bond Regression Models, Long-Term Debt Covariates</w:t>
            </w:r>
          </w:p>
        </w:tc>
      </w:tr>
      <w:tr w:rsidR="00283073" w:rsidRPr="00283073" w14:paraId="2D20F3B8" w14:textId="77777777" w:rsidTr="00283073">
        <w:trPr>
          <w:trHeight w:val="260"/>
        </w:trPr>
        <w:tc>
          <w:tcPr>
            <w:tcW w:w="3224" w:type="dxa"/>
            <w:tcBorders>
              <w:top w:val="nil"/>
              <w:left w:val="single" w:sz="4" w:space="0" w:color="auto"/>
              <w:bottom w:val="nil"/>
              <w:right w:val="nil"/>
            </w:tcBorders>
            <w:shd w:val="clear" w:color="auto" w:fill="auto"/>
            <w:noWrap/>
            <w:vAlign w:val="center"/>
            <w:hideMark/>
          </w:tcPr>
          <w:p w14:paraId="50005E29"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 </w:t>
            </w:r>
          </w:p>
        </w:tc>
        <w:tc>
          <w:tcPr>
            <w:tcW w:w="1372" w:type="dxa"/>
            <w:tcBorders>
              <w:top w:val="nil"/>
              <w:left w:val="nil"/>
              <w:bottom w:val="nil"/>
              <w:right w:val="nil"/>
            </w:tcBorders>
            <w:shd w:val="clear" w:color="auto" w:fill="auto"/>
            <w:noWrap/>
            <w:vAlign w:val="bottom"/>
            <w:hideMark/>
          </w:tcPr>
          <w:p w14:paraId="3929190C" w14:textId="77777777" w:rsidR="00283073" w:rsidRPr="00283073" w:rsidRDefault="00283073" w:rsidP="00283073">
            <w:pPr>
              <w:rPr>
                <w:rFonts w:ascii="Times New Roman" w:eastAsia="Times New Roman" w:hAnsi="Times New Roman" w:cs="Times New Roman"/>
                <w:i/>
                <w:iCs/>
                <w:color w:val="000000"/>
                <w:sz w:val="20"/>
                <w:szCs w:val="20"/>
                <w:lang w:eastAsia="it-IT"/>
              </w:rPr>
            </w:pPr>
            <w:r w:rsidRPr="00283073">
              <w:rPr>
                <w:rFonts w:ascii="Times New Roman" w:eastAsia="Times New Roman" w:hAnsi="Times New Roman" w:cs="Times New Roman"/>
                <w:i/>
                <w:iCs/>
                <w:color w:val="000000"/>
                <w:sz w:val="20"/>
                <w:szCs w:val="20"/>
                <w:lang w:eastAsia="it-IT"/>
              </w:rPr>
              <w:t>Full Sample</w:t>
            </w:r>
          </w:p>
        </w:tc>
        <w:tc>
          <w:tcPr>
            <w:tcW w:w="1372" w:type="dxa"/>
            <w:tcBorders>
              <w:top w:val="nil"/>
              <w:left w:val="nil"/>
              <w:bottom w:val="nil"/>
              <w:right w:val="nil"/>
            </w:tcBorders>
            <w:shd w:val="clear" w:color="auto" w:fill="auto"/>
            <w:noWrap/>
            <w:vAlign w:val="bottom"/>
            <w:hideMark/>
          </w:tcPr>
          <w:p w14:paraId="78B2A624" w14:textId="77777777" w:rsidR="00283073" w:rsidRPr="00283073" w:rsidRDefault="00283073" w:rsidP="00283073">
            <w:pPr>
              <w:rPr>
                <w:rFonts w:ascii="Times New Roman" w:eastAsia="Times New Roman" w:hAnsi="Times New Roman" w:cs="Times New Roman"/>
                <w:i/>
                <w:iCs/>
                <w:color w:val="000000"/>
                <w:sz w:val="20"/>
                <w:szCs w:val="20"/>
                <w:lang w:eastAsia="it-IT"/>
              </w:rPr>
            </w:pPr>
            <w:r w:rsidRPr="00283073">
              <w:rPr>
                <w:rFonts w:ascii="Times New Roman" w:eastAsia="Times New Roman" w:hAnsi="Times New Roman" w:cs="Times New Roman"/>
                <w:i/>
                <w:iCs/>
                <w:color w:val="000000"/>
                <w:sz w:val="20"/>
                <w:szCs w:val="20"/>
                <w:lang w:eastAsia="it-IT"/>
              </w:rPr>
              <w:t>Italian regions</w:t>
            </w:r>
          </w:p>
        </w:tc>
        <w:tc>
          <w:tcPr>
            <w:tcW w:w="1372" w:type="dxa"/>
            <w:tcBorders>
              <w:top w:val="nil"/>
              <w:left w:val="nil"/>
              <w:bottom w:val="nil"/>
              <w:right w:val="single" w:sz="4" w:space="0" w:color="auto"/>
            </w:tcBorders>
            <w:shd w:val="clear" w:color="auto" w:fill="auto"/>
            <w:noWrap/>
            <w:vAlign w:val="bottom"/>
            <w:hideMark/>
          </w:tcPr>
          <w:p w14:paraId="789CA989" w14:textId="77777777" w:rsidR="00283073" w:rsidRPr="00283073" w:rsidRDefault="00283073" w:rsidP="00283073">
            <w:pPr>
              <w:rPr>
                <w:rFonts w:ascii="Times New Roman" w:eastAsia="Times New Roman" w:hAnsi="Times New Roman" w:cs="Times New Roman"/>
                <w:i/>
                <w:iCs/>
                <w:color w:val="000000"/>
                <w:sz w:val="20"/>
                <w:szCs w:val="20"/>
                <w:lang w:eastAsia="it-IT"/>
              </w:rPr>
            </w:pPr>
            <w:r w:rsidRPr="00283073">
              <w:rPr>
                <w:rFonts w:ascii="Times New Roman" w:eastAsia="Times New Roman" w:hAnsi="Times New Roman" w:cs="Times New Roman"/>
                <w:i/>
                <w:iCs/>
                <w:color w:val="000000"/>
                <w:sz w:val="20"/>
                <w:szCs w:val="20"/>
                <w:lang w:eastAsia="it-IT"/>
              </w:rPr>
              <w:t>US States</w:t>
            </w:r>
          </w:p>
        </w:tc>
      </w:tr>
      <w:tr w:rsidR="00283073" w:rsidRPr="00283073" w14:paraId="17B0A778" w14:textId="77777777" w:rsidTr="00283073">
        <w:trPr>
          <w:trHeight w:val="260"/>
        </w:trPr>
        <w:tc>
          <w:tcPr>
            <w:tcW w:w="3224" w:type="dxa"/>
            <w:tcBorders>
              <w:top w:val="nil"/>
              <w:left w:val="single" w:sz="4" w:space="0" w:color="auto"/>
              <w:bottom w:val="nil"/>
              <w:right w:val="nil"/>
            </w:tcBorders>
            <w:shd w:val="clear" w:color="auto" w:fill="auto"/>
            <w:noWrap/>
            <w:vAlign w:val="center"/>
            <w:hideMark/>
          </w:tcPr>
          <w:p w14:paraId="64329290" w14:textId="77777777" w:rsidR="00283073" w:rsidRPr="00283073" w:rsidRDefault="00283073" w:rsidP="00283073">
            <w:pPr>
              <w:rPr>
                <w:rFonts w:ascii="Times New Roman" w:eastAsia="Times New Roman" w:hAnsi="Times New Roman" w:cs="Times New Roman"/>
                <w:i/>
                <w:iCs/>
                <w:color w:val="000000"/>
                <w:sz w:val="20"/>
                <w:szCs w:val="20"/>
                <w:lang w:eastAsia="it-IT"/>
              </w:rPr>
            </w:pPr>
            <w:r w:rsidRPr="00283073">
              <w:rPr>
                <w:rFonts w:ascii="Times New Roman" w:eastAsia="Times New Roman" w:hAnsi="Times New Roman" w:cs="Times New Roman"/>
                <w:i/>
                <w:iCs/>
                <w:color w:val="000000"/>
                <w:sz w:val="20"/>
                <w:szCs w:val="20"/>
                <w:lang w:eastAsia="it-IT"/>
              </w:rPr>
              <w:t>Indep Var                           Dep. Var.</w:t>
            </w:r>
          </w:p>
        </w:tc>
        <w:tc>
          <w:tcPr>
            <w:tcW w:w="1372" w:type="dxa"/>
            <w:tcBorders>
              <w:top w:val="nil"/>
              <w:left w:val="nil"/>
              <w:bottom w:val="nil"/>
              <w:right w:val="nil"/>
            </w:tcBorders>
            <w:shd w:val="clear" w:color="auto" w:fill="auto"/>
            <w:noWrap/>
            <w:vAlign w:val="bottom"/>
            <w:hideMark/>
          </w:tcPr>
          <w:p w14:paraId="032D8B6A"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 xml:space="preserve">Long term debt </w:t>
            </w:r>
          </w:p>
        </w:tc>
        <w:tc>
          <w:tcPr>
            <w:tcW w:w="1372" w:type="dxa"/>
            <w:tcBorders>
              <w:top w:val="nil"/>
              <w:left w:val="nil"/>
              <w:bottom w:val="nil"/>
              <w:right w:val="nil"/>
            </w:tcBorders>
            <w:shd w:val="clear" w:color="auto" w:fill="auto"/>
            <w:noWrap/>
            <w:vAlign w:val="bottom"/>
            <w:hideMark/>
          </w:tcPr>
          <w:p w14:paraId="054A009B"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 xml:space="preserve">Long term debt </w:t>
            </w:r>
          </w:p>
        </w:tc>
        <w:tc>
          <w:tcPr>
            <w:tcW w:w="1372" w:type="dxa"/>
            <w:tcBorders>
              <w:top w:val="nil"/>
              <w:left w:val="nil"/>
              <w:bottom w:val="nil"/>
              <w:right w:val="single" w:sz="4" w:space="0" w:color="auto"/>
            </w:tcBorders>
            <w:shd w:val="clear" w:color="auto" w:fill="auto"/>
            <w:noWrap/>
            <w:vAlign w:val="bottom"/>
            <w:hideMark/>
          </w:tcPr>
          <w:p w14:paraId="0305FC67"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 xml:space="preserve">Long term debt </w:t>
            </w:r>
          </w:p>
        </w:tc>
      </w:tr>
      <w:tr w:rsidR="00283073" w:rsidRPr="00283073" w14:paraId="165E0B7F" w14:textId="77777777" w:rsidTr="00283073">
        <w:trPr>
          <w:trHeight w:val="260"/>
        </w:trPr>
        <w:tc>
          <w:tcPr>
            <w:tcW w:w="3224" w:type="dxa"/>
            <w:tcBorders>
              <w:top w:val="nil"/>
              <w:left w:val="single" w:sz="4" w:space="0" w:color="auto"/>
              <w:bottom w:val="nil"/>
              <w:right w:val="nil"/>
            </w:tcBorders>
            <w:shd w:val="clear" w:color="auto" w:fill="auto"/>
            <w:noWrap/>
            <w:vAlign w:val="bottom"/>
            <w:hideMark/>
          </w:tcPr>
          <w:p w14:paraId="6F1569AF"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Long term debt (lag)</w:t>
            </w:r>
          </w:p>
        </w:tc>
        <w:tc>
          <w:tcPr>
            <w:tcW w:w="1372" w:type="dxa"/>
            <w:tcBorders>
              <w:top w:val="nil"/>
              <w:left w:val="nil"/>
              <w:bottom w:val="nil"/>
              <w:right w:val="nil"/>
            </w:tcBorders>
            <w:shd w:val="clear" w:color="auto" w:fill="auto"/>
            <w:noWrap/>
            <w:vAlign w:val="center"/>
            <w:hideMark/>
          </w:tcPr>
          <w:p w14:paraId="23844642"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-0.0338</w:t>
            </w:r>
          </w:p>
        </w:tc>
        <w:tc>
          <w:tcPr>
            <w:tcW w:w="1372" w:type="dxa"/>
            <w:tcBorders>
              <w:top w:val="nil"/>
              <w:left w:val="nil"/>
              <w:bottom w:val="nil"/>
              <w:right w:val="nil"/>
            </w:tcBorders>
            <w:shd w:val="clear" w:color="auto" w:fill="auto"/>
            <w:noWrap/>
            <w:vAlign w:val="center"/>
            <w:hideMark/>
          </w:tcPr>
          <w:p w14:paraId="24881C62"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0.0381</w:t>
            </w:r>
          </w:p>
        </w:tc>
        <w:tc>
          <w:tcPr>
            <w:tcW w:w="1372" w:type="dxa"/>
            <w:tcBorders>
              <w:top w:val="nil"/>
              <w:left w:val="nil"/>
              <w:bottom w:val="nil"/>
              <w:right w:val="single" w:sz="4" w:space="0" w:color="auto"/>
            </w:tcBorders>
            <w:shd w:val="clear" w:color="auto" w:fill="auto"/>
            <w:noWrap/>
            <w:vAlign w:val="center"/>
            <w:hideMark/>
          </w:tcPr>
          <w:p w14:paraId="14B59D3E"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-0.0342</w:t>
            </w:r>
          </w:p>
        </w:tc>
      </w:tr>
      <w:tr w:rsidR="00283073" w:rsidRPr="00283073" w14:paraId="59841E64" w14:textId="77777777" w:rsidTr="00283073">
        <w:trPr>
          <w:trHeight w:val="260"/>
        </w:trPr>
        <w:tc>
          <w:tcPr>
            <w:tcW w:w="3224" w:type="dxa"/>
            <w:tcBorders>
              <w:top w:val="nil"/>
              <w:left w:val="single" w:sz="4" w:space="0" w:color="auto"/>
              <w:bottom w:val="nil"/>
              <w:right w:val="nil"/>
            </w:tcBorders>
            <w:shd w:val="clear" w:color="auto" w:fill="auto"/>
            <w:noWrap/>
            <w:vAlign w:val="bottom"/>
            <w:hideMark/>
          </w:tcPr>
          <w:p w14:paraId="30EBD4EA"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 </w:t>
            </w:r>
          </w:p>
        </w:tc>
        <w:tc>
          <w:tcPr>
            <w:tcW w:w="1372" w:type="dxa"/>
            <w:tcBorders>
              <w:top w:val="nil"/>
              <w:left w:val="nil"/>
              <w:bottom w:val="nil"/>
              <w:right w:val="nil"/>
            </w:tcBorders>
            <w:shd w:val="clear" w:color="auto" w:fill="auto"/>
            <w:noWrap/>
            <w:vAlign w:val="center"/>
            <w:hideMark/>
          </w:tcPr>
          <w:p w14:paraId="6253DD50"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(-0.89)</w:t>
            </w:r>
          </w:p>
        </w:tc>
        <w:tc>
          <w:tcPr>
            <w:tcW w:w="1372" w:type="dxa"/>
            <w:tcBorders>
              <w:top w:val="nil"/>
              <w:left w:val="nil"/>
              <w:bottom w:val="nil"/>
              <w:right w:val="nil"/>
            </w:tcBorders>
            <w:shd w:val="clear" w:color="auto" w:fill="auto"/>
            <w:noWrap/>
            <w:vAlign w:val="center"/>
            <w:hideMark/>
          </w:tcPr>
          <w:p w14:paraId="465E2AC4"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(0.15)</w:t>
            </w:r>
          </w:p>
        </w:tc>
        <w:tc>
          <w:tcPr>
            <w:tcW w:w="1372" w:type="dxa"/>
            <w:tcBorders>
              <w:top w:val="nil"/>
              <w:left w:val="nil"/>
              <w:bottom w:val="nil"/>
              <w:right w:val="single" w:sz="4" w:space="0" w:color="auto"/>
            </w:tcBorders>
            <w:shd w:val="clear" w:color="auto" w:fill="auto"/>
            <w:noWrap/>
            <w:vAlign w:val="center"/>
            <w:hideMark/>
          </w:tcPr>
          <w:p w14:paraId="259B7FD7"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(-0.93)</w:t>
            </w:r>
          </w:p>
        </w:tc>
      </w:tr>
      <w:tr w:rsidR="00283073" w:rsidRPr="00283073" w14:paraId="21E2065B" w14:textId="77777777" w:rsidTr="00283073">
        <w:trPr>
          <w:trHeight w:val="260"/>
        </w:trPr>
        <w:tc>
          <w:tcPr>
            <w:tcW w:w="3224" w:type="dxa"/>
            <w:tcBorders>
              <w:top w:val="nil"/>
              <w:left w:val="single" w:sz="4" w:space="0" w:color="auto"/>
              <w:bottom w:val="nil"/>
              <w:right w:val="nil"/>
            </w:tcBorders>
            <w:shd w:val="clear" w:color="auto" w:fill="auto"/>
            <w:noWrap/>
            <w:vAlign w:val="bottom"/>
            <w:hideMark/>
          </w:tcPr>
          <w:p w14:paraId="3C8EC083"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Revenues/GDP per capita</w:t>
            </w:r>
          </w:p>
        </w:tc>
        <w:tc>
          <w:tcPr>
            <w:tcW w:w="1372" w:type="dxa"/>
            <w:tcBorders>
              <w:top w:val="nil"/>
              <w:left w:val="nil"/>
              <w:bottom w:val="nil"/>
              <w:right w:val="nil"/>
            </w:tcBorders>
            <w:shd w:val="clear" w:color="auto" w:fill="auto"/>
            <w:noWrap/>
            <w:vAlign w:val="center"/>
            <w:hideMark/>
          </w:tcPr>
          <w:p w14:paraId="4B7C47CB"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3.483***</w:t>
            </w:r>
          </w:p>
        </w:tc>
        <w:tc>
          <w:tcPr>
            <w:tcW w:w="1372" w:type="dxa"/>
            <w:tcBorders>
              <w:top w:val="nil"/>
              <w:left w:val="nil"/>
              <w:bottom w:val="nil"/>
              <w:right w:val="nil"/>
            </w:tcBorders>
            <w:shd w:val="clear" w:color="auto" w:fill="auto"/>
            <w:noWrap/>
            <w:vAlign w:val="center"/>
            <w:hideMark/>
          </w:tcPr>
          <w:p w14:paraId="79DB074A"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-0.209</w:t>
            </w:r>
          </w:p>
        </w:tc>
        <w:tc>
          <w:tcPr>
            <w:tcW w:w="1372" w:type="dxa"/>
            <w:tcBorders>
              <w:top w:val="nil"/>
              <w:left w:val="nil"/>
              <w:bottom w:val="nil"/>
              <w:right w:val="single" w:sz="4" w:space="0" w:color="auto"/>
            </w:tcBorders>
            <w:shd w:val="clear" w:color="auto" w:fill="auto"/>
            <w:noWrap/>
            <w:vAlign w:val="center"/>
            <w:hideMark/>
          </w:tcPr>
          <w:p w14:paraId="62B3AC33"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4.412*</w:t>
            </w:r>
          </w:p>
        </w:tc>
      </w:tr>
      <w:tr w:rsidR="00283073" w:rsidRPr="00283073" w14:paraId="678200F2" w14:textId="77777777" w:rsidTr="00283073">
        <w:trPr>
          <w:trHeight w:val="260"/>
        </w:trPr>
        <w:tc>
          <w:tcPr>
            <w:tcW w:w="3224" w:type="dxa"/>
            <w:tcBorders>
              <w:top w:val="nil"/>
              <w:left w:val="single" w:sz="4" w:space="0" w:color="auto"/>
              <w:bottom w:val="nil"/>
              <w:right w:val="nil"/>
            </w:tcBorders>
            <w:shd w:val="clear" w:color="auto" w:fill="auto"/>
            <w:noWrap/>
            <w:vAlign w:val="bottom"/>
            <w:hideMark/>
          </w:tcPr>
          <w:p w14:paraId="771AA520"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 </w:t>
            </w:r>
          </w:p>
        </w:tc>
        <w:tc>
          <w:tcPr>
            <w:tcW w:w="1372" w:type="dxa"/>
            <w:tcBorders>
              <w:top w:val="nil"/>
              <w:left w:val="nil"/>
              <w:bottom w:val="nil"/>
              <w:right w:val="nil"/>
            </w:tcBorders>
            <w:shd w:val="clear" w:color="auto" w:fill="auto"/>
            <w:noWrap/>
            <w:vAlign w:val="center"/>
            <w:hideMark/>
          </w:tcPr>
          <w:p w14:paraId="543DB52F"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(3.4)</w:t>
            </w:r>
          </w:p>
        </w:tc>
        <w:tc>
          <w:tcPr>
            <w:tcW w:w="1372" w:type="dxa"/>
            <w:tcBorders>
              <w:top w:val="nil"/>
              <w:left w:val="nil"/>
              <w:bottom w:val="nil"/>
              <w:right w:val="nil"/>
            </w:tcBorders>
            <w:shd w:val="clear" w:color="auto" w:fill="auto"/>
            <w:noWrap/>
            <w:vAlign w:val="center"/>
            <w:hideMark/>
          </w:tcPr>
          <w:p w14:paraId="5E5CAFF4"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(0.015)</w:t>
            </w:r>
          </w:p>
        </w:tc>
        <w:tc>
          <w:tcPr>
            <w:tcW w:w="1372" w:type="dxa"/>
            <w:tcBorders>
              <w:top w:val="nil"/>
              <w:left w:val="nil"/>
              <w:bottom w:val="nil"/>
              <w:right w:val="single" w:sz="4" w:space="0" w:color="auto"/>
            </w:tcBorders>
            <w:shd w:val="clear" w:color="auto" w:fill="auto"/>
            <w:noWrap/>
            <w:vAlign w:val="center"/>
            <w:hideMark/>
          </w:tcPr>
          <w:p w14:paraId="24D7025A"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(2.28)</w:t>
            </w:r>
          </w:p>
        </w:tc>
      </w:tr>
      <w:tr w:rsidR="00283073" w:rsidRPr="00283073" w14:paraId="69AABF7B" w14:textId="77777777" w:rsidTr="00283073">
        <w:trPr>
          <w:trHeight w:val="260"/>
        </w:trPr>
        <w:tc>
          <w:tcPr>
            <w:tcW w:w="3224" w:type="dxa"/>
            <w:tcBorders>
              <w:top w:val="nil"/>
              <w:left w:val="single" w:sz="4" w:space="0" w:color="auto"/>
              <w:bottom w:val="nil"/>
              <w:right w:val="nil"/>
            </w:tcBorders>
            <w:shd w:val="clear" w:color="auto" w:fill="auto"/>
            <w:noWrap/>
            <w:vAlign w:val="bottom"/>
            <w:hideMark/>
          </w:tcPr>
          <w:p w14:paraId="016B4458"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Revenues/Expenses per capita</w:t>
            </w:r>
          </w:p>
        </w:tc>
        <w:tc>
          <w:tcPr>
            <w:tcW w:w="1372" w:type="dxa"/>
            <w:tcBorders>
              <w:top w:val="nil"/>
              <w:left w:val="nil"/>
              <w:bottom w:val="nil"/>
              <w:right w:val="nil"/>
            </w:tcBorders>
            <w:shd w:val="clear" w:color="auto" w:fill="auto"/>
            <w:noWrap/>
            <w:vAlign w:val="center"/>
            <w:hideMark/>
          </w:tcPr>
          <w:p w14:paraId="0B29A430"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-2.774***</w:t>
            </w:r>
          </w:p>
        </w:tc>
        <w:tc>
          <w:tcPr>
            <w:tcW w:w="1372" w:type="dxa"/>
            <w:tcBorders>
              <w:top w:val="nil"/>
              <w:left w:val="nil"/>
              <w:bottom w:val="nil"/>
              <w:right w:val="nil"/>
            </w:tcBorders>
            <w:shd w:val="clear" w:color="auto" w:fill="auto"/>
            <w:noWrap/>
            <w:vAlign w:val="center"/>
            <w:hideMark/>
          </w:tcPr>
          <w:p w14:paraId="578C6C1A"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-3.262**</w:t>
            </w:r>
          </w:p>
        </w:tc>
        <w:tc>
          <w:tcPr>
            <w:tcW w:w="1372" w:type="dxa"/>
            <w:tcBorders>
              <w:top w:val="nil"/>
              <w:left w:val="nil"/>
              <w:bottom w:val="nil"/>
              <w:right w:val="single" w:sz="4" w:space="0" w:color="auto"/>
            </w:tcBorders>
            <w:shd w:val="clear" w:color="auto" w:fill="auto"/>
            <w:noWrap/>
            <w:vAlign w:val="center"/>
            <w:hideMark/>
          </w:tcPr>
          <w:p w14:paraId="411BFC4C"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-4.576**</w:t>
            </w:r>
          </w:p>
        </w:tc>
      </w:tr>
      <w:tr w:rsidR="00283073" w:rsidRPr="00283073" w14:paraId="1E7225EA" w14:textId="77777777" w:rsidTr="00283073">
        <w:trPr>
          <w:trHeight w:val="260"/>
        </w:trPr>
        <w:tc>
          <w:tcPr>
            <w:tcW w:w="3224" w:type="dxa"/>
            <w:tcBorders>
              <w:top w:val="nil"/>
              <w:left w:val="single" w:sz="4" w:space="0" w:color="auto"/>
              <w:bottom w:val="nil"/>
              <w:right w:val="nil"/>
            </w:tcBorders>
            <w:shd w:val="clear" w:color="auto" w:fill="auto"/>
            <w:noWrap/>
            <w:vAlign w:val="bottom"/>
            <w:hideMark/>
          </w:tcPr>
          <w:p w14:paraId="5680C3A6"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 </w:t>
            </w:r>
          </w:p>
        </w:tc>
        <w:tc>
          <w:tcPr>
            <w:tcW w:w="1372" w:type="dxa"/>
            <w:tcBorders>
              <w:top w:val="nil"/>
              <w:left w:val="nil"/>
              <w:bottom w:val="nil"/>
              <w:right w:val="nil"/>
            </w:tcBorders>
            <w:shd w:val="clear" w:color="auto" w:fill="auto"/>
            <w:noWrap/>
            <w:vAlign w:val="center"/>
            <w:hideMark/>
          </w:tcPr>
          <w:p w14:paraId="24DE9BB6"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(-3.35)</w:t>
            </w:r>
          </w:p>
        </w:tc>
        <w:tc>
          <w:tcPr>
            <w:tcW w:w="1372" w:type="dxa"/>
            <w:tcBorders>
              <w:top w:val="nil"/>
              <w:left w:val="nil"/>
              <w:bottom w:val="nil"/>
              <w:right w:val="nil"/>
            </w:tcBorders>
            <w:shd w:val="clear" w:color="auto" w:fill="auto"/>
            <w:noWrap/>
            <w:vAlign w:val="center"/>
            <w:hideMark/>
          </w:tcPr>
          <w:p w14:paraId="0B0857E2"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(-3.16)</w:t>
            </w:r>
          </w:p>
        </w:tc>
        <w:tc>
          <w:tcPr>
            <w:tcW w:w="1372" w:type="dxa"/>
            <w:tcBorders>
              <w:top w:val="nil"/>
              <w:left w:val="nil"/>
              <w:bottom w:val="nil"/>
              <w:right w:val="single" w:sz="4" w:space="0" w:color="auto"/>
            </w:tcBorders>
            <w:shd w:val="clear" w:color="auto" w:fill="auto"/>
            <w:noWrap/>
            <w:vAlign w:val="center"/>
            <w:hideMark/>
          </w:tcPr>
          <w:p w14:paraId="5A202682"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(-3.16)</w:t>
            </w:r>
          </w:p>
        </w:tc>
      </w:tr>
      <w:tr w:rsidR="00283073" w:rsidRPr="00283073" w14:paraId="4482D630" w14:textId="77777777" w:rsidTr="00283073">
        <w:trPr>
          <w:trHeight w:val="260"/>
        </w:trPr>
        <w:tc>
          <w:tcPr>
            <w:tcW w:w="3224" w:type="dxa"/>
            <w:tcBorders>
              <w:top w:val="nil"/>
              <w:left w:val="single" w:sz="4" w:space="0" w:color="auto"/>
              <w:bottom w:val="nil"/>
              <w:right w:val="nil"/>
            </w:tcBorders>
            <w:shd w:val="clear" w:color="auto" w:fill="auto"/>
            <w:noWrap/>
            <w:vAlign w:val="bottom"/>
            <w:hideMark/>
          </w:tcPr>
          <w:p w14:paraId="1C254FF0"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Tax revenues / Tot. Rev. per capita</w:t>
            </w:r>
          </w:p>
        </w:tc>
        <w:tc>
          <w:tcPr>
            <w:tcW w:w="1372" w:type="dxa"/>
            <w:tcBorders>
              <w:top w:val="nil"/>
              <w:left w:val="nil"/>
              <w:bottom w:val="nil"/>
              <w:right w:val="nil"/>
            </w:tcBorders>
            <w:shd w:val="clear" w:color="auto" w:fill="auto"/>
            <w:noWrap/>
            <w:vAlign w:val="center"/>
            <w:hideMark/>
          </w:tcPr>
          <w:p w14:paraId="5E785A11"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0.564**</w:t>
            </w:r>
          </w:p>
        </w:tc>
        <w:tc>
          <w:tcPr>
            <w:tcW w:w="1372" w:type="dxa"/>
            <w:tcBorders>
              <w:top w:val="nil"/>
              <w:left w:val="nil"/>
              <w:bottom w:val="nil"/>
              <w:right w:val="nil"/>
            </w:tcBorders>
            <w:shd w:val="clear" w:color="auto" w:fill="auto"/>
            <w:noWrap/>
            <w:vAlign w:val="center"/>
            <w:hideMark/>
          </w:tcPr>
          <w:p w14:paraId="4A241AA3"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-0.283</w:t>
            </w:r>
          </w:p>
        </w:tc>
        <w:tc>
          <w:tcPr>
            <w:tcW w:w="1372" w:type="dxa"/>
            <w:tcBorders>
              <w:top w:val="nil"/>
              <w:left w:val="nil"/>
              <w:bottom w:val="nil"/>
              <w:right w:val="single" w:sz="4" w:space="0" w:color="auto"/>
            </w:tcBorders>
            <w:shd w:val="clear" w:color="auto" w:fill="auto"/>
            <w:noWrap/>
            <w:vAlign w:val="center"/>
            <w:hideMark/>
          </w:tcPr>
          <w:p w14:paraId="661EBE99"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0.422*</w:t>
            </w:r>
          </w:p>
        </w:tc>
      </w:tr>
      <w:tr w:rsidR="00283073" w:rsidRPr="00283073" w14:paraId="7B76E5E9" w14:textId="77777777" w:rsidTr="00283073">
        <w:trPr>
          <w:trHeight w:val="260"/>
        </w:trPr>
        <w:tc>
          <w:tcPr>
            <w:tcW w:w="3224" w:type="dxa"/>
            <w:tcBorders>
              <w:top w:val="nil"/>
              <w:left w:val="single" w:sz="4" w:space="0" w:color="auto"/>
              <w:bottom w:val="nil"/>
              <w:right w:val="nil"/>
            </w:tcBorders>
            <w:shd w:val="clear" w:color="auto" w:fill="auto"/>
            <w:noWrap/>
            <w:vAlign w:val="bottom"/>
            <w:hideMark/>
          </w:tcPr>
          <w:p w14:paraId="6A5FCAC6"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 </w:t>
            </w:r>
          </w:p>
        </w:tc>
        <w:tc>
          <w:tcPr>
            <w:tcW w:w="1372" w:type="dxa"/>
            <w:tcBorders>
              <w:top w:val="nil"/>
              <w:left w:val="nil"/>
              <w:bottom w:val="nil"/>
              <w:right w:val="nil"/>
            </w:tcBorders>
            <w:shd w:val="clear" w:color="auto" w:fill="auto"/>
            <w:noWrap/>
            <w:vAlign w:val="center"/>
            <w:hideMark/>
          </w:tcPr>
          <w:p w14:paraId="77F2F7E0"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(3.11)</w:t>
            </w:r>
          </w:p>
        </w:tc>
        <w:tc>
          <w:tcPr>
            <w:tcW w:w="1372" w:type="dxa"/>
            <w:tcBorders>
              <w:top w:val="nil"/>
              <w:left w:val="nil"/>
              <w:bottom w:val="nil"/>
              <w:right w:val="nil"/>
            </w:tcBorders>
            <w:shd w:val="clear" w:color="auto" w:fill="auto"/>
            <w:noWrap/>
            <w:vAlign w:val="center"/>
            <w:hideMark/>
          </w:tcPr>
          <w:p w14:paraId="3F1C466F"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(-0.35)</w:t>
            </w:r>
          </w:p>
        </w:tc>
        <w:tc>
          <w:tcPr>
            <w:tcW w:w="1372" w:type="dxa"/>
            <w:tcBorders>
              <w:top w:val="nil"/>
              <w:left w:val="nil"/>
              <w:bottom w:val="nil"/>
              <w:right w:val="single" w:sz="4" w:space="0" w:color="auto"/>
            </w:tcBorders>
            <w:shd w:val="clear" w:color="auto" w:fill="auto"/>
            <w:noWrap/>
            <w:vAlign w:val="center"/>
            <w:hideMark/>
          </w:tcPr>
          <w:p w14:paraId="3AC6E61E"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(2.26)</w:t>
            </w:r>
          </w:p>
        </w:tc>
      </w:tr>
      <w:tr w:rsidR="00283073" w:rsidRPr="00283073" w14:paraId="343FCE36" w14:textId="77777777" w:rsidTr="00283073">
        <w:trPr>
          <w:trHeight w:val="260"/>
        </w:trPr>
        <w:tc>
          <w:tcPr>
            <w:tcW w:w="3224" w:type="dxa"/>
            <w:tcBorders>
              <w:top w:val="nil"/>
              <w:left w:val="single" w:sz="4" w:space="0" w:color="auto"/>
              <w:bottom w:val="nil"/>
              <w:right w:val="nil"/>
            </w:tcBorders>
            <w:shd w:val="clear" w:color="auto" w:fill="auto"/>
            <w:noWrap/>
            <w:vAlign w:val="bottom"/>
            <w:hideMark/>
          </w:tcPr>
          <w:p w14:paraId="1B5F13C2"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Ideology</w:t>
            </w:r>
          </w:p>
        </w:tc>
        <w:tc>
          <w:tcPr>
            <w:tcW w:w="1372" w:type="dxa"/>
            <w:tcBorders>
              <w:top w:val="nil"/>
              <w:left w:val="nil"/>
              <w:bottom w:val="nil"/>
              <w:right w:val="nil"/>
            </w:tcBorders>
            <w:shd w:val="clear" w:color="auto" w:fill="auto"/>
            <w:noWrap/>
            <w:vAlign w:val="center"/>
            <w:hideMark/>
          </w:tcPr>
          <w:p w14:paraId="2985B38C"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0.0174***</w:t>
            </w:r>
          </w:p>
        </w:tc>
        <w:tc>
          <w:tcPr>
            <w:tcW w:w="1372" w:type="dxa"/>
            <w:tcBorders>
              <w:top w:val="nil"/>
              <w:left w:val="nil"/>
              <w:bottom w:val="nil"/>
              <w:right w:val="nil"/>
            </w:tcBorders>
            <w:shd w:val="clear" w:color="auto" w:fill="auto"/>
            <w:noWrap/>
            <w:vAlign w:val="center"/>
            <w:hideMark/>
          </w:tcPr>
          <w:p w14:paraId="0945D2EF"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-0.0145</w:t>
            </w:r>
          </w:p>
        </w:tc>
        <w:tc>
          <w:tcPr>
            <w:tcW w:w="1372" w:type="dxa"/>
            <w:tcBorders>
              <w:top w:val="nil"/>
              <w:left w:val="nil"/>
              <w:bottom w:val="nil"/>
              <w:right w:val="single" w:sz="4" w:space="0" w:color="auto"/>
            </w:tcBorders>
            <w:shd w:val="clear" w:color="auto" w:fill="auto"/>
            <w:noWrap/>
            <w:vAlign w:val="center"/>
            <w:hideMark/>
          </w:tcPr>
          <w:p w14:paraId="56B9E2D4"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0.0176***</w:t>
            </w:r>
          </w:p>
        </w:tc>
      </w:tr>
      <w:tr w:rsidR="00283073" w:rsidRPr="00283073" w14:paraId="61CD6816" w14:textId="77777777" w:rsidTr="00283073">
        <w:trPr>
          <w:trHeight w:val="260"/>
        </w:trPr>
        <w:tc>
          <w:tcPr>
            <w:tcW w:w="3224" w:type="dxa"/>
            <w:tcBorders>
              <w:top w:val="nil"/>
              <w:left w:val="single" w:sz="4" w:space="0" w:color="auto"/>
              <w:bottom w:val="nil"/>
              <w:right w:val="nil"/>
            </w:tcBorders>
            <w:shd w:val="clear" w:color="auto" w:fill="auto"/>
            <w:noWrap/>
            <w:vAlign w:val="bottom"/>
            <w:hideMark/>
          </w:tcPr>
          <w:p w14:paraId="0ED6B660"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 </w:t>
            </w:r>
          </w:p>
        </w:tc>
        <w:tc>
          <w:tcPr>
            <w:tcW w:w="1372" w:type="dxa"/>
            <w:tcBorders>
              <w:top w:val="nil"/>
              <w:left w:val="nil"/>
              <w:bottom w:val="nil"/>
              <w:right w:val="nil"/>
            </w:tcBorders>
            <w:shd w:val="clear" w:color="auto" w:fill="auto"/>
            <w:noWrap/>
            <w:vAlign w:val="center"/>
            <w:hideMark/>
          </w:tcPr>
          <w:p w14:paraId="5E1F42A9"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(7.3)</w:t>
            </w:r>
          </w:p>
        </w:tc>
        <w:tc>
          <w:tcPr>
            <w:tcW w:w="1372" w:type="dxa"/>
            <w:tcBorders>
              <w:top w:val="nil"/>
              <w:left w:val="nil"/>
              <w:bottom w:val="nil"/>
              <w:right w:val="nil"/>
            </w:tcBorders>
            <w:shd w:val="clear" w:color="auto" w:fill="auto"/>
            <w:noWrap/>
            <w:vAlign w:val="center"/>
            <w:hideMark/>
          </w:tcPr>
          <w:p w14:paraId="704D39AA"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(-1.33)</w:t>
            </w:r>
          </w:p>
        </w:tc>
        <w:tc>
          <w:tcPr>
            <w:tcW w:w="1372" w:type="dxa"/>
            <w:tcBorders>
              <w:top w:val="nil"/>
              <w:left w:val="nil"/>
              <w:bottom w:val="nil"/>
              <w:right w:val="single" w:sz="4" w:space="0" w:color="auto"/>
            </w:tcBorders>
            <w:shd w:val="clear" w:color="auto" w:fill="auto"/>
            <w:noWrap/>
            <w:vAlign w:val="center"/>
            <w:hideMark/>
          </w:tcPr>
          <w:p w14:paraId="5DAA1AA7"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(6.99)</w:t>
            </w:r>
          </w:p>
        </w:tc>
      </w:tr>
      <w:tr w:rsidR="00283073" w:rsidRPr="00283073" w14:paraId="3A70147D" w14:textId="77777777" w:rsidTr="00283073">
        <w:trPr>
          <w:trHeight w:val="260"/>
        </w:trPr>
        <w:tc>
          <w:tcPr>
            <w:tcW w:w="3224" w:type="dxa"/>
            <w:tcBorders>
              <w:top w:val="nil"/>
              <w:left w:val="single" w:sz="4" w:space="0" w:color="auto"/>
              <w:bottom w:val="nil"/>
              <w:right w:val="nil"/>
            </w:tcBorders>
            <w:shd w:val="clear" w:color="auto" w:fill="auto"/>
            <w:noWrap/>
            <w:vAlign w:val="bottom"/>
            <w:hideMark/>
          </w:tcPr>
          <w:p w14:paraId="201EF1A8"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Transfer per capita</w:t>
            </w:r>
          </w:p>
        </w:tc>
        <w:tc>
          <w:tcPr>
            <w:tcW w:w="1372" w:type="dxa"/>
            <w:tcBorders>
              <w:top w:val="nil"/>
              <w:left w:val="nil"/>
              <w:bottom w:val="nil"/>
              <w:right w:val="nil"/>
            </w:tcBorders>
            <w:shd w:val="clear" w:color="auto" w:fill="auto"/>
            <w:noWrap/>
            <w:vAlign w:val="center"/>
            <w:hideMark/>
          </w:tcPr>
          <w:p w14:paraId="5E296F74"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0.149*</w:t>
            </w:r>
          </w:p>
        </w:tc>
        <w:tc>
          <w:tcPr>
            <w:tcW w:w="1372" w:type="dxa"/>
            <w:tcBorders>
              <w:top w:val="nil"/>
              <w:left w:val="nil"/>
              <w:bottom w:val="nil"/>
              <w:right w:val="nil"/>
            </w:tcBorders>
            <w:shd w:val="clear" w:color="auto" w:fill="auto"/>
            <w:noWrap/>
            <w:vAlign w:val="center"/>
            <w:hideMark/>
          </w:tcPr>
          <w:p w14:paraId="76A5A288"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-0.0681</w:t>
            </w:r>
          </w:p>
        </w:tc>
        <w:tc>
          <w:tcPr>
            <w:tcW w:w="1372" w:type="dxa"/>
            <w:tcBorders>
              <w:top w:val="nil"/>
              <w:left w:val="nil"/>
              <w:bottom w:val="nil"/>
              <w:right w:val="single" w:sz="4" w:space="0" w:color="auto"/>
            </w:tcBorders>
            <w:shd w:val="clear" w:color="auto" w:fill="auto"/>
            <w:noWrap/>
            <w:vAlign w:val="center"/>
            <w:hideMark/>
          </w:tcPr>
          <w:p w14:paraId="4B59431A"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0.334*</w:t>
            </w:r>
          </w:p>
        </w:tc>
      </w:tr>
      <w:tr w:rsidR="00283073" w:rsidRPr="00283073" w14:paraId="1ACC56BA" w14:textId="77777777" w:rsidTr="00283073">
        <w:trPr>
          <w:trHeight w:val="260"/>
        </w:trPr>
        <w:tc>
          <w:tcPr>
            <w:tcW w:w="3224" w:type="dxa"/>
            <w:tcBorders>
              <w:top w:val="nil"/>
              <w:left w:val="single" w:sz="4" w:space="0" w:color="auto"/>
              <w:bottom w:val="nil"/>
              <w:right w:val="nil"/>
            </w:tcBorders>
            <w:shd w:val="clear" w:color="auto" w:fill="auto"/>
            <w:noWrap/>
            <w:vAlign w:val="bottom"/>
            <w:hideMark/>
          </w:tcPr>
          <w:p w14:paraId="78CEC34B"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 </w:t>
            </w:r>
          </w:p>
        </w:tc>
        <w:tc>
          <w:tcPr>
            <w:tcW w:w="1372" w:type="dxa"/>
            <w:tcBorders>
              <w:top w:val="nil"/>
              <w:left w:val="nil"/>
              <w:bottom w:val="nil"/>
              <w:right w:val="nil"/>
            </w:tcBorders>
            <w:shd w:val="clear" w:color="auto" w:fill="auto"/>
            <w:noWrap/>
            <w:vAlign w:val="center"/>
            <w:hideMark/>
          </w:tcPr>
          <w:p w14:paraId="2F2703D1"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(2.01)</w:t>
            </w:r>
          </w:p>
        </w:tc>
        <w:tc>
          <w:tcPr>
            <w:tcW w:w="1372" w:type="dxa"/>
            <w:tcBorders>
              <w:top w:val="nil"/>
              <w:left w:val="nil"/>
              <w:bottom w:val="nil"/>
              <w:right w:val="nil"/>
            </w:tcBorders>
            <w:shd w:val="clear" w:color="auto" w:fill="auto"/>
            <w:noWrap/>
            <w:vAlign w:val="center"/>
            <w:hideMark/>
          </w:tcPr>
          <w:p w14:paraId="06CA2E3D"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(-1.92)</w:t>
            </w:r>
          </w:p>
        </w:tc>
        <w:tc>
          <w:tcPr>
            <w:tcW w:w="1372" w:type="dxa"/>
            <w:tcBorders>
              <w:top w:val="nil"/>
              <w:left w:val="nil"/>
              <w:bottom w:val="nil"/>
              <w:right w:val="single" w:sz="4" w:space="0" w:color="auto"/>
            </w:tcBorders>
            <w:shd w:val="clear" w:color="auto" w:fill="auto"/>
            <w:noWrap/>
            <w:vAlign w:val="center"/>
            <w:hideMark/>
          </w:tcPr>
          <w:p w14:paraId="155C8E50"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(2.17)</w:t>
            </w:r>
          </w:p>
        </w:tc>
      </w:tr>
      <w:tr w:rsidR="00283073" w:rsidRPr="00283073" w14:paraId="425B0E8E" w14:textId="77777777" w:rsidTr="00283073">
        <w:trPr>
          <w:trHeight w:val="260"/>
        </w:trPr>
        <w:tc>
          <w:tcPr>
            <w:tcW w:w="3224" w:type="dxa"/>
            <w:tcBorders>
              <w:top w:val="nil"/>
              <w:left w:val="single" w:sz="4" w:space="0" w:color="auto"/>
              <w:bottom w:val="nil"/>
              <w:right w:val="nil"/>
            </w:tcBorders>
            <w:shd w:val="clear" w:color="auto" w:fill="auto"/>
            <w:noWrap/>
            <w:vAlign w:val="bottom"/>
            <w:hideMark/>
          </w:tcPr>
          <w:p w14:paraId="2C27D1DF"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Constant</w:t>
            </w:r>
          </w:p>
        </w:tc>
        <w:tc>
          <w:tcPr>
            <w:tcW w:w="1372" w:type="dxa"/>
            <w:tcBorders>
              <w:top w:val="nil"/>
              <w:left w:val="nil"/>
              <w:bottom w:val="nil"/>
              <w:right w:val="nil"/>
            </w:tcBorders>
            <w:shd w:val="clear" w:color="auto" w:fill="auto"/>
            <w:noWrap/>
            <w:vAlign w:val="center"/>
            <w:hideMark/>
          </w:tcPr>
          <w:p w14:paraId="0EAB299D"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5.635***</w:t>
            </w:r>
          </w:p>
        </w:tc>
        <w:tc>
          <w:tcPr>
            <w:tcW w:w="1372" w:type="dxa"/>
            <w:tcBorders>
              <w:top w:val="nil"/>
              <w:left w:val="nil"/>
              <w:bottom w:val="nil"/>
              <w:right w:val="nil"/>
            </w:tcBorders>
            <w:shd w:val="clear" w:color="auto" w:fill="auto"/>
            <w:noWrap/>
            <w:vAlign w:val="center"/>
            <w:hideMark/>
          </w:tcPr>
          <w:p w14:paraId="57681818"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12.22***</w:t>
            </w:r>
          </w:p>
        </w:tc>
        <w:tc>
          <w:tcPr>
            <w:tcW w:w="1372" w:type="dxa"/>
            <w:tcBorders>
              <w:top w:val="nil"/>
              <w:left w:val="nil"/>
              <w:bottom w:val="nil"/>
              <w:right w:val="single" w:sz="4" w:space="0" w:color="auto"/>
            </w:tcBorders>
            <w:shd w:val="clear" w:color="auto" w:fill="auto"/>
            <w:noWrap/>
            <w:vAlign w:val="center"/>
            <w:hideMark/>
          </w:tcPr>
          <w:p w14:paraId="4F712310"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5.491***</w:t>
            </w:r>
          </w:p>
        </w:tc>
      </w:tr>
      <w:tr w:rsidR="00283073" w:rsidRPr="00283073" w14:paraId="5CA450EA" w14:textId="77777777" w:rsidTr="00283073">
        <w:trPr>
          <w:trHeight w:val="260"/>
        </w:trPr>
        <w:tc>
          <w:tcPr>
            <w:tcW w:w="3224" w:type="dxa"/>
            <w:tcBorders>
              <w:top w:val="nil"/>
              <w:left w:val="single" w:sz="4" w:space="0" w:color="auto"/>
              <w:bottom w:val="nil"/>
              <w:right w:val="nil"/>
            </w:tcBorders>
            <w:shd w:val="clear" w:color="auto" w:fill="auto"/>
            <w:noWrap/>
            <w:vAlign w:val="bottom"/>
            <w:hideMark/>
          </w:tcPr>
          <w:p w14:paraId="3A4A2D16"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 </w:t>
            </w:r>
          </w:p>
        </w:tc>
        <w:tc>
          <w:tcPr>
            <w:tcW w:w="1372" w:type="dxa"/>
            <w:tcBorders>
              <w:top w:val="nil"/>
              <w:left w:val="nil"/>
              <w:bottom w:val="nil"/>
              <w:right w:val="nil"/>
            </w:tcBorders>
            <w:shd w:val="clear" w:color="auto" w:fill="auto"/>
            <w:noWrap/>
            <w:vAlign w:val="center"/>
            <w:hideMark/>
          </w:tcPr>
          <w:p w14:paraId="4AB0741E"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(6.19)</w:t>
            </w:r>
          </w:p>
        </w:tc>
        <w:tc>
          <w:tcPr>
            <w:tcW w:w="1372" w:type="dxa"/>
            <w:tcBorders>
              <w:top w:val="nil"/>
              <w:left w:val="nil"/>
              <w:bottom w:val="nil"/>
              <w:right w:val="nil"/>
            </w:tcBorders>
            <w:shd w:val="clear" w:color="auto" w:fill="auto"/>
            <w:noWrap/>
            <w:vAlign w:val="center"/>
            <w:hideMark/>
          </w:tcPr>
          <w:p w14:paraId="6E63758B"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(4.25)</w:t>
            </w:r>
          </w:p>
        </w:tc>
        <w:tc>
          <w:tcPr>
            <w:tcW w:w="1372" w:type="dxa"/>
            <w:tcBorders>
              <w:top w:val="nil"/>
              <w:left w:val="nil"/>
              <w:bottom w:val="nil"/>
              <w:right w:val="single" w:sz="4" w:space="0" w:color="auto"/>
            </w:tcBorders>
            <w:shd w:val="clear" w:color="auto" w:fill="auto"/>
            <w:noWrap/>
            <w:vAlign w:val="center"/>
            <w:hideMark/>
          </w:tcPr>
          <w:p w14:paraId="78A13CBF"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(4.44)</w:t>
            </w:r>
          </w:p>
        </w:tc>
      </w:tr>
      <w:tr w:rsidR="00283073" w:rsidRPr="00283073" w14:paraId="30A4407A" w14:textId="77777777" w:rsidTr="00283073">
        <w:trPr>
          <w:trHeight w:val="260"/>
        </w:trPr>
        <w:tc>
          <w:tcPr>
            <w:tcW w:w="3224" w:type="dxa"/>
            <w:tcBorders>
              <w:top w:val="nil"/>
              <w:left w:val="single" w:sz="4" w:space="0" w:color="auto"/>
              <w:bottom w:val="single" w:sz="4" w:space="0" w:color="auto"/>
              <w:right w:val="nil"/>
            </w:tcBorders>
            <w:shd w:val="clear" w:color="auto" w:fill="auto"/>
            <w:noWrap/>
            <w:vAlign w:val="bottom"/>
            <w:hideMark/>
          </w:tcPr>
          <w:p w14:paraId="26C0FFA5"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Obs.</w:t>
            </w:r>
          </w:p>
        </w:tc>
        <w:tc>
          <w:tcPr>
            <w:tcW w:w="1372" w:type="dxa"/>
            <w:tcBorders>
              <w:top w:val="nil"/>
              <w:left w:val="nil"/>
              <w:bottom w:val="single" w:sz="4" w:space="0" w:color="auto"/>
              <w:right w:val="nil"/>
            </w:tcBorders>
            <w:shd w:val="clear" w:color="auto" w:fill="auto"/>
            <w:noWrap/>
            <w:vAlign w:val="center"/>
            <w:hideMark/>
          </w:tcPr>
          <w:p w14:paraId="551C203A"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650</w:t>
            </w:r>
          </w:p>
        </w:tc>
        <w:tc>
          <w:tcPr>
            <w:tcW w:w="1372" w:type="dxa"/>
            <w:tcBorders>
              <w:top w:val="nil"/>
              <w:left w:val="nil"/>
              <w:bottom w:val="single" w:sz="4" w:space="0" w:color="auto"/>
              <w:right w:val="nil"/>
            </w:tcBorders>
            <w:shd w:val="clear" w:color="auto" w:fill="auto"/>
            <w:noWrap/>
            <w:vAlign w:val="center"/>
            <w:hideMark/>
          </w:tcPr>
          <w:p w14:paraId="330D2F42"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150</w:t>
            </w:r>
          </w:p>
        </w:tc>
        <w:tc>
          <w:tcPr>
            <w:tcW w:w="1372" w:type="dxa"/>
            <w:tcBorders>
              <w:top w:val="nil"/>
              <w:left w:val="nil"/>
              <w:bottom w:val="single" w:sz="4" w:space="0" w:color="auto"/>
              <w:right w:val="single" w:sz="4" w:space="0" w:color="auto"/>
            </w:tcBorders>
            <w:shd w:val="clear" w:color="auto" w:fill="auto"/>
            <w:noWrap/>
            <w:vAlign w:val="center"/>
            <w:hideMark/>
          </w:tcPr>
          <w:p w14:paraId="1BDAB6D1"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500</w:t>
            </w:r>
          </w:p>
        </w:tc>
      </w:tr>
      <w:tr w:rsidR="00283073" w:rsidRPr="00283073" w14:paraId="4468E153" w14:textId="77777777" w:rsidTr="00283073">
        <w:trPr>
          <w:trHeight w:val="260"/>
        </w:trPr>
        <w:tc>
          <w:tcPr>
            <w:tcW w:w="7340" w:type="dxa"/>
            <w:gridSpan w:val="4"/>
            <w:tcBorders>
              <w:top w:val="nil"/>
              <w:left w:val="nil"/>
              <w:bottom w:val="nil"/>
              <w:right w:val="nil"/>
            </w:tcBorders>
            <w:shd w:val="clear" w:color="auto" w:fill="auto"/>
            <w:noWrap/>
            <w:vAlign w:val="bottom"/>
            <w:hideMark/>
          </w:tcPr>
          <w:p w14:paraId="284A45EA" w14:textId="77777777" w:rsidR="00283073" w:rsidRPr="00283073" w:rsidRDefault="00283073" w:rsidP="00283073">
            <w:pPr>
              <w:rPr>
                <w:rFonts w:ascii="Times New Roman" w:eastAsia="Times New Roman" w:hAnsi="Times New Roman" w:cs="Times New Roman"/>
                <w:i/>
                <w:iCs/>
                <w:color w:val="000000"/>
                <w:sz w:val="20"/>
                <w:szCs w:val="20"/>
                <w:lang w:eastAsia="it-IT"/>
              </w:rPr>
            </w:pPr>
            <w:r w:rsidRPr="00283073">
              <w:rPr>
                <w:rFonts w:ascii="Times New Roman" w:eastAsia="Times New Roman" w:hAnsi="Times New Roman" w:cs="Times New Roman"/>
                <w:i/>
                <w:iCs/>
                <w:color w:val="000000"/>
                <w:sz w:val="20"/>
                <w:szCs w:val="20"/>
                <w:lang w:eastAsia="it-IT"/>
              </w:rPr>
              <w:t xml:space="preserve">Note: t stat in parenthesis; *, **, *** is significant at 10%, 5% and 1% respectively. </w:t>
            </w:r>
          </w:p>
        </w:tc>
      </w:tr>
    </w:tbl>
    <w:p w14:paraId="51BD8A71" w14:textId="350F6749" w:rsidR="007216F4" w:rsidRPr="008B2D7F" w:rsidRDefault="007216F4" w:rsidP="007216F4">
      <w:pPr>
        <w:rPr>
          <w:rFonts w:ascii="Times New Roman" w:hAnsi="Times New Roman" w:cs="Times New Roman"/>
        </w:rPr>
      </w:pPr>
      <w:r w:rsidRPr="008B2D7F">
        <w:rPr>
          <w:rFonts w:ascii="Times New Roman" w:hAnsi="Times New Roman" w:cs="Times New Roman"/>
        </w:rPr>
        <w:t>Source: Author</w:t>
      </w:r>
      <w:r w:rsidR="008B2D7F" w:rsidRPr="008B2D7F">
        <w:rPr>
          <w:rFonts w:ascii="Times New Roman" w:hAnsi="Times New Roman" w:cs="Times New Roman"/>
        </w:rPr>
        <w:t>s</w:t>
      </w:r>
      <w:r w:rsidRPr="008B2D7F">
        <w:rPr>
          <w:rFonts w:ascii="Times New Roman" w:hAnsi="Times New Roman" w:cs="Times New Roman"/>
        </w:rPr>
        <w:t>’ elaboration</w:t>
      </w:r>
    </w:p>
    <w:p w14:paraId="4C94693C" w14:textId="77777777" w:rsidR="00283073" w:rsidRDefault="00283073" w:rsidP="00283073">
      <w:pPr>
        <w:pStyle w:val="Paragrafoelenco"/>
        <w:spacing w:line="360" w:lineRule="auto"/>
        <w:ind w:left="0"/>
        <w:rPr>
          <w:rFonts w:ascii="Times New Roman" w:hAnsi="Times New Roman" w:cs="Times New Roman"/>
          <w:color w:val="000000" w:themeColor="text1"/>
          <w:lang w:val="en-GB"/>
        </w:rPr>
      </w:pPr>
    </w:p>
    <w:tbl>
      <w:tblPr>
        <w:tblW w:w="7320" w:type="dxa"/>
        <w:tblCellMar>
          <w:left w:w="70" w:type="dxa"/>
          <w:right w:w="70" w:type="dxa"/>
        </w:tblCellMar>
        <w:tblLook w:val="04A0" w:firstRow="1" w:lastRow="0" w:firstColumn="1" w:lastColumn="0" w:noHBand="0" w:noVBand="1"/>
      </w:tblPr>
      <w:tblGrid>
        <w:gridCol w:w="3198"/>
        <w:gridCol w:w="1374"/>
        <w:gridCol w:w="1374"/>
        <w:gridCol w:w="1374"/>
      </w:tblGrid>
      <w:tr w:rsidR="00283073" w:rsidRPr="00283073" w14:paraId="28A3564E" w14:textId="77777777" w:rsidTr="00283073">
        <w:trPr>
          <w:trHeight w:val="320"/>
        </w:trPr>
        <w:tc>
          <w:tcPr>
            <w:tcW w:w="7320" w:type="dxa"/>
            <w:gridSpan w:val="4"/>
            <w:tcBorders>
              <w:top w:val="nil"/>
              <w:left w:val="nil"/>
              <w:bottom w:val="single" w:sz="4" w:space="0" w:color="auto"/>
              <w:right w:val="nil"/>
            </w:tcBorders>
            <w:shd w:val="clear" w:color="auto" w:fill="auto"/>
            <w:vAlign w:val="center"/>
            <w:hideMark/>
          </w:tcPr>
          <w:p w14:paraId="3D029F3A" w14:textId="77777777" w:rsidR="00283073" w:rsidRPr="00283073" w:rsidRDefault="00283073" w:rsidP="00283073">
            <w:pPr>
              <w:rPr>
                <w:rFonts w:ascii="Times New Roman" w:eastAsia="Times New Roman" w:hAnsi="Times New Roman" w:cs="Times New Roman"/>
                <w:b/>
                <w:bCs/>
                <w:color w:val="000000"/>
                <w:sz w:val="20"/>
                <w:szCs w:val="20"/>
                <w:lang w:eastAsia="it-IT"/>
              </w:rPr>
            </w:pPr>
            <w:r w:rsidRPr="00283073">
              <w:rPr>
                <w:rFonts w:ascii="Times New Roman" w:eastAsia="Times New Roman" w:hAnsi="Times New Roman" w:cs="Times New Roman"/>
                <w:b/>
                <w:bCs/>
                <w:color w:val="000000"/>
                <w:sz w:val="20"/>
                <w:szCs w:val="20"/>
                <w:lang w:val="en-US" w:eastAsia="it-IT"/>
              </w:rPr>
              <w:t>Table A2 Panel Arellano-Bond Regression Models, Short-Term Debt Covariates</w:t>
            </w:r>
          </w:p>
        </w:tc>
      </w:tr>
      <w:tr w:rsidR="00283073" w:rsidRPr="00283073" w14:paraId="33DD773C" w14:textId="77777777" w:rsidTr="00283073">
        <w:trPr>
          <w:trHeight w:val="260"/>
        </w:trPr>
        <w:tc>
          <w:tcPr>
            <w:tcW w:w="3198" w:type="dxa"/>
            <w:tcBorders>
              <w:top w:val="nil"/>
              <w:left w:val="single" w:sz="4" w:space="0" w:color="auto"/>
              <w:bottom w:val="nil"/>
              <w:right w:val="nil"/>
            </w:tcBorders>
            <w:shd w:val="clear" w:color="auto" w:fill="auto"/>
            <w:noWrap/>
            <w:vAlign w:val="center"/>
            <w:hideMark/>
          </w:tcPr>
          <w:p w14:paraId="1D32A6D6"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 </w:t>
            </w:r>
          </w:p>
        </w:tc>
        <w:tc>
          <w:tcPr>
            <w:tcW w:w="1374" w:type="dxa"/>
            <w:tcBorders>
              <w:top w:val="nil"/>
              <w:left w:val="nil"/>
              <w:bottom w:val="nil"/>
              <w:right w:val="nil"/>
            </w:tcBorders>
            <w:shd w:val="clear" w:color="auto" w:fill="auto"/>
            <w:noWrap/>
            <w:vAlign w:val="bottom"/>
            <w:hideMark/>
          </w:tcPr>
          <w:p w14:paraId="3B371192" w14:textId="77777777" w:rsidR="00283073" w:rsidRPr="00283073" w:rsidRDefault="00283073" w:rsidP="00283073">
            <w:pPr>
              <w:rPr>
                <w:rFonts w:ascii="Times New Roman" w:eastAsia="Times New Roman" w:hAnsi="Times New Roman" w:cs="Times New Roman"/>
                <w:i/>
                <w:iCs/>
                <w:color w:val="000000"/>
                <w:sz w:val="20"/>
                <w:szCs w:val="20"/>
                <w:lang w:eastAsia="it-IT"/>
              </w:rPr>
            </w:pPr>
            <w:r w:rsidRPr="00283073">
              <w:rPr>
                <w:rFonts w:ascii="Times New Roman" w:eastAsia="Times New Roman" w:hAnsi="Times New Roman" w:cs="Times New Roman"/>
                <w:i/>
                <w:iCs/>
                <w:color w:val="000000"/>
                <w:sz w:val="20"/>
                <w:szCs w:val="20"/>
                <w:lang w:eastAsia="it-IT"/>
              </w:rPr>
              <w:t>Full Sample</w:t>
            </w:r>
          </w:p>
        </w:tc>
        <w:tc>
          <w:tcPr>
            <w:tcW w:w="1374" w:type="dxa"/>
            <w:tcBorders>
              <w:top w:val="nil"/>
              <w:left w:val="nil"/>
              <w:bottom w:val="nil"/>
              <w:right w:val="nil"/>
            </w:tcBorders>
            <w:shd w:val="clear" w:color="auto" w:fill="auto"/>
            <w:noWrap/>
            <w:vAlign w:val="bottom"/>
            <w:hideMark/>
          </w:tcPr>
          <w:p w14:paraId="4AA9DFDC" w14:textId="77777777" w:rsidR="00283073" w:rsidRPr="00283073" w:rsidRDefault="00283073" w:rsidP="00283073">
            <w:pPr>
              <w:rPr>
                <w:rFonts w:ascii="Times New Roman" w:eastAsia="Times New Roman" w:hAnsi="Times New Roman" w:cs="Times New Roman"/>
                <w:i/>
                <w:iCs/>
                <w:color w:val="000000"/>
                <w:sz w:val="20"/>
                <w:szCs w:val="20"/>
                <w:lang w:eastAsia="it-IT"/>
              </w:rPr>
            </w:pPr>
            <w:r w:rsidRPr="00283073">
              <w:rPr>
                <w:rFonts w:ascii="Times New Roman" w:eastAsia="Times New Roman" w:hAnsi="Times New Roman" w:cs="Times New Roman"/>
                <w:i/>
                <w:iCs/>
                <w:color w:val="000000"/>
                <w:sz w:val="20"/>
                <w:szCs w:val="20"/>
                <w:lang w:eastAsia="it-IT"/>
              </w:rPr>
              <w:t>Italian regions</w:t>
            </w:r>
          </w:p>
        </w:tc>
        <w:tc>
          <w:tcPr>
            <w:tcW w:w="1374" w:type="dxa"/>
            <w:tcBorders>
              <w:top w:val="nil"/>
              <w:left w:val="nil"/>
              <w:bottom w:val="nil"/>
              <w:right w:val="single" w:sz="4" w:space="0" w:color="auto"/>
            </w:tcBorders>
            <w:shd w:val="clear" w:color="auto" w:fill="auto"/>
            <w:noWrap/>
            <w:vAlign w:val="bottom"/>
            <w:hideMark/>
          </w:tcPr>
          <w:p w14:paraId="71FDE23F" w14:textId="77777777" w:rsidR="00283073" w:rsidRPr="00283073" w:rsidRDefault="00283073" w:rsidP="00283073">
            <w:pPr>
              <w:rPr>
                <w:rFonts w:ascii="Times New Roman" w:eastAsia="Times New Roman" w:hAnsi="Times New Roman" w:cs="Times New Roman"/>
                <w:i/>
                <w:iCs/>
                <w:color w:val="000000"/>
                <w:sz w:val="20"/>
                <w:szCs w:val="20"/>
                <w:lang w:eastAsia="it-IT"/>
              </w:rPr>
            </w:pPr>
            <w:r w:rsidRPr="00283073">
              <w:rPr>
                <w:rFonts w:ascii="Times New Roman" w:eastAsia="Times New Roman" w:hAnsi="Times New Roman" w:cs="Times New Roman"/>
                <w:i/>
                <w:iCs/>
                <w:color w:val="000000"/>
                <w:sz w:val="20"/>
                <w:szCs w:val="20"/>
                <w:lang w:eastAsia="it-IT"/>
              </w:rPr>
              <w:t>US States</w:t>
            </w:r>
          </w:p>
        </w:tc>
      </w:tr>
      <w:tr w:rsidR="00283073" w:rsidRPr="00283073" w14:paraId="0FA309D5" w14:textId="77777777" w:rsidTr="00283073">
        <w:trPr>
          <w:trHeight w:val="260"/>
        </w:trPr>
        <w:tc>
          <w:tcPr>
            <w:tcW w:w="3198" w:type="dxa"/>
            <w:tcBorders>
              <w:top w:val="nil"/>
              <w:left w:val="single" w:sz="4" w:space="0" w:color="auto"/>
              <w:bottom w:val="nil"/>
              <w:right w:val="nil"/>
            </w:tcBorders>
            <w:shd w:val="clear" w:color="auto" w:fill="auto"/>
            <w:noWrap/>
            <w:vAlign w:val="center"/>
            <w:hideMark/>
          </w:tcPr>
          <w:p w14:paraId="52340573" w14:textId="77777777" w:rsidR="00283073" w:rsidRPr="00283073" w:rsidRDefault="00283073" w:rsidP="00283073">
            <w:pPr>
              <w:rPr>
                <w:rFonts w:ascii="Times New Roman" w:eastAsia="Times New Roman" w:hAnsi="Times New Roman" w:cs="Times New Roman"/>
                <w:i/>
                <w:iCs/>
                <w:color w:val="000000"/>
                <w:sz w:val="20"/>
                <w:szCs w:val="20"/>
                <w:lang w:eastAsia="it-IT"/>
              </w:rPr>
            </w:pPr>
            <w:r w:rsidRPr="00283073">
              <w:rPr>
                <w:rFonts w:ascii="Times New Roman" w:eastAsia="Times New Roman" w:hAnsi="Times New Roman" w:cs="Times New Roman"/>
                <w:i/>
                <w:iCs/>
                <w:color w:val="000000"/>
                <w:sz w:val="20"/>
                <w:szCs w:val="20"/>
                <w:lang w:eastAsia="it-IT"/>
              </w:rPr>
              <w:t>Indep Var                           Dep. Var.</w:t>
            </w:r>
          </w:p>
        </w:tc>
        <w:tc>
          <w:tcPr>
            <w:tcW w:w="1374" w:type="dxa"/>
            <w:tcBorders>
              <w:top w:val="nil"/>
              <w:left w:val="nil"/>
              <w:bottom w:val="nil"/>
              <w:right w:val="nil"/>
            </w:tcBorders>
            <w:shd w:val="clear" w:color="auto" w:fill="auto"/>
            <w:noWrap/>
            <w:vAlign w:val="bottom"/>
            <w:hideMark/>
          </w:tcPr>
          <w:p w14:paraId="30C1DFA6"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 xml:space="preserve">Short term debt </w:t>
            </w:r>
          </w:p>
        </w:tc>
        <w:tc>
          <w:tcPr>
            <w:tcW w:w="1374" w:type="dxa"/>
            <w:tcBorders>
              <w:top w:val="nil"/>
              <w:left w:val="nil"/>
              <w:bottom w:val="nil"/>
              <w:right w:val="nil"/>
            </w:tcBorders>
            <w:shd w:val="clear" w:color="auto" w:fill="auto"/>
            <w:noWrap/>
            <w:vAlign w:val="bottom"/>
            <w:hideMark/>
          </w:tcPr>
          <w:p w14:paraId="18ADB91A"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 xml:space="preserve">Short term debt </w:t>
            </w:r>
          </w:p>
        </w:tc>
        <w:tc>
          <w:tcPr>
            <w:tcW w:w="1374" w:type="dxa"/>
            <w:tcBorders>
              <w:top w:val="nil"/>
              <w:left w:val="nil"/>
              <w:bottom w:val="nil"/>
              <w:right w:val="nil"/>
            </w:tcBorders>
            <w:shd w:val="clear" w:color="auto" w:fill="auto"/>
            <w:noWrap/>
            <w:vAlign w:val="bottom"/>
            <w:hideMark/>
          </w:tcPr>
          <w:p w14:paraId="5BA2CD18"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 xml:space="preserve">Short term debt </w:t>
            </w:r>
          </w:p>
        </w:tc>
      </w:tr>
      <w:tr w:rsidR="00283073" w:rsidRPr="00283073" w14:paraId="1609EC6F" w14:textId="77777777" w:rsidTr="00283073">
        <w:trPr>
          <w:trHeight w:val="260"/>
        </w:trPr>
        <w:tc>
          <w:tcPr>
            <w:tcW w:w="3198" w:type="dxa"/>
            <w:tcBorders>
              <w:top w:val="nil"/>
              <w:left w:val="single" w:sz="4" w:space="0" w:color="auto"/>
              <w:bottom w:val="nil"/>
              <w:right w:val="nil"/>
            </w:tcBorders>
            <w:shd w:val="clear" w:color="auto" w:fill="auto"/>
            <w:noWrap/>
            <w:vAlign w:val="bottom"/>
            <w:hideMark/>
          </w:tcPr>
          <w:p w14:paraId="7CBCEA5F"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Short term debt (lag)</w:t>
            </w:r>
          </w:p>
        </w:tc>
        <w:tc>
          <w:tcPr>
            <w:tcW w:w="1374" w:type="dxa"/>
            <w:tcBorders>
              <w:top w:val="nil"/>
              <w:left w:val="nil"/>
              <w:bottom w:val="nil"/>
              <w:right w:val="nil"/>
            </w:tcBorders>
            <w:shd w:val="clear" w:color="auto" w:fill="auto"/>
            <w:noWrap/>
            <w:vAlign w:val="center"/>
            <w:hideMark/>
          </w:tcPr>
          <w:p w14:paraId="76782EFA"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0.0378</w:t>
            </w:r>
          </w:p>
        </w:tc>
        <w:tc>
          <w:tcPr>
            <w:tcW w:w="1374" w:type="dxa"/>
            <w:tcBorders>
              <w:top w:val="nil"/>
              <w:left w:val="nil"/>
              <w:bottom w:val="nil"/>
              <w:right w:val="nil"/>
            </w:tcBorders>
            <w:shd w:val="clear" w:color="auto" w:fill="auto"/>
            <w:noWrap/>
            <w:vAlign w:val="center"/>
            <w:hideMark/>
          </w:tcPr>
          <w:p w14:paraId="7BAF1F62"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0.380***</w:t>
            </w:r>
          </w:p>
        </w:tc>
        <w:tc>
          <w:tcPr>
            <w:tcW w:w="1374" w:type="dxa"/>
            <w:tcBorders>
              <w:top w:val="nil"/>
              <w:left w:val="nil"/>
              <w:bottom w:val="nil"/>
              <w:right w:val="single" w:sz="4" w:space="0" w:color="auto"/>
            </w:tcBorders>
            <w:shd w:val="clear" w:color="auto" w:fill="auto"/>
            <w:noWrap/>
            <w:vAlign w:val="center"/>
            <w:hideMark/>
          </w:tcPr>
          <w:p w14:paraId="0853E878"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0.0135</w:t>
            </w:r>
          </w:p>
        </w:tc>
      </w:tr>
      <w:tr w:rsidR="00283073" w:rsidRPr="00283073" w14:paraId="6D89CBF4" w14:textId="77777777" w:rsidTr="00283073">
        <w:trPr>
          <w:trHeight w:val="260"/>
        </w:trPr>
        <w:tc>
          <w:tcPr>
            <w:tcW w:w="3198" w:type="dxa"/>
            <w:tcBorders>
              <w:top w:val="nil"/>
              <w:left w:val="single" w:sz="4" w:space="0" w:color="auto"/>
              <w:bottom w:val="nil"/>
              <w:right w:val="nil"/>
            </w:tcBorders>
            <w:shd w:val="clear" w:color="auto" w:fill="auto"/>
            <w:noWrap/>
            <w:vAlign w:val="bottom"/>
            <w:hideMark/>
          </w:tcPr>
          <w:p w14:paraId="15C01194"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 </w:t>
            </w:r>
          </w:p>
        </w:tc>
        <w:tc>
          <w:tcPr>
            <w:tcW w:w="1374" w:type="dxa"/>
            <w:tcBorders>
              <w:top w:val="nil"/>
              <w:left w:val="nil"/>
              <w:bottom w:val="nil"/>
              <w:right w:val="nil"/>
            </w:tcBorders>
            <w:shd w:val="clear" w:color="auto" w:fill="auto"/>
            <w:noWrap/>
            <w:vAlign w:val="center"/>
            <w:hideMark/>
          </w:tcPr>
          <w:p w14:paraId="046F1789"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(0.68)</w:t>
            </w:r>
          </w:p>
        </w:tc>
        <w:tc>
          <w:tcPr>
            <w:tcW w:w="1374" w:type="dxa"/>
            <w:tcBorders>
              <w:top w:val="nil"/>
              <w:left w:val="nil"/>
              <w:bottom w:val="nil"/>
              <w:right w:val="nil"/>
            </w:tcBorders>
            <w:shd w:val="clear" w:color="auto" w:fill="auto"/>
            <w:noWrap/>
            <w:vAlign w:val="center"/>
            <w:hideMark/>
          </w:tcPr>
          <w:p w14:paraId="34E6A229"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(3.96)</w:t>
            </w:r>
          </w:p>
        </w:tc>
        <w:tc>
          <w:tcPr>
            <w:tcW w:w="1374" w:type="dxa"/>
            <w:tcBorders>
              <w:top w:val="nil"/>
              <w:left w:val="nil"/>
              <w:bottom w:val="nil"/>
              <w:right w:val="single" w:sz="4" w:space="0" w:color="auto"/>
            </w:tcBorders>
            <w:shd w:val="clear" w:color="auto" w:fill="auto"/>
            <w:noWrap/>
            <w:vAlign w:val="center"/>
            <w:hideMark/>
          </w:tcPr>
          <w:p w14:paraId="0EE7CC00"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(0.25)</w:t>
            </w:r>
          </w:p>
        </w:tc>
      </w:tr>
      <w:tr w:rsidR="00283073" w:rsidRPr="00283073" w14:paraId="31C0A88D" w14:textId="77777777" w:rsidTr="00283073">
        <w:trPr>
          <w:trHeight w:val="260"/>
        </w:trPr>
        <w:tc>
          <w:tcPr>
            <w:tcW w:w="3198" w:type="dxa"/>
            <w:tcBorders>
              <w:top w:val="nil"/>
              <w:left w:val="single" w:sz="4" w:space="0" w:color="auto"/>
              <w:bottom w:val="nil"/>
              <w:right w:val="nil"/>
            </w:tcBorders>
            <w:shd w:val="clear" w:color="auto" w:fill="auto"/>
            <w:noWrap/>
            <w:vAlign w:val="bottom"/>
            <w:hideMark/>
          </w:tcPr>
          <w:p w14:paraId="5A623312"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Revenues/GDP per capita</w:t>
            </w:r>
          </w:p>
        </w:tc>
        <w:tc>
          <w:tcPr>
            <w:tcW w:w="1374" w:type="dxa"/>
            <w:tcBorders>
              <w:top w:val="nil"/>
              <w:left w:val="nil"/>
              <w:bottom w:val="nil"/>
              <w:right w:val="nil"/>
            </w:tcBorders>
            <w:shd w:val="clear" w:color="auto" w:fill="auto"/>
            <w:noWrap/>
            <w:vAlign w:val="center"/>
            <w:hideMark/>
          </w:tcPr>
          <w:p w14:paraId="044E14E1"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12.33</w:t>
            </w:r>
          </w:p>
        </w:tc>
        <w:tc>
          <w:tcPr>
            <w:tcW w:w="1374" w:type="dxa"/>
            <w:tcBorders>
              <w:top w:val="nil"/>
              <w:left w:val="nil"/>
              <w:bottom w:val="nil"/>
              <w:right w:val="nil"/>
            </w:tcBorders>
            <w:shd w:val="clear" w:color="auto" w:fill="auto"/>
            <w:noWrap/>
            <w:vAlign w:val="center"/>
            <w:hideMark/>
          </w:tcPr>
          <w:p w14:paraId="4283BF53"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-8.032*</w:t>
            </w:r>
          </w:p>
        </w:tc>
        <w:tc>
          <w:tcPr>
            <w:tcW w:w="1374" w:type="dxa"/>
            <w:tcBorders>
              <w:top w:val="nil"/>
              <w:left w:val="nil"/>
              <w:bottom w:val="nil"/>
              <w:right w:val="single" w:sz="4" w:space="0" w:color="auto"/>
            </w:tcBorders>
            <w:shd w:val="clear" w:color="auto" w:fill="auto"/>
            <w:noWrap/>
            <w:vAlign w:val="center"/>
            <w:hideMark/>
          </w:tcPr>
          <w:p w14:paraId="534FA6D9"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12.53</w:t>
            </w:r>
          </w:p>
        </w:tc>
      </w:tr>
      <w:tr w:rsidR="00283073" w:rsidRPr="00283073" w14:paraId="6679C063" w14:textId="77777777" w:rsidTr="00283073">
        <w:trPr>
          <w:trHeight w:val="260"/>
        </w:trPr>
        <w:tc>
          <w:tcPr>
            <w:tcW w:w="3198" w:type="dxa"/>
            <w:tcBorders>
              <w:top w:val="nil"/>
              <w:left w:val="single" w:sz="4" w:space="0" w:color="auto"/>
              <w:bottom w:val="nil"/>
              <w:right w:val="nil"/>
            </w:tcBorders>
            <w:shd w:val="clear" w:color="auto" w:fill="auto"/>
            <w:noWrap/>
            <w:vAlign w:val="bottom"/>
            <w:hideMark/>
          </w:tcPr>
          <w:p w14:paraId="470EFB45"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 </w:t>
            </w:r>
          </w:p>
        </w:tc>
        <w:tc>
          <w:tcPr>
            <w:tcW w:w="1374" w:type="dxa"/>
            <w:tcBorders>
              <w:top w:val="nil"/>
              <w:left w:val="nil"/>
              <w:bottom w:val="nil"/>
              <w:right w:val="nil"/>
            </w:tcBorders>
            <w:shd w:val="clear" w:color="auto" w:fill="auto"/>
            <w:noWrap/>
            <w:vAlign w:val="center"/>
            <w:hideMark/>
          </w:tcPr>
          <w:p w14:paraId="24CA5BF0"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(1.54)</w:t>
            </w:r>
          </w:p>
        </w:tc>
        <w:tc>
          <w:tcPr>
            <w:tcW w:w="1374" w:type="dxa"/>
            <w:tcBorders>
              <w:top w:val="nil"/>
              <w:left w:val="nil"/>
              <w:bottom w:val="nil"/>
              <w:right w:val="nil"/>
            </w:tcBorders>
            <w:shd w:val="clear" w:color="auto" w:fill="auto"/>
            <w:noWrap/>
            <w:vAlign w:val="center"/>
            <w:hideMark/>
          </w:tcPr>
          <w:p w14:paraId="0235BFD0"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(-1.99)</w:t>
            </w:r>
          </w:p>
        </w:tc>
        <w:tc>
          <w:tcPr>
            <w:tcW w:w="1374" w:type="dxa"/>
            <w:tcBorders>
              <w:top w:val="nil"/>
              <w:left w:val="nil"/>
              <w:bottom w:val="nil"/>
              <w:right w:val="single" w:sz="4" w:space="0" w:color="auto"/>
            </w:tcBorders>
            <w:shd w:val="clear" w:color="auto" w:fill="auto"/>
            <w:noWrap/>
            <w:vAlign w:val="center"/>
            <w:hideMark/>
          </w:tcPr>
          <w:p w14:paraId="630C35D3"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(0.97)</w:t>
            </w:r>
          </w:p>
        </w:tc>
      </w:tr>
      <w:tr w:rsidR="00283073" w:rsidRPr="00283073" w14:paraId="298B8854" w14:textId="77777777" w:rsidTr="00283073">
        <w:trPr>
          <w:trHeight w:val="260"/>
        </w:trPr>
        <w:tc>
          <w:tcPr>
            <w:tcW w:w="3198" w:type="dxa"/>
            <w:tcBorders>
              <w:top w:val="nil"/>
              <w:left w:val="single" w:sz="4" w:space="0" w:color="auto"/>
              <w:bottom w:val="nil"/>
              <w:right w:val="nil"/>
            </w:tcBorders>
            <w:shd w:val="clear" w:color="auto" w:fill="auto"/>
            <w:noWrap/>
            <w:vAlign w:val="bottom"/>
            <w:hideMark/>
          </w:tcPr>
          <w:p w14:paraId="67D6738C"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Revenues/Expenses per capita</w:t>
            </w:r>
          </w:p>
        </w:tc>
        <w:tc>
          <w:tcPr>
            <w:tcW w:w="1374" w:type="dxa"/>
            <w:tcBorders>
              <w:top w:val="nil"/>
              <w:left w:val="nil"/>
              <w:bottom w:val="nil"/>
              <w:right w:val="nil"/>
            </w:tcBorders>
            <w:shd w:val="clear" w:color="auto" w:fill="auto"/>
            <w:noWrap/>
            <w:vAlign w:val="center"/>
            <w:hideMark/>
          </w:tcPr>
          <w:p w14:paraId="291BBD0B"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-20.97***</w:t>
            </w:r>
          </w:p>
        </w:tc>
        <w:tc>
          <w:tcPr>
            <w:tcW w:w="1374" w:type="dxa"/>
            <w:tcBorders>
              <w:top w:val="nil"/>
              <w:left w:val="nil"/>
              <w:bottom w:val="nil"/>
              <w:right w:val="nil"/>
            </w:tcBorders>
            <w:shd w:val="clear" w:color="auto" w:fill="auto"/>
            <w:noWrap/>
            <w:vAlign w:val="center"/>
            <w:hideMark/>
          </w:tcPr>
          <w:p w14:paraId="28301A27"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-1.376**</w:t>
            </w:r>
          </w:p>
        </w:tc>
        <w:tc>
          <w:tcPr>
            <w:tcW w:w="1374" w:type="dxa"/>
            <w:tcBorders>
              <w:top w:val="nil"/>
              <w:left w:val="nil"/>
              <w:bottom w:val="nil"/>
              <w:right w:val="single" w:sz="4" w:space="0" w:color="auto"/>
            </w:tcBorders>
            <w:shd w:val="clear" w:color="auto" w:fill="auto"/>
            <w:noWrap/>
            <w:vAlign w:val="center"/>
            <w:hideMark/>
          </w:tcPr>
          <w:p w14:paraId="586804C3"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-29.6**</w:t>
            </w:r>
          </w:p>
        </w:tc>
      </w:tr>
      <w:tr w:rsidR="00283073" w:rsidRPr="00283073" w14:paraId="3B7D2C08" w14:textId="77777777" w:rsidTr="00283073">
        <w:trPr>
          <w:trHeight w:val="260"/>
        </w:trPr>
        <w:tc>
          <w:tcPr>
            <w:tcW w:w="3198" w:type="dxa"/>
            <w:tcBorders>
              <w:top w:val="nil"/>
              <w:left w:val="single" w:sz="4" w:space="0" w:color="auto"/>
              <w:bottom w:val="nil"/>
              <w:right w:val="nil"/>
            </w:tcBorders>
            <w:shd w:val="clear" w:color="auto" w:fill="auto"/>
            <w:noWrap/>
            <w:vAlign w:val="bottom"/>
            <w:hideMark/>
          </w:tcPr>
          <w:p w14:paraId="68F9D009"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 </w:t>
            </w:r>
          </w:p>
        </w:tc>
        <w:tc>
          <w:tcPr>
            <w:tcW w:w="1374" w:type="dxa"/>
            <w:tcBorders>
              <w:top w:val="nil"/>
              <w:left w:val="nil"/>
              <w:bottom w:val="nil"/>
              <w:right w:val="nil"/>
            </w:tcBorders>
            <w:shd w:val="clear" w:color="auto" w:fill="auto"/>
            <w:noWrap/>
            <w:vAlign w:val="center"/>
            <w:hideMark/>
          </w:tcPr>
          <w:p w14:paraId="52AEDB16"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(-3.36)</w:t>
            </w:r>
          </w:p>
        </w:tc>
        <w:tc>
          <w:tcPr>
            <w:tcW w:w="1374" w:type="dxa"/>
            <w:tcBorders>
              <w:top w:val="nil"/>
              <w:left w:val="nil"/>
              <w:bottom w:val="nil"/>
              <w:right w:val="nil"/>
            </w:tcBorders>
            <w:shd w:val="clear" w:color="auto" w:fill="auto"/>
            <w:noWrap/>
            <w:vAlign w:val="center"/>
            <w:hideMark/>
          </w:tcPr>
          <w:p w14:paraId="1917B176"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(-0.82)</w:t>
            </w:r>
          </w:p>
        </w:tc>
        <w:tc>
          <w:tcPr>
            <w:tcW w:w="1374" w:type="dxa"/>
            <w:tcBorders>
              <w:top w:val="nil"/>
              <w:left w:val="nil"/>
              <w:bottom w:val="nil"/>
              <w:right w:val="single" w:sz="4" w:space="0" w:color="auto"/>
            </w:tcBorders>
            <w:shd w:val="clear" w:color="auto" w:fill="auto"/>
            <w:noWrap/>
            <w:vAlign w:val="center"/>
            <w:hideMark/>
          </w:tcPr>
          <w:p w14:paraId="3CFFC6DF"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(-3.06)</w:t>
            </w:r>
          </w:p>
        </w:tc>
      </w:tr>
      <w:tr w:rsidR="00283073" w:rsidRPr="00283073" w14:paraId="0F713836" w14:textId="77777777" w:rsidTr="00283073">
        <w:trPr>
          <w:trHeight w:val="260"/>
        </w:trPr>
        <w:tc>
          <w:tcPr>
            <w:tcW w:w="3198" w:type="dxa"/>
            <w:tcBorders>
              <w:top w:val="nil"/>
              <w:left w:val="single" w:sz="4" w:space="0" w:color="auto"/>
              <w:bottom w:val="nil"/>
              <w:right w:val="nil"/>
            </w:tcBorders>
            <w:shd w:val="clear" w:color="auto" w:fill="auto"/>
            <w:noWrap/>
            <w:vAlign w:val="bottom"/>
            <w:hideMark/>
          </w:tcPr>
          <w:p w14:paraId="4C0F12A3"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Tax revenues / Tot. Rev. per capita</w:t>
            </w:r>
          </w:p>
        </w:tc>
        <w:tc>
          <w:tcPr>
            <w:tcW w:w="1374" w:type="dxa"/>
            <w:tcBorders>
              <w:top w:val="nil"/>
              <w:left w:val="nil"/>
              <w:bottom w:val="nil"/>
              <w:right w:val="nil"/>
            </w:tcBorders>
            <w:shd w:val="clear" w:color="auto" w:fill="auto"/>
            <w:noWrap/>
            <w:vAlign w:val="center"/>
            <w:hideMark/>
          </w:tcPr>
          <w:p w14:paraId="794AC7FC"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-5.096**</w:t>
            </w:r>
          </w:p>
        </w:tc>
        <w:tc>
          <w:tcPr>
            <w:tcW w:w="1374" w:type="dxa"/>
            <w:tcBorders>
              <w:top w:val="nil"/>
              <w:left w:val="nil"/>
              <w:bottom w:val="nil"/>
              <w:right w:val="nil"/>
            </w:tcBorders>
            <w:shd w:val="clear" w:color="auto" w:fill="auto"/>
            <w:noWrap/>
            <w:vAlign w:val="center"/>
            <w:hideMark/>
          </w:tcPr>
          <w:p w14:paraId="44E70768"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3.967*</w:t>
            </w:r>
          </w:p>
        </w:tc>
        <w:tc>
          <w:tcPr>
            <w:tcW w:w="1374" w:type="dxa"/>
            <w:tcBorders>
              <w:top w:val="nil"/>
              <w:left w:val="nil"/>
              <w:bottom w:val="nil"/>
              <w:right w:val="single" w:sz="4" w:space="0" w:color="auto"/>
            </w:tcBorders>
            <w:shd w:val="clear" w:color="auto" w:fill="auto"/>
            <w:noWrap/>
            <w:vAlign w:val="center"/>
            <w:hideMark/>
          </w:tcPr>
          <w:p w14:paraId="6E13FA2B"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-5.67**</w:t>
            </w:r>
          </w:p>
        </w:tc>
      </w:tr>
      <w:tr w:rsidR="00283073" w:rsidRPr="00283073" w14:paraId="2D8630D9" w14:textId="77777777" w:rsidTr="00283073">
        <w:trPr>
          <w:trHeight w:val="260"/>
        </w:trPr>
        <w:tc>
          <w:tcPr>
            <w:tcW w:w="3198" w:type="dxa"/>
            <w:tcBorders>
              <w:top w:val="nil"/>
              <w:left w:val="single" w:sz="4" w:space="0" w:color="auto"/>
              <w:bottom w:val="nil"/>
              <w:right w:val="nil"/>
            </w:tcBorders>
            <w:shd w:val="clear" w:color="auto" w:fill="auto"/>
            <w:noWrap/>
            <w:vAlign w:val="bottom"/>
            <w:hideMark/>
          </w:tcPr>
          <w:p w14:paraId="05863B60"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 </w:t>
            </w:r>
          </w:p>
        </w:tc>
        <w:tc>
          <w:tcPr>
            <w:tcW w:w="1374" w:type="dxa"/>
            <w:tcBorders>
              <w:top w:val="nil"/>
              <w:left w:val="nil"/>
              <w:bottom w:val="nil"/>
              <w:right w:val="nil"/>
            </w:tcBorders>
            <w:shd w:val="clear" w:color="auto" w:fill="auto"/>
            <w:noWrap/>
            <w:vAlign w:val="center"/>
            <w:hideMark/>
          </w:tcPr>
          <w:p w14:paraId="09A0777E"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(-2.89)</w:t>
            </w:r>
          </w:p>
        </w:tc>
        <w:tc>
          <w:tcPr>
            <w:tcW w:w="1374" w:type="dxa"/>
            <w:tcBorders>
              <w:top w:val="nil"/>
              <w:left w:val="nil"/>
              <w:bottom w:val="nil"/>
              <w:right w:val="nil"/>
            </w:tcBorders>
            <w:shd w:val="clear" w:color="auto" w:fill="auto"/>
            <w:noWrap/>
            <w:vAlign w:val="center"/>
            <w:hideMark/>
          </w:tcPr>
          <w:p w14:paraId="6C14D74A"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(2.02)</w:t>
            </w:r>
          </w:p>
        </w:tc>
        <w:tc>
          <w:tcPr>
            <w:tcW w:w="1374" w:type="dxa"/>
            <w:tcBorders>
              <w:top w:val="nil"/>
              <w:left w:val="nil"/>
              <w:bottom w:val="nil"/>
              <w:right w:val="single" w:sz="4" w:space="0" w:color="auto"/>
            </w:tcBorders>
            <w:shd w:val="clear" w:color="auto" w:fill="auto"/>
            <w:noWrap/>
            <w:vAlign w:val="center"/>
            <w:hideMark/>
          </w:tcPr>
          <w:p w14:paraId="76942CC3"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(-3.19)</w:t>
            </w:r>
          </w:p>
        </w:tc>
      </w:tr>
      <w:tr w:rsidR="00283073" w:rsidRPr="00283073" w14:paraId="1A4B58CD" w14:textId="77777777" w:rsidTr="00283073">
        <w:trPr>
          <w:trHeight w:val="260"/>
        </w:trPr>
        <w:tc>
          <w:tcPr>
            <w:tcW w:w="3198" w:type="dxa"/>
            <w:tcBorders>
              <w:top w:val="nil"/>
              <w:left w:val="single" w:sz="4" w:space="0" w:color="auto"/>
              <w:bottom w:val="nil"/>
              <w:right w:val="nil"/>
            </w:tcBorders>
            <w:shd w:val="clear" w:color="auto" w:fill="auto"/>
            <w:noWrap/>
            <w:vAlign w:val="bottom"/>
            <w:hideMark/>
          </w:tcPr>
          <w:p w14:paraId="100CBFFD"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Ideology</w:t>
            </w:r>
          </w:p>
        </w:tc>
        <w:tc>
          <w:tcPr>
            <w:tcW w:w="1374" w:type="dxa"/>
            <w:tcBorders>
              <w:top w:val="nil"/>
              <w:left w:val="nil"/>
              <w:bottom w:val="nil"/>
              <w:right w:val="nil"/>
            </w:tcBorders>
            <w:shd w:val="clear" w:color="auto" w:fill="auto"/>
            <w:noWrap/>
            <w:vAlign w:val="center"/>
            <w:hideMark/>
          </w:tcPr>
          <w:p w14:paraId="542E0781"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-0.0632**</w:t>
            </w:r>
          </w:p>
        </w:tc>
        <w:tc>
          <w:tcPr>
            <w:tcW w:w="1374" w:type="dxa"/>
            <w:tcBorders>
              <w:top w:val="nil"/>
              <w:left w:val="nil"/>
              <w:bottom w:val="nil"/>
              <w:right w:val="nil"/>
            </w:tcBorders>
            <w:shd w:val="clear" w:color="auto" w:fill="auto"/>
            <w:noWrap/>
            <w:vAlign w:val="center"/>
            <w:hideMark/>
          </w:tcPr>
          <w:p w14:paraId="04E2BB5B"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-0.014</w:t>
            </w:r>
          </w:p>
        </w:tc>
        <w:tc>
          <w:tcPr>
            <w:tcW w:w="1374" w:type="dxa"/>
            <w:tcBorders>
              <w:top w:val="nil"/>
              <w:left w:val="nil"/>
              <w:bottom w:val="nil"/>
              <w:right w:val="single" w:sz="4" w:space="0" w:color="auto"/>
            </w:tcBorders>
            <w:shd w:val="clear" w:color="auto" w:fill="auto"/>
            <w:noWrap/>
            <w:vAlign w:val="center"/>
            <w:hideMark/>
          </w:tcPr>
          <w:p w14:paraId="093A3D39"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-0.063**</w:t>
            </w:r>
          </w:p>
        </w:tc>
      </w:tr>
      <w:tr w:rsidR="00283073" w:rsidRPr="00283073" w14:paraId="5930D17B" w14:textId="77777777" w:rsidTr="00283073">
        <w:trPr>
          <w:trHeight w:val="260"/>
        </w:trPr>
        <w:tc>
          <w:tcPr>
            <w:tcW w:w="3198" w:type="dxa"/>
            <w:tcBorders>
              <w:top w:val="nil"/>
              <w:left w:val="single" w:sz="4" w:space="0" w:color="auto"/>
              <w:bottom w:val="nil"/>
              <w:right w:val="nil"/>
            </w:tcBorders>
            <w:shd w:val="clear" w:color="auto" w:fill="auto"/>
            <w:noWrap/>
            <w:vAlign w:val="bottom"/>
            <w:hideMark/>
          </w:tcPr>
          <w:p w14:paraId="579A6093"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 </w:t>
            </w:r>
          </w:p>
        </w:tc>
        <w:tc>
          <w:tcPr>
            <w:tcW w:w="1374" w:type="dxa"/>
            <w:tcBorders>
              <w:top w:val="nil"/>
              <w:left w:val="nil"/>
              <w:bottom w:val="nil"/>
              <w:right w:val="nil"/>
            </w:tcBorders>
            <w:shd w:val="clear" w:color="auto" w:fill="auto"/>
            <w:noWrap/>
            <w:vAlign w:val="center"/>
            <w:hideMark/>
          </w:tcPr>
          <w:p w14:paraId="5877D8C5"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(-2.88)</w:t>
            </w:r>
          </w:p>
        </w:tc>
        <w:tc>
          <w:tcPr>
            <w:tcW w:w="1374" w:type="dxa"/>
            <w:tcBorders>
              <w:top w:val="nil"/>
              <w:left w:val="nil"/>
              <w:bottom w:val="nil"/>
              <w:right w:val="nil"/>
            </w:tcBorders>
            <w:shd w:val="clear" w:color="auto" w:fill="auto"/>
            <w:noWrap/>
            <w:vAlign w:val="center"/>
            <w:hideMark/>
          </w:tcPr>
          <w:p w14:paraId="08C3D097"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(-1.07)</w:t>
            </w:r>
          </w:p>
        </w:tc>
        <w:tc>
          <w:tcPr>
            <w:tcW w:w="1374" w:type="dxa"/>
            <w:tcBorders>
              <w:top w:val="nil"/>
              <w:left w:val="nil"/>
              <w:bottom w:val="nil"/>
              <w:right w:val="single" w:sz="4" w:space="0" w:color="auto"/>
            </w:tcBorders>
            <w:shd w:val="clear" w:color="auto" w:fill="auto"/>
            <w:noWrap/>
            <w:vAlign w:val="center"/>
            <w:hideMark/>
          </w:tcPr>
          <w:p w14:paraId="5B25EE38"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(-2.89)</w:t>
            </w:r>
          </w:p>
        </w:tc>
      </w:tr>
      <w:tr w:rsidR="00283073" w:rsidRPr="00283073" w14:paraId="2EE778F0" w14:textId="77777777" w:rsidTr="00283073">
        <w:trPr>
          <w:trHeight w:val="260"/>
        </w:trPr>
        <w:tc>
          <w:tcPr>
            <w:tcW w:w="3198" w:type="dxa"/>
            <w:tcBorders>
              <w:top w:val="nil"/>
              <w:left w:val="single" w:sz="4" w:space="0" w:color="auto"/>
              <w:bottom w:val="nil"/>
              <w:right w:val="nil"/>
            </w:tcBorders>
            <w:shd w:val="clear" w:color="auto" w:fill="auto"/>
            <w:noWrap/>
            <w:vAlign w:val="bottom"/>
            <w:hideMark/>
          </w:tcPr>
          <w:p w14:paraId="40E12E2E"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Transfer per capita</w:t>
            </w:r>
          </w:p>
        </w:tc>
        <w:tc>
          <w:tcPr>
            <w:tcW w:w="1374" w:type="dxa"/>
            <w:tcBorders>
              <w:top w:val="nil"/>
              <w:left w:val="nil"/>
              <w:bottom w:val="nil"/>
              <w:right w:val="nil"/>
            </w:tcBorders>
            <w:shd w:val="clear" w:color="auto" w:fill="auto"/>
            <w:noWrap/>
            <w:vAlign w:val="center"/>
            <w:hideMark/>
          </w:tcPr>
          <w:p w14:paraId="19B57407"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0.051</w:t>
            </w:r>
          </w:p>
        </w:tc>
        <w:tc>
          <w:tcPr>
            <w:tcW w:w="1374" w:type="dxa"/>
            <w:tcBorders>
              <w:top w:val="nil"/>
              <w:left w:val="nil"/>
              <w:bottom w:val="nil"/>
              <w:right w:val="nil"/>
            </w:tcBorders>
            <w:shd w:val="clear" w:color="auto" w:fill="auto"/>
            <w:noWrap/>
            <w:vAlign w:val="center"/>
            <w:hideMark/>
          </w:tcPr>
          <w:p w14:paraId="6130F7CC"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-0.166</w:t>
            </w:r>
          </w:p>
        </w:tc>
        <w:tc>
          <w:tcPr>
            <w:tcW w:w="1374" w:type="dxa"/>
            <w:tcBorders>
              <w:top w:val="nil"/>
              <w:left w:val="nil"/>
              <w:bottom w:val="nil"/>
              <w:right w:val="single" w:sz="4" w:space="0" w:color="auto"/>
            </w:tcBorders>
            <w:shd w:val="clear" w:color="auto" w:fill="auto"/>
            <w:noWrap/>
            <w:vAlign w:val="center"/>
            <w:hideMark/>
          </w:tcPr>
          <w:p w14:paraId="2E9F4359"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0.977</w:t>
            </w:r>
          </w:p>
        </w:tc>
      </w:tr>
      <w:tr w:rsidR="00283073" w:rsidRPr="00283073" w14:paraId="22B56C9A" w14:textId="77777777" w:rsidTr="00283073">
        <w:trPr>
          <w:trHeight w:val="260"/>
        </w:trPr>
        <w:tc>
          <w:tcPr>
            <w:tcW w:w="3198" w:type="dxa"/>
            <w:tcBorders>
              <w:top w:val="nil"/>
              <w:left w:val="single" w:sz="4" w:space="0" w:color="auto"/>
              <w:bottom w:val="nil"/>
              <w:right w:val="nil"/>
            </w:tcBorders>
            <w:shd w:val="clear" w:color="auto" w:fill="auto"/>
            <w:noWrap/>
            <w:vAlign w:val="bottom"/>
            <w:hideMark/>
          </w:tcPr>
          <w:p w14:paraId="01174D3B"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 </w:t>
            </w:r>
          </w:p>
        </w:tc>
        <w:tc>
          <w:tcPr>
            <w:tcW w:w="1374" w:type="dxa"/>
            <w:tcBorders>
              <w:top w:val="nil"/>
              <w:left w:val="nil"/>
              <w:bottom w:val="nil"/>
              <w:right w:val="nil"/>
            </w:tcBorders>
            <w:shd w:val="clear" w:color="auto" w:fill="auto"/>
            <w:noWrap/>
            <w:vAlign w:val="center"/>
            <w:hideMark/>
          </w:tcPr>
          <w:p w14:paraId="75FA9331"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(0.13)</w:t>
            </w:r>
          </w:p>
        </w:tc>
        <w:tc>
          <w:tcPr>
            <w:tcW w:w="1374" w:type="dxa"/>
            <w:tcBorders>
              <w:top w:val="nil"/>
              <w:left w:val="nil"/>
              <w:bottom w:val="nil"/>
              <w:right w:val="nil"/>
            </w:tcBorders>
            <w:shd w:val="clear" w:color="auto" w:fill="auto"/>
            <w:noWrap/>
            <w:vAlign w:val="center"/>
            <w:hideMark/>
          </w:tcPr>
          <w:p w14:paraId="28EDB8F0"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(-1.85)</w:t>
            </w:r>
          </w:p>
        </w:tc>
        <w:tc>
          <w:tcPr>
            <w:tcW w:w="1374" w:type="dxa"/>
            <w:tcBorders>
              <w:top w:val="nil"/>
              <w:left w:val="nil"/>
              <w:bottom w:val="nil"/>
              <w:right w:val="single" w:sz="4" w:space="0" w:color="auto"/>
            </w:tcBorders>
            <w:shd w:val="clear" w:color="auto" w:fill="auto"/>
            <w:noWrap/>
            <w:vAlign w:val="center"/>
            <w:hideMark/>
          </w:tcPr>
          <w:p w14:paraId="42DC910D"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(0.88)</w:t>
            </w:r>
          </w:p>
        </w:tc>
      </w:tr>
      <w:tr w:rsidR="00283073" w:rsidRPr="00283073" w14:paraId="07680882" w14:textId="77777777" w:rsidTr="00283073">
        <w:trPr>
          <w:trHeight w:val="260"/>
        </w:trPr>
        <w:tc>
          <w:tcPr>
            <w:tcW w:w="3198" w:type="dxa"/>
            <w:tcBorders>
              <w:top w:val="nil"/>
              <w:left w:val="single" w:sz="4" w:space="0" w:color="auto"/>
              <w:bottom w:val="nil"/>
              <w:right w:val="nil"/>
            </w:tcBorders>
            <w:shd w:val="clear" w:color="auto" w:fill="auto"/>
            <w:noWrap/>
            <w:vAlign w:val="bottom"/>
            <w:hideMark/>
          </w:tcPr>
          <w:p w14:paraId="2514115C"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Constant</w:t>
            </w:r>
          </w:p>
        </w:tc>
        <w:tc>
          <w:tcPr>
            <w:tcW w:w="1374" w:type="dxa"/>
            <w:tcBorders>
              <w:top w:val="nil"/>
              <w:left w:val="nil"/>
              <w:bottom w:val="nil"/>
              <w:right w:val="nil"/>
            </w:tcBorders>
            <w:shd w:val="clear" w:color="auto" w:fill="auto"/>
            <w:noWrap/>
            <w:vAlign w:val="center"/>
            <w:hideMark/>
          </w:tcPr>
          <w:p w14:paraId="0DEABFDB"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25.56**</w:t>
            </w:r>
          </w:p>
        </w:tc>
        <w:tc>
          <w:tcPr>
            <w:tcW w:w="1374" w:type="dxa"/>
            <w:tcBorders>
              <w:top w:val="nil"/>
              <w:left w:val="nil"/>
              <w:bottom w:val="nil"/>
              <w:right w:val="nil"/>
            </w:tcBorders>
            <w:shd w:val="clear" w:color="auto" w:fill="auto"/>
            <w:noWrap/>
            <w:vAlign w:val="center"/>
            <w:hideMark/>
          </w:tcPr>
          <w:p w14:paraId="01CEE857"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8.306*</w:t>
            </w:r>
          </w:p>
        </w:tc>
        <w:tc>
          <w:tcPr>
            <w:tcW w:w="1374" w:type="dxa"/>
            <w:tcBorders>
              <w:top w:val="nil"/>
              <w:left w:val="nil"/>
              <w:bottom w:val="nil"/>
              <w:right w:val="single" w:sz="4" w:space="0" w:color="auto"/>
            </w:tcBorders>
            <w:shd w:val="clear" w:color="auto" w:fill="auto"/>
            <w:noWrap/>
            <w:vAlign w:val="center"/>
            <w:hideMark/>
          </w:tcPr>
          <w:p w14:paraId="79B3F26C"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28.18**</w:t>
            </w:r>
          </w:p>
        </w:tc>
      </w:tr>
      <w:tr w:rsidR="00283073" w:rsidRPr="00283073" w14:paraId="6E24F71E" w14:textId="77777777" w:rsidTr="00283073">
        <w:trPr>
          <w:trHeight w:val="260"/>
        </w:trPr>
        <w:tc>
          <w:tcPr>
            <w:tcW w:w="3198" w:type="dxa"/>
            <w:tcBorders>
              <w:top w:val="nil"/>
              <w:left w:val="single" w:sz="4" w:space="0" w:color="auto"/>
              <w:bottom w:val="nil"/>
              <w:right w:val="nil"/>
            </w:tcBorders>
            <w:shd w:val="clear" w:color="auto" w:fill="auto"/>
            <w:noWrap/>
            <w:vAlign w:val="bottom"/>
            <w:hideMark/>
          </w:tcPr>
          <w:p w14:paraId="3D1B2397"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 </w:t>
            </w:r>
          </w:p>
        </w:tc>
        <w:tc>
          <w:tcPr>
            <w:tcW w:w="1374" w:type="dxa"/>
            <w:tcBorders>
              <w:top w:val="nil"/>
              <w:left w:val="nil"/>
              <w:bottom w:val="nil"/>
              <w:right w:val="nil"/>
            </w:tcBorders>
            <w:shd w:val="clear" w:color="auto" w:fill="auto"/>
            <w:noWrap/>
            <w:vAlign w:val="center"/>
            <w:hideMark/>
          </w:tcPr>
          <w:p w14:paraId="553132D1"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(2.99)</w:t>
            </w:r>
          </w:p>
        </w:tc>
        <w:tc>
          <w:tcPr>
            <w:tcW w:w="1374" w:type="dxa"/>
            <w:tcBorders>
              <w:top w:val="nil"/>
              <w:left w:val="nil"/>
              <w:bottom w:val="nil"/>
              <w:right w:val="nil"/>
            </w:tcBorders>
            <w:shd w:val="clear" w:color="auto" w:fill="auto"/>
            <w:noWrap/>
            <w:vAlign w:val="center"/>
            <w:hideMark/>
          </w:tcPr>
          <w:p w14:paraId="5B776965"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(2.22)</w:t>
            </w:r>
          </w:p>
        </w:tc>
        <w:tc>
          <w:tcPr>
            <w:tcW w:w="1374" w:type="dxa"/>
            <w:tcBorders>
              <w:top w:val="nil"/>
              <w:left w:val="nil"/>
              <w:bottom w:val="nil"/>
              <w:right w:val="single" w:sz="4" w:space="0" w:color="auto"/>
            </w:tcBorders>
            <w:shd w:val="clear" w:color="auto" w:fill="auto"/>
            <w:noWrap/>
            <w:vAlign w:val="center"/>
            <w:hideMark/>
          </w:tcPr>
          <w:p w14:paraId="0F132FFF"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(2.82)</w:t>
            </w:r>
          </w:p>
        </w:tc>
      </w:tr>
      <w:tr w:rsidR="00283073" w:rsidRPr="00283073" w14:paraId="4CD54CBE" w14:textId="77777777" w:rsidTr="00283073">
        <w:trPr>
          <w:trHeight w:val="260"/>
        </w:trPr>
        <w:tc>
          <w:tcPr>
            <w:tcW w:w="3198" w:type="dxa"/>
            <w:tcBorders>
              <w:top w:val="nil"/>
              <w:left w:val="single" w:sz="4" w:space="0" w:color="auto"/>
              <w:bottom w:val="single" w:sz="4" w:space="0" w:color="auto"/>
              <w:right w:val="nil"/>
            </w:tcBorders>
            <w:shd w:val="clear" w:color="auto" w:fill="auto"/>
            <w:noWrap/>
            <w:vAlign w:val="bottom"/>
            <w:hideMark/>
          </w:tcPr>
          <w:p w14:paraId="1B291D8E" w14:textId="77777777" w:rsidR="00283073" w:rsidRPr="00283073" w:rsidRDefault="00283073" w:rsidP="00283073">
            <w:pP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Obs.</w:t>
            </w:r>
          </w:p>
        </w:tc>
        <w:tc>
          <w:tcPr>
            <w:tcW w:w="1374" w:type="dxa"/>
            <w:tcBorders>
              <w:top w:val="nil"/>
              <w:left w:val="nil"/>
              <w:bottom w:val="single" w:sz="4" w:space="0" w:color="auto"/>
              <w:right w:val="nil"/>
            </w:tcBorders>
            <w:shd w:val="clear" w:color="auto" w:fill="auto"/>
            <w:noWrap/>
            <w:vAlign w:val="center"/>
            <w:hideMark/>
          </w:tcPr>
          <w:p w14:paraId="135F9A8B"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650</w:t>
            </w:r>
          </w:p>
        </w:tc>
        <w:tc>
          <w:tcPr>
            <w:tcW w:w="1374" w:type="dxa"/>
            <w:tcBorders>
              <w:top w:val="nil"/>
              <w:left w:val="nil"/>
              <w:bottom w:val="single" w:sz="4" w:space="0" w:color="auto"/>
              <w:right w:val="nil"/>
            </w:tcBorders>
            <w:shd w:val="clear" w:color="auto" w:fill="auto"/>
            <w:noWrap/>
            <w:vAlign w:val="center"/>
            <w:hideMark/>
          </w:tcPr>
          <w:p w14:paraId="55B884B0"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150</w:t>
            </w:r>
          </w:p>
        </w:tc>
        <w:tc>
          <w:tcPr>
            <w:tcW w:w="1374" w:type="dxa"/>
            <w:tcBorders>
              <w:top w:val="nil"/>
              <w:left w:val="nil"/>
              <w:bottom w:val="single" w:sz="4" w:space="0" w:color="auto"/>
              <w:right w:val="single" w:sz="4" w:space="0" w:color="auto"/>
            </w:tcBorders>
            <w:shd w:val="clear" w:color="auto" w:fill="auto"/>
            <w:noWrap/>
            <w:vAlign w:val="center"/>
            <w:hideMark/>
          </w:tcPr>
          <w:p w14:paraId="22C724A3" w14:textId="77777777" w:rsidR="00283073" w:rsidRPr="00283073" w:rsidRDefault="00283073" w:rsidP="00283073">
            <w:pPr>
              <w:jc w:val="center"/>
              <w:rPr>
                <w:rFonts w:ascii="Times New Roman" w:eastAsia="Times New Roman" w:hAnsi="Times New Roman" w:cs="Times New Roman"/>
                <w:color w:val="000000"/>
                <w:sz w:val="20"/>
                <w:szCs w:val="20"/>
                <w:lang w:eastAsia="it-IT"/>
              </w:rPr>
            </w:pPr>
            <w:r w:rsidRPr="00283073">
              <w:rPr>
                <w:rFonts w:ascii="Times New Roman" w:eastAsia="Times New Roman" w:hAnsi="Times New Roman" w:cs="Times New Roman"/>
                <w:color w:val="000000"/>
                <w:sz w:val="20"/>
                <w:szCs w:val="20"/>
                <w:lang w:eastAsia="it-IT"/>
              </w:rPr>
              <w:t>500</w:t>
            </w:r>
          </w:p>
        </w:tc>
      </w:tr>
      <w:tr w:rsidR="00283073" w:rsidRPr="00283073" w14:paraId="1C7B5FC0" w14:textId="77777777" w:rsidTr="00283073">
        <w:trPr>
          <w:trHeight w:val="260"/>
        </w:trPr>
        <w:tc>
          <w:tcPr>
            <w:tcW w:w="7320" w:type="dxa"/>
            <w:gridSpan w:val="4"/>
            <w:tcBorders>
              <w:top w:val="nil"/>
              <w:left w:val="nil"/>
              <w:bottom w:val="nil"/>
              <w:right w:val="nil"/>
            </w:tcBorders>
            <w:shd w:val="clear" w:color="auto" w:fill="auto"/>
            <w:noWrap/>
            <w:vAlign w:val="bottom"/>
            <w:hideMark/>
          </w:tcPr>
          <w:p w14:paraId="2DEDF276" w14:textId="77777777" w:rsidR="00283073" w:rsidRPr="00283073" w:rsidRDefault="00283073" w:rsidP="00283073">
            <w:pPr>
              <w:rPr>
                <w:rFonts w:ascii="Times New Roman" w:eastAsia="Times New Roman" w:hAnsi="Times New Roman" w:cs="Times New Roman"/>
                <w:i/>
                <w:iCs/>
                <w:color w:val="000000"/>
                <w:sz w:val="20"/>
                <w:szCs w:val="20"/>
                <w:lang w:eastAsia="it-IT"/>
              </w:rPr>
            </w:pPr>
            <w:r w:rsidRPr="00283073">
              <w:rPr>
                <w:rFonts w:ascii="Times New Roman" w:eastAsia="Times New Roman" w:hAnsi="Times New Roman" w:cs="Times New Roman"/>
                <w:i/>
                <w:iCs/>
                <w:color w:val="000000"/>
                <w:sz w:val="20"/>
                <w:szCs w:val="20"/>
                <w:lang w:eastAsia="it-IT"/>
              </w:rPr>
              <w:t xml:space="preserve">Note: t stat in parenthesis; *, **, *** is significant at 10%, 5% and 1% respectively. </w:t>
            </w:r>
          </w:p>
        </w:tc>
      </w:tr>
    </w:tbl>
    <w:p w14:paraId="564D836B" w14:textId="5D2B4D17" w:rsidR="007216F4" w:rsidRPr="008B2D7F" w:rsidRDefault="007216F4" w:rsidP="007216F4">
      <w:pPr>
        <w:rPr>
          <w:rFonts w:ascii="Times New Roman" w:hAnsi="Times New Roman" w:cs="Times New Roman"/>
        </w:rPr>
      </w:pPr>
      <w:r w:rsidRPr="008B2D7F">
        <w:rPr>
          <w:rFonts w:ascii="Times New Roman" w:hAnsi="Times New Roman" w:cs="Times New Roman"/>
        </w:rPr>
        <w:t>Source: Author</w:t>
      </w:r>
      <w:r w:rsidR="008B2D7F" w:rsidRPr="008B2D7F">
        <w:rPr>
          <w:rFonts w:ascii="Times New Roman" w:hAnsi="Times New Roman" w:cs="Times New Roman"/>
        </w:rPr>
        <w:t>s</w:t>
      </w:r>
      <w:r w:rsidRPr="008B2D7F">
        <w:rPr>
          <w:rFonts w:ascii="Times New Roman" w:hAnsi="Times New Roman" w:cs="Times New Roman"/>
        </w:rPr>
        <w:t>’ elaboration</w:t>
      </w:r>
    </w:p>
    <w:p w14:paraId="37BF39C3" w14:textId="77777777" w:rsidR="00283073" w:rsidRPr="00283073" w:rsidRDefault="00283073" w:rsidP="00283073">
      <w:pPr>
        <w:pStyle w:val="Paragrafoelenco"/>
        <w:spacing w:line="360" w:lineRule="auto"/>
        <w:ind w:left="0"/>
        <w:rPr>
          <w:rFonts w:ascii="Times New Roman" w:hAnsi="Times New Roman" w:cs="Times New Roman"/>
          <w:color w:val="000000" w:themeColor="text1"/>
          <w:lang w:val="en-GB"/>
        </w:rPr>
      </w:pPr>
    </w:p>
    <w:sectPr w:rsidR="00283073" w:rsidRPr="0028307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073"/>
    <w:rsid w:val="0008610D"/>
    <w:rsid w:val="00283073"/>
    <w:rsid w:val="007216F4"/>
    <w:rsid w:val="007A3496"/>
    <w:rsid w:val="007C6938"/>
    <w:rsid w:val="008B2D7F"/>
    <w:rsid w:val="009940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74B788E"/>
  <w15:chartTrackingRefBased/>
  <w15:docId w15:val="{A3DB1A90-89D8-AA47-A6C4-A52EE5046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83073"/>
    <w:pPr>
      <w:spacing w:after="0" w:line="240" w:lineRule="auto"/>
    </w:pPr>
    <w:rPr>
      <w:kern w:val="0"/>
      <w14:ligatures w14:val="none"/>
    </w:rPr>
  </w:style>
  <w:style w:type="paragraph" w:styleId="Titolo1">
    <w:name w:val="heading 1"/>
    <w:basedOn w:val="Normale"/>
    <w:next w:val="Normale"/>
    <w:link w:val="Titolo1Carattere"/>
    <w:uiPriority w:val="9"/>
    <w:qFormat/>
    <w:rsid w:val="0028307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itolo2">
    <w:name w:val="heading 2"/>
    <w:basedOn w:val="Normale"/>
    <w:next w:val="Normale"/>
    <w:link w:val="Titolo2Carattere"/>
    <w:uiPriority w:val="9"/>
    <w:semiHidden/>
    <w:unhideWhenUsed/>
    <w:qFormat/>
    <w:rsid w:val="0028307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itolo3">
    <w:name w:val="heading 3"/>
    <w:basedOn w:val="Normale"/>
    <w:next w:val="Normale"/>
    <w:link w:val="Titolo3Carattere"/>
    <w:uiPriority w:val="9"/>
    <w:semiHidden/>
    <w:unhideWhenUsed/>
    <w:qFormat/>
    <w:rsid w:val="00283073"/>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283073"/>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Titolo5">
    <w:name w:val="heading 5"/>
    <w:basedOn w:val="Normale"/>
    <w:next w:val="Normale"/>
    <w:link w:val="Titolo5Carattere"/>
    <w:uiPriority w:val="9"/>
    <w:semiHidden/>
    <w:unhideWhenUsed/>
    <w:qFormat/>
    <w:rsid w:val="00283073"/>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Titolo6">
    <w:name w:val="heading 6"/>
    <w:basedOn w:val="Normale"/>
    <w:next w:val="Normale"/>
    <w:link w:val="Titolo6Carattere"/>
    <w:uiPriority w:val="9"/>
    <w:semiHidden/>
    <w:unhideWhenUsed/>
    <w:qFormat/>
    <w:rsid w:val="00283073"/>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Titolo7">
    <w:name w:val="heading 7"/>
    <w:basedOn w:val="Normale"/>
    <w:next w:val="Normale"/>
    <w:link w:val="Titolo7Carattere"/>
    <w:uiPriority w:val="9"/>
    <w:semiHidden/>
    <w:unhideWhenUsed/>
    <w:qFormat/>
    <w:rsid w:val="00283073"/>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Titolo8">
    <w:name w:val="heading 8"/>
    <w:basedOn w:val="Normale"/>
    <w:next w:val="Normale"/>
    <w:link w:val="Titolo8Carattere"/>
    <w:uiPriority w:val="9"/>
    <w:semiHidden/>
    <w:unhideWhenUsed/>
    <w:qFormat/>
    <w:rsid w:val="00283073"/>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Titolo9">
    <w:name w:val="heading 9"/>
    <w:basedOn w:val="Normale"/>
    <w:next w:val="Normale"/>
    <w:link w:val="Titolo9Carattere"/>
    <w:uiPriority w:val="9"/>
    <w:semiHidden/>
    <w:unhideWhenUsed/>
    <w:qFormat/>
    <w:rsid w:val="00283073"/>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8307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8307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8307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8307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8307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8307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8307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8307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83073"/>
    <w:rPr>
      <w:rFonts w:eastAsiaTheme="majorEastAsia" w:cstheme="majorBidi"/>
      <w:color w:val="272727" w:themeColor="text1" w:themeTint="D8"/>
    </w:rPr>
  </w:style>
  <w:style w:type="paragraph" w:styleId="Titolo">
    <w:name w:val="Title"/>
    <w:basedOn w:val="Normale"/>
    <w:next w:val="Normale"/>
    <w:link w:val="TitoloCarattere"/>
    <w:uiPriority w:val="10"/>
    <w:qFormat/>
    <w:rsid w:val="002830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28307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83073"/>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28307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83073"/>
    <w:pPr>
      <w:spacing w:before="160" w:after="160" w:line="278" w:lineRule="auto"/>
      <w:jc w:val="center"/>
    </w:pPr>
    <w:rPr>
      <w:i/>
      <w:iCs/>
      <w:color w:val="404040" w:themeColor="text1" w:themeTint="BF"/>
      <w:kern w:val="2"/>
      <w14:ligatures w14:val="standardContextual"/>
    </w:rPr>
  </w:style>
  <w:style w:type="character" w:customStyle="1" w:styleId="CitazioneCarattere">
    <w:name w:val="Citazione Carattere"/>
    <w:basedOn w:val="Carpredefinitoparagrafo"/>
    <w:link w:val="Citazione"/>
    <w:uiPriority w:val="29"/>
    <w:rsid w:val="00283073"/>
    <w:rPr>
      <w:i/>
      <w:iCs/>
      <w:color w:val="404040" w:themeColor="text1" w:themeTint="BF"/>
    </w:rPr>
  </w:style>
  <w:style w:type="paragraph" w:styleId="Paragrafoelenco">
    <w:name w:val="List Paragraph"/>
    <w:basedOn w:val="Normale"/>
    <w:uiPriority w:val="34"/>
    <w:qFormat/>
    <w:rsid w:val="00283073"/>
    <w:pPr>
      <w:spacing w:after="160" w:line="278" w:lineRule="auto"/>
      <w:ind w:left="720"/>
      <w:contextualSpacing/>
    </w:pPr>
    <w:rPr>
      <w:kern w:val="2"/>
      <w14:ligatures w14:val="standardContextual"/>
    </w:rPr>
  </w:style>
  <w:style w:type="character" w:styleId="Enfasiintensa">
    <w:name w:val="Intense Emphasis"/>
    <w:basedOn w:val="Carpredefinitoparagrafo"/>
    <w:uiPriority w:val="21"/>
    <w:qFormat/>
    <w:rsid w:val="00283073"/>
    <w:rPr>
      <w:i/>
      <w:iCs/>
      <w:color w:val="0F4761" w:themeColor="accent1" w:themeShade="BF"/>
    </w:rPr>
  </w:style>
  <w:style w:type="paragraph" w:styleId="Citazioneintensa">
    <w:name w:val="Intense Quote"/>
    <w:basedOn w:val="Normale"/>
    <w:next w:val="Normale"/>
    <w:link w:val="CitazioneintensaCarattere"/>
    <w:uiPriority w:val="30"/>
    <w:qFormat/>
    <w:rsid w:val="0028307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CitazioneintensaCarattere">
    <w:name w:val="Citazione intensa Carattere"/>
    <w:basedOn w:val="Carpredefinitoparagrafo"/>
    <w:link w:val="Citazioneintensa"/>
    <w:uiPriority w:val="30"/>
    <w:rsid w:val="00283073"/>
    <w:rPr>
      <w:i/>
      <w:iCs/>
      <w:color w:val="0F4761" w:themeColor="accent1" w:themeShade="BF"/>
    </w:rPr>
  </w:style>
  <w:style w:type="character" w:styleId="Riferimentointenso">
    <w:name w:val="Intense Reference"/>
    <w:basedOn w:val="Carpredefinitoparagrafo"/>
    <w:uiPriority w:val="32"/>
    <w:qFormat/>
    <w:rsid w:val="00283073"/>
    <w:rPr>
      <w:b/>
      <w:bCs/>
      <w:smallCaps/>
      <w:color w:val="0F4761" w:themeColor="accent1" w:themeShade="BF"/>
      <w:spacing w:val="5"/>
    </w:rPr>
  </w:style>
  <w:style w:type="paragraph" w:styleId="Testocommento">
    <w:name w:val="annotation text"/>
    <w:basedOn w:val="Normale"/>
    <w:link w:val="TestocommentoCarattere"/>
    <w:uiPriority w:val="99"/>
    <w:unhideWhenUsed/>
    <w:rsid w:val="00283073"/>
    <w:rPr>
      <w:rFonts w:ascii="Times New Roman" w:eastAsia="Times New Roman" w:hAnsi="Times New Roman" w:cs="Times New Roman"/>
      <w:lang w:val="en-GB" w:eastAsia="en-GB"/>
    </w:rPr>
  </w:style>
  <w:style w:type="character" w:customStyle="1" w:styleId="TestocommentoCarattere">
    <w:name w:val="Testo commento Carattere"/>
    <w:basedOn w:val="Carpredefinitoparagrafo"/>
    <w:link w:val="Testocommento"/>
    <w:uiPriority w:val="99"/>
    <w:rsid w:val="00283073"/>
    <w:rPr>
      <w:rFonts w:ascii="Times New Roman" w:eastAsia="Times New Roman" w:hAnsi="Times New Roman" w:cs="Times New Roman"/>
      <w:kern w:val="0"/>
      <w:lang w:val="en-GB" w:eastAsia="en-GB"/>
      <w14:ligatures w14:val="none"/>
    </w:rPr>
  </w:style>
  <w:style w:type="character" w:styleId="Rimandocommento">
    <w:name w:val="annotation reference"/>
    <w:basedOn w:val="Carpredefinitoparagrafo"/>
    <w:uiPriority w:val="99"/>
    <w:semiHidden/>
    <w:unhideWhenUsed/>
    <w:rsid w:val="00283073"/>
    <w:rPr>
      <w:sz w:val="16"/>
      <w:szCs w:val="16"/>
    </w:rPr>
  </w:style>
  <w:style w:type="paragraph" w:styleId="Revisione">
    <w:name w:val="Revision"/>
    <w:hidden/>
    <w:uiPriority w:val="99"/>
    <w:semiHidden/>
    <w:rsid w:val="00283073"/>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784371">
      <w:bodyDiv w:val="1"/>
      <w:marLeft w:val="0"/>
      <w:marRight w:val="0"/>
      <w:marTop w:val="0"/>
      <w:marBottom w:val="0"/>
      <w:divBdr>
        <w:top w:val="none" w:sz="0" w:space="0" w:color="auto"/>
        <w:left w:val="none" w:sz="0" w:space="0" w:color="auto"/>
        <w:bottom w:val="none" w:sz="0" w:space="0" w:color="auto"/>
        <w:right w:val="none" w:sz="0" w:space="0" w:color="auto"/>
      </w:divBdr>
    </w:div>
    <w:div w:id="118994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1795</Words>
  <Characters>10235</Characters>
  <Application>Microsoft Office Word</Application>
  <DocSecurity>0</DocSecurity>
  <Lines>85</Lines>
  <Paragraphs>24</Paragraphs>
  <ScaleCrop>false</ScaleCrop>
  <Company/>
  <LinksUpToDate>false</LinksUpToDate>
  <CharactersWithSpaces>12006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Anonim</dc:creator>
  <cp:keywords/>
  <dc:description/>
  <cp:lastModifiedBy>Anonim</cp:lastModifiedBy>
  <cp:revision>4</cp:revision>
  <dcterms:created xsi:type="dcterms:W3CDTF">2025-05-12T09:07:00Z</dcterms:created>
  <dcterms:modified xsi:type="dcterms:W3CDTF">2025-06-28T09:41:00Z</dcterms:modified>
</cp:coreProperties>
</file>