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466CE" w:rsidRDefault="00000000" w14:paraId="4A4740E3" w14:textId="77777777">
      <w:pPr>
        <w:pStyle w:val="Heading1"/>
        <w:jc w:val="center"/>
      </w:pPr>
      <w:bookmarkStart w:name="_heading=h.z337ya" w:colFirst="0" w:colLast="0" w:id="0"/>
      <w:bookmarkEnd w:id="0"/>
      <w:r>
        <w:rPr>
          <w:rFonts w:ascii="Times New Roman" w:hAnsi="Times New Roman" w:eastAsia="Times New Roman" w:cs="Times New Roman"/>
          <w:b/>
          <w:sz w:val="28"/>
          <w:szCs w:val="28"/>
        </w:rPr>
        <w:t>Towards Bioactive Hydrogels: A Tunable Approach via Nucleic Acid-Collagen Complexation</w:t>
      </w:r>
    </w:p>
    <w:p w:rsidR="00A466CE" w:rsidRDefault="00000000" w14:paraId="2A913216" w14:textId="77777777">
      <w:pPr>
        <w:spacing w:before="240" w:after="12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Nikolaos Pipis</w:t>
      </w:r>
      <w:r>
        <w:rPr>
          <w:rFonts w:ascii="Times New Roman" w:hAnsi="Times New Roman" w:eastAsia="Times New Roman" w:cs="Times New Roman"/>
          <w:sz w:val="24"/>
          <w:szCs w:val="24"/>
          <w:vertAlign w:val="superscript"/>
        </w:rPr>
        <w:t>1</w:t>
      </w:r>
      <w:r>
        <w:rPr>
          <w:rFonts w:ascii="Times New Roman" w:hAnsi="Times New Roman" w:eastAsia="Times New Roman" w:cs="Times New Roman"/>
          <w:sz w:val="24"/>
          <w:szCs w:val="24"/>
        </w:rPr>
        <w:t>,</w:t>
      </w:r>
      <w:r>
        <w:rPr>
          <w:rFonts w:ascii="Times New Roman" w:hAnsi="Times New Roman" w:eastAsia="Times New Roman" w:cs="Times New Roman"/>
          <w:color w:val="FF0000"/>
          <w:sz w:val="24"/>
          <w:szCs w:val="24"/>
        </w:rPr>
        <w:t xml:space="preserve"> </w:t>
      </w:r>
      <w:proofErr w:type="spellStart"/>
      <w:r>
        <w:rPr>
          <w:rFonts w:ascii="Times New Roman" w:hAnsi="Times New Roman" w:eastAsia="Times New Roman" w:cs="Times New Roman"/>
          <w:sz w:val="24"/>
          <w:szCs w:val="24"/>
        </w:rPr>
        <w:t>Senthilkumar</w:t>
      </w:r>
      <w:proofErr w:type="spellEnd"/>
      <w:r>
        <w:rPr>
          <w:rFonts w:ascii="Times New Roman" w:hAnsi="Times New Roman" w:eastAsia="Times New Roman" w:cs="Times New Roman"/>
          <w:sz w:val="24"/>
          <w:szCs w:val="24"/>
        </w:rPr>
        <w:t xml:space="preserve"> Duraivel</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Vignesh Subramaniam</w:t>
      </w:r>
      <w:r>
        <w:rPr>
          <w:rFonts w:ascii="Times New Roman" w:hAnsi="Times New Roman" w:eastAsia="Times New Roman" w:cs="Times New Roman"/>
          <w:sz w:val="24"/>
          <w:szCs w:val="24"/>
          <w:vertAlign w:val="superscript"/>
        </w:rPr>
        <w:t>3</w:t>
      </w:r>
      <w:r>
        <w:rPr>
          <w:rFonts w:ascii="Times New Roman" w:hAnsi="Times New Roman" w:eastAsia="Times New Roman" w:cs="Times New Roman"/>
          <w:sz w:val="24"/>
          <w:szCs w:val="24"/>
        </w:rPr>
        <w:t>, Kevin A. Stewart</w:t>
      </w:r>
      <w:r>
        <w:rPr>
          <w:rFonts w:ascii="Times New Roman" w:hAnsi="Times New Roman" w:eastAsia="Times New Roman" w:cs="Times New Roman"/>
          <w:sz w:val="24"/>
          <w:szCs w:val="24"/>
          <w:vertAlign w:val="superscript"/>
        </w:rPr>
        <w:t>4</w:t>
      </w:r>
      <w:r>
        <w:rPr>
          <w:rFonts w:ascii="Times New Roman" w:hAnsi="Times New Roman" w:eastAsia="Times New Roman" w:cs="Times New Roman"/>
          <w:sz w:val="24"/>
          <w:szCs w:val="24"/>
        </w:rPr>
        <w:t>, Thomas E. Angelini</w:t>
      </w:r>
      <w:r>
        <w:rPr>
          <w:rFonts w:ascii="Times New Roman" w:hAnsi="Times New Roman" w:eastAsia="Times New Roman" w:cs="Times New Roman"/>
          <w:sz w:val="24"/>
          <w:szCs w:val="24"/>
          <w:vertAlign w:val="superscript"/>
        </w:rPr>
        <w:t>3</w:t>
      </w:r>
      <w:r>
        <w:rPr>
          <w:rFonts w:ascii="Times New Roman" w:hAnsi="Times New Roman" w:eastAsia="Times New Roman" w:cs="Times New Roman"/>
          <w:sz w:val="24"/>
          <w:szCs w:val="24"/>
        </w:rPr>
        <w:t>, Josephine B. Allen</w:t>
      </w:r>
      <w:r>
        <w:rPr>
          <w:rFonts w:ascii="Times New Roman" w:hAnsi="Times New Roman" w:eastAsia="Times New Roman" w:cs="Times New Roman"/>
          <w:sz w:val="24"/>
          <w:szCs w:val="24"/>
          <w:vertAlign w:val="superscript"/>
        </w:rPr>
        <w:t>1,2</w:t>
      </w:r>
      <w:r>
        <w:rPr>
          <w:rFonts w:ascii="Times New Roman" w:hAnsi="Times New Roman" w:eastAsia="Times New Roman" w:cs="Times New Roman"/>
          <w:sz w:val="24"/>
          <w:szCs w:val="24"/>
        </w:rPr>
        <w:t>*</w:t>
      </w:r>
    </w:p>
    <w:p w:rsidR="00A466CE" w:rsidRDefault="00000000" w14:paraId="1F3B45DE" w14:textId="77777777">
      <w:pPr>
        <w:spacing w:after="120" w:line="240" w:lineRule="auto"/>
        <w:jc w:val="center"/>
        <w:rPr>
          <w:rFonts w:ascii="Times New Roman" w:hAnsi="Times New Roman" w:eastAsia="Times New Roman" w:cs="Times New Roman"/>
        </w:rPr>
      </w:pPr>
      <w:r>
        <w:rPr>
          <w:rFonts w:ascii="Times New Roman" w:hAnsi="Times New Roman" w:eastAsia="Times New Roman" w:cs="Times New Roman"/>
          <w:vertAlign w:val="superscript"/>
        </w:rPr>
        <w:t xml:space="preserve">1 </w:t>
      </w:r>
      <w:r>
        <w:rPr>
          <w:rFonts w:ascii="Times New Roman" w:hAnsi="Times New Roman" w:eastAsia="Times New Roman" w:cs="Times New Roman"/>
        </w:rPr>
        <w:t>J. Crayton Pruitt Family Department of Biomedical Engineering, University of Florida, Gainesville, Florida 32611, USA</w:t>
      </w:r>
    </w:p>
    <w:p w:rsidR="00A466CE" w:rsidRDefault="00000000" w14:paraId="3FF42140" w14:textId="77777777">
      <w:pPr>
        <w:spacing w:after="120" w:line="240" w:lineRule="auto"/>
        <w:jc w:val="center"/>
        <w:rPr>
          <w:rFonts w:ascii="Times New Roman" w:hAnsi="Times New Roman" w:eastAsia="Times New Roman" w:cs="Times New Roman"/>
        </w:rPr>
      </w:pPr>
      <w:r>
        <w:rPr>
          <w:rFonts w:ascii="Times New Roman" w:hAnsi="Times New Roman" w:eastAsia="Times New Roman" w:cs="Times New Roman"/>
          <w:vertAlign w:val="superscript"/>
        </w:rPr>
        <w:t>2</w:t>
      </w:r>
      <w:r>
        <w:rPr>
          <w:rFonts w:ascii="Times New Roman" w:hAnsi="Times New Roman" w:eastAsia="Times New Roman" w:cs="Times New Roman"/>
        </w:rPr>
        <w:t xml:space="preserve"> Department of Materials Science &amp; Engineering, University of Florida, Gainesville, Florida 32611, USA</w:t>
      </w:r>
    </w:p>
    <w:p w:rsidR="00A466CE" w:rsidRDefault="00000000" w14:paraId="13AC78A8" w14:textId="77777777">
      <w:pPr>
        <w:spacing w:after="120" w:line="240" w:lineRule="auto"/>
        <w:jc w:val="center"/>
        <w:rPr>
          <w:rFonts w:ascii="Times New Roman" w:hAnsi="Times New Roman" w:eastAsia="Times New Roman" w:cs="Times New Roman"/>
        </w:rPr>
      </w:pPr>
      <w:r>
        <w:rPr>
          <w:rFonts w:ascii="Times New Roman" w:hAnsi="Times New Roman" w:eastAsia="Times New Roman" w:cs="Times New Roman"/>
          <w:vertAlign w:val="superscript"/>
        </w:rPr>
        <w:t>3</w:t>
      </w:r>
      <w:r>
        <w:rPr>
          <w:rFonts w:ascii="Times New Roman" w:hAnsi="Times New Roman" w:eastAsia="Times New Roman" w:cs="Times New Roman"/>
        </w:rPr>
        <w:t xml:space="preserve"> Department of Mechanical and Aerospace Engineering, University of Florida, Gainesville, Florida 32611, USA</w:t>
      </w:r>
    </w:p>
    <w:p w:rsidR="00A466CE" w:rsidRDefault="00000000" w14:paraId="5A9D87CB" w14:textId="77777777">
      <w:pPr>
        <w:spacing w:after="120" w:line="240" w:lineRule="auto"/>
        <w:jc w:val="center"/>
        <w:rPr>
          <w:rFonts w:ascii="Times New Roman" w:hAnsi="Times New Roman" w:eastAsia="Times New Roman" w:cs="Times New Roman"/>
        </w:rPr>
      </w:pPr>
      <w:r>
        <w:rPr>
          <w:rFonts w:ascii="Times New Roman" w:hAnsi="Times New Roman" w:eastAsia="Times New Roman" w:cs="Times New Roman"/>
          <w:vertAlign w:val="superscript"/>
        </w:rPr>
        <w:t>4</w:t>
      </w:r>
      <w:r>
        <w:rPr>
          <w:rFonts w:ascii="Times New Roman" w:hAnsi="Times New Roman" w:eastAsia="Times New Roman" w:cs="Times New Roman"/>
        </w:rPr>
        <w:t xml:space="preserve"> George &amp; Josephine Butler Polymer Research Laboratory, Department of Chemistry, Center for Macromolecular Science &amp; Engineering, University of Florida, Gainesville, FL 32611, USA</w:t>
      </w:r>
    </w:p>
    <w:p w:rsidR="00A466CE" w:rsidRDefault="00A466CE" w14:paraId="686F4A84" w14:textId="77777777">
      <w:pPr>
        <w:spacing w:after="0" w:line="240" w:lineRule="auto"/>
        <w:jc w:val="center"/>
        <w:rPr>
          <w:rFonts w:ascii="Times New Roman" w:hAnsi="Times New Roman" w:eastAsia="Times New Roman" w:cs="Times New Roman"/>
          <w:sz w:val="24"/>
          <w:szCs w:val="24"/>
        </w:rPr>
      </w:pPr>
    </w:p>
    <w:p w:rsidR="00A466CE" w:rsidRDefault="00A466CE" w14:paraId="108A86A5" w14:textId="77777777">
      <w:pPr>
        <w:spacing w:after="0"/>
        <w:jc w:val="center"/>
        <w:rPr>
          <w:rFonts w:ascii="Times New Roman" w:hAnsi="Times New Roman" w:eastAsia="Times New Roman" w:cs="Times New Roman"/>
        </w:rPr>
      </w:pPr>
    </w:p>
    <w:p w:rsidRPr="001450DC" w:rsidR="00A466CE" w:rsidRDefault="00000000" w14:paraId="2D5C0F81" w14:textId="77777777">
      <w:pPr>
        <w:spacing w:after="0" w:line="240" w:lineRule="auto"/>
        <w:rPr>
          <w:rFonts w:ascii="Times New Roman" w:hAnsi="Times New Roman" w:eastAsia="Times New Roman" w:cs="Times New Roman"/>
          <w:u w:val="single"/>
        </w:rPr>
      </w:pPr>
      <w:r w:rsidRPr="001450DC">
        <w:rPr>
          <w:rFonts w:ascii="Times New Roman" w:hAnsi="Times New Roman" w:eastAsia="Times New Roman" w:cs="Times New Roman"/>
          <w:u w:val="single"/>
        </w:rPr>
        <w:t>* Corresponding Author</w:t>
      </w:r>
    </w:p>
    <w:p w:rsidR="00A466CE" w:rsidRDefault="00000000" w14:paraId="3FCB9E1B"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Josephine Allen, Ph.D.</w:t>
      </w:r>
    </w:p>
    <w:p w:rsidR="00A466CE" w:rsidRDefault="00000000" w14:paraId="017D4E46"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Professor</w:t>
      </w:r>
    </w:p>
    <w:p w:rsidR="00A466CE" w:rsidRDefault="001450DC" w14:paraId="20CD54AF" w14:textId="7ACECD67">
      <w:pPr>
        <w:spacing w:after="0" w:line="240" w:lineRule="auto"/>
        <w:rPr>
          <w:rFonts w:ascii="Times New Roman" w:hAnsi="Times New Roman" w:eastAsia="Times New Roman" w:cs="Times New Roman"/>
        </w:rPr>
      </w:pPr>
      <w:r>
        <w:rPr>
          <w:rFonts w:ascii="Times New Roman" w:hAnsi="Times New Roman" w:eastAsia="Times New Roman" w:cs="Times New Roman"/>
        </w:rPr>
        <w:t>jallen@mse.ufl.edu</w:t>
      </w:r>
    </w:p>
    <w:p w:rsidR="00A466CE" w:rsidRDefault="00000000" w14:paraId="00367FE4" w14:textId="77777777">
      <w:pPr>
        <w:jc w:val="center"/>
        <w:rPr>
          <w:rFonts w:ascii="Times New Roman" w:hAnsi="Times New Roman" w:eastAsia="Times New Roman" w:cs="Times New Roman"/>
        </w:rPr>
      </w:pPr>
      <w:r>
        <w:rPr>
          <w:rFonts w:ascii="Times New Roman" w:hAnsi="Times New Roman" w:eastAsia="Times New Roman" w:cs="Times New Roman"/>
          <w:b/>
          <w:sz w:val="26"/>
          <w:szCs w:val="26"/>
        </w:rPr>
        <w:t>Supplementary Figures</w:t>
      </w:r>
    </w:p>
    <w:p w:rsidR="00A466CE" w:rsidRDefault="00000000" w14:paraId="45D50ECA"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t>__________________________________________________________________________________________________</w:t>
      </w:r>
    </w:p>
    <w:p w:rsidR="00A466CE" w:rsidRDefault="00A466CE" w14:paraId="19A547BC" w14:textId="77777777">
      <w:pPr>
        <w:spacing w:after="0" w:line="240" w:lineRule="auto"/>
        <w:rPr>
          <w:rFonts w:ascii="Times New Roman" w:hAnsi="Times New Roman" w:eastAsia="Times New Roman" w:cs="Times New Roman"/>
        </w:rPr>
      </w:pPr>
    </w:p>
    <w:p w:rsidR="00A466CE" w:rsidRDefault="00000000" w14:paraId="74BDABD2"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noProof/>
        </w:rPr>
        <w:drawing>
          <wp:inline distT="114300" distB="114300" distL="114300" distR="114300" wp14:anchorId="4E44D390" wp14:editId="41750844">
            <wp:extent cx="6858000" cy="3060700"/>
            <wp:effectExtent l="12700" t="12700" r="12700" b="1270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6858000" cy="3060700"/>
                    </a:xfrm>
                    <a:prstGeom prst="rect">
                      <a:avLst/>
                    </a:prstGeom>
                    <a:ln w="12700">
                      <a:solidFill>
                        <a:srgbClr val="000000"/>
                      </a:solidFill>
                      <a:prstDash val="solid"/>
                    </a:ln>
                  </pic:spPr>
                </pic:pic>
              </a:graphicData>
            </a:graphic>
          </wp:inline>
        </w:drawing>
      </w:r>
    </w:p>
    <w:p w:rsidR="00A466CE" w:rsidRDefault="00000000" w14:paraId="2B757DCB" w14:textId="18A9C05E">
      <w:pPr>
        <w:spacing w:after="0" w:line="240" w:lineRule="auto"/>
        <w:jc w:val="both"/>
        <w:rPr>
          <w:rFonts w:ascii="Times New Roman" w:hAnsi="Times New Roman" w:eastAsia="Times New Roman" w:cs="Times New Roman"/>
        </w:rPr>
      </w:pPr>
      <w:r>
        <w:rPr>
          <w:rFonts w:ascii="Times New Roman" w:hAnsi="Times New Roman" w:eastAsia="Times New Roman" w:cs="Times New Roman"/>
          <w:b/>
          <w:highlight w:val="white"/>
        </w:rPr>
        <w:t xml:space="preserve">Supp. Fig. 1 (a) </w:t>
      </w:r>
      <w:r>
        <w:rPr>
          <w:rFonts w:ascii="Times New Roman" w:hAnsi="Times New Roman" w:eastAsia="Times New Roman" w:cs="Times New Roman"/>
          <w:highlight w:val="white"/>
        </w:rPr>
        <w:t xml:space="preserve">FIJI Ridge Detection Algorithm for calculating fibril and fiber width from the CRM images </w:t>
      </w:r>
      <w:r>
        <w:rPr>
          <w:rFonts w:ascii="Times New Roman" w:hAnsi="Times New Roman" w:eastAsia="Times New Roman" w:cs="Times New Roman"/>
          <w:b/>
          <w:highlight w:val="white"/>
        </w:rPr>
        <w:t>(b)</w:t>
      </w:r>
      <w:r>
        <w:rPr>
          <w:rFonts w:ascii="Times New Roman" w:hAnsi="Times New Roman" w:eastAsia="Times New Roman" w:cs="Times New Roman"/>
          <w:highlight w:val="white"/>
        </w:rPr>
        <w:t xml:space="preserve"> Width measurement across a thick fiber from TEM image</w:t>
      </w:r>
      <w:r w:rsidR="001450DC">
        <w:rPr>
          <w:rFonts w:ascii="Times New Roman" w:hAnsi="Times New Roman" w:eastAsia="Times New Roman" w:cs="Times New Roman"/>
        </w:rPr>
        <w:t>.</w:t>
      </w:r>
    </w:p>
    <w:p w:rsidR="00A466CE" w:rsidRDefault="00A466CE" w14:paraId="55679ACE" w14:textId="77777777">
      <w:pPr>
        <w:spacing w:after="0" w:line="240" w:lineRule="auto"/>
        <w:rPr>
          <w:rFonts w:ascii="Times New Roman" w:hAnsi="Times New Roman" w:eastAsia="Times New Roman" w:cs="Times New Roman"/>
        </w:rPr>
      </w:pPr>
    </w:p>
    <w:p w:rsidR="00A466CE" w:rsidRDefault="00A466CE" w14:paraId="02AAA44F" w14:textId="77777777">
      <w:pPr>
        <w:spacing w:after="0" w:line="240" w:lineRule="auto"/>
        <w:rPr>
          <w:rFonts w:ascii="Times New Roman" w:hAnsi="Times New Roman" w:eastAsia="Times New Roman" w:cs="Times New Roman"/>
        </w:rPr>
      </w:pPr>
    </w:p>
    <w:p w:rsidR="00A466CE" w:rsidRDefault="001450DC" w14:paraId="676E2B83" w14:textId="64681151">
      <w:pPr>
        <w:spacing w:after="0" w:line="240" w:lineRule="auto"/>
        <w:rPr>
          <w:rFonts w:ascii="Times New Roman" w:hAnsi="Times New Roman" w:eastAsia="Times New Roman" w:cs="Times New Roman"/>
        </w:rPr>
      </w:pPr>
      <w:r>
        <w:rPr>
          <w:rFonts w:ascii="Times New Roman" w:hAnsi="Times New Roman" w:eastAsia="Times New Roman" w:cs="Times New Roman"/>
          <w:noProof/>
        </w:rPr>
        <w:lastRenderedPageBreak/>
        <w:drawing>
          <wp:inline distT="0" distB="0" distL="0" distR="0" wp14:anchorId="076D29AB" wp14:editId="22F26416">
            <wp:extent cx="6858000" cy="2213610"/>
            <wp:effectExtent l="12700" t="12700" r="12700" b="8890"/>
            <wp:docPr id="2017696054" name="Picture 1" descr="A graph of a normal and a normal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96054" name="Picture 1" descr="A graph of a normal and a normal lin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2213610"/>
                    </a:xfrm>
                    <a:prstGeom prst="rect">
                      <a:avLst/>
                    </a:prstGeom>
                    <a:ln>
                      <a:solidFill>
                        <a:schemeClr val="tx1"/>
                      </a:solidFill>
                    </a:ln>
                  </pic:spPr>
                </pic:pic>
              </a:graphicData>
            </a:graphic>
          </wp:inline>
        </w:drawing>
      </w:r>
    </w:p>
    <w:p w:rsidR="00A466CE" w:rsidRDefault="00000000" w14:paraId="08881F01" w14:textId="014EAE39">
      <w:pPr>
        <w:spacing w:after="0" w:line="240" w:lineRule="auto"/>
        <w:jc w:val="both"/>
        <w:rPr>
          <w:rFonts w:ascii="Times New Roman" w:hAnsi="Times New Roman" w:eastAsia="Times New Roman" w:cs="Times New Roman"/>
        </w:rPr>
      </w:pPr>
      <w:r>
        <w:rPr>
          <w:rFonts w:ascii="Times New Roman" w:hAnsi="Times New Roman" w:eastAsia="Times New Roman" w:cs="Times New Roman"/>
          <w:b/>
        </w:rPr>
        <w:t>Supp. Fig. 2</w:t>
      </w:r>
      <w:r>
        <w:rPr>
          <w:rFonts w:ascii="Times New Roman" w:hAnsi="Times New Roman" w:eastAsia="Times New Roman" w:cs="Times New Roman"/>
        </w:rPr>
        <w:t xml:space="preserve"> FTIR-ATR along the full spectrum, 4000-650 cm</w:t>
      </w:r>
      <w:r>
        <w:rPr>
          <w:rFonts w:ascii="Times New Roman" w:hAnsi="Times New Roman" w:eastAsia="Times New Roman" w:cs="Times New Roman"/>
          <w:vertAlign w:val="superscript"/>
        </w:rPr>
        <w:t>-1</w:t>
      </w:r>
      <w:r>
        <w:rPr>
          <w:rFonts w:ascii="Times New Roman" w:hAnsi="Times New Roman" w:eastAsia="Times New Roman" w:cs="Times New Roman"/>
        </w:rPr>
        <w:t>, to illustrate the unchanged position of Amides A and B in the 3000-3500 cm</w:t>
      </w:r>
      <w:r>
        <w:rPr>
          <w:rFonts w:ascii="Times New Roman" w:hAnsi="Times New Roman" w:eastAsia="Times New Roman" w:cs="Times New Roman"/>
          <w:vertAlign w:val="superscript"/>
        </w:rPr>
        <w:t xml:space="preserve">-1 </w:t>
      </w:r>
      <w:r>
        <w:rPr>
          <w:rFonts w:ascii="Times New Roman" w:hAnsi="Times New Roman" w:eastAsia="Times New Roman" w:cs="Times New Roman"/>
        </w:rPr>
        <w:t>region, as well Amides I, II, III in the 2000-650 cm</w:t>
      </w:r>
      <w:r>
        <w:rPr>
          <w:rFonts w:ascii="Times New Roman" w:hAnsi="Times New Roman" w:eastAsia="Times New Roman" w:cs="Times New Roman"/>
          <w:vertAlign w:val="superscript"/>
        </w:rPr>
        <w:t xml:space="preserve">-1 </w:t>
      </w:r>
      <w:r>
        <w:rPr>
          <w:rFonts w:ascii="Times New Roman" w:hAnsi="Times New Roman" w:eastAsia="Times New Roman" w:cs="Times New Roman"/>
        </w:rPr>
        <w:t xml:space="preserve">region </w:t>
      </w:r>
      <w:r>
        <w:rPr>
          <w:rFonts w:ascii="Times New Roman" w:hAnsi="Times New Roman" w:eastAsia="Times New Roman" w:cs="Times New Roman"/>
          <w:b/>
        </w:rPr>
        <w:t>(a)</w:t>
      </w:r>
      <w:r>
        <w:rPr>
          <w:rFonts w:ascii="Times New Roman" w:hAnsi="Times New Roman" w:eastAsia="Times New Roman" w:cs="Times New Roman"/>
        </w:rPr>
        <w:t xml:space="preserve"> Aqueous sample (from main text Figure 1) </w:t>
      </w:r>
      <w:r>
        <w:rPr>
          <w:rFonts w:ascii="Times New Roman" w:hAnsi="Times New Roman" w:eastAsia="Times New Roman" w:cs="Times New Roman"/>
          <w:b/>
        </w:rPr>
        <w:t xml:space="preserve">(b) </w:t>
      </w:r>
      <w:r>
        <w:rPr>
          <w:rFonts w:ascii="Times New Roman" w:hAnsi="Times New Roman" w:eastAsia="Times New Roman" w:cs="Times New Roman"/>
        </w:rPr>
        <w:t>Dry state samples following lyophilization. The unchanged peak positions in the 3200-3500 cm</w:t>
      </w:r>
      <w:r>
        <w:rPr>
          <w:rFonts w:ascii="Times New Roman" w:hAnsi="Times New Roman" w:eastAsia="Times New Roman" w:cs="Times New Roman"/>
          <w:vertAlign w:val="superscript"/>
        </w:rPr>
        <w:t xml:space="preserve">-1 </w:t>
      </w:r>
      <w:r>
        <w:rPr>
          <w:rFonts w:ascii="Times New Roman" w:hAnsi="Times New Roman" w:eastAsia="Times New Roman" w:cs="Times New Roman"/>
        </w:rPr>
        <w:t>region suggests no significant intermolecular hydrogen-bonding between the ssDNA and collagen (no peak shifts).</w:t>
      </w:r>
    </w:p>
    <w:p w:rsidR="001450DC" w:rsidRDefault="001450DC" w14:paraId="5E97D18B" w14:textId="77777777">
      <w:pPr>
        <w:spacing w:after="0" w:line="240" w:lineRule="auto"/>
        <w:jc w:val="both"/>
        <w:rPr>
          <w:rFonts w:ascii="Times New Roman" w:hAnsi="Times New Roman" w:eastAsia="Times New Roman" w:cs="Times New Roman"/>
        </w:rPr>
      </w:pPr>
    </w:p>
    <w:p w:rsidR="00A466CE" w:rsidRDefault="00A466CE" w14:paraId="691A2EBF" w14:textId="77777777">
      <w:pPr>
        <w:spacing w:after="0" w:line="240" w:lineRule="auto"/>
        <w:rPr>
          <w:rFonts w:ascii="Times New Roman" w:hAnsi="Times New Roman" w:eastAsia="Times New Roman" w:cs="Times New Roman"/>
        </w:rPr>
      </w:pPr>
    </w:p>
    <w:p w:rsidR="00A466CE" w:rsidRDefault="00000000" w14:paraId="2C8036DF"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noProof/>
        </w:rPr>
        <w:drawing>
          <wp:inline distT="114300" distB="114300" distL="114300" distR="114300" wp14:anchorId="21DC3A7D" wp14:editId="18BC9113">
            <wp:extent cx="6858000" cy="2413000"/>
            <wp:effectExtent l="12700" t="12700" r="12700" b="12700"/>
            <wp:docPr id="8" name="image4.png" descr="A screen shot of a video g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 shot of a video game&#10;&#10;Description automatically generated"/>
                    <pic:cNvPicPr preferRelativeResize="0"/>
                  </pic:nvPicPr>
                  <pic:blipFill>
                    <a:blip r:embed="rId9"/>
                    <a:srcRect/>
                    <a:stretch>
                      <a:fillRect/>
                    </a:stretch>
                  </pic:blipFill>
                  <pic:spPr>
                    <a:xfrm>
                      <a:off x="0" y="0"/>
                      <a:ext cx="6858000" cy="2413000"/>
                    </a:xfrm>
                    <a:prstGeom prst="rect">
                      <a:avLst/>
                    </a:prstGeom>
                    <a:ln w="12700">
                      <a:solidFill>
                        <a:srgbClr val="000000"/>
                      </a:solidFill>
                      <a:prstDash val="solid"/>
                    </a:ln>
                  </pic:spPr>
                </pic:pic>
              </a:graphicData>
            </a:graphic>
          </wp:inline>
        </w:drawing>
      </w:r>
    </w:p>
    <w:p w:rsidR="00A466CE" w:rsidRDefault="00000000" w14:paraId="4DC5C88D" w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b/>
          <w:highlight w:val="white"/>
        </w:rPr>
        <w:t>Supp. Fig. 3</w:t>
      </w:r>
      <w:r>
        <w:rPr>
          <w:rFonts w:ascii="Times New Roman" w:hAnsi="Times New Roman" w:eastAsia="Times New Roman" w:cs="Times New Roman"/>
          <w:highlight w:val="white"/>
        </w:rPr>
        <w:t xml:space="preserve"> Frequency sweep analysis of varying DNA lengths, highlighting the impact of nucleotide length on the viscoelastic properties of NACCs.</w:t>
      </w:r>
      <w:r>
        <w:rPr>
          <w:rFonts w:ascii="Times New Roman" w:hAnsi="Times New Roman" w:eastAsia="Times New Roman" w:cs="Times New Roman"/>
          <w:b/>
          <w:highlight w:val="white"/>
        </w:rPr>
        <w:t xml:space="preserve"> </w:t>
      </w:r>
      <w:r>
        <w:rPr>
          <w:rFonts w:ascii="Times New Roman" w:hAnsi="Times New Roman" w:eastAsia="Times New Roman" w:cs="Times New Roman"/>
          <w:highlight w:val="white"/>
        </w:rPr>
        <w:t>For all samples (</w:t>
      </w:r>
      <w:r>
        <w:rPr>
          <w:rFonts w:ascii="Times New Roman" w:hAnsi="Times New Roman" w:eastAsia="Times New Roman" w:cs="Times New Roman"/>
          <w:b/>
          <w:highlight w:val="white"/>
        </w:rPr>
        <w:t>(a)</w:t>
      </w:r>
      <w:r>
        <w:rPr>
          <w:rFonts w:ascii="Times New Roman" w:hAnsi="Times New Roman" w:eastAsia="Times New Roman" w:cs="Times New Roman"/>
          <w:highlight w:val="white"/>
        </w:rPr>
        <w:t xml:space="preserve"> 1.5 mg/ml, </w:t>
      </w:r>
      <w:r>
        <w:rPr>
          <w:rFonts w:ascii="Times New Roman" w:hAnsi="Times New Roman" w:eastAsia="Times New Roman" w:cs="Times New Roman"/>
          <w:b/>
          <w:highlight w:val="white"/>
        </w:rPr>
        <w:t>(b)</w:t>
      </w:r>
      <w:r>
        <w:rPr>
          <w:rFonts w:ascii="Times New Roman" w:hAnsi="Times New Roman" w:eastAsia="Times New Roman" w:cs="Times New Roman"/>
          <w:highlight w:val="white"/>
        </w:rPr>
        <w:t xml:space="preserve"> 2.5 mg/ml and </w:t>
      </w:r>
      <w:r>
        <w:rPr>
          <w:rFonts w:ascii="Times New Roman" w:hAnsi="Times New Roman" w:eastAsia="Times New Roman" w:cs="Times New Roman"/>
          <w:b/>
          <w:highlight w:val="white"/>
        </w:rPr>
        <w:t>(c)</w:t>
      </w:r>
      <w:r>
        <w:rPr>
          <w:rFonts w:ascii="Times New Roman" w:hAnsi="Times New Roman" w:eastAsia="Times New Roman" w:cs="Times New Roman"/>
          <w:highlight w:val="white"/>
        </w:rPr>
        <w:t xml:space="preserve"> 3.5 mg/ml), the modulus of the gel containing DNA with 80 nucleotides surpasses the modulus of the gel containing DNA with 20 nucleotides, which in turn surpasses the modulus of the collagen alone.  </w:t>
      </w:r>
    </w:p>
    <w:p w:rsidR="00A466CE" w:rsidRDefault="00A466CE" w14:paraId="37ABA443" w14:textId="77777777">
      <w:pPr>
        <w:spacing w:after="0"/>
        <w:jc w:val="both"/>
        <w:rPr>
          <w:rFonts w:ascii="Times New Roman" w:hAnsi="Times New Roman" w:eastAsia="Times New Roman" w:cs="Times New Roman"/>
        </w:rPr>
      </w:pPr>
    </w:p>
    <w:p w:rsidR="00A466CE" w:rsidRDefault="00A466CE" w14:paraId="4EC96C6A" w14:textId="77777777">
      <w:pPr>
        <w:spacing w:after="0"/>
        <w:jc w:val="both"/>
        <w:rPr>
          <w:rFonts w:ascii="Times New Roman" w:hAnsi="Times New Roman" w:eastAsia="Times New Roman" w:cs="Times New Roman"/>
        </w:rPr>
      </w:pPr>
    </w:p>
    <w:p w:rsidR="001450DC" w:rsidRDefault="001450DC" w14:paraId="60BFF9A3" w14:textId="77777777">
      <w:pPr>
        <w:spacing w:after="0"/>
        <w:jc w:val="both"/>
        <w:rPr>
          <w:rFonts w:ascii="Times New Roman" w:hAnsi="Times New Roman" w:eastAsia="Times New Roman" w:cs="Times New Roman"/>
        </w:rPr>
      </w:pPr>
    </w:p>
    <w:p w:rsidR="001450DC" w:rsidRDefault="001450DC" w14:paraId="7C0BD037" w14:textId="77777777">
      <w:pPr>
        <w:spacing w:after="0"/>
        <w:jc w:val="both"/>
        <w:rPr>
          <w:rFonts w:ascii="Times New Roman" w:hAnsi="Times New Roman" w:eastAsia="Times New Roman" w:cs="Times New Roman"/>
        </w:rPr>
      </w:pPr>
    </w:p>
    <w:p w:rsidR="001450DC" w:rsidRDefault="001450DC" w14:paraId="66B3345F" w14:textId="77777777">
      <w:pPr>
        <w:spacing w:after="0"/>
        <w:jc w:val="both"/>
        <w:rPr>
          <w:rFonts w:ascii="Times New Roman" w:hAnsi="Times New Roman" w:eastAsia="Times New Roman" w:cs="Times New Roman"/>
        </w:rPr>
      </w:pPr>
    </w:p>
    <w:p w:rsidR="001450DC" w:rsidRDefault="001450DC" w14:paraId="37F381D9" w14:textId="77777777">
      <w:pPr>
        <w:spacing w:after="0"/>
        <w:jc w:val="both"/>
        <w:rPr>
          <w:rFonts w:ascii="Times New Roman" w:hAnsi="Times New Roman" w:eastAsia="Times New Roman" w:cs="Times New Roman"/>
        </w:rPr>
      </w:pPr>
    </w:p>
    <w:p w:rsidR="001450DC" w:rsidRDefault="001450DC" w14:paraId="27EC5F36" w14:textId="77777777">
      <w:pPr>
        <w:spacing w:after="0"/>
        <w:jc w:val="both"/>
        <w:rPr>
          <w:rFonts w:ascii="Times New Roman" w:hAnsi="Times New Roman" w:eastAsia="Times New Roman" w:cs="Times New Roman"/>
        </w:rPr>
      </w:pPr>
    </w:p>
    <w:p w:rsidR="001450DC" w:rsidRDefault="001450DC" w14:paraId="490B803F" w14:textId="77777777">
      <w:pPr>
        <w:spacing w:after="0"/>
        <w:jc w:val="both"/>
        <w:rPr>
          <w:rFonts w:ascii="Times New Roman" w:hAnsi="Times New Roman" w:eastAsia="Times New Roman" w:cs="Times New Roman"/>
        </w:rPr>
      </w:pPr>
    </w:p>
    <w:p w:rsidR="001450DC" w:rsidRDefault="001450DC" w14:paraId="1715E6A5" w14:textId="77777777">
      <w:pPr>
        <w:spacing w:after="0"/>
        <w:jc w:val="both"/>
        <w:rPr>
          <w:rFonts w:ascii="Times New Roman" w:hAnsi="Times New Roman" w:eastAsia="Times New Roman" w:cs="Times New Roman"/>
        </w:rPr>
      </w:pPr>
    </w:p>
    <w:p w:rsidR="001450DC" w:rsidRDefault="001450DC" w14:paraId="6B7882D1" w14:textId="77777777">
      <w:pPr>
        <w:spacing w:after="0"/>
        <w:jc w:val="both"/>
        <w:rPr>
          <w:rFonts w:ascii="Times New Roman" w:hAnsi="Times New Roman" w:eastAsia="Times New Roman" w:cs="Times New Roman"/>
        </w:rPr>
      </w:pPr>
    </w:p>
    <w:p w:rsidR="001450DC" w:rsidRDefault="001450DC" w14:paraId="6280074F" w14:textId="77777777">
      <w:pPr>
        <w:spacing w:after="0"/>
        <w:jc w:val="both"/>
        <w:rPr>
          <w:rFonts w:ascii="Times New Roman" w:hAnsi="Times New Roman" w:eastAsia="Times New Roman" w:cs="Times New Roman"/>
        </w:rPr>
      </w:pPr>
    </w:p>
    <w:p w:rsidR="001450DC" w:rsidRDefault="001450DC" w14:paraId="32264C17" w14:textId="77777777">
      <w:pPr>
        <w:spacing w:after="0"/>
        <w:jc w:val="both"/>
        <w:rPr>
          <w:rFonts w:ascii="Times New Roman" w:hAnsi="Times New Roman" w:eastAsia="Times New Roman" w:cs="Times New Roman"/>
        </w:rPr>
      </w:pPr>
    </w:p>
    <w:p w:rsidR="001450DC" w:rsidRDefault="001450DC" w14:paraId="33EBC98E" w14:textId="77777777">
      <w:pPr>
        <w:spacing w:after="0"/>
        <w:jc w:val="both"/>
        <w:rPr>
          <w:rFonts w:ascii="Times New Roman" w:hAnsi="Times New Roman" w:eastAsia="Times New Roman" w:cs="Times New Roman"/>
        </w:rPr>
      </w:pPr>
    </w:p>
    <w:p w:rsidR="001450DC" w:rsidRDefault="001450DC" w14:paraId="543CFFCD" w14:textId="77777777">
      <w:pPr>
        <w:spacing w:after="0"/>
        <w:jc w:val="both"/>
        <w:rPr>
          <w:rFonts w:ascii="Times New Roman" w:hAnsi="Times New Roman" w:eastAsia="Times New Roman" w:cs="Times New Roman"/>
        </w:rPr>
      </w:pPr>
    </w:p>
    <w:tbl>
      <w:tblPr>
        <w:tblStyle w:val="2"/>
        <w:tblW w:w="11152"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792"/>
        <w:gridCol w:w="5580"/>
        <w:gridCol w:w="1170"/>
        <w:gridCol w:w="2610"/>
      </w:tblGrid>
      <w:tr w:rsidR="00A466CE" w14:paraId="38AEF748" w14:textId="77777777">
        <w:trPr>
          <w:trHeight w:val="300"/>
        </w:trPr>
        <w:tc>
          <w:tcPr>
            <w:tcW w:w="1792"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205102B0" w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rPr>
              <w:t> GC-content</w:t>
            </w:r>
          </w:p>
        </w:tc>
        <w:tc>
          <w:tcPr>
            <w:tcW w:w="5580"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5EE0EE28" w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rPr>
              <w:t>Sequence </w:t>
            </w:r>
          </w:p>
        </w:tc>
        <w:tc>
          <w:tcPr>
            <w:tcW w:w="1170" w:type="dxa"/>
            <w:tcBorders>
              <w:top w:val="single" w:color="000000" w:sz="6" w:space="0"/>
              <w:left w:val="single" w:color="000000" w:sz="6" w:space="0"/>
              <w:bottom w:val="single" w:color="000000" w:sz="6" w:space="0"/>
              <w:right w:val="single" w:color="000000" w:sz="6" w:space="0"/>
            </w:tcBorders>
          </w:tcPr>
          <w:p w:rsidR="00A466CE" w:rsidRDefault="00000000" w14:paraId="761D54A9"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Mw (g/mol)</w:t>
            </w:r>
          </w:p>
        </w:tc>
        <w:tc>
          <w:tcPr>
            <w:tcW w:w="2610" w:type="dxa"/>
            <w:tcBorders>
              <w:top w:val="single" w:color="000000" w:sz="6" w:space="0"/>
              <w:left w:val="single" w:color="000000" w:sz="6" w:space="0"/>
              <w:bottom w:val="single" w:color="000000" w:sz="6" w:space="0"/>
              <w:right w:val="single" w:color="000000" w:sz="6" w:space="0"/>
            </w:tcBorders>
            <w:vAlign w:val="center"/>
          </w:tcPr>
          <w:p w:rsidR="00A466CE" w:rsidRDefault="00000000" w14:paraId="5E45D952" w14:textId="77777777">
            <w:pPr>
              <w:tabs>
                <w:tab w:val="left" w:pos="1163"/>
                <w:tab w:val="left" w:pos="1883"/>
              </w:tabs>
              <w:spacing w:after="0" w:line="240" w:lineRule="auto"/>
              <w:ind w:left="353" w:right="-914" w:hanging="1349"/>
              <w:jc w:val="center"/>
              <w:rPr>
                <w:rFonts w:ascii="Times New Roman" w:hAnsi="Times New Roman" w:eastAsia="Times New Roman" w:cs="Times New Roman"/>
              </w:rPr>
            </w:pPr>
            <w:r>
              <w:rPr>
                <w:rFonts w:ascii="Times New Roman" w:hAnsi="Times New Roman" w:eastAsia="Times New Roman" w:cs="Times New Roman"/>
                <w:i/>
              </w:rPr>
              <w:t xml:space="preserve">G’ </w:t>
            </w:r>
            <w:r>
              <w:rPr>
                <w:rFonts w:ascii="Times New Roman" w:hAnsi="Times New Roman" w:eastAsia="Times New Roman" w:cs="Times New Roman"/>
              </w:rPr>
              <w:t>at 1 Hz (Pa), mean ± SD</w:t>
            </w:r>
          </w:p>
        </w:tc>
      </w:tr>
      <w:tr w:rsidR="00A466CE" w14:paraId="1D2BA9BE" w14:textId="77777777">
        <w:trPr>
          <w:trHeight w:val="300"/>
        </w:trPr>
        <w:tc>
          <w:tcPr>
            <w:tcW w:w="1792"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2B514C7D"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0% (Control, shown in main text)</w:t>
            </w:r>
          </w:p>
        </w:tc>
        <w:tc>
          <w:tcPr>
            <w:tcW w:w="5580"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68F02E40"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N/A</w:t>
            </w:r>
          </w:p>
        </w:tc>
        <w:tc>
          <w:tcPr>
            <w:tcW w:w="1170" w:type="dxa"/>
            <w:tcBorders>
              <w:top w:val="single" w:color="000000" w:sz="6" w:space="0"/>
              <w:left w:val="single" w:color="000000" w:sz="6" w:space="0"/>
              <w:bottom w:val="single" w:color="000000" w:sz="6" w:space="0"/>
              <w:right w:val="single" w:color="000000" w:sz="6" w:space="0"/>
            </w:tcBorders>
            <w:vAlign w:val="center"/>
          </w:tcPr>
          <w:p w:rsidR="00A466CE" w:rsidRDefault="00000000" w14:paraId="612B3B18"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N/A</w:t>
            </w:r>
          </w:p>
        </w:tc>
        <w:tc>
          <w:tcPr>
            <w:tcW w:w="2610" w:type="dxa"/>
            <w:tcBorders>
              <w:top w:val="single" w:color="000000" w:sz="6" w:space="0"/>
              <w:left w:val="single" w:color="000000" w:sz="6" w:space="0"/>
              <w:bottom w:val="single" w:color="000000" w:sz="4" w:space="0"/>
              <w:right w:val="single" w:color="000000" w:sz="6" w:space="0"/>
            </w:tcBorders>
            <w:vAlign w:val="center"/>
          </w:tcPr>
          <w:p w:rsidR="00A466CE" w:rsidRDefault="00000000" w14:paraId="5286EC7F" w14:textId="77777777">
            <w:pPr>
              <w:tabs>
                <w:tab w:val="left" w:pos="1163"/>
              </w:tabs>
              <w:spacing w:after="0" w:line="240" w:lineRule="auto"/>
              <w:ind w:right="-914" w:hanging="996"/>
              <w:jc w:val="center"/>
              <w:rPr>
                <w:rFonts w:ascii="Times New Roman" w:hAnsi="Times New Roman" w:eastAsia="Times New Roman" w:cs="Times New Roman"/>
              </w:rPr>
            </w:pPr>
            <w:r>
              <w:rPr>
                <w:rFonts w:ascii="Times New Roman" w:hAnsi="Times New Roman" w:eastAsia="Times New Roman" w:cs="Times New Roman"/>
              </w:rPr>
              <w:t>10.315 ± 2.932</w:t>
            </w:r>
          </w:p>
        </w:tc>
      </w:tr>
      <w:tr w:rsidR="00A466CE" w14:paraId="2763D5C3" w14:textId="77777777">
        <w:trPr>
          <w:trHeight w:val="300"/>
        </w:trPr>
        <w:tc>
          <w:tcPr>
            <w:tcW w:w="1792"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2F1B9D30" w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rPr>
              <w:t>10%</w:t>
            </w:r>
          </w:p>
        </w:tc>
        <w:tc>
          <w:tcPr>
            <w:tcW w:w="5580"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516A18FF" w14:textId="77777777">
            <w:pPr>
              <w:spacing w:after="0" w:line="240" w:lineRule="auto"/>
              <w:jc w:val="center"/>
              <w:rPr>
                <w:rFonts w:ascii="Times New Roman" w:hAnsi="Times New Roman" w:eastAsia="Times New Roman" w:cs="Times New Roman"/>
                <w:i/>
              </w:rPr>
            </w:pPr>
            <w:r>
              <w:rPr>
                <w:rFonts w:ascii="Times New Roman" w:hAnsi="Times New Roman" w:eastAsia="Times New Roman" w:cs="Times New Roman"/>
              </w:rPr>
              <w:t xml:space="preserve">5’ – </w:t>
            </w:r>
            <w:r>
              <w:rPr>
                <w:rFonts w:ascii="Times New Roman" w:hAnsi="Times New Roman" w:eastAsia="Times New Roman" w:cs="Times New Roman"/>
                <w:i/>
              </w:rPr>
              <w:t>TAAAATTTATATAAAATTTTATTAATAAATTTTTATAAACTTAATATATTTCTTAATATAACACGACATATGTAAATTAG</w:t>
            </w:r>
            <w:r>
              <w:rPr>
                <w:rFonts w:ascii="Times New Roman" w:hAnsi="Times New Roman" w:eastAsia="Times New Roman" w:cs="Times New Roman"/>
              </w:rPr>
              <w:t> – 3’</w:t>
            </w:r>
          </w:p>
        </w:tc>
        <w:tc>
          <w:tcPr>
            <w:tcW w:w="1170" w:type="dxa"/>
            <w:tcBorders>
              <w:top w:val="single" w:color="000000" w:sz="6" w:space="0"/>
              <w:left w:val="single" w:color="000000" w:sz="6" w:space="0"/>
              <w:bottom w:val="single" w:color="000000" w:sz="6" w:space="0"/>
              <w:right w:val="single" w:color="000000" w:sz="6" w:space="0"/>
            </w:tcBorders>
            <w:vAlign w:val="center"/>
          </w:tcPr>
          <w:p w:rsidR="00A466CE" w:rsidRDefault="00000000" w14:paraId="6E4DD151"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24,607</w:t>
            </w:r>
          </w:p>
        </w:tc>
        <w:tc>
          <w:tcPr>
            <w:tcW w:w="2610" w:type="dxa"/>
            <w:tcBorders>
              <w:top w:val="single" w:color="000000" w:sz="6" w:space="0"/>
              <w:left w:val="single" w:color="000000" w:sz="6" w:space="0"/>
              <w:bottom w:val="single" w:color="000000" w:sz="4" w:space="0"/>
              <w:right w:val="single" w:color="000000" w:sz="6" w:space="0"/>
            </w:tcBorders>
            <w:vAlign w:val="center"/>
          </w:tcPr>
          <w:p w:rsidR="00A466CE" w:rsidRDefault="00000000" w14:paraId="3A63F2BB" w14:textId="77777777">
            <w:pPr>
              <w:tabs>
                <w:tab w:val="left" w:pos="1163"/>
              </w:tabs>
              <w:spacing w:after="0" w:line="240" w:lineRule="auto"/>
              <w:ind w:right="-914" w:hanging="996"/>
              <w:jc w:val="center"/>
              <w:rPr>
                <w:rFonts w:ascii="Times New Roman" w:hAnsi="Times New Roman" w:eastAsia="Times New Roman" w:cs="Times New Roman"/>
              </w:rPr>
            </w:pPr>
            <w:r>
              <w:rPr>
                <w:rFonts w:ascii="Times New Roman" w:hAnsi="Times New Roman" w:eastAsia="Times New Roman" w:cs="Times New Roman"/>
              </w:rPr>
              <w:t>23.377 ± 2.126</w:t>
            </w:r>
          </w:p>
        </w:tc>
      </w:tr>
      <w:tr w:rsidR="00A466CE" w14:paraId="4768FA57" w14:textId="77777777">
        <w:trPr>
          <w:trHeight w:val="318"/>
        </w:trPr>
        <w:tc>
          <w:tcPr>
            <w:tcW w:w="1792"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3C0C6DE9" w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rPr>
              <w:t>25%</w:t>
            </w:r>
          </w:p>
        </w:tc>
        <w:tc>
          <w:tcPr>
            <w:tcW w:w="5580"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43E155D7" w14:textId="77777777">
            <w:pPr>
              <w:spacing w:after="0" w:line="240" w:lineRule="auto"/>
              <w:jc w:val="center"/>
              <w:rPr>
                <w:rFonts w:ascii="Times New Roman" w:hAnsi="Times New Roman" w:eastAsia="Times New Roman" w:cs="Times New Roman"/>
                <w:i/>
              </w:rPr>
            </w:pPr>
            <w:r>
              <w:rPr>
                <w:rFonts w:ascii="Times New Roman" w:hAnsi="Times New Roman" w:eastAsia="Times New Roman" w:cs="Times New Roman"/>
              </w:rPr>
              <w:t xml:space="preserve">5’ – </w:t>
            </w:r>
            <w:r>
              <w:rPr>
                <w:rFonts w:ascii="Times New Roman" w:hAnsi="Times New Roman" w:eastAsia="Times New Roman" w:cs="Times New Roman"/>
                <w:i/>
              </w:rPr>
              <w:t>AATCTATGCAATATATATATCGACCCAATTTTATATCTCAGTTAAGCTGAGCAGAATGATCTCAATATATTTAAAAATTA</w:t>
            </w:r>
            <w:r>
              <w:rPr>
                <w:rFonts w:ascii="Times New Roman" w:hAnsi="Times New Roman" w:eastAsia="Times New Roman" w:cs="Times New Roman"/>
              </w:rPr>
              <w:t> – 3’</w:t>
            </w:r>
          </w:p>
        </w:tc>
        <w:tc>
          <w:tcPr>
            <w:tcW w:w="1170" w:type="dxa"/>
            <w:tcBorders>
              <w:top w:val="single" w:color="000000" w:sz="6" w:space="0"/>
              <w:left w:val="single" w:color="000000" w:sz="6" w:space="0"/>
              <w:bottom w:val="single" w:color="000000" w:sz="6" w:space="0"/>
              <w:right w:val="single" w:color="000000" w:sz="6" w:space="0"/>
            </w:tcBorders>
            <w:vAlign w:val="center"/>
          </w:tcPr>
          <w:p w:rsidR="00A466CE" w:rsidRDefault="00000000" w14:paraId="36A6FCE9"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24,582</w:t>
            </w:r>
          </w:p>
        </w:tc>
        <w:tc>
          <w:tcPr>
            <w:tcW w:w="2610" w:type="dxa"/>
            <w:tcBorders>
              <w:top w:val="single" w:color="000000" w:sz="4" w:space="0"/>
              <w:left w:val="single" w:color="000000" w:sz="6" w:space="0"/>
              <w:bottom w:val="single" w:color="000000" w:sz="4" w:space="0"/>
              <w:right w:val="single" w:color="000000" w:sz="6" w:space="0"/>
            </w:tcBorders>
            <w:vAlign w:val="center"/>
          </w:tcPr>
          <w:p w:rsidR="00A466CE" w:rsidRDefault="00000000" w14:paraId="3F414E63" w14:textId="77777777">
            <w:pPr>
              <w:tabs>
                <w:tab w:val="left" w:pos="1163"/>
              </w:tabs>
              <w:spacing w:after="0" w:line="240" w:lineRule="auto"/>
              <w:ind w:right="-914" w:hanging="996"/>
              <w:jc w:val="center"/>
              <w:rPr>
                <w:rFonts w:ascii="Times New Roman" w:hAnsi="Times New Roman" w:eastAsia="Times New Roman" w:cs="Times New Roman"/>
              </w:rPr>
            </w:pPr>
            <w:r>
              <w:rPr>
                <w:rFonts w:ascii="Times New Roman" w:hAnsi="Times New Roman" w:eastAsia="Times New Roman" w:cs="Times New Roman"/>
              </w:rPr>
              <w:t>20.770 ± 3.562</w:t>
            </w:r>
          </w:p>
        </w:tc>
      </w:tr>
      <w:tr w:rsidR="00A466CE" w14:paraId="14BFA008" w14:textId="77777777">
        <w:trPr>
          <w:trHeight w:val="318"/>
        </w:trPr>
        <w:tc>
          <w:tcPr>
            <w:tcW w:w="1792"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2158B54C"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50% (shown in main text)</w:t>
            </w:r>
          </w:p>
        </w:tc>
        <w:tc>
          <w:tcPr>
            <w:tcW w:w="5580"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632FE858"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5’ – AATATCTCGCGCGATAGCGATCGACTAGCTGAGCTATGCTAGCAACTGACATACTGAGCTAGCCTGAACGTGACTGAACG – 3’</w:t>
            </w:r>
          </w:p>
        </w:tc>
        <w:tc>
          <w:tcPr>
            <w:tcW w:w="1170" w:type="dxa"/>
            <w:tcBorders>
              <w:top w:val="single" w:color="000000" w:sz="6" w:space="0"/>
              <w:left w:val="single" w:color="000000" w:sz="6" w:space="0"/>
              <w:bottom w:val="single" w:color="000000" w:sz="6" w:space="0"/>
              <w:right w:val="single" w:color="000000" w:sz="6" w:space="0"/>
            </w:tcBorders>
            <w:vAlign w:val="center"/>
          </w:tcPr>
          <w:p w:rsidR="00A466CE" w:rsidRDefault="00000000" w14:paraId="3FF1599A"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24,681</w:t>
            </w:r>
          </w:p>
        </w:tc>
        <w:tc>
          <w:tcPr>
            <w:tcW w:w="2610" w:type="dxa"/>
            <w:tcBorders>
              <w:top w:val="single" w:color="000000" w:sz="4" w:space="0"/>
              <w:left w:val="single" w:color="000000" w:sz="6" w:space="0"/>
              <w:bottom w:val="single" w:color="000000" w:sz="4" w:space="0"/>
              <w:right w:val="single" w:color="000000" w:sz="6" w:space="0"/>
            </w:tcBorders>
            <w:vAlign w:val="center"/>
          </w:tcPr>
          <w:p w:rsidR="00A466CE" w:rsidRDefault="00000000" w14:paraId="2907366C" w14:textId="77777777">
            <w:pPr>
              <w:tabs>
                <w:tab w:val="left" w:pos="1163"/>
              </w:tabs>
              <w:spacing w:after="0" w:line="240" w:lineRule="auto"/>
              <w:ind w:right="-914" w:hanging="996"/>
              <w:jc w:val="center"/>
              <w:rPr>
                <w:rFonts w:ascii="Times New Roman" w:hAnsi="Times New Roman" w:eastAsia="Times New Roman" w:cs="Times New Roman"/>
              </w:rPr>
            </w:pPr>
            <w:r>
              <w:rPr>
                <w:rFonts w:ascii="Times New Roman" w:hAnsi="Times New Roman" w:eastAsia="Times New Roman" w:cs="Times New Roman"/>
              </w:rPr>
              <w:t>24.082 ± 5.316</w:t>
            </w:r>
          </w:p>
        </w:tc>
      </w:tr>
      <w:tr w:rsidR="00A466CE" w14:paraId="1DD90464" w14:textId="77777777">
        <w:trPr>
          <w:trHeight w:val="417"/>
        </w:trPr>
        <w:tc>
          <w:tcPr>
            <w:tcW w:w="1792"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166B21BC" w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rPr>
              <w:t>75%</w:t>
            </w:r>
          </w:p>
        </w:tc>
        <w:tc>
          <w:tcPr>
            <w:tcW w:w="5580"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26F9E012" w14:textId="77777777">
            <w:pPr>
              <w:spacing w:after="0" w:line="240" w:lineRule="auto"/>
              <w:jc w:val="center"/>
              <w:rPr>
                <w:rFonts w:ascii="Times New Roman" w:hAnsi="Times New Roman" w:eastAsia="Times New Roman" w:cs="Times New Roman"/>
                <w:i/>
              </w:rPr>
            </w:pPr>
            <w:r>
              <w:rPr>
                <w:rFonts w:ascii="Times New Roman" w:hAnsi="Times New Roman" w:eastAsia="Times New Roman" w:cs="Times New Roman"/>
              </w:rPr>
              <w:t xml:space="preserve">5’ – </w:t>
            </w:r>
            <w:r>
              <w:rPr>
                <w:rFonts w:ascii="Times New Roman" w:hAnsi="Times New Roman" w:eastAsia="Times New Roman" w:cs="Times New Roman"/>
                <w:i/>
              </w:rPr>
              <w:t>TCCCTATGCGCGCGCGCGCGACCCGGGGACGCGCGCGGCGGCCCGCGGCGCGCGAATGATCTCGAGATCCACACACGGTA</w:t>
            </w:r>
            <w:r>
              <w:rPr>
                <w:rFonts w:ascii="Times New Roman" w:hAnsi="Times New Roman" w:eastAsia="Times New Roman" w:cs="Times New Roman"/>
              </w:rPr>
              <w:t> – 3’</w:t>
            </w:r>
          </w:p>
        </w:tc>
        <w:tc>
          <w:tcPr>
            <w:tcW w:w="1170" w:type="dxa"/>
            <w:tcBorders>
              <w:top w:val="single" w:color="000000" w:sz="6" w:space="0"/>
              <w:left w:val="single" w:color="000000" w:sz="6" w:space="0"/>
              <w:bottom w:val="single" w:color="000000" w:sz="6" w:space="0"/>
              <w:right w:val="single" w:color="000000" w:sz="6" w:space="0"/>
            </w:tcBorders>
            <w:vAlign w:val="center"/>
          </w:tcPr>
          <w:p w:rsidR="00A466CE" w:rsidRDefault="00000000" w14:paraId="5B15E3E9"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24,641</w:t>
            </w:r>
          </w:p>
        </w:tc>
        <w:tc>
          <w:tcPr>
            <w:tcW w:w="2610" w:type="dxa"/>
            <w:tcBorders>
              <w:top w:val="single" w:color="000000" w:sz="4" w:space="0"/>
              <w:left w:val="single" w:color="000000" w:sz="6" w:space="0"/>
              <w:bottom w:val="single" w:color="000000" w:sz="4" w:space="0"/>
              <w:right w:val="single" w:color="000000" w:sz="6" w:space="0"/>
            </w:tcBorders>
            <w:vAlign w:val="center"/>
          </w:tcPr>
          <w:p w:rsidR="00A466CE" w:rsidRDefault="00000000" w14:paraId="71D54585" w14:textId="77777777">
            <w:pPr>
              <w:tabs>
                <w:tab w:val="left" w:pos="1163"/>
              </w:tabs>
              <w:spacing w:after="0" w:line="240" w:lineRule="auto"/>
              <w:ind w:right="-914" w:hanging="996"/>
              <w:jc w:val="center"/>
              <w:rPr>
                <w:rFonts w:ascii="Times New Roman" w:hAnsi="Times New Roman" w:eastAsia="Times New Roman" w:cs="Times New Roman"/>
              </w:rPr>
            </w:pPr>
            <w:r>
              <w:rPr>
                <w:rFonts w:ascii="Times New Roman" w:hAnsi="Times New Roman" w:eastAsia="Times New Roman" w:cs="Times New Roman"/>
              </w:rPr>
              <w:t>27.627 ± 3.123</w:t>
            </w:r>
          </w:p>
        </w:tc>
      </w:tr>
      <w:tr w:rsidR="00A466CE" w14:paraId="2E432C0E" w14:textId="77777777">
        <w:trPr>
          <w:trHeight w:val="65"/>
        </w:trPr>
        <w:tc>
          <w:tcPr>
            <w:tcW w:w="1792"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298A3A95" w14:textId="77777777">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rPr>
              <w:t>90%</w:t>
            </w:r>
          </w:p>
        </w:tc>
        <w:tc>
          <w:tcPr>
            <w:tcW w:w="5580" w:type="dxa"/>
            <w:tcBorders>
              <w:top w:val="single" w:color="000000" w:sz="6" w:space="0"/>
              <w:left w:val="single" w:color="000000" w:sz="6" w:space="0"/>
              <w:bottom w:val="single" w:color="000000" w:sz="6" w:space="0"/>
              <w:right w:val="single" w:color="000000" w:sz="6" w:space="0"/>
            </w:tcBorders>
            <w:shd w:val="clear" w:color="auto" w:fill="auto"/>
            <w:vAlign w:val="center"/>
          </w:tcPr>
          <w:p w:rsidR="00A466CE" w:rsidRDefault="00000000" w14:paraId="36F64032" w14:textId="77777777">
            <w:pPr>
              <w:spacing w:after="0" w:line="240" w:lineRule="auto"/>
              <w:jc w:val="center"/>
              <w:rPr>
                <w:rFonts w:ascii="Times New Roman" w:hAnsi="Times New Roman" w:eastAsia="Times New Roman" w:cs="Times New Roman"/>
                <w:i/>
              </w:rPr>
            </w:pPr>
            <w:r>
              <w:rPr>
                <w:rFonts w:ascii="Times New Roman" w:hAnsi="Times New Roman" w:eastAsia="Times New Roman" w:cs="Times New Roman"/>
              </w:rPr>
              <w:t xml:space="preserve">5’ – </w:t>
            </w:r>
            <w:r>
              <w:rPr>
                <w:rFonts w:ascii="Times New Roman" w:hAnsi="Times New Roman" w:eastAsia="Times New Roman" w:cs="Times New Roman"/>
                <w:i/>
              </w:rPr>
              <w:t>TCCCTATGCGCGCGCGCGCGACCCGGGGACGCGCGCGGCGGCCCGCGGCGCGCGCGCGCGCGCGCGAGCCGCGCACGGCC</w:t>
            </w:r>
            <w:r>
              <w:rPr>
                <w:rFonts w:ascii="Times New Roman" w:hAnsi="Times New Roman" w:eastAsia="Times New Roman" w:cs="Times New Roman"/>
              </w:rPr>
              <w:t> – 3’</w:t>
            </w:r>
          </w:p>
        </w:tc>
        <w:tc>
          <w:tcPr>
            <w:tcW w:w="1170" w:type="dxa"/>
            <w:tcBorders>
              <w:top w:val="single" w:color="000000" w:sz="6" w:space="0"/>
              <w:left w:val="single" w:color="000000" w:sz="6" w:space="0"/>
              <w:bottom w:val="single" w:color="000000" w:sz="6" w:space="0"/>
              <w:right w:val="single" w:color="000000" w:sz="6" w:space="0"/>
            </w:tcBorders>
            <w:vAlign w:val="center"/>
          </w:tcPr>
          <w:p w:rsidR="00A466CE" w:rsidRDefault="00000000" w14:paraId="20097E61"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24,638</w:t>
            </w:r>
          </w:p>
        </w:tc>
        <w:tc>
          <w:tcPr>
            <w:tcW w:w="2610" w:type="dxa"/>
            <w:tcBorders>
              <w:top w:val="single" w:color="000000" w:sz="4" w:space="0"/>
              <w:left w:val="single" w:color="000000" w:sz="6" w:space="0"/>
              <w:bottom w:val="single" w:color="000000" w:sz="6" w:space="0"/>
              <w:right w:val="single" w:color="000000" w:sz="6" w:space="0"/>
            </w:tcBorders>
            <w:vAlign w:val="center"/>
          </w:tcPr>
          <w:p w:rsidR="00A466CE" w:rsidRDefault="00000000" w14:paraId="27421C44" w14:textId="77777777">
            <w:pPr>
              <w:tabs>
                <w:tab w:val="left" w:pos="1163"/>
              </w:tabs>
              <w:spacing w:after="0" w:line="240" w:lineRule="auto"/>
              <w:ind w:right="-914" w:hanging="996"/>
              <w:jc w:val="center"/>
              <w:rPr>
                <w:rFonts w:ascii="Times New Roman" w:hAnsi="Times New Roman" w:eastAsia="Times New Roman" w:cs="Times New Roman"/>
              </w:rPr>
            </w:pPr>
            <w:r>
              <w:rPr>
                <w:rFonts w:ascii="Times New Roman" w:hAnsi="Times New Roman" w:eastAsia="Times New Roman" w:cs="Times New Roman"/>
              </w:rPr>
              <w:t>26.655 ± 1.170</w:t>
            </w:r>
          </w:p>
        </w:tc>
      </w:tr>
    </w:tbl>
    <w:p w:rsidR="00A466CE" w:rsidRDefault="00000000" w14:paraId="61FDD646" w14:textId="1C5EBD0F">
      <w:pPr>
        <w:jc w:val="both"/>
        <w:rPr>
          <w:rFonts w:ascii="Times New Roman" w:hAnsi="Times New Roman" w:eastAsia="Times New Roman" w:cs="Times New Roman"/>
          <w:color w:val="000000"/>
        </w:rPr>
      </w:pPr>
      <w:r w:rsidRPr="68517794" w:rsidR="68517794">
        <w:rPr>
          <w:rFonts w:ascii="Times New Roman" w:hAnsi="Times New Roman" w:eastAsia="Times New Roman" w:cs="Times New Roman"/>
          <w:b w:val="1"/>
          <w:bCs w:val="1"/>
          <w:color w:val="000000" w:themeColor="text1" w:themeTint="FF" w:themeShade="FF"/>
        </w:rPr>
        <w:t xml:space="preserve">Supp. Fig. </w:t>
      </w:r>
      <w:r w:rsidRPr="68517794" w:rsidR="68517794">
        <w:rPr>
          <w:rFonts w:ascii="Times New Roman" w:hAnsi="Times New Roman" w:eastAsia="Times New Roman" w:cs="Times New Roman"/>
          <w:b w:val="1"/>
          <w:bCs w:val="1"/>
        </w:rPr>
        <w:t>4</w:t>
      </w:r>
      <w:r w:rsidRPr="68517794" w:rsidR="68517794">
        <w:rPr>
          <w:rFonts w:ascii="Times New Roman" w:hAnsi="Times New Roman" w:eastAsia="Times New Roman" w:cs="Times New Roman"/>
          <w:color w:val="000000" w:themeColor="text1" w:themeTint="FF" w:themeShade="FF"/>
        </w:rPr>
        <w:t xml:space="preserve"> Our results reveal that among samples with varying GC-content, all exhibited stiffness values within the same range. Shown are the samples of 1.5 mg/ml collagen concentration. This finding is in line with existing research and suggests that the physicochemical properties of these complexes, with respect to their bulk stiffness, remain largely independent of their specific nucleobase sequences. </w:t>
      </w:r>
    </w:p>
    <w:p w:rsidR="00A466CE" w:rsidRDefault="00A466CE" w14:paraId="6AEF07ED" w14:textId="77777777">
      <w:pPr>
        <w:rPr>
          <w:rFonts w:ascii="Times New Roman" w:hAnsi="Times New Roman" w:eastAsia="Times New Roman" w:cs="Times New Roman"/>
        </w:rPr>
      </w:pPr>
    </w:p>
    <w:p w:rsidR="00A466CE" w:rsidRDefault="00000000" w14:paraId="6F0FFB84" w14:textId="77777777">
      <w:pPr>
        <w:jc w:val="both"/>
        <w:rPr>
          <w:rFonts w:ascii="Times New Roman" w:hAnsi="Times New Roman" w:eastAsia="Times New Roman" w:cs="Times New Roman"/>
        </w:rPr>
      </w:pPr>
      <w:r>
        <w:rPr>
          <w:rFonts w:ascii="Times New Roman" w:hAnsi="Times New Roman" w:eastAsia="Times New Roman" w:cs="Times New Roman"/>
          <w:noProof/>
        </w:rPr>
        <w:drawing>
          <wp:inline distT="0" distB="0" distL="0" distR="0" wp14:anchorId="15163A35" wp14:editId="10C3AE7E">
            <wp:extent cx="6858000" cy="2181225"/>
            <wp:effectExtent l="12700" t="12700" r="12700" b="127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858000" cy="2181225"/>
                    </a:xfrm>
                    <a:prstGeom prst="rect">
                      <a:avLst/>
                    </a:prstGeom>
                    <a:ln w="12700">
                      <a:solidFill>
                        <a:srgbClr val="000000"/>
                      </a:solidFill>
                      <a:prstDash val="solid"/>
                    </a:ln>
                  </pic:spPr>
                </pic:pic>
              </a:graphicData>
            </a:graphic>
          </wp:inline>
        </w:drawing>
      </w:r>
      <w:r>
        <w:rPr>
          <w:rFonts w:ascii="Times New Roman" w:hAnsi="Times New Roman" w:eastAsia="Times New Roman" w:cs="Times New Roman"/>
          <w:b/>
        </w:rPr>
        <w:t>Supp. Fig. 5</w:t>
      </w:r>
      <w:r>
        <w:rPr>
          <w:rFonts w:ascii="Times New Roman" w:hAnsi="Times New Roman" w:eastAsia="Times New Roman" w:cs="Times New Roman"/>
        </w:rPr>
        <w:t xml:space="preserve"> Rheological findings from rat-tail collagen. The dominance of </w:t>
      </w:r>
      <w:r>
        <w:rPr>
          <w:rFonts w:ascii="Times New Roman" w:hAnsi="Times New Roman" w:eastAsia="Times New Roman" w:cs="Times New Roman"/>
          <w:i/>
        </w:rPr>
        <w:t>G’</w:t>
      </w:r>
      <w:r>
        <w:rPr>
          <w:rFonts w:ascii="Times New Roman" w:hAnsi="Times New Roman" w:eastAsia="Times New Roman" w:cs="Times New Roman"/>
        </w:rPr>
        <w:t xml:space="preserve"> over </w:t>
      </w:r>
      <w:r>
        <w:rPr>
          <w:rFonts w:ascii="Times New Roman" w:hAnsi="Times New Roman" w:eastAsia="Times New Roman" w:cs="Times New Roman"/>
          <w:i/>
        </w:rPr>
        <w:t>G”</w:t>
      </w:r>
      <w:r>
        <w:rPr>
          <w:rFonts w:ascii="Times New Roman" w:hAnsi="Times New Roman" w:eastAsia="Times New Roman" w:cs="Times New Roman"/>
        </w:rPr>
        <w:t xml:space="preserve"> in the DNA-containing samples indicates the development of a collagen fibril structure. In collagen alone, the relationship of </w:t>
      </w:r>
      <w:r>
        <w:rPr>
          <w:rFonts w:ascii="Times New Roman" w:hAnsi="Times New Roman" w:eastAsia="Times New Roman" w:cs="Times New Roman"/>
          <w:i/>
        </w:rPr>
        <w:t>G’</w:t>
      </w:r>
      <w:r>
        <w:rPr>
          <w:rFonts w:ascii="Times New Roman" w:hAnsi="Times New Roman" w:eastAsia="Times New Roman" w:cs="Times New Roman"/>
        </w:rPr>
        <w:t xml:space="preserve"> with </w:t>
      </w:r>
      <w:r>
        <w:rPr>
          <w:rFonts w:ascii="Times New Roman" w:hAnsi="Times New Roman" w:eastAsia="Times New Roman" w:cs="Times New Roman"/>
          <w:i/>
        </w:rPr>
        <w:t>G”</w:t>
      </w:r>
      <w:r>
        <w:rPr>
          <w:rFonts w:ascii="Times New Roman" w:hAnsi="Times New Roman" w:eastAsia="Times New Roman" w:cs="Times New Roman"/>
        </w:rPr>
        <w:t xml:space="preserve"> is unclear. Values in the grey area of the graph were considered noise. </w:t>
      </w:r>
    </w:p>
    <w:p w:rsidR="00A466CE" w:rsidRDefault="00A466CE" w14:paraId="5330F0DC" w14:textId="77777777">
      <w:pPr>
        <w:jc w:val="both"/>
        <w:rPr>
          <w:rFonts w:ascii="Times New Roman" w:hAnsi="Times New Roman" w:eastAsia="Times New Roman" w:cs="Times New Roman"/>
        </w:rPr>
      </w:pPr>
    </w:p>
    <w:p w:rsidR="00A466CE" w:rsidRDefault="00000000" w14:paraId="17951625" w14:textId="77777777">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noProof/>
        </w:rPr>
        <w:lastRenderedPageBreak/>
        <w:drawing>
          <wp:inline distT="0" distB="0" distL="0" distR="0" wp14:anchorId="3E09C3D5" wp14:editId="17AA94BA">
            <wp:extent cx="6880115" cy="4039979"/>
            <wp:effectExtent l="12700" t="12700" r="12700" b="12700"/>
            <wp:docPr id="9" name="image3.png" descr="A close-up of a black and white im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up of a black and white image&#10;&#10;Description automatically generated"/>
                    <pic:cNvPicPr preferRelativeResize="0"/>
                  </pic:nvPicPr>
                  <pic:blipFill>
                    <a:blip r:embed="rId11"/>
                    <a:srcRect/>
                    <a:stretch>
                      <a:fillRect/>
                    </a:stretch>
                  </pic:blipFill>
                  <pic:spPr>
                    <a:xfrm>
                      <a:off x="0" y="0"/>
                      <a:ext cx="6880115" cy="4039979"/>
                    </a:xfrm>
                    <a:prstGeom prst="rect">
                      <a:avLst/>
                    </a:prstGeom>
                    <a:ln w="12700">
                      <a:solidFill>
                        <a:srgbClr val="000000"/>
                      </a:solidFill>
                      <a:prstDash val="solid"/>
                    </a:ln>
                  </pic:spPr>
                </pic:pic>
              </a:graphicData>
            </a:graphic>
          </wp:inline>
        </w:drawing>
      </w:r>
    </w:p>
    <w:p w:rsidR="00A466CE" w:rsidRDefault="00000000" w14:paraId="4D7F4456" w14:textId="77777777">
      <w:pPr>
        <w:spacing w:after="0" w:line="240" w:lineRule="auto"/>
        <w:jc w:val="both"/>
        <w:rPr>
          <w:rFonts w:ascii="Times New Roman" w:hAnsi="Times New Roman" w:eastAsia="Times New Roman" w:cs="Times New Roman"/>
        </w:rPr>
      </w:pPr>
      <w:r>
        <w:rPr>
          <w:rFonts w:ascii="Times New Roman" w:hAnsi="Times New Roman" w:eastAsia="Times New Roman" w:cs="Times New Roman"/>
          <w:b/>
        </w:rPr>
        <w:t>Supp. Fig. 6</w:t>
      </w:r>
      <w:r>
        <w:rPr>
          <w:rFonts w:ascii="Times New Roman" w:hAnsi="Times New Roman" w:eastAsia="Times New Roman" w:cs="Times New Roman"/>
        </w:rPr>
        <w:t xml:space="preserve"> Representative confocal reflectance images of rat-tail type 1 collagen, 2.5 mg/ml </w:t>
      </w:r>
      <w:r>
        <w:rPr>
          <w:rFonts w:ascii="Times New Roman" w:hAnsi="Times New Roman" w:eastAsia="Times New Roman" w:cs="Times New Roman"/>
          <w:b/>
        </w:rPr>
        <w:t>(a)</w:t>
      </w:r>
      <w:r>
        <w:rPr>
          <w:rFonts w:ascii="Times New Roman" w:hAnsi="Times New Roman" w:eastAsia="Times New Roman" w:cs="Times New Roman"/>
        </w:rPr>
        <w:t xml:space="preserve"> No structures are visible due to the liquid-dominant nature at that concentration </w:t>
      </w:r>
      <w:r>
        <w:rPr>
          <w:rFonts w:ascii="Times New Roman" w:hAnsi="Times New Roman" w:eastAsia="Times New Roman" w:cs="Times New Roman"/>
          <w:b/>
        </w:rPr>
        <w:t>(b)</w:t>
      </w:r>
      <w:r>
        <w:rPr>
          <w:rFonts w:ascii="Times New Roman" w:hAnsi="Times New Roman" w:eastAsia="Times New Roman" w:cs="Times New Roman"/>
        </w:rPr>
        <w:t xml:space="preserve"> A clear induction of sheet-like fibril formation is demonstrated upon addition of ssDNA. Findings show that DNA induces the formation of a fibrous sheet, revealing that the addition of DNA leads to the emergence of a network that was previously non-existent in the absence of DNA. This observation aligns with our rheological finding, highlighting the transition from a liquid-phase dominance to a gel-like behavior.  </w:t>
      </w:r>
    </w:p>
    <w:p w:rsidR="00A466CE" w:rsidRDefault="00A466CE" w14:paraId="266D683E" w14:textId="77777777">
      <w:pPr>
        <w:spacing w:after="0" w:line="240" w:lineRule="auto"/>
        <w:jc w:val="both"/>
        <w:rPr>
          <w:rFonts w:ascii="Times New Roman" w:hAnsi="Times New Roman" w:eastAsia="Times New Roman" w:cs="Times New Roman"/>
        </w:rPr>
      </w:pPr>
    </w:p>
    <w:sectPr w:rsidR="00A466CE">
      <w:headerReference w:type="default" r:id="rId12"/>
      <w:footerReference w:type="default" r:id="rId13"/>
      <w:pgSz w:w="12240" w:h="15840" w:orient="portrait"/>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01EA" w:rsidRDefault="00E701EA" w14:paraId="6E25FD3B" w14:textId="77777777">
      <w:pPr>
        <w:spacing w:after="0" w:line="240" w:lineRule="auto"/>
      </w:pPr>
      <w:r>
        <w:separator/>
      </w:r>
    </w:p>
  </w:endnote>
  <w:endnote w:type="continuationSeparator" w:id="0">
    <w:p w:rsidR="00E701EA" w:rsidRDefault="00E701EA" w14:paraId="7A86DFC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66CE" w:rsidRDefault="00A466CE" w14:paraId="3074A04C" w14:textId="77777777">
    <w:pPr>
      <w:widowControl w:val="0"/>
      <w:pBdr>
        <w:top w:val="nil"/>
        <w:left w:val="nil"/>
        <w:bottom w:val="nil"/>
        <w:right w:val="nil"/>
        <w:between w:val="nil"/>
      </w:pBdr>
      <w:spacing w:after="0" w:line="276" w:lineRule="auto"/>
      <w:rPr>
        <w:color w:val="000000"/>
      </w:rPr>
    </w:pPr>
  </w:p>
  <w:tbl>
    <w:tblPr>
      <w:tblStyle w:val="1"/>
      <w:tblW w:w="10800" w:type="dxa"/>
      <w:tblLayout w:type="fixed"/>
      <w:tblLook w:val="0600" w:firstRow="0" w:lastRow="0" w:firstColumn="0" w:lastColumn="0" w:noHBand="1" w:noVBand="1"/>
    </w:tblPr>
    <w:tblGrid>
      <w:gridCol w:w="3600"/>
      <w:gridCol w:w="3600"/>
      <w:gridCol w:w="3600"/>
    </w:tblGrid>
    <w:tr w:rsidR="00A466CE" w14:paraId="6688017B" w14:textId="77777777">
      <w:trPr>
        <w:trHeight w:val="300"/>
      </w:trPr>
      <w:tc>
        <w:tcPr>
          <w:tcW w:w="3600" w:type="dxa"/>
        </w:tcPr>
        <w:p w:rsidR="00A466CE" w:rsidRDefault="00A466CE" w14:paraId="05363DE8" w14:textId="77777777">
          <w:pPr>
            <w:pBdr>
              <w:top w:val="nil"/>
              <w:left w:val="nil"/>
              <w:bottom w:val="nil"/>
              <w:right w:val="nil"/>
              <w:between w:val="nil"/>
            </w:pBdr>
            <w:tabs>
              <w:tab w:val="center" w:pos="4680"/>
              <w:tab w:val="right" w:pos="9360"/>
            </w:tabs>
            <w:spacing w:after="0" w:line="240" w:lineRule="auto"/>
            <w:ind w:left="-115"/>
            <w:rPr>
              <w:color w:val="000000"/>
            </w:rPr>
          </w:pPr>
        </w:p>
      </w:tc>
      <w:tc>
        <w:tcPr>
          <w:tcW w:w="3600" w:type="dxa"/>
        </w:tcPr>
        <w:p w:rsidR="00A466CE" w:rsidRDefault="00A466CE" w14:paraId="0CF1ACE6" w14:textId="77777777">
          <w:pPr>
            <w:pBdr>
              <w:top w:val="nil"/>
              <w:left w:val="nil"/>
              <w:bottom w:val="nil"/>
              <w:right w:val="nil"/>
              <w:between w:val="nil"/>
            </w:pBdr>
            <w:tabs>
              <w:tab w:val="center" w:pos="4680"/>
              <w:tab w:val="right" w:pos="9360"/>
            </w:tabs>
            <w:spacing w:after="0" w:line="240" w:lineRule="auto"/>
            <w:jc w:val="center"/>
            <w:rPr>
              <w:color w:val="000000"/>
            </w:rPr>
          </w:pPr>
        </w:p>
      </w:tc>
      <w:tc>
        <w:tcPr>
          <w:tcW w:w="3600" w:type="dxa"/>
        </w:tcPr>
        <w:p w:rsidR="00A466CE" w:rsidRDefault="00000000" w14:paraId="2E82AF33" w14:textId="77777777">
          <w:pPr>
            <w:pBdr>
              <w:top w:val="nil"/>
              <w:left w:val="nil"/>
              <w:bottom w:val="nil"/>
              <w:right w:val="nil"/>
              <w:between w:val="nil"/>
            </w:pBdr>
            <w:tabs>
              <w:tab w:val="center" w:pos="4680"/>
              <w:tab w:val="right" w:pos="9360"/>
            </w:tabs>
            <w:spacing w:after="0" w:line="240" w:lineRule="auto"/>
            <w:ind w:right="-115"/>
            <w:jc w:val="right"/>
            <w:rPr>
              <w:color w:val="000000"/>
            </w:rPr>
          </w:pPr>
          <w:r>
            <w:rPr>
              <w:color w:val="000000"/>
            </w:rPr>
            <w:fldChar w:fldCharType="begin"/>
          </w:r>
          <w:r>
            <w:rPr>
              <w:color w:val="000000"/>
            </w:rPr>
            <w:instrText>PAGE</w:instrText>
          </w:r>
          <w:r>
            <w:rPr>
              <w:color w:val="000000"/>
            </w:rPr>
            <w:fldChar w:fldCharType="separate"/>
          </w:r>
          <w:r w:rsidR="001450DC">
            <w:rPr>
              <w:noProof/>
              <w:color w:val="000000"/>
            </w:rPr>
            <w:t>1</w:t>
          </w:r>
          <w:r>
            <w:rPr>
              <w:color w:val="000000"/>
            </w:rPr>
            <w:fldChar w:fldCharType="end"/>
          </w:r>
        </w:p>
      </w:tc>
    </w:tr>
  </w:tbl>
  <w:p w:rsidR="00A466CE" w:rsidRDefault="00A466CE" w14:paraId="0AADB03E"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01EA" w:rsidRDefault="00E701EA" w14:paraId="1A16D8FB" w14:textId="77777777">
      <w:pPr>
        <w:spacing w:after="0" w:line="240" w:lineRule="auto"/>
      </w:pPr>
      <w:r>
        <w:separator/>
      </w:r>
    </w:p>
  </w:footnote>
  <w:footnote w:type="continuationSeparator" w:id="0">
    <w:p w:rsidR="00E701EA" w:rsidRDefault="00E701EA" w14:paraId="75CEC2E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66CE" w:rsidRDefault="00A466CE" w14:paraId="7D17C130" w14:textId="77777777">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6CE"/>
    <w:rsid w:val="001450DC"/>
    <w:rsid w:val="00A466CE"/>
    <w:rsid w:val="00E701EA"/>
    <w:rsid w:val="68517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49A8DC"/>
  <w15:docId w15:val="{61CF5ECB-E60F-6847-8E60-79B17B24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4" w:customStyle="1">
    <w:name w:val="4"/>
    <w:basedOn w:val="TableNormal"/>
    <w:tblPr>
      <w:tblStyleRowBandSize w:val="1"/>
      <w:tblStyleColBandSize w:val="1"/>
      <w:tblCellMar>
        <w:left w:w="0" w:type="dxa"/>
        <w:right w:w="0" w:type="dxa"/>
      </w:tblCellMar>
    </w:tblPr>
  </w:style>
  <w:style w:type="table" w:styleId="3" w:customStyle="1">
    <w:name w:val="3"/>
    <w:basedOn w:val="TableNormal"/>
    <w:tblPr>
      <w:tblStyleRowBandSize w:val="1"/>
      <w:tblStyleColBandSize w:val="1"/>
      <w:tblCellMar>
        <w:left w:w="115" w:type="dxa"/>
        <w:right w:w="115" w:type="dxa"/>
      </w:tblCellMar>
    </w:tblPr>
  </w:style>
  <w:style w:type="table" w:styleId="2" w:customStyle="1">
    <w:name w:val="2"/>
    <w:basedOn w:val="TableNormal"/>
    <w:tblPr>
      <w:tblStyleRowBandSize w:val="1"/>
      <w:tblStyleColBandSize w:val="1"/>
      <w:tblCellMar>
        <w:left w:w="115" w:type="dxa"/>
        <w:right w:w="115" w:type="dxa"/>
      </w:tblCellMar>
    </w:tblPr>
  </w:style>
  <w:style w:type="table" w:styleId="1" w:customStyle="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1QMJnGjO4Mhvuj8uASHJLP8BbA==">CgMxLjAyCGguejMzN3lhOAByGWlkOk92WDdEZHZvUG5BQUFBQUFBQVBuamc=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Nikolaos Pipis</lastModifiedBy>
  <revision>2</revision>
  <dcterms:created xsi:type="dcterms:W3CDTF">2024-04-07T13:22:00.0000000Z</dcterms:created>
  <dcterms:modified xsi:type="dcterms:W3CDTF">2024-04-07T15:46:44.8229471Z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f27899a972a56e9c189f64cd66156a817f2d8cca5374c22e26d9989d97feb8a9</vt:lpwstr>
  </property>
  <property fmtid="{D5CDD505-2E9C-101B-9397-08002B2CF9AE}" pid="3" name="grammarly_documentId">
    <vt:lpwstr>documentId_8738</vt:lpwstr>
  </property>
  <property fmtid="{D5CDD505-2E9C-101B-9397-08002B2CF9AE}" pid="4" name="grammarly_documentContext">
    <vt:lpwstr>{"goals":[],"domain":"general","emotions":[],"dialect":"american"}</vt:lpwstr>
  </property>
  <property fmtid="{D5CDD505-2E9C-101B-9397-08002B2CF9AE}" pid="5" name="ContentTypeId">
    <vt:lpwstr>0x01010095824AF0B6B59047BF31833C5D3F1953</vt:lpwstr>
  </property>
</Properties>
</file>