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27" w:rsidRPr="00386D20" w:rsidRDefault="00695C27" w:rsidP="00695C27">
      <w:pPr>
        <w:pageBreakBefore/>
        <w:spacing w:after="0" w:line="360" w:lineRule="auto"/>
        <w:contextualSpacing/>
      </w:pPr>
      <w:r w:rsidRPr="00386D20">
        <w:rPr>
          <w:rFonts w:cs="Times New Roman"/>
          <w:b/>
          <w:sz w:val="24"/>
          <w:szCs w:val="24"/>
        </w:rPr>
        <w:t>Supplementary figures and captions</w:t>
      </w:r>
    </w:p>
    <w:p w:rsidR="00695C27" w:rsidRPr="00386D20" w:rsidRDefault="00695C27" w:rsidP="00695C27">
      <w:pPr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drawing>
          <wp:inline distT="0" distB="0" distL="0" distR="0" wp14:anchorId="07164D5F" wp14:editId="7DA2F426">
            <wp:extent cx="4587875" cy="24911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76" r="-41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2491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>Supplementary Fig. 1. 3D model of IL-1R.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 xml:space="preserve">(a) </w:t>
      </w:r>
      <w:r w:rsidRPr="00386D20">
        <w:rPr>
          <w:rFonts w:cs="Times New Roman"/>
          <w:bCs/>
          <w:sz w:val="24"/>
          <w:szCs w:val="24"/>
        </w:rPr>
        <w:t>Charge distribution of the IL-1R reveals the anionic patch outside of the binding site (red dashed circle).</w:t>
      </w:r>
    </w:p>
    <w:p w:rsidR="00695C27" w:rsidRPr="00386D20" w:rsidRDefault="00695C27" w:rsidP="00695C27">
      <w:pPr>
        <w:spacing w:after="0" w:line="360" w:lineRule="auto"/>
        <w:contextualSpacing/>
      </w:pPr>
      <w:r w:rsidRPr="00386D20">
        <w:rPr>
          <w:rFonts w:cs="Times New Roman"/>
          <w:b/>
          <w:bCs/>
          <w:sz w:val="24"/>
          <w:szCs w:val="24"/>
        </w:rPr>
        <w:t xml:space="preserve">(b) </w:t>
      </w:r>
      <w:r w:rsidRPr="00386D20">
        <w:rPr>
          <w:rFonts w:cs="Times New Roman"/>
          <w:bCs/>
          <w:sz w:val="24"/>
          <w:szCs w:val="24"/>
        </w:rPr>
        <w:t>Cationic dendrimer is able to interact with the anionic patch of the IL-1R but does not hinder the IL-1RA – IL-1R binding (red dashed line).</w:t>
      </w:r>
      <w:r w:rsidRPr="00386D20">
        <w:rPr>
          <w:rFonts w:cs="Times New Roman"/>
          <w:b/>
          <w:sz w:val="24"/>
          <w:szCs w:val="24"/>
        </w:rPr>
        <w:t xml:space="preserve"> </w:t>
      </w:r>
    </w:p>
    <w:p w:rsidR="00695C27" w:rsidRPr="00386D20" w:rsidRDefault="00695C27" w:rsidP="00695C27">
      <w:pPr>
        <w:pageBreakBefore/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lastRenderedPageBreak/>
        <w:drawing>
          <wp:inline distT="0" distB="0" distL="0" distR="0" wp14:anchorId="6F7D504F" wp14:editId="357EE64E">
            <wp:extent cx="5959475" cy="48558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40" r="-32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4855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>Supplementary Fig. 2. Synthesis and characterization of Ac-dend-IL1RA.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 xml:space="preserve">(a) </w:t>
      </w:r>
      <w:r w:rsidRPr="00386D20">
        <w:rPr>
          <w:rFonts w:cs="Times New Roman"/>
          <w:bCs/>
          <w:sz w:val="24"/>
          <w:szCs w:val="24"/>
        </w:rPr>
        <w:t xml:space="preserve">Primary amine groups are acetylated by reacting with acetic anhydride under anhydrous condition in methanol at room temperature. The byproducts are reacted with </w:t>
      </w:r>
      <w:proofErr w:type="spellStart"/>
      <w:r w:rsidRPr="00386D20">
        <w:rPr>
          <w:rFonts w:cs="Times New Roman"/>
          <w:bCs/>
          <w:sz w:val="24"/>
          <w:szCs w:val="24"/>
        </w:rPr>
        <w:t>triethylamine</w:t>
      </w:r>
      <w:proofErr w:type="spellEnd"/>
      <w:r w:rsidRPr="00386D20">
        <w:rPr>
          <w:rFonts w:cs="Times New Roman"/>
          <w:bCs/>
          <w:sz w:val="24"/>
          <w:szCs w:val="24"/>
        </w:rPr>
        <w:t xml:space="preserve"> and removed by forming volatile salt.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 xml:space="preserve">(b) </w:t>
      </w:r>
      <w:r w:rsidRPr="00386D20">
        <w:rPr>
          <w:rFonts w:cs="Times New Roman"/>
          <w:bCs/>
          <w:sz w:val="24"/>
          <w:szCs w:val="24"/>
        </w:rPr>
        <w:t xml:space="preserve">Purification of Ac-dend-IL1RA using 5x PBS and ultrafiltration is confirmed by SDS-PAGE. </w:t>
      </w:r>
    </w:p>
    <w:p w:rsidR="00695C27" w:rsidRPr="00386D20" w:rsidRDefault="00695C27" w:rsidP="00695C27">
      <w:pPr>
        <w:spacing w:after="0" w:line="360" w:lineRule="auto"/>
        <w:contextualSpacing/>
      </w:pPr>
      <w:r w:rsidRPr="00386D20">
        <w:rPr>
          <w:rFonts w:cs="Times New Roman"/>
          <w:b/>
          <w:bCs/>
          <w:sz w:val="24"/>
          <w:szCs w:val="24"/>
        </w:rPr>
        <w:t xml:space="preserve">(c) </w:t>
      </w:r>
      <w:r w:rsidRPr="00386D20">
        <w:rPr>
          <w:rFonts w:cs="Times New Roman"/>
          <w:bCs/>
          <w:sz w:val="24"/>
          <w:szCs w:val="24"/>
          <w:vertAlign w:val="superscript"/>
        </w:rPr>
        <w:t>1</w:t>
      </w:r>
      <w:r w:rsidRPr="00386D20">
        <w:rPr>
          <w:rFonts w:cs="Times New Roman"/>
          <w:bCs/>
          <w:sz w:val="24"/>
          <w:szCs w:val="24"/>
        </w:rPr>
        <w:t>H NMR spectrum of acetylated dendrimer shows successful acetylation. Dendrimer methylene (δ 2.39-2.44; gray peak), acetyl group (δ 1.90-2.10; yellow peak).</w:t>
      </w:r>
    </w:p>
    <w:p w:rsidR="00695C27" w:rsidRPr="00386D20" w:rsidRDefault="00695C27" w:rsidP="00695C27">
      <w:pPr>
        <w:pageBreakBefore/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lastRenderedPageBreak/>
        <w:drawing>
          <wp:inline distT="0" distB="0" distL="0" distR="0" wp14:anchorId="6055FEB3" wp14:editId="5E18F3FD">
            <wp:extent cx="5959475" cy="22390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" t="-85" r="-32" b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2239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Cs/>
          <w:sz w:val="24"/>
          <w:szCs w:val="24"/>
          <w:lang w:val="el-GR"/>
        </w:rPr>
      </w:pPr>
      <w:r w:rsidRPr="00386D20">
        <w:rPr>
          <w:rFonts w:cs="Times New Roman"/>
          <w:b/>
          <w:bCs/>
          <w:sz w:val="24"/>
          <w:szCs w:val="24"/>
        </w:rPr>
        <w:t xml:space="preserve">Supplementary Fig. 3. Removal of medial meniscus is confirmed by </w:t>
      </w:r>
      <w:r w:rsidRPr="00386D20">
        <w:rPr>
          <w:rFonts w:cs="Times New Roman"/>
          <w:b/>
          <w:bCs/>
          <w:sz w:val="24"/>
          <w:szCs w:val="24"/>
          <w:lang w:val="el-GR"/>
        </w:rPr>
        <w:t>μ</w:t>
      </w:r>
      <w:r w:rsidRPr="00386D20">
        <w:rPr>
          <w:rFonts w:cs="Times New Roman"/>
          <w:b/>
          <w:bCs/>
          <w:sz w:val="24"/>
          <w:szCs w:val="24"/>
        </w:rPr>
        <w:t>CT.</w:t>
      </w:r>
    </w:p>
    <w:p w:rsidR="00695C27" w:rsidRPr="00386D20" w:rsidRDefault="00695C27" w:rsidP="00695C27">
      <w:pPr>
        <w:spacing w:after="0" w:line="360" w:lineRule="auto"/>
        <w:contextualSpacing/>
      </w:pPr>
      <w:r w:rsidRPr="00386D20">
        <w:rPr>
          <w:rFonts w:cs="Times New Roman"/>
          <w:bCs/>
          <w:sz w:val="24"/>
          <w:szCs w:val="24"/>
          <w:lang w:val="el-GR"/>
        </w:rPr>
        <w:t>μ</w:t>
      </w:r>
      <w:r w:rsidRPr="00386D20">
        <w:rPr>
          <w:rFonts w:cs="Times New Roman"/>
          <w:bCs/>
          <w:sz w:val="24"/>
          <w:szCs w:val="24"/>
        </w:rPr>
        <w:t>CT image taken after the surgery is missing medial meniscus while the healthy knee joint has intact medial meniscus.</w:t>
      </w:r>
    </w:p>
    <w:p w:rsidR="00695C27" w:rsidRPr="00386D20" w:rsidRDefault="00695C27" w:rsidP="00695C27">
      <w:pPr>
        <w:pageBreakBefore/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lastRenderedPageBreak/>
        <w:drawing>
          <wp:inline distT="0" distB="0" distL="0" distR="0" wp14:anchorId="7E551E60" wp14:editId="227B578A">
            <wp:extent cx="4618990" cy="16236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117" r="-41" b="-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1623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>Supplementary Fig. 4. Confirmation of enhanced retention of the dendrimer formulation during the therapeutic efficacy study.</w:t>
      </w:r>
    </w:p>
    <w:p w:rsidR="00695C27" w:rsidRPr="00386D20" w:rsidRDefault="00695C27" w:rsidP="00695C27">
      <w:pPr>
        <w:spacing w:after="0" w:line="360" w:lineRule="auto"/>
        <w:contextualSpacing/>
      </w:pPr>
      <w:r w:rsidRPr="00386D20">
        <w:rPr>
          <w:rFonts w:cs="Times New Roman"/>
          <w:bCs/>
          <w:sz w:val="24"/>
          <w:szCs w:val="24"/>
        </w:rPr>
        <w:t xml:space="preserve">Fluorescence signals from both of the dendrimer formulations are detected after 7 days post-injection while the free proteins were cleared from the joint space. </w:t>
      </w:r>
    </w:p>
    <w:p w:rsidR="00695C27" w:rsidRPr="00386D20" w:rsidRDefault="00695C27" w:rsidP="00695C27">
      <w:pPr>
        <w:pageBreakBefore/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lastRenderedPageBreak/>
        <w:drawing>
          <wp:inline distT="0" distB="0" distL="0" distR="0" wp14:anchorId="70DA1CFA" wp14:editId="7A968679">
            <wp:extent cx="4618990" cy="51238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" t="-37" r="-4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5123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>Supplementary Fig. 5. H&amp;E staining confirms reduced synovitis in OA knee synovium when treated with dend-IL1RA.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sz w:val="24"/>
          <w:szCs w:val="24"/>
        </w:rPr>
      </w:pPr>
      <w:r w:rsidRPr="00386D20">
        <w:rPr>
          <w:rFonts w:cs="Times New Roman"/>
          <w:bCs/>
          <w:sz w:val="24"/>
          <w:szCs w:val="24"/>
        </w:rPr>
        <w:t xml:space="preserve">Anti-inflammatory efficacy of dend-IL1RA is able to reduce inflammation in synovium of OA knee compared to other treatments. Scale bar, 200 </w:t>
      </w:r>
      <w:r w:rsidRPr="00386D20">
        <w:rPr>
          <w:rFonts w:cs="Times New Roman"/>
          <w:bCs/>
          <w:sz w:val="24"/>
          <w:szCs w:val="24"/>
          <w:lang w:val="el-GR"/>
        </w:rPr>
        <w:t>μ</w:t>
      </w:r>
      <w:r w:rsidRPr="00386D20">
        <w:rPr>
          <w:rFonts w:cs="Times New Roman"/>
          <w:bCs/>
          <w:sz w:val="24"/>
          <w:szCs w:val="24"/>
        </w:rPr>
        <w:t>m.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sz w:val="24"/>
          <w:szCs w:val="24"/>
        </w:rPr>
      </w:pP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sz w:val="24"/>
          <w:szCs w:val="24"/>
        </w:rPr>
      </w:pPr>
    </w:p>
    <w:p w:rsidR="00695C27" w:rsidRPr="00386D20" w:rsidRDefault="00695C27" w:rsidP="00695C27">
      <w:pPr>
        <w:pageBreakBefore/>
        <w:spacing w:after="0" w:line="36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386D20">
        <w:rPr>
          <w:noProof/>
          <w:lang w:eastAsia="en-US"/>
        </w:rPr>
        <w:lastRenderedPageBreak/>
        <w:drawing>
          <wp:inline distT="0" distB="0" distL="0" distR="0" wp14:anchorId="7BB1C045" wp14:editId="6D2A220E">
            <wp:extent cx="5864860" cy="18916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89" r="-29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189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bookmarkStart w:id="0" w:name="_GoBack"/>
      <w:r w:rsidRPr="00386D20">
        <w:rPr>
          <w:rFonts w:cs="Times New Roman"/>
          <w:b/>
          <w:bCs/>
          <w:sz w:val="24"/>
          <w:szCs w:val="24"/>
        </w:rPr>
        <w:t>Supplementary</w:t>
      </w:r>
      <w:bookmarkEnd w:id="0"/>
      <w:r w:rsidRPr="00386D20">
        <w:rPr>
          <w:rFonts w:cs="Times New Roman"/>
          <w:b/>
          <w:bCs/>
          <w:sz w:val="24"/>
          <w:szCs w:val="24"/>
        </w:rPr>
        <w:t xml:space="preserve"> Fig. 6. Histopathology of the </w:t>
      </w:r>
      <w:proofErr w:type="spellStart"/>
      <w:r w:rsidRPr="00386D20">
        <w:rPr>
          <w:rFonts w:cs="Times New Roman"/>
          <w:b/>
          <w:bCs/>
          <w:sz w:val="24"/>
          <w:szCs w:val="24"/>
        </w:rPr>
        <w:t>tibial</w:t>
      </w:r>
      <w:proofErr w:type="spellEnd"/>
      <w:r w:rsidRPr="00386D20">
        <w:rPr>
          <w:rFonts w:cs="Times New Roman"/>
          <w:b/>
          <w:bCs/>
          <w:sz w:val="24"/>
          <w:szCs w:val="24"/>
        </w:rPr>
        <w:t xml:space="preserve"> articular cartilage.</w:t>
      </w:r>
    </w:p>
    <w:p w:rsidR="00695C27" w:rsidRPr="00386D20" w:rsidRDefault="00695C27" w:rsidP="00695C27">
      <w:pPr>
        <w:spacing w:after="0" w:line="360" w:lineRule="auto"/>
        <w:contextualSpacing/>
        <w:rPr>
          <w:rFonts w:cs="Times New Roman"/>
          <w:b/>
          <w:bCs/>
          <w:sz w:val="24"/>
          <w:szCs w:val="24"/>
        </w:rPr>
      </w:pPr>
      <w:r w:rsidRPr="00386D20">
        <w:rPr>
          <w:rFonts w:cs="Times New Roman"/>
          <w:b/>
          <w:bCs/>
          <w:sz w:val="24"/>
          <w:szCs w:val="24"/>
        </w:rPr>
        <w:t xml:space="preserve">(a) </w:t>
      </w:r>
      <w:r w:rsidRPr="00386D20">
        <w:rPr>
          <w:rFonts w:cs="Times New Roman"/>
          <w:sz w:val="24"/>
          <w:szCs w:val="24"/>
        </w:rPr>
        <w:t xml:space="preserve">The area of degeneration (white box) of the medial </w:t>
      </w:r>
      <w:proofErr w:type="spellStart"/>
      <w:r w:rsidRPr="00386D20">
        <w:rPr>
          <w:rFonts w:cs="Times New Roman"/>
          <w:sz w:val="24"/>
          <w:szCs w:val="24"/>
        </w:rPr>
        <w:t>tibial</w:t>
      </w:r>
      <w:proofErr w:type="spellEnd"/>
      <w:r w:rsidRPr="00386D20">
        <w:rPr>
          <w:rFonts w:cs="Times New Roman"/>
          <w:sz w:val="24"/>
          <w:szCs w:val="24"/>
        </w:rPr>
        <w:t xml:space="preserve"> articular cartilage (dashed box) is observed for evaluating the severity of the damaged as the result of OA progression. Scale bar, 500 </w:t>
      </w:r>
      <w:proofErr w:type="spellStart"/>
      <w:r w:rsidRPr="00386D20">
        <w:rPr>
          <w:rFonts w:cs="Times New Roman"/>
          <w:sz w:val="24"/>
          <w:szCs w:val="24"/>
        </w:rPr>
        <w:t>μm</w:t>
      </w:r>
      <w:proofErr w:type="spellEnd"/>
      <w:r w:rsidRPr="00386D20">
        <w:rPr>
          <w:rFonts w:cs="Times New Roman"/>
          <w:sz w:val="24"/>
          <w:szCs w:val="24"/>
        </w:rPr>
        <w:t>.</w:t>
      </w:r>
    </w:p>
    <w:p w:rsidR="00695C27" w:rsidRDefault="00695C27" w:rsidP="00695C27">
      <w:pPr>
        <w:spacing w:after="0" w:line="360" w:lineRule="auto"/>
        <w:contextualSpacing/>
      </w:pPr>
      <w:r w:rsidRPr="00386D20">
        <w:rPr>
          <w:rFonts w:cs="Times New Roman"/>
          <w:b/>
          <w:bCs/>
          <w:sz w:val="24"/>
          <w:szCs w:val="24"/>
        </w:rPr>
        <w:t xml:space="preserve">(b) </w:t>
      </w:r>
      <w:r w:rsidRPr="00386D20">
        <w:rPr>
          <w:rFonts w:cs="Times New Roman"/>
          <w:sz w:val="24"/>
          <w:szCs w:val="24"/>
        </w:rPr>
        <w:t xml:space="preserve">Representative toluidine blue/fast green images of medial </w:t>
      </w:r>
      <w:proofErr w:type="spellStart"/>
      <w:r w:rsidRPr="00386D20">
        <w:rPr>
          <w:rFonts w:cs="Times New Roman"/>
          <w:sz w:val="24"/>
          <w:szCs w:val="24"/>
        </w:rPr>
        <w:t>tibial</w:t>
      </w:r>
      <w:proofErr w:type="spellEnd"/>
      <w:r w:rsidRPr="00386D20">
        <w:rPr>
          <w:rFonts w:cs="Times New Roman"/>
          <w:sz w:val="24"/>
          <w:szCs w:val="24"/>
        </w:rPr>
        <w:t xml:space="preserve"> articular cartilage. The free protein treated groups showed severe damage to the cartilage. Scale bar, 500 </w:t>
      </w:r>
      <w:proofErr w:type="spellStart"/>
      <w:r w:rsidRPr="00386D20">
        <w:rPr>
          <w:rFonts w:cs="Times New Roman"/>
          <w:sz w:val="24"/>
          <w:szCs w:val="24"/>
        </w:rPr>
        <w:t>μm</w:t>
      </w:r>
      <w:proofErr w:type="spellEnd"/>
      <w:r w:rsidRPr="00386D20">
        <w:rPr>
          <w:rFonts w:cs="Times New Roman"/>
          <w:sz w:val="24"/>
          <w:szCs w:val="24"/>
        </w:rPr>
        <w:t>.</w:t>
      </w:r>
    </w:p>
    <w:p w:rsidR="00E22831" w:rsidRDefault="00695C27"/>
    <w:sectPr w:rsidR="00E22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92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27"/>
    <w:rsid w:val="000021CE"/>
    <w:rsid w:val="00005932"/>
    <w:rsid w:val="00007E05"/>
    <w:rsid w:val="00012EA3"/>
    <w:rsid w:val="00012F01"/>
    <w:rsid w:val="00014812"/>
    <w:rsid w:val="00017E46"/>
    <w:rsid w:val="000201D7"/>
    <w:rsid w:val="00021314"/>
    <w:rsid w:val="0002571B"/>
    <w:rsid w:val="00026520"/>
    <w:rsid w:val="00027443"/>
    <w:rsid w:val="000300A6"/>
    <w:rsid w:val="0003125C"/>
    <w:rsid w:val="00031693"/>
    <w:rsid w:val="00034242"/>
    <w:rsid w:val="00035314"/>
    <w:rsid w:val="00042E21"/>
    <w:rsid w:val="00045239"/>
    <w:rsid w:val="0005025D"/>
    <w:rsid w:val="00061B6E"/>
    <w:rsid w:val="000651A5"/>
    <w:rsid w:val="000667C7"/>
    <w:rsid w:val="00070C3B"/>
    <w:rsid w:val="0007237A"/>
    <w:rsid w:val="000731ED"/>
    <w:rsid w:val="00073558"/>
    <w:rsid w:val="00083A49"/>
    <w:rsid w:val="00087D7F"/>
    <w:rsid w:val="00091EC6"/>
    <w:rsid w:val="00094727"/>
    <w:rsid w:val="00097497"/>
    <w:rsid w:val="000A419C"/>
    <w:rsid w:val="000A5992"/>
    <w:rsid w:val="000A6F2E"/>
    <w:rsid w:val="000B0B44"/>
    <w:rsid w:val="000B41E7"/>
    <w:rsid w:val="000B4807"/>
    <w:rsid w:val="000B708D"/>
    <w:rsid w:val="000C2608"/>
    <w:rsid w:val="000C617B"/>
    <w:rsid w:val="000D0E05"/>
    <w:rsid w:val="000D161D"/>
    <w:rsid w:val="000D1F36"/>
    <w:rsid w:val="000D3E8C"/>
    <w:rsid w:val="000D5D73"/>
    <w:rsid w:val="000E03E9"/>
    <w:rsid w:val="000E207D"/>
    <w:rsid w:val="000E57CE"/>
    <w:rsid w:val="000F1A77"/>
    <w:rsid w:val="000F282F"/>
    <w:rsid w:val="000F5805"/>
    <w:rsid w:val="000F7F77"/>
    <w:rsid w:val="0010334E"/>
    <w:rsid w:val="001054F1"/>
    <w:rsid w:val="00110876"/>
    <w:rsid w:val="00112510"/>
    <w:rsid w:val="00113A5E"/>
    <w:rsid w:val="00115226"/>
    <w:rsid w:val="0012148E"/>
    <w:rsid w:val="0012536E"/>
    <w:rsid w:val="00127B55"/>
    <w:rsid w:val="001300BA"/>
    <w:rsid w:val="001347D6"/>
    <w:rsid w:val="001360C7"/>
    <w:rsid w:val="00137B68"/>
    <w:rsid w:val="001457D2"/>
    <w:rsid w:val="001504FC"/>
    <w:rsid w:val="00150B0E"/>
    <w:rsid w:val="00150EFD"/>
    <w:rsid w:val="00151F94"/>
    <w:rsid w:val="00164187"/>
    <w:rsid w:val="001653F7"/>
    <w:rsid w:val="00167C46"/>
    <w:rsid w:val="001700E9"/>
    <w:rsid w:val="001716D1"/>
    <w:rsid w:val="00173B0A"/>
    <w:rsid w:val="0017520B"/>
    <w:rsid w:val="00175228"/>
    <w:rsid w:val="001778A0"/>
    <w:rsid w:val="00183C88"/>
    <w:rsid w:val="0018501B"/>
    <w:rsid w:val="00185D66"/>
    <w:rsid w:val="0018601A"/>
    <w:rsid w:val="001861E6"/>
    <w:rsid w:val="00186D68"/>
    <w:rsid w:val="0019437A"/>
    <w:rsid w:val="00197229"/>
    <w:rsid w:val="001A1306"/>
    <w:rsid w:val="001A1463"/>
    <w:rsid w:val="001A340C"/>
    <w:rsid w:val="001A40B1"/>
    <w:rsid w:val="001A4B72"/>
    <w:rsid w:val="001A5279"/>
    <w:rsid w:val="001A78BC"/>
    <w:rsid w:val="001B3E81"/>
    <w:rsid w:val="001B59DF"/>
    <w:rsid w:val="001B727B"/>
    <w:rsid w:val="001D3A6F"/>
    <w:rsid w:val="001D4BB5"/>
    <w:rsid w:val="001D5277"/>
    <w:rsid w:val="001E62B1"/>
    <w:rsid w:val="001E63FA"/>
    <w:rsid w:val="001E71AE"/>
    <w:rsid w:val="001F4BFF"/>
    <w:rsid w:val="001F5882"/>
    <w:rsid w:val="001F6137"/>
    <w:rsid w:val="00203B96"/>
    <w:rsid w:val="00207F18"/>
    <w:rsid w:val="00210EE5"/>
    <w:rsid w:val="0021161E"/>
    <w:rsid w:val="00213F4C"/>
    <w:rsid w:val="00215B8D"/>
    <w:rsid w:val="0022093B"/>
    <w:rsid w:val="002210D2"/>
    <w:rsid w:val="00232FD2"/>
    <w:rsid w:val="00233BE0"/>
    <w:rsid w:val="002349D4"/>
    <w:rsid w:val="00234E03"/>
    <w:rsid w:val="0023626A"/>
    <w:rsid w:val="00237744"/>
    <w:rsid w:val="002416B9"/>
    <w:rsid w:val="00243EC0"/>
    <w:rsid w:val="00246E28"/>
    <w:rsid w:val="002547BE"/>
    <w:rsid w:val="00257AF4"/>
    <w:rsid w:val="0026205A"/>
    <w:rsid w:val="00264C83"/>
    <w:rsid w:val="00280514"/>
    <w:rsid w:val="002833B9"/>
    <w:rsid w:val="00291656"/>
    <w:rsid w:val="00291DCD"/>
    <w:rsid w:val="00292B1D"/>
    <w:rsid w:val="0029448A"/>
    <w:rsid w:val="00295828"/>
    <w:rsid w:val="002A01E8"/>
    <w:rsid w:val="002A10F7"/>
    <w:rsid w:val="002A51DD"/>
    <w:rsid w:val="002A5542"/>
    <w:rsid w:val="002B0AA0"/>
    <w:rsid w:val="002B5605"/>
    <w:rsid w:val="002C2886"/>
    <w:rsid w:val="002D0AA5"/>
    <w:rsid w:val="002D3CC6"/>
    <w:rsid w:val="002D4B6C"/>
    <w:rsid w:val="002E055D"/>
    <w:rsid w:val="002E2297"/>
    <w:rsid w:val="002E24A5"/>
    <w:rsid w:val="002F0A12"/>
    <w:rsid w:val="002F2D0E"/>
    <w:rsid w:val="002F5C1F"/>
    <w:rsid w:val="002F6101"/>
    <w:rsid w:val="003003D5"/>
    <w:rsid w:val="00301ECE"/>
    <w:rsid w:val="003030D6"/>
    <w:rsid w:val="00303BCE"/>
    <w:rsid w:val="00303BEE"/>
    <w:rsid w:val="003071EC"/>
    <w:rsid w:val="0031345A"/>
    <w:rsid w:val="00313C2A"/>
    <w:rsid w:val="00314E1B"/>
    <w:rsid w:val="0032187C"/>
    <w:rsid w:val="00322004"/>
    <w:rsid w:val="00322184"/>
    <w:rsid w:val="00325C3D"/>
    <w:rsid w:val="003317AC"/>
    <w:rsid w:val="00332C95"/>
    <w:rsid w:val="00333E36"/>
    <w:rsid w:val="00335E66"/>
    <w:rsid w:val="003404C7"/>
    <w:rsid w:val="00342E8F"/>
    <w:rsid w:val="00345696"/>
    <w:rsid w:val="00350A5F"/>
    <w:rsid w:val="00352467"/>
    <w:rsid w:val="003536A9"/>
    <w:rsid w:val="00355BC7"/>
    <w:rsid w:val="00362CE8"/>
    <w:rsid w:val="00370193"/>
    <w:rsid w:val="003709E4"/>
    <w:rsid w:val="00370F84"/>
    <w:rsid w:val="00372041"/>
    <w:rsid w:val="0037239F"/>
    <w:rsid w:val="00374DFC"/>
    <w:rsid w:val="0037565F"/>
    <w:rsid w:val="003803C8"/>
    <w:rsid w:val="00380AC5"/>
    <w:rsid w:val="00384E27"/>
    <w:rsid w:val="00387FAA"/>
    <w:rsid w:val="0039012E"/>
    <w:rsid w:val="00396E60"/>
    <w:rsid w:val="003A06B6"/>
    <w:rsid w:val="003A0C84"/>
    <w:rsid w:val="003A10BA"/>
    <w:rsid w:val="003A15DD"/>
    <w:rsid w:val="003A23A4"/>
    <w:rsid w:val="003A4F0E"/>
    <w:rsid w:val="003B2450"/>
    <w:rsid w:val="003D1C1D"/>
    <w:rsid w:val="003D2BB3"/>
    <w:rsid w:val="003D625F"/>
    <w:rsid w:val="003E002E"/>
    <w:rsid w:val="003E2D3F"/>
    <w:rsid w:val="003E4338"/>
    <w:rsid w:val="003E578C"/>
    <w:rsid w:val="003E682A"/>
    <w:rsid w:val="003E725B"/>
    <w:rsid w:val="003F0680"/>
    <w:rsid w:val="003F22C4"/>
    <w:rsid w:val="003F5F3D"/>
    <w:rsid w:val="003F6ECC"/>
    <w:rsid w:val="00402589"/>
    <w:rsid w:val="004032B3"/>
    <w:rsid w:val="004047AF"/>
    <w:rsid w:val="00405E10"/>
    <w:rsid w:val="00406939"/>
    <w:rsid w:val="004118F3"/>
    <w:rsid w:val="004142CE"/>
    <w:rsid w:val="00414B8A"/>
    <w:rsid w:val="0041618E"/>
    <w:rsid w:val="00417F2E"/>
    <w:rsid w:val="004228FA"/>
    <w:rsid w:val="004233A8"/>
    <w:rsid w:val="0042520B"/>
    <w:rsid w:val="004300AE"/>
    <w:rsid w:val="00440AED"/>
    <w:rsid w:val="004411EC"/>
    <w:rsid w:val="00441583"/>
    <w:rsid w:val="004428CF"/>
    <w:rsid w:val="00446C72"/>
    <w:rsid w:val="004479FD"/>
    <w:rsid w:val="00451618"/>
    <w:rsid w:val="00451B1F"/>
    <w:rsid w:val="004619BE"/>
    <w:rsid w:val="0046415F"/>
    <w:rsid w:val="0047265D"/>
    <w:rsid w:val="00476F0E"/>
    <w:rsid w:val="00480B6C"/>
    <w:rsid w:val="00487271"/>
    <w:rsid w:val="00487B09"/>
    <w:rsid w:val="004918A8"/>
    <w:rsid w:val="004A060D"/>
    <w:rsid w:val="004A0A99"/>
    <w:rsid w:val="004A0E20"/>
    <w:rsid w:val="004B03B8"/>
    <w:rsid w:val="004B2592"/>
    <w:rsid w:val="004B2AE1"/>
    <w:rsid w:val="004B43CF"/>
    <w:rsid w:val="004B4AE2"/>
    <w:rsid w:val="004B6503"/>
    <w:rsid w:val="004C0871"/>
    <w:rsid w:val="004C2510"/>
    <w:rsid w:val="004C6492"/>
    <w:rsid w:val="004D18C4"/>
    <w:rsid w:val="004D2597"/>
    <w:rsid w:val="004D5236"/>
    <w:rsid w:val="004D78E2"/>
    <w:rsid w:val="004E2AA8"/>
    <w:rsid w:val="004E4411"/>
    <w:rsid w:val="004E6251"/>
    <w:rsid w:val="004E77EA"/>
    <w:rsid w:val="004F39C3"/>
    <w:rsid w:val="004F442B"/>
    <w:rsid w:val="004F63F7"/>
    <w:rsid w:val="004F70B3"/>
    <w:rsid w:val="00500D16"/>
    <w:rsid w:val="00500F77"/>
    <w:rsid w:val="0050145E"/>
    <w:rsid w:val="00501A98"/>
    <w:rsid w:val="0050267E"/>
    <w:rsid w:val="00503E17"/>
    <w:rsid w:val="005049F0"/>
    <w:rsid w:val="0050521F"/>
    <w:rsid w:val="00510DDB"/>
    <w:rsid w:val="00511BF5"/>
    <w:rsid w:val="0051211A"/>
    <w:rsid w:val="0051415B"/>
    <w:rsid w:val="00516889"/>
    <w:rsid w:val="00516DDC"/>
    <w:rsid w:val="005251D3"/>
    <w:rsid w:val="00530DBE"/>
    <w:rsid w:val="00534C35"/>
    <w:rsid w:val="00540180"/>
    <w:rsid w:val="00541394"/>
    <w:rsid w:val="0054259A"/>
    <w:rsid w:val="00543276"/>
    <w:rsid w:val="00543343"/>
    <w:rsid w:val="00545742"/>
    <w:rsid w:val="0054580B"/>
    <w:rsid w:val="00552E15"/>
    <w:rsid w:val="0055327B"/>
    <w:rsid w:val="0056277C"/>
    <w:rsid w:val="00562F92"/>
    <w:rsid w:val="005630F3"/>
    <w:rsid w:val="00563B98"/>
    <w:rsid w:val="005667C1"/>
    <w:rsid w:val="00566F51"/>
    <w:rsid w:val="00570C33"/>
    <w:rsid w:val="005731AF"/>
    <w:rsid w:val="005751C5"/>
    <w:rsid w:val="00581324"/>
    <w:rsid w:val="00583DD1"/>
    <w:rsid w:val="00593EC2"/>
    <w:rsid w:val="00594006"/>
    <w:rsid w:val="005A0FA4"/>
    <w:rsid w:val="005B1066"/>
    <w:rsid w:val="005B3AC8"/>
    <w:rsid w:val="005B4231"/>
    <w:rsid w:val="005B4258"/>
    <w:rsid w:val="005C0120"/>
    <w:rsid w:val="005C03ED"/>
    <w:rsid w:val="005C41EC"/>
    <w:rsid w:val="005C625C"/>
    <w:rsid w:val="005C64F9"/>
    <w:rsid w:val="005C79E4"/>
    <w:rsid w:val="005D174A"/>
    <w:rsid w:val="005D3974"/>
    <w:rsid w:val="005D4713"/>
    <w:rsid w:val="005D4BF2"/>
    <w:rsid w:val="005D56E5"/>
    <w:rsid w:val="005D6611"/>
    <w:rsid w:val="005E675F"/>
    <w:rsid w:val="005E6C16"/>
    <w:rsid w:val="005F009B"/>
    <w:rsid w:val="005F07BC"/>
    <w:rsid w:val="005F1AFC"/>
    <w:rsid w:val="005F1F0A"/>
    <w:rsid w:val="005F39FC"/>
    <w:rsid w:val="0060191F"/>
    <w:rsid w:val="00607979"/>
    <w:rsid w:val="00611DAB"/>
    <w:rsid w:val="00614F40"/>
    <w:rsid w:val="006167C7"/>
    <w:rsid w:val="00617544"/>
    <w:rsid w:val="00617CBB"/>
    <w:rsid w:val="00626DFB"/>
    <w:rsid w:val="006303FF"/>
    <w:rsid w:val="006308D0"/>
    <w:rsid w:val="00630EB1"/>
    <w:rsid w:val="00632902"/>
    <w:rsid w:val="006377D4"/>
    <w:rsid w:val="00637EA2"/>
    <w:rsid w:val="006403D2"/>
    <w:rsid w:val="00640B31"/>
    <w:rsid w:val="006421FB"/>
    <w:rsid w:val="006428C5"/>
    <w:rsid w:val="006433E7"/>
    <w:rsid w:val="00645CBB"/>
    <w:rsid w:val="006503A8"/>
    <w:rsid w:val="0065093A"/>
    <w:rsid w:val="00650AA5"/>
    <w:rsid w:val="00651C4B"/>
    <w:rsid w:val="0065584B"/>
    <w:rsid w:val="006574FF"/>
    <w:rsid w:val="006645F8"/>
    <w:rsid w:val="00666AB8"/>
    <w:rsid w:val="006678F2"/>
    <w:rsid w:val="00670044"/>
    <w:rsid w:val="006716BF"/>
    <w:rsid w:val="00681C97"/>
    <w:rsid w:val="00681DB9"/>
    <w:rsid w:val="00683D12"/>
    <w:rsid w:val="00683DB7"/>
    <w:rsid w:val="00695C27"/>
    <w:rsid w:val="00695DCD"/>
    <w:rsid w:val="00696D80"/>
    <w:rsid w:val="00697697"/>
    <w:rsid w:val="006A2E1B"/>
    <w:rsid w:val="006A4A77"/>
    <w:rsid w:val="006A6C1E"/>
    <w:rsid w:val="006A7B92"/>
    <w:rsid w:val="006B3167"/>
    <w:rsid w:val="006B3325"/>
    <w:rsid w:val="006B4773"/>
    <w:rsid w:val="006B50B5"/>
    <w:rsid w:val="006B5BB1"/>
    <w:rsid w:val="006C2411"/>
    <w:rsid w:val="006C283F"/>
    <w:rsid w:val="006D19D0"/>
    <w:rsid w:val="006D4A82"/>
    <w:rsid w:val="006D62ED"/>
    <w:rsid w:val="006D7C1A"/>
    <w:rsid w:val="006E394D"/>
    <w:rsid w:val="006E4199"/>
    <w:rsid w:val="006E480A"/>
    <w:rsid w:val="006E4AC4"/>
    <w:rsid w:val="006E6163"/>
    <w:rsid w:val="006E691C"/>
    <w:rsid w:val="006E6E3A"/>
    <w:rsid w:val="006F2718"/>
    <w:rsid w:val="006F478D"/>
    <w:rsid w:val="006F57D5"/>
    <w:rsid w:val="0070006D"/>
    <w:rsid w:val="00702D02"/>
    <w:rsid w:val="007039F6"/>
    <w:rsid w:val="00705AAD"/>
    <w:rsid w:val="007076DE"/>
    <w:rsid w:val="007109F3"/>
    <w:rsid w:val="007130F2"/>
    <w:rsid w:val="00713CA3"/>
    <w:rsid w:val="007148F2"/>
    <w:rsid w:val="00715D80"/>
    <w:rsid w:val="00716BA4"/>
    <w:rsid w:val="00721BBA"/>
    <w:rsid w:val="0072701C"/>
    <w:rsid w:val="007275B6"/>
    <w:rsid w:val="007305A6"/>
    <w:rsid w:val="00733FD8"/>
    <w:rsid w:val="00740216"/>
    <w:rsid w:val="00741F44"/>
    <w:rsid w:val="00744062"/>
    <w:rsid w:val="0074415A"/>
    <w:rsid w:val="00745A77"/>
    <w:rsid w:val="007465B0"/>
    <w:rsid w:val="00747DB1"/>
    <w:rsid w:val="0075545A"/>
    <w:rsid w:val="007614AA"/>
    <w:rsid w:val="00764EBB"/>
    <w:rsid w:val="00764F88"/>
    <w:rsid w:val="007661F6"/>
    <w:rsid w:val="0077104E"/>
    <w:rsid w:val="00772F8E"/>
    <w:rsid w:val="00773BE0"/>
    <w:rsid w:val="00774A0F"/>
    <w:rsid w:val="00774D3A"/>
    <w:rsid w:val="0078134A"/>
    <w:rsid w:val="00782014"/>
    <w:rsid w:val="00782D91"/>
    <w:rsid w:val="00783869"/>
    <w:rsid w:val="0078715A"/>
    <w:rsid w:val="00787893"/>
    <w:rsid w:val="007906BB"/>
    <w:rsid w:val="007A2C63"/>
    <w:rsid w:val="007A4629"/>
    <w:rsid w:val="007B1AD8"/>
    <w:rsid w:val="007B293F"/>
    <w:rsid w:val="007B3E2A"/>
    <w:rsid w:val="007D1F0B"/>
    <w:rsid w:val="007D7B0A"/>
    <w:rsid w:val="007D7B7B"/>
    <w:rsid w:val="007E05AB"/>
    <w:rsid w:val="007E17A3"/>
    <w:rsid w:val="007E3003"/>
    <w:rsid w:val="007E33F3"/>
    <w:rsid w:val="007E387C"/>
    <w:rsid w:val="007E5CCE"/>
    <w:rsid w:val="007F47BA"/>
    <w:rsid w:val="007F4FF6"/>
    <w:rsid w:val="007F6CAD"/>
    <w:rsid w:val="0081067B"/>
    <w:rsid w:val="0081298F"/>
    <w:rsid w:val="0081525D"/>
    <w:rsid w:val="008152D0"/>
    <w:rsid w:val="008205CD"/>
    <w:rsid w:val="00823EC2"/>
    <w:rsid w:val="00826860"/>
    <w:rsid w:val="00832E7E"/>
    <w:rsid w:val="008340D3"/>
    <w:rsid w:val="008358AA"/>
    <w:rsid w:val="00846A05"/>
    <w:rsid w:val="00847528"/>
    <w:rsid w:val="00847C7D"/>
    <w:rsid w:val="00847E89"/>
    <w:rsid w:val="00851ABA"/>
    <w:rsid w:val="00852403"/>
    <w:rsid w:val="008541E6"/>
    <w:rsid w:val="00857CC2"/>
    <w:rsid w:val="00860EA9"/>
    <w:rsid w:val="00862C5B"/>
    <w:rsid w:val="0086564F"/>
    <w:rsid w:val="0087648D"/>
    <w:rsid w:val="00876E38"/>
    <w:rsid w:val="00877CFC"/>
    <w:rsid w:val="00884C1A"/>
    <w:rsid w:val="0088510B"/>
    <w:rsid w:val="008876AE"/>
    <w:rsid w:val="00890362"/>
    <w:rsid w:val="00895BCD"/>
    <w:rsid w:val="00895ED1"/>
    <w:rsid w:val="008A1341"/>
    <w:rsid w:val="008A29CB"/>
    <w:rsid w:val="008A4BBB"/>
    <w:rsid w:val="008A5181"/>
    <w:rsid w:val="008C755F"/>
    <w:rsid w:val="008D2B78"/>
    <w:rsid w:val="008D5BB0"/>
    <w:rsid w:val="008D5DE4"/>
    <w:rsid w:val="008D7FD2"/>
    <w:rsid w:val="008E2570"/>
    <w:rsid w:val="008E55E2"/>
    <w:rsid w:val="008E7018"/>
    <w:rsid w:val="008F234B"/>
    <w:rsid w:val="008F2BC6"/>
    <w:rsid w:val="008F3103"/>
    <w:rsid w:val="008F463C"/>
    <w:rsid w:val="008F57D7"/>
    <w:rsid w:val="008F5A72"/>
    <w:rsid w:val="008F6BB0"/>
    <w:rsid w:val="00901606"/>
    <w:rsid w:val="00901988"/>
    <w:rsid w:val="0090361C"/>
    <w:rsid w:val="009051F1"/>
    <w:rsid w:val="00905FB5"/>
    <w:rsid w:val="009110FF"/>
    <w:rsid w:val="00922251"/>
    <w:rsid w:val="00923067"/>
    <w:rsid w:val="0092501D"/>
    <w:rsid w:val="00934D56"/>
    <w:rsid w:val="009353F7"/>
    <w:rsid w:val="0093633D"/>
    <w:rsid w:val="00936FD2"/>
    <w:rsid w:val="009400B7"/>
    <w:rsid w:val="00940119"/>
    <w:rsid w:val="0094059A"/>
    <w:rsid w:val="0094345F"/>
    <w:rsid w:val="00944134"/>
    <w:rsid w:val="00944358"/>
    <w:rsid w:val="00945058"/>
    <w:rsid w:val="00946DAC"/>
    <w:rsid w:val="00947FC9"/>
    <w:rsid w:val="00953737"/>
    <w:rsid w:val="00954675"/>
    <w:rsid w:val="00955FB5"/>
    <w:rsid w:val="00956099"/>
    <w:rsid w:val="00956D10"/>
    <w:rsid w:val="0095789B"/>
    <w:rsid w:val="009608EA"/>
    <w:rsid w:val="009646DB"/>
    <w:rsid w:val="00965CAB"/>
    <w:rsid w:val="009671C8"/>
    <w:rsid w:val="0097215D"/>
    <w:rsid w:val="009729B0"/>
    <w:rsid w:val="00974284"/>
    <w:rsid w:val="00975151"/>
    <w:rsid w:val="00976805"/>
    <w:rsid w:val="00983201"/>
    <w:rsid w:val="009834ED"/>
    <w:rsid w:val="00985484"/>
    <w:rsid w:val="009863F2"/>
    <w:rsid w:val="00991C0C"/>
    <w:rsid w:val="00991DB0"/>
    <w:rsid w:val="00992602"/>
    <w:rsid w:val="00995C39"/>
    <w:rsid w:val="00996D59"/>
    <w:rsid w:val="009A075A"/>
    <w:rsid w:val="009A4FCF"/>
    <w:rsid w:val="009A519D"/>
    <w:rsid w:val="009A6C9A"/>
    <w:rsid w:val="009A7A53"/>
    <w:rsid w:val="009A7F07"/>
    <w:rsid w:val="009B0144"/>
    <w:rsid w:val="009B0257"/>
    <w:rsid w:val="009B2BAF"/>
    <w:rsid w:val="009B771C"/>
    <w:rsid w:val="009B7789"/>
    <w:rsid w:val="009C26BE"/>
    <w:rsid w:val="009C2995"/>
    <w:rsid w:val="009C4711"/>
    <w:rsid w:val="009C6764"/>
    <w:rsid w:val="009D1275"/>
    <w:rsid w:val="009D3D9B"/>
    <w:rsid w:val="009D782B"/>
    <w:rsid w:val="009E214C"/>
    <w:rsid w:val="009E7A0E"/>
    <w:rsid w:val="009F10D2"/>
    <w:rsid w:val="009F2D11"/>
    <w:rsid w:val="009F6ED0"/>
    <w:rsid w:val="00A00292"/>
    <w:rsid w:val="00A00E95"/>
    <w:rsid w:val="00A07B55"/>
    <w:rsid w:val="00A17433"/>
    <w:rsid w:val="00A22907"/>
    <w:rsid w:val="00A32942"/>
    <w:rsid w:val="00A35D94"/>
    <w:rsid w:val="00A36853"/>
    <w:rsid w:val="00A41908"/>
    <w:rsid w:val="00A530AF"/>
    <w:rsid w:val="00A76B1C"/>
    <w:rsid w:val="00A83054"/>
    <w:rsid w:val="00A830BA"/>
    <w:rsid w:val="00A85AB1"/>
    <w:rsid w:val="00A94205"/>
    <w:rsid w:val="00AA2B6E"/>
    <w:rsid w:val="00AA30F9"/>
    <w:rsid w:val="00AA4723"/>
    <w:rsid w:val="00AA6C40"/>
    <w:rsid w:val="00AB397C"/>
    <w:rsid w:val="00AB4063"/>
    <w:rsid w:val="00AB6689"/>
    <w:rsid w:val="00AB66C4"/>
    <w:rsid w:val="00AB6A28"/>
    <w:rsid w:val="00AB7313"/>
    <w:rsid w:val="00AC08C5"/>
    <w:rsid w:val="00AC1F00"/>
    <w:rsid w:val="00AC28DA"/>
    <w:rsid w:val="00AC61D7"/>
    <w:rsid w:val="00AC6EC9"/>
    <w:rsid w:val="00AD1770"/>
    <w:rsid w:val="00AD623B"/>
    <w:rsid w:val="00AE3328"/>
    <w:rsid w:val="00AE746C"/>
    <w:rsid w:val="00AF06E4"/>
    <w:rsid w:val="00AF108D"/>
    <w:rsid w:val="00AF23B5"/>
    <w:rsid w:val="00AF29E6"/>
    <w:rsid w:val="00AF62CA"/>
    <w:rsid w:val="00B00DE2"/>
    <w:rsid w:val="00B01083"/>
    <w:rsid w:val="00B06110"/>
    <w:rsid w:val="00B06C40"/>
    <w:rsid w:val="00B15EDC"/>
    <w:rsid w:val="00B17167"/>
    <w:rsid w:val="00B17262"/>
    <w:rsid w:val="00B21BFC"/>
    <w:rsid w:val="00B24403"/>
    <w:rsid w:val="00B34E62"/>
    <w:rsid w:val="00B3571D"/>
    <w:rsid w:val="00B3669C"/>
    <w:rsid w:val="00B50EEA"/>
    <w:rsid w:val="00B5677C"/>
    <w:rsid w:val="00B572E9"/>
    <w:rsid w:val="00B6580F"/>
    <w:rsid w:val="00B666FF"/>
    <w:rsid w:val="00B67BD1"/>
    <w:rsid w:val="00B717ED"/>
    <w:rsid w:val="00B72B36"/>
    <w:rsid w:val="00B732CA"/>
    <w:rsid w:val="00B74027"/>
    <w:rsid w:val="00B74E83"/>
    <w:rsid w:val="00B76AAA"/>
    <w:rsid w:val="00B800BF"/>
    <w:rsid w:val="00B82CA7"/>
    <w:rsid w:val="00B83537"/>
    <w:rsid w:val="00B84177"/>
    <w:rsid w:val="00B84C49"/>
    <w:rsid w:val="00B9348A"/>
    <w:rsid w:val="00B97893"/>
    <w:rsid w:val="00BA0205"/>
    <w:rsid w:val="00BA1A4D"/>
    <w:rsid w:val="00BA4563"/>
    <w:rsid w:val="00BA4FA5"/>
    <w:rsid w:val="00BA6345"/>
    <w:rsid w:val="00BB0013"/>
    <w:rsid w:val="00BB3A23"/>
    <w:rsid w:val="00BC27DF"/>
    <w:rsid w:val="00BC3603"/>
    <w:rsid w:val="00BC3DA6"/>
    <w:rsid w:val="00BC5DF0"/>
    <w:rsid w:val="00BD27B5"/>
    <w:rsid w:val="00BD3320"/>
    <w:rsid w:val="00BD54C0"/>
    <w:rsid w:val="00BD57C9"/>
    <w:rsid w:val="00BD5DDE"/>
    <w:rsid w:val="00BD73F1"/>
    <w:rsid w:val="00BE0D3A"/>
    <w:rsid w:val="00BE24D9"/>
    <w:rsid w:val="00BE43DE"/>
    <w:rsid w:val="00BF53BB"/>
    <w:rsid w:val="00BF728F"/>
    <w:rsid w:val="00C01703"/>
    <w:rsid w:val="00C018C3"/>
    <w:rsid w:val="00C0281D"/>
    <w:rsid w:val="00C07298"/>
    <w:rsid w:val="00C0744C"/>
    <w:rsid w:val="00C12E78"/>
    <w:rsid w:val="00C14447"/>
    <w:rsid w:val="00C14622"/>
    <w:rsid w:val="00C15AA5"/>
    <w:rsid w:val="00C24C37"/>
    <w:rsid w:val="00C27C34"/>
    <w:rsid w:val="00C31564"/>
    <w:rsid w:val="00C34402"/>
    <w:rsid w:val="00C355BA"/>
    <w:rsid w:val="00C420BB"/>
    <w:rsid w:val="00C423BF"/>
    <w:rsid w:val="00C42C6D"/>
    <w:rsid w:val="00C44C9D"/>
    <w:rsid w:val="00C44FF9"/>
    <w:rsid w:val="00C513FF"/>
    <w:rsid w:val="00C52CBA"/>
    <w:rsid w:val="00C53A51"/>
    <w:rsid w:val="00C53CE8"/>
    <w:rsid w:val="00C541D5"/>
    <w:rsid w:val="00C61938"/>
    <w:rsid w:val="00C752C7"/>
    <w:rsid w:val="00C80AB5"/>
    <w:rsid w:val="00C855EE"/>
    <w:rsid w:val="00C92CB1"/>
    <w:rsid w:val="00C9335A"/>
    <w:rsid w:val="00C954EA"/>
    <w:rsid w:val="00CA1738"/>
    <w:rsid w:val="00CA5FC7"/>
    <w:rsid w:val="00CB0EB3"/>
    <w:rsid w:val="00CB5457"/>
    <w:rsid w:val="00CB60D9"/>
    <w:rsid w:val="00CB777C"/>
    <w:rsid w:val="00CB7900"/>
    <w:rsid w:val="00CB7EFC"/>
    <w:rsid w:val="00CC2403"/>
    <w:rsid w:val="00CC4C61"/>
    <w:rsid w:val="00CD46F9"/>
    <w:rsid w:val="00CD4F38"/>
    <w:rsid w:val="00CD65D4"/>
    <w:rsid w:val="00CE1E77"/>
    <w:rsid w:val="00CE3E9D"/>
    <w:rsid w:val="00CF0BDE"/>
    <w:rsid w:val="00CF2932"/>
    <w:rsid w:val="00CF4DD1"/>
    <w:rsid w:val="00CF508A"/>
    <w:rsid w:val="00CF6147"/>
    <w:rsid w:val="00CF686E"/>
    <w:rsid w:val="00CF7A99"/>
    <w:rsid w:val="00D00389"/>
    <w:rsid w:val="00D0239A"/>
    <w:rsid w:val="00D0367D"/>
    <w:rsid w:val="00D03932"/>
    <w:rsid w:val="00D04ADD"/>
    <w:rsid w:val="00D12BDD"/>
    <w:rsid w:val="00D12D3E"/>
    <w:rsid w:val="00D143A8"/>
    <w:rsid w:val="00D16253"/>
    <w:rsid w:val="00D177F6"/>
    <w:rsid w:val="00D17BA8"/>
    <w:rsid w:val="00D202F7"/>
    <w:rsid w:val="00D20F62"/>
    <w:rsid w:val="00D24816"/>
    <w:rsid w:val="00D24DB3"/>
    <w:rsid w:val="00D3236E"/>
    <w:rsid w:val="00D35DAB"/>
    <w:rsid w:val="00D4522E"/>
    <w:rsid w:val="00D4656D"/>
    <w:rsid w:val="00D501CE"/>
    <w:rsid w:val="00D51DC0"/>
    <w:rsid w:val="00D53081"/>
    <w:rsid w:val="00D61A08"/>
    <w:rsid w:val="00D62D70"/>
    <w:rsid w:val="00D6380A"/>
    <w:rsid w:val="00D6470A"/>
    <w:rsid w:val="00D70C8D"/>
    <w:rsid w:val="00D719AE"/>
    <w:rsid w:val="00D72B17"/>
    <w:rsid w:val="00D80B78"/>
    <w:rsid w:val="00D82B63"/>
    <w:rsid w:val="00D83AE4"/>
    <w:rsid w:val="00D90018"/>
    <w:rsid w:val="00D911F5"/>
    <w:rsid w:val="00D93D9A"/>
    <w:rsid w:val="00DA2574"/>
    <w:rsid w:val="00DA664F"/>
    <w:rsid w:val="00DB21D7"/>
    <w:rsid w:val="00DB292E"/>
    <w:rsid w:val="00DB2974"/>
    <w:rsid w:val="00DB3797"/>
    <w:rsid w:val="00DB405B"/>
    <w:rsid w:val="00DB45B5"/>
    <w:rsid w:val="00DC2E61"/>
    <w:rsid w:val="00DC4CD9"/>
    <w:rsid w:val="00DC7F80"/>
    <w:rsid w:val="00DD1480"/>
    <w:rsid w:val="00DD15D1"/>
    <w:rsid w:val="00DD224D"/>
    <w:rsid w:val="00DD643F"/>
    <w:rsid w:val="00DD6A4B"/>
    <w:rsid w:val="00DE605B"/>
    <w:rsid w:val="00DE71A1"/>
    <w:rsid w:val="00E0452F"/>
    <w:rsid w:val="00E073DA"/>
    <w:rsid w:val="00E13A8B"/>
    <w:rsid w:val="00E16D15"/>
    <w:rsid w:val="00E200E8"/>
    <w:rsid w:val="00E224BD"/>
    <w:rsid w:val="00E271CF"/>
    <w:rsid w:val="00E3432D"/>
    <w:rsid w:val="00E364EF"/>
    <w:rsid w:val="00E410BD"/>
    <w:rsid w:val="00E4495C"/>
    <w:rsid w:val="00E4755C"/>
    <w:rsid w:val="00E47A65"/>
    <w:rsid w:val="00E5154C"/>
    <w:rsid w:val="00E5200C"/>
    <w:rsid w:val="00E52453"/>
    <w:rsid w:val="00E53782"/>
    <w:rsid w:val="00E559C6"/>
    <w:rsid w:val="00E63DA2"/>
    <w:rsid w:val="00E65133"/>
    <w:rsid w:val="00E65E45"/>
    <w:rsid w:val="00E6735C"/>
    <w:rsid w:val="00E67E5D"/>
    <w:rsid w:val="00E7040E"/>
    <w:rsid w:val="00E70E63"/>
    <w:rsid w:val="00E7498A"/>
    <w:rsid w:val="00E74BD9"/>
    <w:rsid w:val="00E81161"/>
    <w:rsid w:val="00E811CE"/>
    <w:rsid w:val="00E81B84"/>
    <w:rsid w:val="00E83187"/>
    <w:rsid w:val="00E8406A"/>
    <w:rsid w:val="00E84F89"/>
    <w:rsid w:val="00E851CE"/>
    <w:rsid w:val="00E90939"/>
    <w:rsid w:val="00E93C2E"/>
    <w:rsid w:val="00E93DF1"/>
    <w:rsid w:val="00E945AB"/>
    <w:rsid w:val="00E95335"/>
    <w:rsid w:val="00E9560A"/>
    <w:rsid w:val="00EA016C"/>
    <w:rsid w:val="00EA47D3"/>
    <w:rsid w:val="00EA65CD"/>
    <w:rsid w:val="00EA6A2C"/>
    <w:rsid w:val="00EB63CE"/>
    <w:rsid w:val="00EC1FF7"/>
    <w:rsid w:val="00EC4684"/>
    <w:rsid w:val="00EC5657"/>
    <w:rsid w:val="00ED08CE"/>
    <w:rsid w:val="00ED0C70"/>
    <w:rsid w:val="00ED2920"/>
    <w:rsid w:val="00ED3629"/>
    <w:rsid w:val="00ED4757"/>
    <w:rsid w:val="00ED6A4A"/>
    <w:rsid w:val="00EE2058"/>
    <w:rsid w:val="00EE241D"/>
    <w:rsid w:val="00EE25D7"/>
    <w:rsid w:val="00EE3433"/>
    <w:rsid w:val="00EE49CE"/>
    <w:rsid w:val="00EF3973"/>
    <w:rsid w:val="00F02CF2"/>
    <w:rsid w:val="00F04A36"/>
    <w:rsid w:val="00F05690"/>
    <w:rsid w:val="00F07E7B"/>
    <w:rsid w:val="00F10E96"/>
    <w:rsid w:val="00F129D1"/>
    <w:rsid w:val="00F212A9"/>
    <w:rsid w:val="00F23D2B"/>
    <w:rsid w:val="00F326F7"/>
    <w:rsid w:val="00F33416"/>
    <w:rsid w:val="00F36790"/>
    <w:rsid w:val="00F40742"/>
    <w:rsid w:val="00F4251C"/>
    <w:rsid w:val="00F45C8B"/>
    <w:rsid w:val="00F46EFC"/>
    <w:rsid w:val="00F529CC"/>
    <w:rsid w:val="00F5369C"/>
    <w:rsid w:val="00F5742A"/>
    <w:rsid w:val="00F61D40"/>
    <w:rsid w:val="00F644C1"/>
    <w:rsid w:val="00F66C7B"/>
    <w:rsid w:val="00F713EF"/>
    <w:rsid w:val="00F723EB"/>
    <w:rsid w:val="00F73027"/>
    <w:rsid w:val="00F75D4D"/>
    <w:rsid w:val="00F7799C"/>
    <w:rsid w:val="00F845B2"/>
    <w:rsid w:val="00F852B1"/>
    <w:rsid w:val="00F874CE"/>
    <w:rsid w:val="00F879A4"/>
    <w:rsid w:val="00F96426"/>
    <w:rsid w:val="00F96EC6"/>
    <w:rsid w:val="00FA032B"/>
    <w:rsid w:val="00FA3E95"/>
    <w:rsid w:val="00FB276B"/>
    <w:rsid w:val="00FB375D"/>
    <w:rsid w:val="00FB4EE5"/>
    <w:rsid w:val="00FC0F62"/>
    <w:rsid w:val="00FC1250"/>
    <w:rsid w:val="00FC6875"/>
    <w:rsid w:val="00FD154E"/>
    <w:rsid w:val="00FE1606"/>
    <w:rsid w:val="00FE6E9F"/>
    <w:rsid w:val="00FE7647"/>
    <w:rsid w:val="00FF55FA"/>
    <w:rsid w:val="00FF7737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6E928-45D9-429D-9D0C-B4BFE5F8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C27"/>
    <w:pPr>
      <w:suppressAutoHyphens/>
      <w:spacing w:after="200" w:line="276" w:lineRule="auto"/>
    </w:pPr>
    <w:rPr>
      <w:rFonts w:ascii="Times New Roman" w:eastAsia="font292" w:hAnsi="Times New Roman" w:cs="font29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Lyn Mingoy</dc:creator>
  <cp:keywords/>
  <dc:description/>
  <cp:lastModifiedBy>June Lyn Mingoy</cp:lastModifiedBy>
  <cp:revision>1</cp:revision>
  <dcterms:created xsi:type="dcterms:W3CDTF">2025-11-06T08:06:00Z</dcterms:created>
  <dcterms:modified xsi:type="dcterms:W3CDTF">2025-11-06T08:06:00Z</dcterms:modified>
</cp:coreProperties>
</file>