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204A0" w14:textId="77777777" w:rsidR="004D2421" w:rsidRPr="00D55B56" w:rsidRDefault="004D2421" w:rsidP="004D2421">
      <w:pPr>
        <w:autoSpaceDE/>
        <w:autoSpaceDN/>
        <w:adjustRightInd/>
        <w:spacing w:line="240" w:lineRule="auto"/>
      </w:pPr>
      <w:r>
        <w:rPr>
          <w:rFonts w:asciiTheme="majorBidi" w:hAnsiTheme="majorBidi" w:cstheme="majorBidi"/>
        </w:rPr>
        <w:t>Online Resource 1</w:t>
      </w:r>
    </w:p>
    <w:p w14:paraId="39A843D8" w14:textId="77777777" w:rsidR="004D2421" w:rsidRPr="00203B8E" w:rsidRDefault="004D2421" w:rsidP="004D2421">
      <w:pPr>
        <w:autoSpaceDE/>
        <w:autoSpaceDN/>
        <w:adjustRightInd/>
        <w:spacing w:line="480" w:lineRule="auto"/>
        <w:rPr>
          <w:rFonts w:asciiTheme="majorBidi" w:hAnsiTheme="majorBidi" w:cstheme="majorBidi"/>
          <w:i/>
          <w:iCs/>
        </w:rPr>
      </w:pPr>
      <w:r w:rsidRPr="00203B8E">
        <w:rPr>
          <w:rFonts w:asciiTheme="majorBidi" w:hAnsiTheme="majorBidi" w:cstheme="majorBidi"/>
          <w:i/>
          <w:iCs/>
        </w:rPr>
        <w:t xml:space="preserve">Criteria used for the quality assessment of studies in the systematic review </w:t>
      </w:r>
    </w:p>
    <w:tbl>
      <w:tblPr>
        <w:tblStyle w:val="TableGrid"/>
        <w:tblW w:w="8808" w:type="dxa"/>
        <w:tblInd w:w="58" w:type="dxa"/>
        <w:tblLayout w:type="fixed"/>
        <w:tblLook w:val="04A0" w:firstRow="1" w:lastRow="0" w:firstColumn="1" w:lastColumn="0" w:noHBand="0" w:noVBand="1"/>
        <w:tblCaption w:val="Table 1. Quality Assessment Criteria"/>
      </w:tblPr>
      <w:tblGrid>
        <w:gridCol w:w="450"/>
        <w:gridCol w:w="8358"/>
      </w:tblGrid>
      <w:tr w:rsidR="004D2421" w:rsidRPr="00203B8E" w14:paraId="2B3EA8D3" w14:textId="77777777" w:rsidTr="00EA1134">
        <w:trPr>
          <w:trHeight w:val="559"/>
        </w:trPr>
        <w:tc>
          <w:tcPr>
            <w:tcW w:w="8808" w:type="dxa"/>
            <w:gridSpan w:val="2"/>
          </w:tcPr>
          <w:p w14:paraId="073F8785" w14:textId="77777777" w:rsidR="004D2421" w:rsidRPr="00203B8E" w:rsidRDefault="004D2421" w:rsidP="00EA1134">
            <w:pPr>
              <w:autoSpaceDE/>
              <w:autoSpaceDN/>
              <w:adjustRightInd/>
              <w:spacing w:before="200" w:line="480" w:lineRule="auto"/>
              <w:rPr>
                <w:rFonts w:asciiTheme="majorBidi" w:eastAsia="Calibri" w:hAnsiTheme="majorBidi" w:cstheme="majorBidi"/>
                <w:b/>
                <w:sz w:val="24"/>
                <w:szCs w:val="24"/>
              </w:rPr>
            </w:pPr>
            <w:r w:rsidRPr="00203B8E">
              <w:rPr>
                <w:rFonts w:asciiTheme="majorBidi" w:eastAsia="Calibri" w:hAnsiTheme="majorBidi" w:cstheme="majorBidi"/>
                <w:b/>
                <w:sz w:val="24"/>
                <w:szCs w:val="24"/>
              </w:rPr>
              <w:t xml:space="preserve">Quality assessment items </w:t>
            </w:r>
          </w:p>
        </w:tc>
      </w:tr>
      <w:tr w:rsidR="004D2421" w:rsidRPr="00203B8E" w14:paraId="65E998D1" w14:textId="77777777" w:rsidTr="00EA1134">
        <w:trPr>
          <w:cantSplit/>
          <w:trHeight w:val="260"/>
        </w:trPr>
        <w:tc>
          <w:tcPr>
            <w:tcW w:w="450" w:type="dxa"/>
          </w:tcPr>
          <w:p w14:paraId="1DDF6046" w14:textId="77777777" w:rsidR="004D2421" w:rsidRPr="00203B8E" w:rsidRDefault="004D2421" w:rsidP="00EA1134">
            <w:pPr>
              <w:autoSpaceDE/>
              <w:autoSpaceDN/>
              <w:adjustRightInd/>
              <w:spacing w:before="200" w:line="240" w:lineRule="auto"/>
              <w:outlineLvl w:val="0"/>
              <w:rPr>
                <w:rFonts w:asciiTheme="majorBidi" w:hAnsiTheme="majorBidi" w:cstheme="majorBidi"/>
                <w:color w:val="000000"/>
                <w:sz w:val="24"/>
                <w:szCs w:val="24"/>
              </w:rPr>
            </w:pPr>
            <w:r w:rsidRPr="00203B8E">
              <w:rPr>
                <w:rFonts w:asciiTheme="majorBidi" w:hAnsiTheme="majorBidi" w:cstheme="majorBidi"/>
                <w:color w:val="000000"/>
                <w:sz w:val="24"/>
                <w:szCs w:val="24"/>
              </w:rPr>
              <w:t>1.</w:t>
            </w:r>
          </w:p>
        </w:tc>
        <w:tc>
          <w:tcPr>
            <w:tcW w:w="8358" w:type="dxa"/>
          </w:tcPr>
          <w:p w14:paraId="1D7D2B0F" w14:textId="77777777" w:rsidR="004D2421" w:rsidRPr="00203B8E" w:rsidRDefault="004D2421" w:rsidP="00EA1134">
            <w:pPr>
              <w:autoSpaceDE/>
              <w:autoSpaceDN/>
              <w:adjustRightInd/>
              <w:spacing w:before="200" w:line="240" w:lineRule="auto"/>
              <w:outlineLvl w:val="0"/>
              <w:rPr>
                <w:rFonts w:asciiTheme="majorBidi" w:hAnsiTheme="majorBidi" w:cstheme="majorBidi"/>
                <w:color w:val="000000"/>
                <w:sz w:val="24"/>
                <w:szCs w:val="24"/>
              </w:rPr>
            </w:pPr>
            <w:proofErr w:type="gramStart"/>
            <w:r w:rsidRPr="00203B8E">
              <w:rPr>
                <w:rFonts w:asciiTheme="majorBidi" w:hAnsiTheme="majorBidi" w:cstheme="majorBidi"/>
                <w:color w:val="000000"/>
                <w:sz w:val="24"/>
                <w:szCs w:val="24"/>
              </w:rPr>
              <w:t>Is</w:t>
            </w:r>
            <w:proofErr w:type="gramEnd"/>
            <w:r w:rsidRPr="00203B8E">
              <w:rPr>
                <w:rFonts w:asciiTheme="majorBidi" w:hAnsiTheme="majorBidi" w:cstheme="majorBidi"/>
                <w:color w:val="000000"/>
                <w:sz w:val="24"/>
                <w:szCs w:val="24"/>
              </w:rPr>
              <w:t xml:space="preserve"> the hypothesis/aim/objective/research questions of the study clearly described? Must be explicit </w:t>
            </w:r>
          </w:p>
        </w:tc>
      </w:tr>
      <w:tr w:rsidR="004D2421" w:rsidRPr="00203B8E" w14:paraId="5F820FE2" w14:textId="77777777" w:rsidTr="00EA1134">
        <w:trPr>
          <w:cantSplit/>
          <w:trHeight w:val="170"/>
        </w:trPr>
        <w:tc>
          <w:tcPr>
            <w:tcW w:w="450" w:type="dxa"/>
          </w:tcPr>
          <w:p w14:paraId="4D9876DF"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t>2.</w:t>
            </w:r>
          </w:p>
        </w:tc>
        <w:tc>
          <w:tcPr>
            <w:tcW w:w="8358" w:type="dxa"/>
          </w:tcPr>
          <w:p w14:paraId="6D1526E5"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t xml:space="preserve">Are the characteristics of the participants included in the study clearly described? </w:t>
            </w:r>
          </w:p>
        </w:tc>
      </w:tr>
      <w:tr w:rsidR="004D2421" w:rsidRPr="00203B8E" w14:paraId="4DC8E69A" w14:textId="77777777" w:rsidTr="00EA1134">
        <w:trPr>
          <w:cantSplit/>
          <w:trHeight w:val="170"/>
        </w:trPr>
        <w:tc>
          <w:tcPr>
            <w:tcW w:w="450" w:type="dxa"/>
          </w:tcPr>
          <w:p w14:paraId="1BA83223"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t>3.</w:t>
            </w:r>
          </w:p>
        </w:tc>
        <w:tc>
          <w:tcPr>
            <w:tcW w:w="8358" w:type="dxa"/>
          </w:tcPr>
          <w:p w14:paraId="1E9824CF"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sz w:val="24"/>
                <w:szCs w:val="24"/>
              </w:rPr>
              <w:t>Were inclusion and exclusion criteria for being in the study prespecified and applied uniformly to all participants?</w:t>
            </w:r>
          </w:p>
        </w:tc>
      </w:tr>
      <w:tr w:rsidR="004D2421" w:rsidRPr="00203B8E" w14:paraId="7EBBC922" w14:textId="77777777" w:rsidTr="00EA1134">
        <w:trPr>
          <w:cantSplit/>
          <w:trHeight w:val="566"/>
        </w:trPr>
        <w:tc>
          <w:tcPr>
            <w:tcW w:w="450" w:type="dxa"/>
          </w:tcPr>
          <w:p w14:paraId="2F436DC6"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t>4.</w:t>
            </w:r>
          </w:p>
        </w:tc>
        <w:tc>
          <w:tcPr>
            <w:tcW w:w="8358" w:type="dxa"/>
          </w:tcPr>
          <w:p w14:paraId="48D717E0"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t>Were those participants who were prepared to participate representative of the entire population from which they were recruited? The proportion of those asked who agreed should be stated.</w:t>
            </w:r>
          </w:p>
        </w:tc>
      </w:tr>
      <w:tr w:rsidR="004D2421" w:rsidRPr="00203B8E" w14:paraId="76AB2A73" w14:textId="77777777" w:rsidTr="00EA1134">
        <w:trPr>
          <w:cantSplit/>
          <w:trHeight w:val="233"/>
        </w:trPr>
        <w:tc>
          <w:tcPr>
            <w:tcW w:w="450" w:type="dxa"/>
          </w:tcPr>
          <w:p w14:paraId="0520189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5.</w:t>
            </w:r>
          </w:p>
        </w:tc>
        <w:tc>
          <w:tcPr>
            <w:tcW w:w="8358" w:type="dxa"/>
          </w:tcPr>
          <w:p w14:paraId="3B5CEADE"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sz w:val="24"/>
                <w:szCs w:val="24"/>
              </w:rPr>
              <w:t>Was the participation rate of eligible persons at least 50%?</w:t>
            </w:r>
          </w:p>
        </w:tc>
      </w:tr>
      <w:tr w:rsidR="004D2421" w:rsidRPr="00203B8E" w14:paraId="329610E2" w14:textId="77777777" w:rsidTr="00EA1134">
        <w:trPr>
          <w:cantSplit/>
          <w:trHeight w:val="296"/>
        </w:trPr>
        <w:tc>
          <w:tcPr>
            <w:tcW w:w="450" w:type="dxa"/>
          </w:tcPr>
          <w:p w14:paraId="1F887BE2"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t>6.</w:t>
            </w:r>
          </w:p>
        </w:tc>
        <w:tc>
          <w:tcPr>
            <w:tcW w:w="8358" w:type="dxa"/>
          </w:tcPr>
          <w:p w14:paraId="52055B8D"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sz w:val="24"/>
                <w:szCs w:val="24"/>
              </w:rPr>
              <w:t>For the analyses in this paper, were the exposure(s) of interest measured prior to the outcome(s) being measured?</w:t>
            </w:r>
          </w:p>
        </w:tc>
      </w:tr>
      <w:tr w:rsidR="004D2421" w:rsidRPr="00203B8E" w14:paraId="4248705D" w14:textId="77777777" w:rsidTr="00EA1134">
        <w:trPr>
          <w:cantSplit/>
          <w:trHeight w:val="260"/>
        </w:trPr>
        <w:tc>
          <w:tcPr>
            <w:tcW w:w="450" w:type="dxa"/>
          </w:tcPr>
          <w:p w14:paraId="42126DB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7. </w:t>
            </w:r>
          </w:p>
        </w:tc>
        <w:tc>
          <w:tcPr>
            <w:tcW w:w="8358" w:type="dxa"/>
          </w:tcPr>
          <w:p w14:paraId="5807E77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Was the timeframe sufficient so that one could reasonably expect to see an association between exposure and outcome if it existed?</w:t>
            </w:r>
          </w:p>
        </w:tc>
      </w:tr>
      <w:tr w:rsidR="004D2421" w:rsidRPr="00203B8E" w14:paraId="3F5751F0" w14:textId="77777777" w:rsidTr="00EA1134">
        <w:trPr>
          <w:cantSplit/>
          <w:trHeight w:val="521"/>
        </w:trPr>
        <w:tc>
          <w:tcPr>
            <w:tcW w:w="450" w:type="dxa"/>
          </w:tcPr>
          <w:p w14:paraId="700B845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8.</w:t>
            </w:r>
          </w:p>
        </w:tc>
        <w:tc>
          <w:tcPr>
            <w:tcW w:w="8358" w:type="dxa"/>
          </w:tcPr>
          <w:p w14:paraId="04E0CE4F"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sz w:val="24"/>
                <w:szCs w:val="24"/>
              </w:rPr>
              <w:t>For exposures that can vary in amount or level, did the study examine different levels of the exposure as related to the outcome (e.g., categories of exposure, or exposure measured as continuous variable)?</w:t>
            </w:r>
          </w:p>
        </w:tc>
      </w:tr>
      <w:tr w:rsidR="004D2421" w:rsidRPr="00203B8E" w14:paraId="4478BDF4" w14:textId="77777777" w:rsidTr="00EA1134">
        <w:trPr>
          <w:cantSplit/>
          <w:trHeight w:val="521"/>
        </w:trPr>
        <w:tc>
          <w:tcPr>
            <w:tcW w:w="450" w:type="dxa"/>
          </w:tcPr>
          <w:p w14:paraId="13EF489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9.</w:t>
            </w:r>
          </w:p>
        </w:tc>
        <w:tc>
          <w:tcPr>
            <w:tcW w:w="8358" w:type="dxa"/>
          </w:tcPr>
          <w:p w14:paraId="5DC0B1FA"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sz w:val="24"/>
                <w:szCs w:val="24"/>
              </w:rPr>
              <w:t>Were the exposure measures (independent variables) clearly defined, valid, reliable, and implemented consistently across all study participants?</w:t>
            </w:r>
          </w:p>
        </w:tc>
      </w:tr>
      <w:tr w:rsidR="004D2421" w:rsidRPr="00203B8E" w14:paraId="537A5F4B" w14:textId="77777777" w:rsidTr="00EA1134">
        <w:trPr>
          <w:cantSplit/>
          <w:trHeight w:val="521"/>
        </w:trPr>
        <w:tc>
          <w:tcPr>
            <w:tcW w:w="450" w:type="dxa"/>
          </w:tcPr>
          <w:p w14:paraId="671C165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10.</w:t>
            </w:r>
          </w:p>
        </w:tc>
        <w:tc>
          <w:tcPr>
            <w:tcW w:w="8358" w:type="dxa"/>
          </w:tcPr>
          <w:p w14:paraId="3B916271"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sz w:val="24"/>
                <w:szCs w:val="24"/>
              </w:rPr>
              <w:t>Was the exposure(s) assessed more than once over time?</w:t>
            </w:r>
          </w:p>
        </w:tc>
      </w:tr>
      <w:tr w:rsidR="004D2421" w:rsidRPr="00203B8E" w14:paraId="28704052" w14:textId="77777777" w:rsidTr="00EA1134">
        <w:trPr>
          <w:cantSplit/>
          <w:trHeight w:val="233"/>
        </w:trPr>
        <w:tc>
          <w:tcPr>
            <w:tcW w:w="450" w:type="dxa"/>
          </w:tcPr>
          <w:p w14:paraId="18A69CB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11.</w:t>
            </w:r>
          </w:p>
        </w:tc>
        <w:tc>
          <w:tcPr>
            <w:tcW w:w="8358" w:type="dxa"/>
          </w:tcPr>
          <w:p w14:paraId="4AD6AB23"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sz w:val="24"/>
                <w:szCs w:val="24"/>
              </w:rPr>
              <w:t>Were the outcome measures (dependent variables) clearly defined, valid, reliable, and implemented consistently across all study participants?</w:t>
            </w:r>
          </w:p>
        </w:tc>
      </w:tr>
      <w:tr w:rsidR="004D2421" w:rsidRPr="00203B8E" w14:paraId="3FAFE93F" w14:textId="77777777" w:rsidTr="00EA1134">
        <w:trPr>
          <w:cantSplit/>
          <w:trHeight w:val="305"/>
        </w:trPr>
        <w:tc>
          <w:tcPr>
            <w:tcW w:w="450" w:type="dxa"/>
          </w:tcPr>
          <w:p w14:paraId="7560652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12.</w:t>
            </w:r>
          </w:p>
        </w:tc>
        <w:tc>
          <w:tcPr>
            <w:tcW w:w="8358" w:type="dxa"/>
          </w:tcPr>
          <w:p w14:paraId="0E146694"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t xml:space="preserve">Have the characteristics of participants lost to follow-up been described? </w:t>
            </w:r>
          </w:p>
        </w:tc>
      </w:tr>
      <w:tr w:rsidR="004D2421" w:rsidRPr="00203B8E" w14:paraId="17C64798" w14:textId="77777777" w:rsidTr="00EA1134">
        <w:trPr>
          <w:cantSplit/>
          <w:trHeight w:val="296"/>
        </w:trPr>
        <w:tc>
          <w:tcPr>
            <w:tcW w:w="450" w:type="dxa"/>
          </w:tcPr>
          <w:p w14:paraId="5A93F98A"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t>13.</w:t>
            </w:r>
          </w:p>
        </w:tc>
        <w:tc>
          <w:tcPr>
            <w:tcW w:w="8358" w:type="dxa"/>
          </w:tcPr>
          <w:p w14:paraId="79D9134C"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t>Were losses of participants to follow-up taken into account in data analysis?</w:t>
            </w:r>
          </w:p>
        </w:tc>
      </w:tr>
      <w:tr w:rsidR="004D2421" w:rsidRPr="00203B8E" w14:paraId="131DB8F2" w14:textId="77777777" w:rsidTr="00EA1134">
        <w:trPr>
          <w:cantSplit/>
          <w:trHeight w:val="278"/>
        </w:trPr>
        <w:tc>
          <w:tcPr>
            <w:tcW w:w="450" w:type="dxa"/>
          </w:tcPr>
          <w:p w14:paraId="2CB544CC"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t>14.</w:t>
            </w:r>
          </w:p>
        </w:tc>
        <w:tc>
          <w:tcPr>
            <w:tcW w:w="8358" w:type="dxa"/>
          </w:tcPr>
          <w:p w14:paraId="411D10E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Was loss to follow-up after baseline 20% or less?</w:t>
            </w:r>
          </w:p>
        </w:tc>
      </w:tr>
      <w:tr w:rsidR="004D2421" w:rsidRPr="00203B8E" w14:paraId="0C8D0FFF" w14:textId="77777777" w:rsidTr="00EA1134">
        <w:trPr>
          <w:cantSplit/>
          <w:trHeight w:val="278"/>
        </w:trPr>
        <w:tc>
          <w:tcPr>
            <w:tcW w:w="450" w:type="dxa"/>
          </w:tcPr>
          <w:p w14:paraId="764CE5A4"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t>15.</w:t>
            </w:r>
          </w:p>
        </w:tc>
        <w:tc>
          <w:tcPr>
            <w:tcW w:w="8358" w:type="dxa"/>
          </w:tcPr>
          <w:p w14:paraId="7F12BA96"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t xml:space="preserve">Are the main findings of the study clearly described? Simple outcome data should be reported for all major findings so that the reader can check the major analyses and conclusions.  </w:t>
            </w:r>
          </w:p>
        </w:tc>
      </w:tr>
      <w:tr w:rsidR="004D2421" w:rsidRPr="00203B8E" w14:paraId="14F3BDE4" w14:textId="77777777" w:rsidTr="00EA1134">
        <w:trPr>
          <w:cantSplit/>
          <w:trHeight w:val="242"/>
        </w:trPr>
        <w:tc>
          <w:tcPr>
            <w:tcW w:w="450" w:type="dxa"/>
          </w:tcPr>
          <w:p w14:paraId="1AAB54B9"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t>16.</w:t>
            </w:r>
          </w:p>
        </w:tc>
        <w:tc>
          <w:tcPr>
            <w:tcW w:w="8358" w:type="dxa"/>
          </w:tcPr>
          <w:p w14:paraId="39DE01B1"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t>Have actual probability values been consistently reported (e.g. 0.035 rather than &lt;0.05) for the main outcomes except where the probability value is less than 0.001?</w:t>
            </w:r>
          </w:p>
        </w:tc>
      </w:tr>
      <w:tr w:rsidR="004D2421" w:rsidRPr="00203B8E" w14:paraId="605B2F54" w14:textId="77777777" w:rsidTr="00EA1134">
        <w:trPr>
          <w:cantSplit/>
          <w:trHeight w:val="521"/>
        </w:trPr>
        <w:tc>
          <w:tcPr>
            <w:tcW w:w="450" w:type="dxa"/>
          </w:tcPr>
          <w:p w14:paraId="65C89E74"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lastRenderedPageBreak/>
              <w:t>17.</w:t>
            </w:r>
          </w:p>
        </w:tc>
        <w:tc>
          <w:tcPr>
            <w:tcW w:w="8358" w:type="dxa"/>
          </w:tcPr>
          <w:p w14:paraId="5C73C50B"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t>Were the statistical tests used to assess the main outcomes appropriate? The statistical techniques used must be appropriate to the data.</w:t>
            </w:r>
          </w:p>
        </w:tc>
      </w:tr>
      <w:tr w:rsidR="004D2421" w:rsidRPr="00203B8E" w14:paraId="03D1424F" w14:textId="77777777" w:rsidTr="00EA1134">
        <w:trPr>
          <w:cantSplit/>
          <w:trHeight w:val="521"/>
        </w:trPr>
        <w:tc>
          <w:tcPr>
            <w:tcW w:w="450" w:type="dxa"/>
          </w:tcPr>
          <w:p w14:paraId="25339EC8"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t>18.</w:t>
            </w:r>
          </w:p>
        </w:tc>
        <w:tc>
          <w:tcPr>
            <w:tcW w:w="8358" w:type="dxa"/>
          </w:tcPr>
          <w:p w14:paraId="485F1C66"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sz w:val="24"/>
                <w:szCs w:val="24"/>
              </w:rPr>
              <w:t>Were key potential confounding variables measured and adjusted statistically for their impact on the relationship between exposure(s) and outcome(s)?</w:t>
            </w:r>
          </w:p>
        </w:tc>
      </w:tr>
    </w:tbl>
    <w:p w14:paraId="0DE98E98" w14:textId="77777777" w:rsidR="004D2421" w:rsidRPr="00C238AD" w:rsidRDefault="004D2421" w:rsidP="004D2421">
      <w:pPr>
        <w:autoSpaceDE/>
        <w:autoSpaceDN/>
        <w:adjustRightInd/>
        <w:spacing w:before="200" w:line="240" w:lineRule="auto"/>
        <w:rPr>
          <w:rFonts w:asciiTheme="majorBidi" w:hAnsiTheme="majorBidi" w:cstheme="majorBidi"/>
          <w:sz w:val="20"/>
          <w:szCs w:val="20"/>
          <w:lang w:eastAsia="zh-CN"/>
        </w:rPr>
      </w:pPr>
      <w:r>
        <w:rPr>
          <w:rFonts w:asciiTheme="majorBidi" w:hAnsiTheme="majorBidi" w:cstheme="majorBidi"/>
          <w:i/>
          <w:sz w:val="20"/>
          <w:szCs w:val="20"/>
          <w:lang w:eastAsia="zh-CN"/>
        </w:rPr>
        <w:t>Note</w:t>
      </w:r>
      <w:r w:rsidRPr="00BF6394">
        <w:rPr>
          <w:rFonts w:asciiTheme="majorBidi" w:hAnsiTheme="majorBidi" w:cstheme="majorBidi"/>
          <w:i/>
          <w:sz w:val="20"/>
          <w:szCs w:val="20"/>
          <w:lang w:eastAsia="zh-CN"/>
        </w:rPr>
        <w:t>.</w:t>
      </w:r>
      <w:r w:rsidRPr="00C238AD">
        <w:rPr>
          <w:rFonts w:asciiTheme="majorBidi" w:hAnsiTheme="majorBidi" w:cstheme="majorBidi"/>
          <w:sz w:val="20"/>
          <w:szCs w:val="20"/>
          <w:lang w:eastAsia="zh-CN"/>
        </w:rPr>
        <w:t xml:space="preserve">  The quality assessment criteria were based on Downs and Black (1998) checklist and the Quality Assessment Tool for Observational Cohort and Cross-Sectional Studies (National Institute of Health, 2014). 10-14 were not applicable to cross sectional data, therefore, each study was given a score of 0 (criterion not met) or 1 (criterion met) to generate a possible score of 0-36.</w:t>
      </w:r>
    </w:p>
    <w:p w14:paraId="5410120B" w14:textId="77777777" w:rsidR="004D2421" w:rsidRPr="00203B8E" w:rsidRDefault="004D2421" w:rsidP="004D2421">
      <w:pPr>
        <w:autoSpaceDE/>
        <w:autoSpaceDN/>
        <w:adjustRightInd/>
        <w:spacing w:before="200"/>
        <w:rPr>
          <w:rFonts w:asciiTheme="majorBidi" w:hAnsiTheme="majorBidi" w:cstheme="majorBidi"/>
          <w:lang w:eastAsia="zh-CN"/>
        </w:rPr>
      </w:pPr>
    </w:p>
    <w:p w14:paraId="07910C03" w14:textId="77777777" w:rsidR="004D2421" w:rsidRPr="00203B8E" w:rsidRDefault="004D2421" w:rsidP="004D2421">
      <w:pPr>
        <w:autoSpaceDE/>
        <w:autoSpaceDN/>
        <w:adjustRightInd/>
        <w:spacing w:before="200"/>
        <w:rPr>
          <w:rFonts w:asciiTheme="majorBidi" w:hAnsiTheme="majorBidi" w:cstheme="majorBidi"/>
          <w:lang w:eastAsia="zh-CN"/>
        </w:rPr>
        <w:sectPr w:rsidR="004D2421" w:rsidRPr="00203B8E" w:rsidSect="00EA1134">
          <w:pgSz w:w="11907" w:h="16840" w:code="9"/>
          <w:pgMar w:top="851" w:right="851" w:bottom="851" w:left="2268" w:header="425" w:footer="425" w:gutter="0"/>
          <w:cols w:space="708"/>
          <w:formProt w:val="0"/>
          <w:docGrid w:linePitch="360"/>
        </w:sectPr>
      </w:pPr>
    </w:p>
    <w:p w14:paraId="628684A9" w14:textId="77777777" w:rsidR="004D2421" w:rsidRPr="00D55B56" w:rsidRDefault="004D2421" w:rsidP="004D2421">
      <w:pPr>
        <w:autoSpaceDE/>
        <w:autoSpaceDN/>
        <w:adjustRightInd/>
        <w:spacing w:line="480" w:lineRule="auto"/>
        <w:rPr>
          <w:rFonts w:asciiTheme="majorBidi" w:hAnsiTheme="majorBidi" w:cstheme="majorBidi"/>
        </w:rPr>
      </w:pPr>
      <w:r>
        <w:rPr>
          <w:rFonts w:asciiTheme="majorBidi" w:hAnsiTheme="majorBidi" w:cstheme="majorBidi"/>
        </w:rPr>
        <w:lastRenderedPageBreak/>
        <w:t>Online Resource 2</w:t>
      </w:r>
    </w:p>
    <w:p w14:paraId="5D9C42BA" w14:textId="77777777" w:rsidR="004D2421" w:rsidRPr="00203B8E" w:rsidRDefault="004D2421" w:rsidP="004D2421">
      <w:pPr>
        <w:autoSpaceDE/>
        <w:autoSpaceDN/>
        <w:adjustRightInd/>
        <w:spacing w:line="480" w:lineRule="auto"/>
        <w:rPr>
          <w:rFonts w:asciiTheme="majorBidi" w:hAnsiTheme="majorBidi" w:cstheme="majorBidi"/>
          <w:i/>
          <w:iCs/>
        </w:rPr>
      </w:pPr>
      <w:r w:rsidRPr="00203B8E">
        <w:rPr>
          <w:rFonts w:asciiTheme="majorBidi" w:hAnsiTheme="majorBidi" w:cstheme="majorBidi"/>
          <w:i/>
          <w:iCs/>
        </w:rPr>
        <w:t xml:space="preserve">Quality assessment of each study in the systematic review </w:t>
      </w:r>
    </w:p>
    <w:tbl>
      <w:tblPr>
        <w:tblStyle w:val="TableGrid"/>
        <w:tblW w:w="14023" w:type="dxa"/>
        <w:tblInd w:w="69" w:type="dxa"/>
        <w:tblLayout w:type="fixed"/>
        <w:tblLook w:val="04A0" w:firstRow="1" w:lastRow="0" w:firstColumn="1" w:lastColumn="0" w:noHBand="0" w:noVBand="1"/>
      </w:tblPr>
      <w:tblGrid>
        <w:gridCol w:w="1974"/>
        <w:gridCol w:w="634"/>
        <w:gridCol w:w="634"/>
        <w:gridCol w:w="634"/>
        <w:gridCol w:w="634"/>
        <w:gridCol w:w="634"/>
        <w:gridCol w:w="634"/>
        <w:gridCol w:w="635"/>
        <w:gridCol w:w="634"/>
        <w:gridCol w:w="634"/>
        <w:gridCol w:w="634"/>
        <w:gridCol w:w="634"/>
        <w:gridCol w:w="634"/>
        <w:gridCol w:w="635"/>
        <w:gridCol w:w="634"/>
        <w:gridCol w:w="634"/>
        <w:gridCol w:w="634"/>
        <w:gridCol w:w="634"/>
        <w:gridCol w:w="634"/>
        <w:gridCol w:w="635"/>
      </w:tblGrid>
      <w:tr w:rsidR="004D2421" w:rsidRPr="00203B8E" w14:paraId="1AE4CC69" w14:textId="77777777" w:rsidTr="00EA1134">
        <w:trPr>
          <w:trHeight w:val="573"/>
        </w:trPr>
        <w:tc>
          <w:tcPr>
            <w:tcW w:w="1974" w:type="dxa"/>
            <w:tcBorders>
              <w:right w:val="nil"/>
            </w:tcBorders>
            <w:shd w:val="clear" w:color="auto" w:fill="auto"/>
          </w:tcPr>
          <w:p w14:paraId="4EB8B2A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p>
        </w:tc>
        <w:tc>
          <w:tcPr>
            <w:tcW w:w="12049" w:type="dxa"/>
            <w:gridSpan w:val="19"/>
            <w:tcBorders>
              <w:left w:val="nil"/>
            </w:tcBorders>
            <w:shd w:val="clear" w:color="auto" w:fill="auto"/>
          </w:tcPr>
          <w:p w14:paraId="1EAAD61D" w14:textId="77777777" w:rsidR="004D2421" w:rsidRPr="00203B8E" w:rsidRDefault="004D2421" w:rsidP="00EA1134">
            <w:pPr>
              <w:autoSpaceDE/>
              <w:autoSpaceDN/>
              <w:adjustRightInd/>
              <w:spacing w:before="200" w:line="240" w:lineRule="auto"/>
              <w:jc w:val="center"/>
              <w:rPr>
                <w:rFonts w:asciiTheme="majorBidi" w:hAnsiTheme="majorBidi" w:cstheme="majorBidi"/>
                <w:sz w:val="24"/>
                <w:szCs w:val="24"/>
              </w:rPr>
            </w:pPr>
            <w:r w:rsidRPr="00203B8E">
              <w:rPr>
                <w:rFonts w:asciiTheme="majorBidi" w:hAnsiTheme="majorBidi" w:cstheme="majorBidi"/>
                <w:sz w:val="24"/>
                <w:szCs w:val="24"/>
              </w:rPr>
              <w:t>Criterion number</w:t>
            </w:r>
          </w:p>
        </w:tc>
      </w:tr>
      <w:tr w:rsidR="004D2421" w:rsidRPr="00203B8E" w14:paraId="2AE498BD" w14:textId="77777777" w:rsidTr="00EA1134">
        <w:trPr>
          <w:trHeight w:val="573"/>
        </w:trPr>
        <w:tc>
          <w:tcPr>
            <w:tcW w:w="1974" w:type="dxa"/>
            <w:shd w:val="clear" w:color="auto" w:fill="auto"/>
          </w:tcPr>
          <w:p w14:paraId="5682A29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Study</w:t>
            </w:r>
          </w:p>
        </w:tc>
        <w:tc>
          <w:tcPr>
            <w:tcW w:w="634" w:type="dxa"/>
            <w:shd w:val="clear" w:color="auto" w:fill="auto"/>
          </w:tcPr>
          <w:p w14:paraId="6CA59CB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87A8C2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2</w:t>
            </w:r>
          </w:p>
        </w:tc>
        <w:tc>
          <w:tcPr>
            <w:tcW w:w="634" w:type="dxa"/>
            <w:shd w:val="clear" w:color="auto" w:fill="auto"/>
          </w:tcPr>
          <w:p w14:paraId="005F5BF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3</w:t>
            </w:r>
          </w:p>
        </w:tc>
        <w:tc>
          <w:tcPr>
            <w:tcW w:w="634" w:type="dxa"/>
            <w:shd w:val="clear" w:color="auto" w:fill="auto"/>
          </w:tcPr>
          <w:p w14:paraId="65578AC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4</w:t>
            </w:r>
          </w:p>
        </w:tc>
        <w:tc>
          <w:tcPr>
            <w:tcW w:w="634" w:type="dxa"/>
            <w:shd w:val="clear" w:color="auto" w:fill="auto"/>
          </w:tcPr>
          <w:p w14:paraId="6A74377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5</w:t>
            </w:r>
          </w:p>
        </w:tc>
        <w:tc>
          <w:tcPr>
            <w:tcW w:w="634" w:type="dxa"/>
            <w:shd w:val="clear" w:color="auto" w:fill="auto"/>
          </w:tcPr>
          <w:p w14:paraId="0781589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6</w:t>
            </w:r>
          </w:p>
        </w:tc>
        <w:tc>
          <w:tcPr>
            <w:tcW w:w="635" w:type="dxa"/>
            <w:shd w:val="clear" w:color="auto" w:fill="auto"/>
          </w:tcPr>
          <w:p w14:paraId="082FF90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7</w:t>
            </w:r>
          </w:p>
        </w:tc>
        <w:tc>
          <w:tcPr>
            <w:tcW w:w="634" w:type="dxa"/>
            <w:shd w:val="clear" w:color="auto" w:fill="auto"/>
          </w:tcPr>
          <w:p w14:paraId="3370BA5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8</w:t>
            </w:r>
          </w:p>
        </w:tc>
        <w:tc>
          <w:tcPr>
            <w:tcW w:w="634" w:type="dxa"/>
            <w:shd w:val="clear" w:color="auto" w:fill="auto"/>
          </w:tcPr>
          <w:p w14:paraId="06AA463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9</w:t>
            </w:r>
          </w:p>
        </w:tc>
        <w:tc>
          <w:tcPr>
            <w:tcW w:w="634" w:type="dxa"/>
            <w:shd w:val="clear" w:color="auto" w:fill="auto"/>
          </w:tcPr>
          <w:p w14:paraId="4D53BFC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10</w:t>
            </w:r>
          </w:p>
        </w:tc>
        <w:tc>
          <w:tcPr>
            <w:tcW w:w="634" w:type="dxa"/>
            <w:shd w:val="clear" w:color="auto" w:fill="auto"/>
          </w:tcPr>
          <w:p w14:paraId="20F150C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11</w:t>
            </w:r>
          </w:p>
        </w:tc>
        <w:tc>
          <w:tcPr>
            <w:tcW w:w="634" w:type="dxa"/>
            <w:shd w:val="clear" w:color="auto" w:fill="auto"/>
          </w:tcPr>
          <w:p w14:paraId="64B46BB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12</w:t>
            </w:r>
          </w:p>
        </w:tc>
        <w:tc>
          <w:tcPr>
            <w:tcW w:w="635" w:type="dxa"/>
            <w:shd w:val="clear" w:color="auto" w:fill="auto"/>
          </w:tcPr>
          <w:p w14:paraId="7895E0C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13</w:t>
            </w:r>
          </w:p>
        </w:tc>
        <w:tc>
          <w:tcPr>
            <w:tcW w:w="634" w:type="dxa"/>
            <w:shd w:val="clear" w:color="auto" w:fill="auto"/>
          </w:tcPr>
          <w:p w14:paraId="28DD88E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14</w:t>
            </w:r>
          </w:p>
        </w:tc>
        <w:tc>
          <w:tcPr>
            <w:tcW w:w="634" w:type="dxa"/>
            <w:shd w:val="clear" w:color="auto" w:fill="auto"/>
          </w:tcPr>
          <w:p w14:paraId="55D94EB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15</w:t>
            </w:r>
          </w:p>
        </w:tc>
        <w:tc>
          <w:tcPr>
            <w:tcW w:w="634" w:type="dxa"/>
            <w:shd w:val="clear" w:color="auto" w:fill="auto"/>
          </w:tcPr>
          <w:p w14:paraId="0CACE18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16</w:t>
            </w:r>
          </w:p>
        </w:tc>
        <w:tc>
          <w:tcPr>
            <w:tcW w:w="634" w:type="dxa"/>
            <w:shd w:val="clear" w:color="auto" w:fill="auto"/>
          </w:tcPr>
          <w:p w14:paraId="5F54A9D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17</w:t>
            </w:r>
          </w:p>
        </w:tc>
        <w:tc>
          <w:tcPr>
            <w:tcW w:w="634" w:type="dxa"/>
            <w:shd w:val="clear" w:color="auto" w:fill="auto"/>
          </w:tcPr>
          <w:p w14:paraId="4E05A1D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18</w:t>
            </w:r>
          </w:p>
        </w:tc>
        <w:tc>
          <w:tcPr>
            <w:tcW w:w="635" w:type="dxa"/>
            <w:shd w:val="clear" w:color="auto" w:fill="auto"/>
          </w:tcPr>
          <w:p w14:paraId="491E4FB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Total</w:t>
            </w:r>
          </w:p>
        </w:tc>
      </w:tr>
      <w:tr w:rsidR="004D2421" w:rsidRPr="00203B8E" w14:paraId="1A19A779" w14:textId="77777777" w:rsidTr="00EA1134">
        <w:trPr>
          <w:trHeight w:val="573"/>
        </w:trPr>
        <w:tc>
          <w:tcPr>
            <w:tcW w:w="1974" w:type="dxa"/>
            <w:shd w:val="clear" w:color="auto" w:fill="auto"/>
          </w:tcPr>
          <w:p w14:paraId="1EC4572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Cavanaugh &amp; Buehler (2016). </w:t>
            </w:r>
          </w:p>
        </w:tc>
        <w:tc>
          <w:tcPr>
            <w:tcW w:w="634" w:type="dxa"/>
            <w:shd w:val="clear" w:color="auto" w:fill="auto"/>
          </w:tcPr>
          <w:p w14:paraId="6D50AB3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AC454D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8F76E1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7746FB6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926E40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64078D8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10CD66E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2F1BD9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F02B4C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5DEF4B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755FCF9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7AC11B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1F30CAD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2DE24B7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D76A26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2B41E2E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9AB61D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ED50A0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2DEDE29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.72</w:t>
            </w:r>
          </w:p>
        </w:tc>
      </w:tr>
      <w:tr w:rsidR="004D2421" w:rsidRPr="00203B8E" w14:paraId="4EF07DE9" w14:textId="77777777" w:rsidTr="00EA1134">
        <w:trPr>
          <w:trHeight w:val="773"/>
        </w:trPr>
        <w:tc>
          <w:tcPr>
            <w:tcW w:w="1974" w:type="dxa"/>
            <w:shd w:val="clear" w:color="auto" w:fill="auto"/>
          </w:tcPr>
          <w:p w14:paraId="653A9BC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De Wit et al. (2011). </w:t>
            </w:r>
          </w:p>
        </w:tc>
        <w:tc>
          <w:tcPr>
            <w:tcW w:w="634" w:type="dxa"/>
            <w:shd w:val="clear" w:color="auto" w:fill="auto"/>
          </w:tcPr>
          <w:p w14:paraId="147724C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9CB511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7F3CFC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6F76E40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F15C49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124BB8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393B645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684405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AA4CC9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F4A13F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7ED241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F8EE1F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177FCFD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D5568C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0A0CBC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3B6109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5AA8655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943F88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0FA1D83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.89</w:t>
            </w:r>
          </w:p>
        </w:tc>
      </w:tr>
      <w:tr w:rsidR="004D2421" w:rsidRPr="00203B8E" w14:paraId="475A6FE8" w14:textId="77777777" w:rsidTr="00EA1134">
        <w:tc>
          <w:tcPr>
            <w:tcW w:w="1974" w:type="dxa"/>
            <w:shd w:val="clear" w:color="auto" w:fill="auto"/>
          </w:tcPr>
          <w:p w14:paraId="7B1B3BD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Flanagan, Erath, &amp; Bierman (2008). </w:t>
            </w:r>
          </w:p>
        </w:tc>
        <w:tc>
          <w:tcPr>
            <w:tcW w:w="634" w:type="dxa"/>
            <w:shd w:val="clear" w:color="auto" w:fill="auto"/>
          </w:tcPr>
          <w:p w14:paraId="5ED4A6E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F133A6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FB3E5B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737FAF8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47EEF3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4AD05C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4CC263A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5874D8E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15B1DF5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3D2337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120D702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893DDF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5" w:type="dxa"/>
            <w:shd w:val="clear" w:color="auto" w:fill="auto"/>
          </w:tcPr>
          <w:p w14:paraId="4BB7DC4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678A271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3A0AB05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71CC82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3637A7B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029AA4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2976A31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.64</w:t>
            </w:r>
          </w:p>
        </w:tc>
      </w:tr>
      <w:tr w:rsidR="004D2421" w:rsidRPr="00203B8E" w14:paraId="4EF9CD81" w14:textId="77777777" w:rsidTr="00EA1134">
        <w:tc>
          <w:tcPr>
            <w:tcW w:w="1974" w:type="dxa"/>
            <w:shd w:val="clear" w:color="auto" w:fill="auto"/>
          </w:tcPr>
          <w:p w14:paraId="738401F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Greco &amp; Morris (2005). </w:t>
            </w:r>
          </w:p>
        </w:tc>
        <w:tc>
          <w:tcPr>
            <w:tcW w:w="634" w:type="dxa"/>
            <w:shd w:val="clear" w:color="auto" w:fill="auto"/>
          </w:tcPr>
          <w:p w14:paraId="2A4CC6D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E74D2B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2C386B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621355E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AD410D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54977E6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52D8C48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60F9499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688DCB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B87BDB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01868EB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21CFB6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5" w:type="dxa"/>
            <w:shd w:val="clear" w:color="auto" w:fill="auto"/>
          </w:tcPr>
          <w:p w14:paraId="4CE4CBB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006762F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194D54A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6B6901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64C1EA3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E43570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786ED54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.57</w:t>
            </w:r>
          </w:p>
        </w:tc>
      </w:tr>
      <w:tr w:rsidR="004D2421" w:rsidRPr="00203B8E" w14:paraId="095C8EFC" w14:textId="77777777" w:rsidTr="00EA1134">
        <w:trPr>
          <w:trHeight w:val="593"/>
        </w:trPr>
        <w:tc>
          <w:tcPr>
            <w:tcW w:w="1974" w:type="dxa"/>
            <w:shd w:val="clear" w:color="auto" w:fill="auto"/>
          </w:tcPr>
          <w:p w14:paraId="604DA24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Grills-</w:t>
            </w:r>
            <w:proofErr w:type="spellStart"/>
            <w:r w:rsidRPr="00203B8E">
              <w:rPr>
                <w:rFonts w:asciiTheme="majorBidi" w:hAnsiTheme="majorBidi" w:cstheme="majorBidi"/>
                <w:sz w:val="24"/>
                <w:szCs w:val="24"/>
              </w:rPr>
              <w:t>Taquechel</w:t>
            </w:r>
            <w:proofErr w:type="spellEnd"/>
            <w:r w:rsidRPr="00203B8E">
              <w:rPr>
                <w:rFonts w:asciiTheme="majorBidi" w:hAnsiTheme="majorBidi" w:cstheme="majorBidi"/>
                <w:sz w:val="24"/>
                <w:szCs w:val="24"/>
              </w:rPr>
              <w:t xml:space="preserve">, Norton &amp; </w:t>
            </w:r>
            <w:proofErr w:type="spellStart"/>
            <w:r w:rsidRPr="00203B8E">
              <w:rPr>
                <w:rFonts w:asciiTheme="majorBidi" w:hAnsiTheme="majorBidi" w:cstheme="majorBidi"/>
                <w:sz w:val="24"/>
                <w:szCs w:val="24"/>
              </w:rPr>
              <w:t>Ollendick</w:t>
            </w:r>
            <w:proofErr w:type="spellEnd"/>
            <w:r w:rsidRPr="00203B8E">
              <w:rPr>
                <w:rFonts w:asciiTheme="majorBidi" w:hAnsiTheme="majorBidi" w:cstheme="majorBidi"/>
                <w:sz w:val="24"/>
                <w:szCs w:val="24"/>
              </w:rPr>
              <w:t xml:space="preserve"> (2010). </w:t>
            </w:r>
          </w:p>
        </w:tc>
        <w:tc>
          <w:tcPr>
            <w:tcW w:w="634" w:type="dxa"/>
            <w:shd w:val="clear" w:color="auto" w:fill="auto"/>
          </w:tcPr>
          <w:p w14:paraId="1D587F6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71B551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E9B938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5177121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FFD956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1E589DB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48A6D8B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3D47B2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986955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B1BE73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8824D8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9E4E30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2CE632C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635B3D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2541DD09"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t>1</w:t>
            </w:r>
          </w:p>
        </w:tc>
        <w:tc>
          <w:tcPr>
            <w:tcW w:w="634" w:type="dxa"/>
            <w:shd w:val="clear" w:color="auto" w:fill="auto"/>
          </w:tcPr>
          <w:p w14:paraId="6AC95B23" w14:textId="77777777" w:rsidR="004D2421" w:rsidRPr="00203B8E" w:rsidRDefault="004D2421" w:rsidP="00EA1134">
            <w:pPr>
              <w:autoSpaceDE/>
              <w:autoSpaceDN/>
              <w:adjustRightInd/>
              <w:spacing w:before="200" w:line="240" w:lineRule="auto"/>
              <w:rPr>
                <w:rFonts w:asciiTheme="majorBidi" w:hAnsiTheme="majorBidi" w:cstheme="majorBidi"/>
                <w:color w:val="000000"/>
                <w:sz w:val="24"/>
                <w:szCs w:val="24"/>
              </w:rPr>
            </w:pPr>
            <w:r w:rsidRPr="00203B8E">
              <w:rPr>
                <w:rFonts w:asciiTheme="majorBidi" w:hAnsiTheme="majorBidi" w:cstheme="majorBidi"/>
                <w:color w:val="000000"/>
                <w:sz w:val="24"/>
                <w:szCs w:val="24"/>
              </w:rPr>
              <w:t>0</w:t>
            </w:r>
          </w:p>
        </w:tc>
        <w:tc>
          <w:tcPr>
            <w:tcW w:w="634" w:type="dxa"/>
            <w:shd w:val="clear" w:color="auto" w:fill="auto"/>
          </w:tcPr>
          <w:p w14:paraId="49BA48B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A85AB1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45026EA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.72</w:t>
            </w:r>
          </w:p>
        </w:tc>
      </w:tr>
      <w:tr w:rsidR="004D2421" w:rsidRPr="00203B8E" w14:paraId="402350F3" w14:textId="77777777" w:rsidTr="00EA1134">
        <w:tc>
          <w:tcPr>
            <w:tcW w:w="1974" w:type="dxa"/>
            <w:shd w:val="clear" w:color="auto" w:fill="auto"/>
          </w:tcPr>
          <w:p w14:paraId="3EE60C8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Hamilton et al. (2016). </w:t>
            </w:r>
          </w:p>
        </w:tc>
        <w:tc>
          <w:tcPr>
            <w:tcW w:w="634" w:type="dxa"/>
            <w:shd w:val="clear" w:color="auto" w:fill="auto"/>
          </w:tcPr>
          <w:p w14:paraId="1A7A51C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19F4F5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7B3FB4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EBC770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6F2E973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696BECC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6C665E9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E477C5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77A7D3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122456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1ACD508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196B87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1E2F6A6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C1210B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C181CC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4144E57" w14:textId="77777777" w:rsidR="004D2421" w:rsidRPr="00203B8E" w:rsidRDefault="004D2421" w:rsidP="00EA1134">
            <w:pPr>
              <w:autoSpaceDE/>
              <w:autoSpaceDN/>
              <w:adjustRightInd/>
              <w:spacing w:before="200" w:line="240" w:lineRule="auto"/>
              <w:rPr>
                <w:rFonts w:asciiTheme="majorBidi" w:hAnsiTheme="majorBidi" w:cstheme="majorBidi"/>
                <w:color w:val="FF0000"/>
                <w:sz w:val="24"/>
                <w:szCs w:val="24"/>
              </w:rPr>
            </w:pPr>
            <w:r w:rsidRPr="00203B8E">
              <w:rPr>
                <w:rFonts w:asciiTheme="majorBidi" w:hAnsiTheme="majorBidi" w:cstheme="majorBidi"/>
                <w:color w:val="000000"/>
                <w:sz w:val="24"/>
                <w:szCs w:val="24"/>
              </w:rPr>
              <w:t>0</w:t>
            </w:r>
          </w:p>
        </w:tc>
        <w:tc>
          <w:tcPr>
            <w:tcW w:w="634" w:type="dxa"/>
            <w:shd w:val="clear" w:color="auto" w:fill="auto"/>
          </w:tcPr>
          <w:p w14:paraId="5A0E2FD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D4EACA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7E41DF6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.67</w:t>
            </w:r>
          </w:p>
        </w:tc>
      </w:tr>
      <w:tr w:rsidR="004D2421" w:rsidRPr="00203B8E" w14:paraId="60F328FC" w14:textId="77777777" w:rsidTr="00EA1134">
        <w:trPr>
          <w:trHeight w:val="609"/>
        </w:trPr>
        <w:tc>
          <w:tcPr>
            <w:tcW w:w="1974" w:type="dxa"/>
            <w:shd w:val="clear" w:color="auto" w:fill="auto"/>
          </w:tcPr>
          <w:p w14:paraId="25E5437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lastRenderedPageBreak/>
              <w:t xml:space="preserve">Hamilton et al. (2013). </w:t>
            </w:r>
          </w:p>
        </w:tc>
        <w:tc>
          <w:tcPr>
            <w:tcW w:w="634" w:type="dxa"/>
            <w:shd w:val="clear" w:color="auto" w:fill="auto"/>
          </w:tcPr>
          <w:p w14:paraId="675AB14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D4FEAB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DEBC32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8AB494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5E26D78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1327FCE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001D60F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21CB42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238E5C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BD4242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147BC57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B527D6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56A1D43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956851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273B9D2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50932B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3CEC7EB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7C6D8B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027516A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.67</w:t>
            </w:r>
          </w:p>
        </w:tc>
      </w:tr>
      <w:tr w:rsidR="004D2421" w:rsidRPr="00203B8E" w14:paraId="467C4E47" w14:textId="77777777" w:rsidTr="00EA1134">
        <w:tc>
          <w:tcPr>
            <w:tcW w:w="1974" w:type="dxa"/>
            <w:shd w:val="clear" w:color="auto" w:fill="auto"/>
          </w:tcPr>
          <w:p w14:paraId="6B78325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Hutcherson &amp; </w:t>
            </w:r>
            <w:proofErr w:type="spellStart"/>
            <w:r w:rsidRPr="00203B8E">
              <w:rPr>
                <w:rFonts w:asciiTheme="majorBidi" w:hAnsiTheme="majorBidi" w:cstheme="majorBidi"/>
                <w:sz w:val="24"/>
                <w:szCs w:val="24"/>
              </w:rPr>
              <w:t>Epkins</w:t>
            </w:r>
            <w:proofErr w:type="spellEnd"/>
            <w:r w:rsidRPr="00203B8E">
              <w:rPr>
                <w:rFonts w:asciiTheme="majorBidi" w:hAnsiTheme="majorBidi" w:cstheme="majorBidi"/>
                <w:sz w:val="24"/>
                <w:szCs w:val="24"/>
              </w:rPr>
              <w:t xml:space="preserve"> (2009). </w:t>
            </w:r>
          </w:p>
        </w:tc>
        <w:tc>
          <w:tcPr>
            <w:tcW w:w="634" w:type="dxa"/>
            <w:shd w:val="clear" w:color="auto" w:fill="auto"/>
          </w:tcPr>
          <w:p w14:paraId="7D30794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7A9062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A5D3DD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261B164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7831CD0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299434D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35BC73D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19B43D5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2A13A3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E426DF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0581D32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08F70F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5" w:type="dxa"/>
            <w:shd w:val="clear" w:color="auto" w:fill="auto"/>
          </w:tcPr>
          <w:p w14:paraId="79EC903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036640F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04D6FE4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6E4B1C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4E84A83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235EAB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797988A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.57</w:t>
            </w:r>
          </w:p>
        </w:tc>
      </w:tr>
      <w:tr w:rsidR="004D2421" w:rsidRPr="00203B8E" w14:paraId="350FD17F" w14:textId="77777777" w:rsidTr="00EA1134">
        <w:tc>
          <w:tcPr>
            <w:tcW w:w="1974" w:type="dxa"/>
            <w:shd w:val="clear" w:color="auto" w:fill="auto"/>
          </w:tcPr>
          <w:p w14:paraId="29D3CAF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La </w:t>
            </w:r>
            <w:proofErr w:type="spellStart"/>
            <w:r w:rsidRPr="00203B8E">
              <w:rPr>
                <w:rFonts w:asciiTheme="majorBidi" w:hAnsiTheme="majorBidi" w:cstheme="majorBidi"/>
                <w:sz w:val="24"/>
                <w:szCs w:val="24"/>
              </w:rPr>
              <w:t>Greca</w:t>
            </w:r>
            <w:proofErr w:type="spellEnd"/>
            <w:r w:rsidRPr="00203B8E">
              <w:rPr>
                <w:rFonts w:asciiTheme="majorBidi" w:hAnsiTheme="majorBidi" w:cstheme="majorBidi"/>
                <w:sz w:val="24"/>
                <w:szCs w:val="24"/>
              </w:rPr>
              <w:t xml:space="preserve"> &amp; Lopez (1998). </w:t>
            </w:r>
          </w:p>
        </w:tc>
        <w:tc>
          <w:tcPr>
            <w:tcW w:w="634" w:type="dxa"/>
            <w:shd w:val="clear" w:color="auto" w:fill="auto"/>
          </w:tcPr>
          <w:p w14:paraId="3D1D4E8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85A55C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C98963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74C8AD2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51A788D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339414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668AEC5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7A9A408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AAAD40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695384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359DFCC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8F71C1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5" w:type="dxa"/>
            <w:shd w:val="clear" w:color="auto" w:fill="auto"/>
          </w:tcPr>
          <w:p w14:paraId="0AFE326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54E0067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3164B86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0042C7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color w:val="000000"/>
                <w:sz w:val="24"/>
                <w:szCs w:val="24"/>
              </w:rPr>
              <w:t>0</w:t>
            </w:r>
          </w:p>
        </w:tc>
        <w:tc>
          <w:tcPr>
            <w:tcW w:w="634" w:type="dxa"/>
            <w:shd w:val="clear" w:color="auto" w:fill="auto"/>
          </w:tcPr>
          <w:p w14:paraId="3B2A257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AEC69C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3AA3B2D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.57</w:t>
            </w:r>
          </w:p>
        </w:tc>
      </w:tr>
      <w:tr w:rsidR="004D2421" w:rsidRPr="00203B8E" w14:paraId="5BAEF3E2" w14:textId="77777777" w:rsidTr="00EA1134">
        <w:tc>
          <w:tcPr>
            <w:tcW w:w="1974" w:type="dxa"/>
            <w:shd w:val="clear" w:color="auto" w:fill="auto"/>
          </w:tcPr>
          <w:p w14:paraId="3AE4B93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La </w:t>
            </w:r>
            <w:proofErr w:type="spellStart"/>
            <w:r w:rsidRPr="00203B8E">
              <w:rPr>
                <w:rFonts w:asciiTheme="majorBidi" w:hAnsiTheme="majorBidi" w:cstheme="majorBidi"/>
                <w:sz w:val="24"/>
                <w:szCs w:val="24"/>
              </w:rPr>
              <w:t>Greca</w:t>
            </w:r>
            <w:proofErr w:type="spellEnd"/>
            <w:r w:rsidRPr="00203B8E">
              <w:rPr>
                <w:rFonts w:asciiTheme="majorBidi" w:hAnsiTheme="majorBidi" w:cstheme="majorBidi"/>
                <w:sz w:val="24"/>
                <w:szCs w:val="24"/>
              </w:rPr>
              <w:t xml:space="preserve"> &amp; Moore Harrison (2005). </w:t>
            </w:r>
          </w:p>
        </w:tc>
        <w:tc>
          <w:tcPr>
            <w:tcW w:w="634" w:type="dxa"/>
            <w:shd w:val="clear" w:color="auto" w:fill="auto"/>
          </w:tcPr>
          <w:p w14:paraId="73A383F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630BACD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1F3BBC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0E76C5A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D89C97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2A03021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5073419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70A7D12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110F30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248569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1C2ED33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B69E88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5" w:type="dxa"/>
            <w:shd w:val="clear" w:color="auto" w:fill="auto"/>
          </w:tcPr>
          <w:p w14:paraId="390B67E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059ECED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387286A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CA42EA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619F684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B7160C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079AE0C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.57</w:t>
            </w:r>
          </w:p>
        </w:tc>
      </w:tr>
      <w:tr w:rsidR="004D2421" w:rsidRPr="00203B8E" w14:paraId="16D29FB1" w14:textId="77777777" w:rsidTr="00EA1134">
        <w:tc>
          <w:tcPr>
            <w:tcW w:w="1974" w:type="dxa"/>
            <w:shd w:val="clear" w:color="auto" w:fill="auto"/>
          </w:tcPr>
          <w:p w14:paraId="61CF160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Loukas &amp; Pasch (2013). </w:t>
            </w:r>
          </w:p>
        </w:tc>
        <w:tc>
          <w:tcPr>
            <w:tcW w:w="634" w:type="dxa"/>
            <w:shd w:val="clear" w:color="auto" w:fill="auto"/>
          </w:tcPr>
          <w:p w14:paraId="608C8D6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B190B6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AD7FCC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2B08861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10D754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C59ED5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20F3827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8E1F74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FD796D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CC367B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0F6F942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69280F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7D6B634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BCD17F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261DA2A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9F65396" w14:textId="77777777" w:rsidR="004D2421" w:rsidRPr="00203B8E" w:rsidRDefault="004D2421" w:rsidP="00EA1134">
            <w:pPr>
              <w:autoSpaceDE/>
              <w:autoSpaceDN/>
              <w:adjustRightInd/>
              <w:spacing w:before="200" w:line="240" w:lineRule="auto"/>
              <w:rPr>
                <w:rFonts w:asciiTheme="majorBidi" w:hAnsiTheme="majorBidi" w:cstheme="majorBidi"/>
                <w:color w:val="FF0000"/>
                <w:sz w:val="24"/>
                <w:szCs w:val="24"/>
              </w:rPr>
            </w:pPr>
            <w:r w:rsidRPr="00203B8E">
              <w:rPr>
                <w:rFonts w:asciiTheme="majorBidi" w:hAnsiTheme="majorBidi" w:cstheme="majorBidi"/>
                <w:color w:val="000000"/>
                <w:sz w:val="24"/>
                <w:szCs w:val="24"/>
              </w:rPr>
              <w:t>0</w:t>
            </w:r>
          </w:p>
        </w:tc>
        <w:tc>
          <w:tcPr>
            <w:tcW w:w="634" w:type="dxa"/>
            <w:shd w:val="clear" w:color="auto" w:fill="auto"/>
          </w:tcPr>
          <w:p w14:paraId="59F176A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F63059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34D97E6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.78</w:t>
            </w:r>
          </w:p>
        </w:tc>
      </w:tr>
      <w:tr w:rsidR="004D2421" w:rsidRPr="00203B8E" w14:paraId="5E48F945" w14:textId="77777777" w:rsidTr="00EA1134">
        <w:trPr>
          <w:trHeight w:val="701"/>
        </w:trPr>
        <w:tc>
          <w:tcPr>
            <w:tcW w:w="1974" w:type="dxa"/>
            <w:shd w:val="clear" w:color="auto" w:fill="auto"/>
          </w:tcPr>
          <w:p w14:paraId="2945093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Lu et al. (2015). </w:t>
            </w:r>
          </w:p>
        </w:tc>
        <w:tc>
          <w:tcPr>
            <w:tcW w:w="634" w:type="dxa"/>
            <w:shd w:val="clear" w:color="auto" w:fill="auto"/>
          </w:tcPr>
          <w:p w14:paraId="587F5A7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8BF99F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982A52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406656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46D7FB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77C9015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754473F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5E21A82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C3D409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4E3482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7E52F61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FB719C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5" w:type="dxa"/>
            <w:shd w:val="clear" w:color="auto" w:fill="auto"/>
          </w:tcPr>
          <w:p w14:paraId="3E65EB0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66F704D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2D80E7D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54B377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719B9C9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9D2DD7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2987EAD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.64</w:t>
            </w:r>
          </w:p>
        </w:tc>
      </w:tr>
      <w:tr w:rsidR="004D2421" w:rsidRPr="00203B8E" w14:paraId="6CB91B9D" w14:textId="77777777" w:rsidTr="00EA1134">
        <w:tc>
          <w:tcPr>
            <w:tcW w:w="1974" w:type="dxa"/>
            <w:shd w:val="clear" w:color="auto" w:fill="auto"/>
          </w:tcPr>
          <w:p w14:paraId="308FAAA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proofErr w:type="spellStart"/>
            <w:r w:rsidRPr="00203B8E">
              <w:rPr>
                <w:rFonts w:asciiTheme="majorBidi" w:hAnsiTheme="majorBidi" w:cstheme="majorBidi"/>
                <w:sz w:val="24"/>
                <w:szCs w:val="24"/>
              </w:rPr>
              <w:t>Ranta</w:t>
            </w:r>
            <w:proofErr w:type="spellEnd"/>
            <w:r w:rsidRPr="00203B8E">
              <w:rPr>
                <w:rFonts w:asciiTheme="majorBidi" w:hAnsiTheme="majorBidi" w:cstheme="majorBidi"/>
                <w:sz w:val="24"/>
                <w:szCs w:val="24"/>
              </w:rPr>
              <w:t xml:space="preserve"> et al. (2013). </w:t>
            </w:r>
          </w:p>
        </w:tc>
        <w:tc>
          <w:tcPr>
            <w:tcW w:w="634" w:type="dxa"/>
            <w:shd w:val="clear" w:color="auto" w:fill="auto"/>
          </w:tcPr>
          <w:p w14:paraId="12919EC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786272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09875E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23F0196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D0C43D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A934F6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3059A9B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ACF902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07DA833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4E7798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F2D95D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2D95D1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57D570A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250B2E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5CED27A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1163D2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D34F01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2EA691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45CD36B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.83</w:t>
            </w:r>
          </w:p>
        </w:tc>
      </w:tr>
      <w:tr w:rsidR="004D2421" w:rsidRPr="00203B8E" w14:paraId="3A939D7C" w14:textId="77777777" w:rsidTr="00EA1134">
        <w:tc>
          <w:tcPr>
            <w:tcW w:w="1974" w:type="dxa"/>
            <w:shd w:val="clear" w:color="auto" w:fill="auto"/>
          </w:tcPr>
          <w:p w14:paraId="1465500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Siegel, La </w:t>
            </w:r>
            <w:proofErr w:type="spellStart"/>
            <w:r w:rsidRPr="00203B8E">
              <w:rPr>
                <w:rFonts w:asciiTheme="majorBidi" w:hAnsiTheme="majorBidi" w:cstheme="majorBidi"/>
                <w:sz w:val="24"/>
                <w:szCs w:val="24"/>
              </w:rPr>
              <w:t>Greca</w:t>
            </w:r>
            <w:proofErr w:type="spellEnd"/>
            <w:r w:rsidRPr="00203B8E">
              <w:rPr>
                <w:rFonts w:asciiTheme="majorBidi" w:hAnsiTheme="majorBidi" w:cstheme="majorBidi"/>
                <w:sz w:val="24"/>
                <w:szCs w:val="24"/>
              </w:rPr>
              <w:t xml:space="preserve">, &amp; Harrison (2009). </w:t>
            </w:r>
          </w:p>
        </w:tc>
        <w:tc>
          <w:tcPr>
            <w:tcW w:w="634" w:type="dxa"/>
            <w:shd w:val="clear" w:color="auto" w:fill="auto"/>
          </w:tcPr>
          <w:p w14:paraId="0DBB9E9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1BEF6D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61091F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04BC6DF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BD2C61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007214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5C9452F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4140CF1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E555FA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C43494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C5F313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AF0C21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5152801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507B6E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3FFEA7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BD2ECC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25D2CA2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2A188D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2A0C728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.83</w:t>
            </w:r>
          </w:p>
        </w:tc>
      </w:tr>
      <w:tr w:rsidR="004D2421" w:rsidRPr="00203B8E" w14:paraId="761EB9E3" w14:textId="77777777" w:rsidTr="00EA1134">
        <w:tc>
          <w:tcPr>
            <w:tcW w:w="1974" w:type="dxa"/>
            <w:shd w:val="clear" w:color="auto" w:fill="auto"/>
          </w:tcPr>
          <w:p w14:paraId="4C0D671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Starr &amp; Davila (2008). </w:t>
            </w:r>
          </w:p>
        </w:tc>
        <w:tc>
          <w:tcPr>
            <w:tcW w:w="634" w:type="dxa"/>
            <w:shd w:val="clear" w:color="auto" w:fill="auto"/>
          </w:tcPr>
          <w:p w14:paraId="39392E1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1AA9D9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96CBD9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BB3115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FAE1B1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05530AD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5DD2C15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794F7F5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9D525E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11C5ED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386F606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3D24AC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5" w:type="dxa"/>
            <w:shd w:val="clear" w:color="auto" w:fill="auto"/>
          </w:tcPr>
          <w:p w14:paraId="558A8C4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3F355D0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7D3EEDC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235888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0AC429D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285115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65F7FFD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.71</w:t>
            </w:r>
          </w:p>
        </w:tc>
      </w:tr>
      <w:tr w:rsidR="004D2421" w:rsidRPr="00203B8E" w14:paraId="5DCCA940" w14:textId="77777777" w:rsidTr="00EA1134">
        <w:tc>
          <w:tcPr>
            <w:tcW w:w="1974" w:type="dxa"/>
            <w:shd w:val="clear" w:color="auto" w:fill="auto"/>
          </w:tcPr>
          <w:p w14:paraId="13CE310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Storch, Brassard &amp; </w:t>
            </w:r>
            <w:proofErr w:type="spellStart"/>
            <w:r w:rsidRPr="00203B8E">
              <w:rPr>
                <w:rFonts w:asciiTheme="majorBidi" w:hAnsiTheme="majorBidi" w:cstheme="majorBidi"/>
                <w:sz w:val="24"/>
                <w:szCs w:val="24"/>
              </w:rPr>
              <w:t>Masia</w:t>
            </w:r>
            <w:proofErr w:type="spellEnd"/>
            <w:r w:rsidRPr="00203B8E">
              <w:rPr>
                <w:rFonts w:asciiTheme="majorBidi" w:hAnsiTheme="majorBidi" w:cstheme="majorBidi"/>
                <w:sz w:val="24"/>
                <w:szCs w:val="24"/>
              </w:rPr>
              <w:t xml:space="preserve">-Warner </w:t>
            </w:r>
            <w:r w:rsidRPr="00203B8E">
              <w:rPr>
                <w:rFonts w:asciiTheme="majorBidi" w:hAnsiTheme="majorBidi" w:cstheme="majorBidi"/>
                <w:sz w:val="24"/>
                <w:szCs w:val="24"/>
              </w:rPr>
              <w:lastRenderedPageBreak/>
              <w:t xml:space="preserve">(2003). </w:t>
            </w:r>
          </w:p>
        </w:tc>
        <w:tc>
          <w:tcPr>
            <w:tcW w:w="634" w:type="dxa"/>
            <w:shd w:val="clear" w:color="auto" w:fill="auto"/>
          </w:tcPr>
          <w:p w14:paraId="683C95A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lastRenderedPageBreak/>
              <w:t>1</w:t>
            </w:r>
          </w:p>
        </w:tc>
        <w:tc>
          <w:tcPr>
            <w:tcW w:w="634" w:type="dxa"/>
            <w:shd w:val="clear" w:color="auto" w:fill="auto"/>
          </w:tcPr>
          <w:p w14:paraId="774681B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6EAEC9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5D8470F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CEDBDF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79CB21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21684F7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39BDED9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6506D6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682076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15638F8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785167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5" w:type="dxa"/>
            <w:shd w:val="clear" w:color="auto" w:fill="auto"/>
          </w:tcPr>
          <w:p w14:paraId="37BB9B7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3347DB9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66C085B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2D60D4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68C924A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790FBA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601341B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.64</w:t>
            </w:r>
          </w:p>
        </w:tc>
      </w:tr>
      <w:tr w:rsidR="004D2421" w:rsidRPr="00203B8E" w14:paraId="21510AD0" w14:textId="77777777" w:rsidTr="00EA1134">
        <w:tc>
          <w:tcPr>
            <w:tcW w:w="1974" w:type="dxa"/>
            <w:shd w:val="clear" w:color="auto" w:fill="auto"/>
          </w:tcPr>
          <w:p w14:paraId="0F85D6B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Storch &amp; </w:t>
            </w:r>
            <w:proofErr w:type="spellStart"/>
            <w:r w:rsidRPr="00203B8E">
              <w:rPr>
                <w:rFonts w:asciiTheme="majorBidi" w:hAnsiTheme="majorBidi" w:cstheme="majorBidi"/>
                <w:sz w:val="24"/>
                <w:szCs w:val="24"/>
              </w:rPr>
              <w:t>Masia</w:t>
            </w:r>
            <w:proofErr w:type="spellEnd"/>
            <w:r w:rsidRPr="00203B8E">
              <w:rPr>
                <w:rFonts w:asciiTheme="majorBidi" w:hAnsiTheme="majorBidi" w:cstheme="majorBidi"/>
                <w:sz w:val="24"/>
                <w:szCs w:val="24"/>
              </w:rPr>
              <w:t xml:space="preserve">-Warner (2004). </w:t>
            </w:r>
          </w:p>
        </w:tc>
        <w:tc>
          <w:tcPr>
            <w:tcW w:w="634" w:type="dxa"/>
            <w:shd w:val="clear" w:color="auto" w:fill="auto"/>
          </w:tcPr>
          <w:p w14:paraId="1C8A00F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554EF0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663E3A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5122136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350238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470A1B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7FF93DA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17BFFF4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BB0E9C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D05973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2A85FE1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1721A5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5" w:type="dxa"/>
            <w:shd w:val="clear" w:color="auto" w:fill="auto"/>
          </w:tcPr>
          <w:p w14:paraId="41694ED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0002D38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077A46E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8FDCED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3BF6445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1A8536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6194B78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.71</w:t>
            </w:r>
          </w:p>
        </w:tc>
      </w:tr>
      <w:tr w:rsidR="004D2421" w:rsidRPr="00203B8E" w14:paraId="5AC920A9" w14:textId="77777777" w:rsidTr="00EA1134">
        <w:tc>
          <w:tcPr>
            <w:tcW w:w="1974" w:type="dxa"/>
            <w:shd w:val="clear" w:color="auto" w:fill="auto"/>
          </w:tcPr>
          <w:p w14:paraId="3D18887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Storch, </w:t>
            </w:r>
            <w:proofErr w:type="spellStart"/>
            <w:r w:rsidRPr="00203B8E">
              <w:rPr>
                <w:rFonts w:asciiTheme="majorBidi" w:hAnsiTheme="majorBidi" w:cstheme="majorBidi"/>
                <w:sz w:val="24"/>
                <w:szCs w:val="24"/>
              </w:rPr>
              <w:t>Masia</w:t>
            </w:r>
            <w:proofErr w:type="spellEnd"/>
            <w:r w:rsidRPr="00203B8E">
              <w:rPr>
                <w:rFonts w:asciiTheme="majorBidi" w:hAnsiTheme="majorBidi" w:cstheme="majorBidi"/>
                <w:sz w:val="24"/>
                <w:szCs w:val="24"/>
              </w:rPr>
              <w:t xml:space="preserve">-Warner, Crisp &amp; Klein (2005). </w:t>
            </w:r>
          </w:p>
        </w:tc>
        <w:tc>
          <w:tcPr>
            <w:tcW w:w="634" w:type="dxa"/>
            <w:shd w:val="clear" w:color="auto" w:fill="auto"/>
          </w:tcPr>
          <w:p w14:paraId="7137C18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30732E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63894D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3B3F76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A26BA0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ABA89D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5145B50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A3F67F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D839FE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D9A5DD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60E39B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AC85DF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73C9DA0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21BEC80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2F0C0A3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BF07B6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53BB0AB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995EDE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17D4D3A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.83</w:t>
            </w:r>
          </w:p>
        </w:tc>
      </w:tr>
      <w:tr w:rsidR="004D2421" w:rsidRPr="00203B8E" w14:paraId="0E4042FE" w14:textId="77777777" w:rsidTr="00EA1134">
        <w:trPr>
          <w:trHeight w:val="65"/>
        </w:trPr>
        <w:tc>
          <w:tcPr>
            <w:tcW w:w="1974" w:type="dxa"/>
            <w:shd w:val="clear" w:color="auto" w:fill="auto"/>
          </w:tcPr>
          <w:p w14:paraId="70F6CF8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Storch, Phil, et al. (2003). </w:t>
            </w:r>
          </w:p>
        </w:tc>
        <w:tc>
          <w:tcPr>
            <w:tcW w:w="634" w:type="dxa"/>
            <w:shd w:val="clear" w:color="auto" w:fill="auto"/>
          </w:tcPr>
          <w:p w14:paraId="4785647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36BCFA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A0AB3E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7A57F0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3066FD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8FDEF4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60D0BAD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429D0B0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DBD9AA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DE2197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35F6965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FF2210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5" w:type="dxa"/>
            <w:shd w:val="clear" w:color="auto" w:fill="auto"/>
          </w:tcPr>
          <w:p w14:paraId="16E9134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06967F6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56A2C47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D57396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5643200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82FA78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073B6FE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.79</w:t>
            </w:r>
          </w:p>
        </w:tc>
      </w:tr>
      <w:tr w:rsidR="004D2421" w:rsidRPr="00203B8E" w14:paraId="3FFF80ED" w14:textId="77777777" w:rsidTr="00EA1134">
        <w:tc>
          <w:tcPr>
            <w:tcW w:w="1974" w:type="dxa"/>
            <w:shd w:val="clear" w:color="auto" w:fill="auto"/>
          </w:tcPr>
          <w:p w14:paraId="5256B07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proofErr w:type="spellStart"/>
            <w:r w:rsidRPr="00203B8E">
              <w:rPr>
                <w:rFonts w:asciiTheme="majorBidi" w:hAnsiTheme="majorBidi" w:cstheme="majorBidi"/>
                <w:sz w:val="24"/>
                <w:szCs w:val="24"/>
              </w:rPr>
              <w:t>Tillfors</w:t>
            </w:r>
            <w:proofErr w:type="spellEnd"/>
            <w:r w:rsidRPr="00203B8E">
              <w:rPr>
                <w:rFonts w:asciiTheme="majorBidi" w:hAnsiTheme="majorBidi" w:cstheme="majorBidi"/>
                <w:sz w:val="24"/>
                <w:szCs w:val="24"/>
              </w:rPr>
              <w:t xml:space="preserve"> et al. (2012). </w:t>
            </w:r>
          </w:p>
        </w:tc>
        <w:tc>
          <w:tcPr>
            <w:tcW w:w="634" w:type="dxa"/>
            <w:shd w:val="clear" w:color="auto" w:fill="auto"/>
          </w:tcPr>
          <w:p w14:paraId="62BD775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99711F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3997C7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4248902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4CE5D5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BDEB4A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19C56EC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63737F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F6A9B4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7D3D48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48C06F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AF3409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5101B00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8CBE2B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0C4D02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972744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6E3E19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F53671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0DA64DB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.89</w:t>
            </w:r>
          </w:p>
        </w:tc>
      </w:tr>
      <w:tr w:rsidR="004D2421" w:rsidRPr="00203B8E" w14:paraId="17B0F43E" w14:textId="77777777" w:rsidTr="00EA1134">
        <w:tc>
          <w:tcPr>
            <w:tcW w:w="1974" w:type="dxa"/>
            <w:shd w:val="clear" w:color="auto" w:fill="auto"/>
          </w:tcPr>
          <w:p w14:paraId="4801E71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Van Der Ploeg et al. (2015). </w:t>
            </w:r>
          </w:p>
        </w:tc>
        <w:tc>
          <w:tcPr>
            <w:tcW w:w="634" w:type="dxa"/>
            <w:shd w:val="clear" w:color="auto" w:fill="auto"/>
          </w:tcPr>
          <w:p w14:paraId="0C0AC21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3C474F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2C84A0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8CCB2A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FEE8ED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6DEB276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7153449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227BABF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D815C2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6BA19B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0C78722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3BFBCE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5" w:type="dxa"/>
            <w:shd w:val="clear" w:color="auto" w:fill="auto"/>
          </w:tcPr>
          <w:p w14:paraId="6DBF8E8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68CB1D3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532BC65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164631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339B29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784E07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2FA2E82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.79</w:t>
            </w:r>
          </w:p>
        </w:tc>
      </w:tr>
      <w:tr w:rsidR="004D2421" w:rsidRPr="00203B8E" w14:paraId="386C11F6" w14:textId="77777777" w:rsidTr="00EA1134">
        <w:tc>
          <w:tcPr>
            <w:tcW w:w="1974" w:type="dxa"/>
            <w:shd w:val="clear" w:color="auto" w:fill="auto"/>
          </w:tcPr>
          <w:p w14:paraId="7A969A5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Van </w:t>
            </w:r>
            <w:proofErr w:type="spellStart"/>
            <w:r w:rsidRPr="00203B8E">
              <w:rPr>
                <w:rFonts w:asciiTheme="majorBidi" w:hAnsiTheme="majorBidi" w:cstheme="majorBidi"/>
                <w:sz w:val="24"/>
                <w:szCs w:val="24"/>
              </w:rPr>
              <w:t>Zalk</w:t>
            </w:r>
            <w:proofErr w:type="spellEnd"/>
            <w:r w:rsidRPr="00203B8E">
              <w:rPr>
                <w:rFonts w:asciiTheme="majorBidi" w:hAnsiTheme="majorBidi" w:cstheme="majorBidi"/>
                <w:sz w:val="24"/>
                <w:szCs w:val="24"/>
              </w:rPr>
              <w:t xml:space="preserve"> &amp; Van </w:t>
            </w:r>
            <w:proofErr w:type="spellStart"/>
            <w:r w:rsidRPr="00203B8E">
              <w:rPr>
                <w:rFonts w:asciiTheme="majorBidi" w:hAnsiTheme="majorBidi" w:cstheme="majorBidi"/>
                <w:sz w:val="24"/>
                <w:szCs w:val="24"/>
              </w:rPr>
              <w:t>Zalk</w:t>
            </w:r>
            <w:proofErr w:type="spellEnd"/>
            <w:r w:rsidRPr="00203B8E">
              <w:rPr>
                <w:rFonts w:asciiTheme="majorBidi" w:hAnsiTheme="majorBidi" w:cstheme="majorBidi"/>
                <w:sz w:val="24"/>
                <w:szCs w:val="24"/>
              </w:rPr>
              <w:t xml:space="preserve"> (2015). </w:t>
            </w:r>
          </w:p>
        </w:tc>
        <w:tc>
          <w:tcPr>
            <w:tcW w:w="634" w:type="dxa"/>
            <w:shd w:val="clear" w:color="auto" w:fill="auto"/>
          </w:tcPr>
          <w:p w14:paraId="7EAC78D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9A58E0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F4670F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6C69A0E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B4FB07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B309AC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02AE487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31FC3D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4A9068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36CE19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316D7D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1E63FEB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7D30A77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E95C5B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62CFDC5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B45F3E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25AA415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F9902A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7C07203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.78</w:t>
            </w:r>
          </w:p>
        </w:tc>
      </w:tr>
      <w:tr w:rsidR="004D2421" w:rsidRPr="00203B8E" w14:paraId="74E8A483" w14:textId="77777777" w:rsidTr="00EA1134">
        <w:tc>
          <w:tcPr>
            <w:tcW w:w="1974" w:type="dxa"/>
            <w:shd w:val="clear" w:color="auto" w:fill="auto"/>
          </w:tcPr>
          <w:p w14:paraId="24F9C98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proofErr w:type="spellStart"/>
            <w:r w:rsidRPr="00203B8E">
              <w:rPr>
                <w:rFonts w:asciiTheme="majorBidi" w:hAnsiTheme="majorBidi" w:cstheme="majorBidi"/>
                <w:sz w:val="24"/>
                <w:szCs w:val="24"/>
              </w:rPr>
              <w:t>Vernberg</w:t>
            </w:r>
            <w:proofErr w:type="spellEnd"/>
            <w:r w:rsidRPr="00203B8E">
              <w:rPr>
                <w:rFonts w:asciiTheme="majorBidi" w:hAnsiTheme="majorBidi" w:cstheme="majorBidi"/>
                <w:sz w:val="24"/>
                <w:szCs w:val="24"/>
              </w:rPr>
              <w:t xml:space="preserve"> et al. (1992). </w:t>
            </w:r>
          </w:p>
        </w:tc>
        <w:tc>
          <w:tcPr>
            <w:tcW w:w="634" w:type="dxa"/>
            <w:shd w:val="clear" w:color="auto" w:fill="auto"/>
          </w:tcPr>
          <w:p w14:paraId="1DB544F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E239A6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6E7907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C9D719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F1C1B6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4532A6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358FC83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80051A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F4A2B1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B63277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5EE80B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9CC969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18B9FBFE"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320510A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075C6DD3"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FEDEFF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661CFA40"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00B969C2"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641AD84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.78</w:t>
            </w:r>
          </w:p>
        </w:tc>
      </w:tr>
      <w:tr w:rsidR="004D2421" w:rsidRPr="00203B8E" w14:paraId="2B44A3A4" w14:textId="77777777" w:rsidTr="00EA1134">
        <w:tc>
          <w:tcPr>
            <w:tcW w:w="1974" w:type="dxa"/>
            <w:shd w:val="clear" w:color="auto" w:fill="auto"/>
          </w:tcPr>
          <w:p w14:paraId="1BFC3725"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 xml:space="preserve">Yen et al. (2013). </w:t>
            </w:r>
          </w:p>
        </w:tc>
        <w:tc>
          <w:tcPr>
            <w:tcW w:w="634" w:type="dxa"/>
            <w:shd w:val="clear" w:color="auto" w:fill="auto"/>
          </w:tcPr>
          <w:p w14:paraId="35DC3C2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5CFCFA29"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015EE1A"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145C5B47"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62661C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7981BE7F"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5" w:type="dxa"/>
            <w:shd w:val="clear" w:color="auto" w:fill="auto"/>
          </w:tcPr>
          <w:p w14:paraId="0175F89D"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25CF56D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0</w:t>
            </w:r>
          </w:p>
        </w:tc>
        <w:tc>
          <w:tcPr>
            <w:tcW w:w="634" w:type="dxa"/>
            <w:shd w:val="clear" w:color="auto" w:fill="auto"/>
          </w:tcPr>
          <w:p w14:paraId="1E43F5C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303815E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72AC981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6252AA4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5" w:type="dxa"/>
            <w:shd w:val="clear" w:color="auto" w:fill="auto"/>
          </w:tcPr>
          <w:p w14:paraId="185ACC1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6E5482F1"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N/A</w:t>
            </w:r>
          </w:p>
        </w:tc>
        <w:tc>
          <w:tcPr>
            <w:tcW w:w="634" w:type="dxa"/>
            <w:shd w:val="clear" w:color="auto" w:fill="auto"/>
          </w:tcPr>
          <w:p w14:paraId="3B3049AB"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686F12C"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41DF0CD6"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4" w:type="dxa"/>
            <w:shd w:val="clear" w:color="auto" w:fill="auto"/>
          </w:tcPr>
          <w:p w14:paraId="24FC3E24"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1</w:t>
            </w:r>
          </w:p>
        </w:tc>
        <w:tc>
          <w:tcPr>
            <w:tcW w:w="635" w:type="dxa"/>
            <w:shd w:val="clear" w:color="auto" w:fill="auto"/>
          </w:tcPr>
          <w:p w14:paraId="7BE8C118" w14:textId="77777777" w:rsidR="004D2421" w:rsidRPr="00203B8E" w:rsidRDefault="004D2421" w:rsidP="00EA1134">
            <w:pPr>
              <w:autoSpaceDE/>
              <w:autoSpaceDN/>
              <w:adjustRightInd/>
              <w:spacing w:before="200" w:line="240" w:lineRule="auto"/>
              <w:rPr>
                <w:rFonts w:asciiTheme="majorBidi" w:hAnsiTheme="majorBidi" w:cstheme="majorBidi"/>
                <w:sz w:val="24"/>
                <w:szCs w:val="24"/>
              </w:rPr>
            </w:pPr>
            <w:r w:rsidRPr="00203B8E">
              <w:rPr>
                <w:rFonts w:asciiTheme="majorBidi" w:hAnsiTheme="majorBidi" w:cstheme="majorBidi"/>
                <w:sz w:val="24"/>
                <w:szCs w:val="24"/>
              </w:rPr>
              <w:t>.71</w:t>
            </w:r>
          </w:p>
        </w:tc>
      </w:tr>
    </w:tbl>
    <w:p w14:paraId="0346900A" w14:textId="77777777" w:rsidR="004D2421" w:rsidRPr="00C238AD" w:rsidRDefault="004D2421" w:rsidP="004D2421">
      <w:pPr>
        <w:autoSpaceDE/>
        <w:autoSpaceDN/>
        <w:adjustRightInd/>
        <w:spacing w:line="240" w:lineRule="auto"/>
        <w:rPr>
          <w:rFonts w:asciiTheme="majorBidi" w:hAnsiTheme="majorBidi" w:cstheme="majorBidi"/>
          <w:sz w:val="20"/>
          <w:szCs w:val="20"/>
        </w:rPr>
      </w:pPr>
      <w:r>
        <w:rPr>
          <w:rFonts w:asciiTheme="majorBidi" w:hAnsiTheme="majorBidi" w:cstheme="majorBidi"/>
          <w:i/>
          <w:sz w:val="20"/>
          <w:szCs w:val="20"/>
          <w:lang w:eastAsia="zh-CN"/>
        </w:rPr>
        <w:t>Note</w:t>
      </w:r>
      <w:r w:rsidRPr="00BF6394">
        <w:rPr>
          <w:rFonts w:asciiTheme="majorBidi" w:hAnsiTheme="majorBidi" w:cstheme="majorBidi"/>
          <w:i/>
          <w:sz w:val="20"/>
          <w:szCs w:val="20"/>
          <w:lang w:eastAsia="zh-CN"/>
        </w:rPr>
        <w:t>.</w:t>
      </w:r>
      <w:r w:rsidRPr="00C238AD">
        <w:rPr>
          <w:rFonts w:asciiTheme="majorBidi" w:hAnsiTheme="majorBidi" w:cstheme="majorBidi"/>
          <w:sz w:val="20"/>
          <w:szCs w:val="20"/>
          <w:lang w:eastAsia="zh-CN"/>
        </w:rPr>
        <w:t xml:space="preserve">  </w:t>
      </w:r>
      <w:r w:rsidRPr="00C238AD">
        <w:rPr>
          <w:rFonts w:asciiTheme="majorBidi" w:hAnsiTheme="majorBidi" w:cstheme="majorBidi"/>
          <w:sz w:val="20"/>
          <w:szCs w:val="20"/>
        </w:rPr>
        <w:t xml:space="preserve">Some elements of the quality assessment are not applicable to all studies.  Therefore the total quality score represents a proportion of the total score against all criteria for that were relevant to that paper. </w:t>
      </w:r>
    </w:p>
    <w:p w14:paraId="39E19611" w14:textId="1F7C368E" w:rsidR="004D2421" w:rsidRDefault="004D2421" w:rsidP="004D2421">
      <w:pPr>
        <w:autoSpaceDE/>
        <w:autoSpaceDN/>
        <w:adjustRightInd/>
        <w:spacing w:line="240" w:lineRule="auto"/>
        <w:rPr>
          <w:rFonts w:asciiTheme="majorBidi" w:hAnsiTheme="majorBidi" w:cstheme="majorBidi"/>
        </w:rPr>
      </w:pPr>
      <w:r>
        <w:rPr>
          <w:rFonts w:asciiTheme="majorBidi" w:hAnsiTheme="majorBidi" w:cstheme="majorBidi"/>
        </w:rPr>
        <w:br w:type="page"/>
      </w:r>
    </w:p>
    <w:p w14:paraId="1E46DA34" w14:textId="77777777" w:rsidR="004D2421" w:rsidRDefault="004D2421" w:rsidP="004D2421">
      <w:pPr>
        <w:autoSpaceDE/>
        <w:autoSpaceDN/>
        <w:adjustRightInd/>
        <w:spacing w:line="240" w:lineRule="auto"/>
        <w:rPr>
          <w:rFonts w:asciiTheme="majorBidi" w:hAnsiTheme="majorBidi" w:cstheme="majorBidi"/>
        </w:rPr>
      </w:pPr>
      <w:bookmarkStart w:id="0" w:name="_GoBack"/>
      <w:r>
        <w:rPr>
          <w:rFonts w:asciiTheme="majorBidi" w:hAnsiTheme="majorBidi" w:cstheme="majorBidi"/>
        </w:rPr>
        <w:lastRenderedPageBreak/>
        <w:br w:type="page"/>
      </w:r>
    </w:p>
    <w:p w14:paraId="1F2DB012" w14:textId="77777777" w:rsidR="004D2421" w:rsidRDefault="004D2421" w:rsidP="004D2421">
      <w:pPr>
        <w:autoSpaceDE/>
        <w:autoSpaceDN/>
        <w:adjustRightInd/>
        <w:spacing w:line="240" w:lineRule="auto"/>
        <w:rPr>
          <w:rFonts w:asciiTheme="majorBidi" w:hAnsiTheme="majorBidi" w:cstheme="majorBidi"/>
        </w:rPr>
        <w:sectPr w:rsidR="004D2421" w:rsidSect="00EA1134">
          <w:headerReference w:type="even" r:id="rId7"/>
          <w:headerReference w:type="default" r:id="rId8"/>
          <w:pgSz w:w="16840" w:h="11900" w:orient="landscape"/>
          <w:pgMar w:top="1797" w:right="1440" w:bottom="1797" w:left="1440" w:header="709" w:footer="709" w:gutter="0"/>
          <w:cols w:space="708"/>
          <w:docGrid w:linePitch="360"/>
        </w:sectPr>
      </w:pPr>
    </w:p>
    <w:tbl>
      <w:tblPr>
        <w:tblpPr w:leftFromText="180" w:rightFromText="180" w:vertAnchor="page" w:horzAnchor="page" w:tblpX="2384" w:tblpY="2471"/>
        <w:tblW w:w="873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453"/>
        <w:gridCol w:w="2284"/>
      </w:tblGrid>
      <w:tr w:rsidR="004D2421" w:rsidRPr="00CB4885" w14:paraId="5C23DCA0" w14:textId="77777777" w:rsidTr="00EA1134">
        <w:tc>
          <w:tcPr>
            <w:tcW w:w="6453" w:type="dxa"/>
          </w:tcPr>
          <w:bookmarkEnd w:id="0"/>
          <w:p w14:paraId="36C85857" w14:textId="77777777" w:rsidR="004D2421" w:rsidRPr="00CB4885" w:rsidRDefault="004D2421" w:rsidP="00EA1134">
            <w:pPr>
              <w:widowControl w:val="0"/>
              <w:spacing w:line="276" w:lineRule="auto"/>
              <w:rPr>
                <w:b/>
                <w:noProof/>
              </w:rPr>
            </w:pPr>
            <w:r w:rsidRPr="00CB4885">
              <w:rPr>
                <w:b/>
                <w:noProof/>
              </w:rPr>
              <w:lastRenderedPageBreak/>
              <w:t>Reference</w:t>
            </w:r>
          </w:p>
        </w:tc>
        <w:tc>
          <w:tcPr>
            <w:tcW w:w="2284" w:type="dxa"/>
          </w:tcPr>
          <w:p w14:paraId="3EF1C51E" w14:textId="77777777" w:rsidR="004D2421" w:rsidRPr="00CB4885" w:rsidRDefault="004D2421" w:rsidP="00EA1134">
            <w:pPr>
              <w:spacing w:line="276" w:lineRule="auto"/>
              <w:rPr>
                <w:b/>
              </w:rPr>
            </w:pPr>
            <w:r w:rsidRPr="00CB4885">
              <w:rPr>
                <w:b/>
              </w:rPr>
              <w:t>Rationale for exclusion</w:t>
            </w:r>
          </w:p>
        </w:tc>
      </w:tr>
      <w:tr w:rsidR="004D2421" w:rsidRPr="00CB4885" w14:paraId="7318A0CE" w14:textId="77777777" w:rsidTr="00EA1134">
        <w:tc>
          <w:tcPr>
            <w:tcW w:w="6453" w:type="dxa"/>
          </w:tcPr>
          <w:p w14:paraId="66D3BFF6" w14:textId="77777777" w:rsidR="004D2421" w:rsidRPr="00CB4885" w:rsidRDefault="004D2421" w:rsidP="00EA1134">
            <w:pPr>
              <w:widowControl w:val="0"/>
              <w:spacing w:line="276" w:lineRule="auto"/>
              <w:rPr>
                <w:noProof/>
                <w:lang w:val="en-US"/>
              </w:rPr>
            </w:pPr>
            <w:r w:rsidRPr="00CB4885">
              <w:rPr>
                <w:noProof/>
              </w:rPr>
              <w:t xml:space="preserve">Baker, J. R., &amp; Hudson, J. L. (2015). Children with social phobia have lower quality friendships than children with other anxiety disorders. </w:t>
            </w:r>
            <w:r w:rsidRPr="00CB4885">
              <w:rPr>
                <w:i/>
                <w:iCs/>
                <w:noProof/>
              </w:rPr>
              <w:t>Anxiety, Stress, &amp; Coping</w:t>
            </w:r>
            <w:r w:rsidRPr="00CB4885">
              <w:rPr>
                <w:noProof/>
              </w:rPr>
              <w:t xml:space="preserve">, </w:t>
            </w:r>
            <w:r w:rsidRPr="00CB4885">
              <w:rPr>
                <w:i/>
                <w:iCs/>
                <w:noProof/>
              </w:rPr>
              <w:t>28</w:t>
            </w:r>
            <w:r w:rsidRPr="00CB4885">
              <w:rPr>
                <w:noProof/>
              </w:rPr>
              <w:t>(5), 500–513. https://doi.org/10.1080/10615806.2014.978863</w:t>
            </w:r>
          </w:p>
        </w:tc>
        <w:tc>
          <w:tcPr>
            <w:tcW w:w="2284" w:type="dxa"/>
          </w:tcPr>
          <w:p w14:paraId="64783867" w14:textId="77777777" w:rsidR="004D2421" w:rsidRPr="00CB4885" w:rsidRDefault="004D2421" w:rsidP="00EA1134">
            <w:pPr>
              <w:spacing w:line="276" w:lineRule="auto"/>
            </w:pPr>
            <w:r w:rsidRPr="00CB4885">
              <w:t xml:space="preserve">Not about development of social anxiety </w:t>
            </w:r>
          </w:p>
        </w:tc>
      </w:tr>
      <w:tr w:rsidR="004D2421" w:rsidRPr="00CB4885" w14:paraId="414010AC" w14:textId="77777777" w:rsidTr="00EA1134">
        <w:tc>
          <w:tcPr>
            <w:tcW w:w="6453" w:type="dxa"/>
          </w:tcPr>
          <w:p w14:paraId="12DDF36D" w14:textId="77777777" w:rsidR="004D2421" w:rsidRPr="00CB4885" w:rsidRDefault="004D2421" w:rsidP="00EA1134">
            <w:pPr>
              <w:widowControl w:val="0"/>
              <w:spacing w:line="276" w:lineRule="auto"/>
              <w:rPr>
                <w:noProof/>
                <w:lang w:val="en-US"/>
              </w:rPr>
            </w:pPr>
            <w:r w:rsidRPr="00CB4885">
              <w:rPr>
                <w:noProof/>
              </w:rPr>
              <w:t xml:space="preserve">Blumenthal, H., Leen-Feldner, E. W., Trainor, C. D., Babson, K. A., &amp; Bunaciu, L. (2009). Interactive roles of pubertal timing and peer relations in predicting social anxiety symptoms among youth. </w:t>
            </w:r>
            <w:r w:rsidRPr="00CB4885">
              <w:rPr>
                <w:i/>
                <w:iCs/>
                <w:noProof/>
              </w:rPr>
              <w:t>Journal of Adolescent Health</w:t>
            </w:r>
            <w:r w:rsidRPr="00CB4885">
              <w:rPr>
                <w:noProof/>
              </w:rPr>
              <w:t xml:space="preserve">, </w:t>
            </w:r>
            <w:r w:rsidRPr="00CB4885">
              <w:rPr>
                <w:i/>
                <w:iCs/>
                <w:noProof/>
              </w:rPr>
              <w:t>44</w:t>
            </w:r>
            <w:r w:rsidRPr="00CB4885">
              <w:rPr>
                <w:noProof/>
              </w:rPr>
              <w:t>(4), 401–403. https://doi.org/10.1016/j.jadohealth.2008.08.023</w:t>
            </w:r>
          </w:p>
        </w:tc>
        <w:tc>
          <w:tcPr>
            <w:tcW w:w="2284" w:type="dxa"/>
          </w:tcPr>
          <w:p w14:paraId="67D06859" w14:textId="77777777" w:rsidR="004D2421" w:rsidRPr="00CB4885" w:rsidRDefault="004D2421" w:rsidP="00EA1134">
            <w:pPr>
              <w:spacing w:line="276" w:lineRule="auto"/>
            </w:pPr>
            <w:r w:rsidRPr="00CB4885">
              <w:t>Lack of reported data</w:t>
            </w:r>
          </w:p>
        </w:tc>
      </w:tr>
      <w:tr w:rsidR="004D2421" w:rsidRPr="00CB4885" w14:paraId="690DE6C3" w14:textId="77777777" w:rsidTr="00EA1134">
        <w:tc>
          <w:tcPr>
            <w:tcW w:w="6453" w:type="dxa"/>
          </w:tcPr>
          <w:p w14:paraId="51CC775E" w14:textId="77777777" w:rsidR="004D2421" w:rsidRPr="00CB4885" w:rsidRDefault="004D2421" w:rsidP="00EA1134">
            <w:pPr>
              <w:widowControl w:val="0"/>
              <w:spacing w:line="276" w:lineRule="auto"/>
              <w:rPr>
                <w:noProof/>
                <w:lang w:val="en-US"/>
              </w:rPr>
            </w:pPr>
            <w:r w:rsidRPr="00DB4F15">
              <w:rPr>
                <w:noProof/>
                <w:lang w:val="it-IT"/>
              </w:rPr>
              <w:t>Bosacki, S., Dane, A., Marini, Z., &amp; YLC</w:t>
            </w:r>
            <w:r w:rsidRPr="00DB4F15">
              <w:rPr>
                <w:rFonts w:eastAsia="Calibri" w:cs="Calibri"/>
                <w:noProof/>
                <w:lang w:val="it-IT"/>
              </w:rPr>
              <w:t>‐</w:t>
            </w:r>
            <w:r w:rsidRPr="00DB4F15">
              <w:rPr>
                <w:noProof/>
                <w:lang w:val="it-IT"/>
              </w:rPr>
              <w:t xml:space="preserve">CURA. </w:t>
            </w:r>
            <w:r w:rsidRPr="00CB4885">
              <w:rPr>
                <w:noProof/>
              </w:rPr>
              <w:t xml:space="preserve">(2007). Peer relationships and internalizing problems in adolescents: Mediating role of self-esteem. </w:t>
            </w:r>
            <w:r w:rsidRPr="00CB4885">
              <w:rPr>
                <w:i/>
                <w:iCs/>
                <w:noProof/>
              </w:rPr>
              <w:t>Emotional and Behavioural Difficulties</w:t>
            </w:r>
            <w:r w:rsidRPr="00CB4885">
              <w:rPr>
                <w:noProof/>
              </w:rPr>
              <w:t xml:space="preserve">, </w:t>
            </w:r>
            <w:r w:rsidRPr="00CB4885">
              <w:rPr>
                <w:i/>
                <w:iCs/>
                <w:noProof/>
              </w:rPr>
              <w:t>12</w:t>
            </w:r>
            <w:r w:rsidRPr="00CB4885">
              <w:rPr>
                <w:noProof/>
              </w:rPr>
              <w:t>(4), 261–282. https://doi.org/10.1080/13632750701664293</w:t>
            </w:r>
          </w:p>
        </w:tc>
        <w:tc>
          <w:tcPr>
            <w:tcW w:w="2284" w:type="dxa"/>
          </w:tcPr>
          <w:p w14:paraId="2C0C25AB" w14:textId="77777777" w:rsidR="004D2421" w:rsidRPr="00CB4885" w:rsidRDefault="004D2421" w:rsidP="00EA1134">
            <w:pPr>
              <w:spacing w:line="276" w:lineRule="auto"/>
            </w:pPr>
            <w:r w:rsidRPr="00CB4885">
              <w:t>Lack of reported data</w:t>
            </w:r>
          </w:p>
        </w:tc>
      </w:tr>
      <w:tr w:rsidR="004D2421" w:rsidRPr="00DB4F15" w14:paraId="3B13770D" w14:textId="77777777" w:rsidTr="00EA1134">
        <w:tc>
          <w:tcPr>
            <w:tcW w:w="6453" w:type="dxa"/>
          </w:tcPr>
          <w:p w14:paraId="555AB848" w14:textId="77777777" w:rsidR="004D2421" w:rsidRPr="00CB4885" w:rsidRDefault="004D2421" w:rsidP="00EA1134">
            <w:pPr>
              <w:widowControl w:val="0"/>
              <w:spacing w:line="276" w:lineRule="auto"/>
              <w:rPr>
                <w:noProof/>
                <w:lang w:val="en-US"/>
              </w:rPr>
            </w:pPr>
            <w:r w:rsidRPr="00CB4885">
              <w:rPr>
                <w:noProof/>
              </w:rPr>
              <w:t xml:space="preserve">Bracik, J., Krysta, K., &amp; Zaczek, A. (2012). Impact of family and school environment on the development of social anxiety disorder: A questionnaire study. </w:t>
            </w:r>
            <w:r w:rsidRPr="00CB4885">
              <w:rPr>
                <w:i/>
                <w:iCs/>
                <w:noProof/>
              </w:rPr>
              <w:t>Psychiatria Danubina</w:t>
            </w:r>
            <w:r w:rsidRPr="00CB4885">
              <w:rPr>
                <w:noProof/>
              </w:rPr>
              <w:t xml:space="preserve">, </w:t>
            </w:r>
            <w:r w:rsidRPr="00CB4885">
              <w:rPr>
                <w:i/>
                <w:iCs/>
                <w:noProof/>
              </w:rPr>
              <w:t>24</w:t>
            </w:r>
            <w:r w:rsidRPr="00CB4885">
              <w:rPr>
                <w:noProof/>
              </w:rPr>
              <w:t>(1), 125–127. Retrieved from http://www.hdbp.org/psychiatria_danubina/pdf/dnb_vol24_sup1/dnb_vol24_sup1_125.pdf</w:t>
            </w:r>
          </w:p>
        </w:tc>
        <w:tc>
          <w:tcPr>
            <w:tcW w:w="2284" w:type="dxa"/>
          </w:tcPr>
          <w:p w14:paraId="145C7C26" w14:textId="77777777" w:rsidR="004D2421" w:rsidRPr="00DB4F15" w:rsidRDefault="004D2421" w:rsidP="00EA1134">
            <w:pPr>
              <w:spacing w:line="276" w:lineRule="auto"/>
              <w:rPr>
                <w:lang w:val="pt-PT"/>
              </w:rPr>
            </w:pPr>
            <w:r w:rsidRPr="00DB4F15">
              <w:rPr>
                <w:lang w:val="pt-PT"/>
              </w:rPr>
              <w:t xml:space="preserve">No </w:t>
            </w:r>
            <w:proofErr w:type="spellStart"/>
            <w:r w:rsidRPr="00DB4F15">
              <w:rPr>
                <w:lang w:val="pt-PT"/>
              </w:rPr>
              <w:t>separate</w:t>
            </w:r>
            <w:proofErr w:type="spellEnd"/>
            <w:r w:rsidRPr="00DB4F15">
              <w:rPr>
                <w:lang w:val="pt-PT"/>
              </w:rPr>
              <w:t xml:space="preserve"> data for </w:t>
            </w:r>
            <w:proofErr w:type="spellStart"/>
            <w:r w:rsidRPr="00DB4F15">
              <w:rPr>
                <w:lang w:val="pt-PT"/>
              </w:rPr>
              <w:t>girls</w:t>
            </w:r>
            <w:proofErr w:type="spellEnd"/>
          </w:p>
        </w:tc>
      </w:tr>
      <w:tr w:rsidR="004D2421" w:rsidRPr="00CB4885" w14:paraId="6A5AD1C4" w14:textId="77777777" w:rsidTr="00EA1134">
        <w:tc>
          <w:tcPr>
            <w:tcW w:w="6453" w:type="dxa"/>
          </w:tcPr>
          <w:p w14:paraId="74CAFEDE" w14:textId="77777777" w:rsidR="004D2421" w:rsidRPr="00CB4885" w:rsidRDefault="004D2421" w:rsidP="00EA1134">
            <w:pPr>
              <w:widowControl w:val="0"/>
              <w:spacing w:line="276" w:lineRule="auto"/>
              <w:rPr>
                <w:noProof/>
                <w:lang w:val="en-US"/>
              </w:rPr>
            </w:pPr>
            <w:r w:rsidRPr="00DB4F15">
              <w:rPr>
                <w:noProof/>
                <w:lang w:val="de-DE"/>
              </w:rPr>
              <w:t xml:space="preserve">Cohen, J. S., &amp; Kendall, P. C. (2015). </w:t>
            </w:r>
            <w:r w:rsidRPr="00CB4885">
              <w:rPr>
                <w:noProof/>
              </w:rPr>
              <w:t xml:space="preserve">Peer victimization among children and adolescents with anxiety disorders. </w:t>
            </w:r>
            <w:r w:rsidRPr="00CB4885">
              <w:rPr>
                <w:i/>
                <w:iCs/>
                <w:noProof/>
              </w:rPr>
              <w:t>Child Psychiatry and Human Development</w:t>
            </w:r>
            <w:r w:rsidRPr="00CB4885">
              <w:rPr>
                <w:noProof/>
              </w:rPr>
              <w:t xml:space="preserve">, </w:t>
            </w:r>
            <w:r w:rsidRPr="00CB4885">
              <w:rPr>
                <w:i/>
                <w:iCs/>
                <w:noProof/>
              </w:rPr>
              <w:t>46</w:t>
            </w:r>
            <w:r w:rsidRPr="00CB4885">
              <w:rPr>
                <w:noProof/>
              </w:rPr>
              <w:t>(3), 393–405. https://doi.org/10.1007/s10578-014-0479-x</w:t>
            </w:r>
          </w:p>
        </w:tc>
        <w:tc>
          <w:tcPr>
            <w:tcW w:w="2284" w:type="dxa"/>
          </w:tcPr>
          <w:p w14:paraId="2AA07FFD" w14:textId="77777777" w:rsidR="004D2421" w:rsidRPr="00CB4885" w:rsidRDefault="004D2421" w:rsidP="00EA1134">
            <w:pPr>
              <w:spacing w:line="276" w:lineRule="auto"/>
            </w:pPr>
            <w:r w:rsidRPr="00CB4885">
              <w:t>Gender not considered as an independent factor</w:t>
            </w:r>
          </w:p>
        </w:tc>
      </w:tr>
      <w:tr w:rsidR="004D2421" w:rsidRPr="00CB4885" w14:paraId="03020494" w14:textId="77777777" w:rsidTr="00EA1134">
        <w:tc>
          <w:tcPr>
            <w:tcW w:w="6453" w:type="dxa"/>
          </w:tcPr>
          <w:p w14:paraId="392E49A2" w14:textId="77777777" w:rsidR="004D2421" w:rsidRPr="00CB4885" w:rsidRDefault="004D2421" w:rsidP="00EA1134">
            <w:pPr>
              <w:widowControl w:val="0"/>
              <w:spacing w:line="276" w:lineRule="auto"/>
              <w:rPr>
                <w:noProof/>
                <w:lang w:val="en-US"/>
              </w:rPr>
            </w:pPr>
            <w:r w:rsidRPr="00CB4885">
              <w:rPr>
                <w:noProof/>
              </w:rPr>
              <w:t xml:space="preserve">Coplan, R. J., Ooi, L. L., &amp; Rose-Krasnor, L. (2015). Naturalistic observations of schoolyard social participation: Marker variables for socio-emotional functioning in early adolescence. </w:t>
            </w:r>
            <w:r w:rsidRPr="00CB4885">
              <w:rPr>
                <w:i/>
                <w:iCs/>
                <w:noProof/>
              </w:rPr>
              <w:t>Journal of Early Adolescence</w:t>
            </w:r>
            <w:r w:rsidRPr="00CB4885">
              <w:rPr>
                <w:noProof/>
              </w:rPr>
              <w:t xml:space="preserve">, </w:t>
            </w:r>
            <w:r w:rsidRPr="00CB4885">
              <w:rPr>
                <w:i/>
                <w:iCs/>
                <w:noProof/>
              </w:rPr>
              <w:t>35</w:t>
            </w:r>
            <w:r w:rsidRPr="00CB4885">
              <w:rPr>
                <w:noProof/>
              </w:rPr>
              <w:t>(5–6), 628–650. https://doi.org/10.1177/0272431614523134</w:t>
            </w:r>
          </w:p>
        </w:tc>
        <w:tc>
          <w:tcPr>
            <w:tcW w:w="2284" w:type="dxa"/>
          </w:tcPr>
          <w:p w14:paraId="3FCBA83D" w14:textId="77777777" w:rsidR="004D2421" w:rsidRPr="00CB4885" w:rsidRDefault="004D2421" w:rsidP="00EA1134">
            <w:pPr>
              <w:spacing w:line="276" w:lineRule="auto"/>
            </w:pPr>
            <w:r w:rsidRPr="00CB4885">
              <w:t>No separate data for social anxiety</w:t>
            </w:r>
          </w:p>
        </w:tc>
      </w:tr>
      <w:tr w:rsidR="004D2421" w:rsidRPr="00DB4F15" w14:paraId="2D3D7CD4" w14:textId="77777777" w:rsidTr="00EA1134">
        <w:tc>
          <w:tcPr>
            <w:tcW w:w="6453" w:type="dxa"/>
          </w:tcPr>
          <w:p w14:paraId="7F766220" w14:textId="77777777" w:rsidR="004D2421" w:rsidRPr="00CB4885" w:rsidRDefault="004D2421" w:rsidP="00EA1134">
            <w:pPr>
              <w:widowControl w:val="0"/>
              <w:spacing w:line="276" w:lineRule="auto"/>
              <w:rPr>
                <w:noProof/>
                <w:lang w:val="en-US"/>
              </w:rPr>
            </w:pPr>
            <w:r w:rsidRPr="00CB4885">
              <w:rPr>
                <w:noProof/>
              </w:rPr>
              <w:t xml:space="preserve">Craig, W. M. (1998). The relationship among bullying, victimization, depression, anxiety, and aggression in elementary school children. </w:t>
            </w:r>
            <w:r w:rsidRPr="00CB4885">
              <w:rPr>
                <w:i/>
                <w:iCs/>
                <w:noProof/>
              </w:rPr>
              <w:t>Personality and Individual Differences</w:t>
            </w:r>
            <w:r w:rsidRPr="00CB4885">
              <w:rPr>
                <w:noProof/>
              </w:rPr>
              <w:t xml:space="preserve">, </w:t>
            </w:r>
            <w:r w:rsidRPr="00CB4885">
              <w:rPr>
                <w:i/>
                <w:iCs/>
                <w:noProof/>
              </w:rPr>
              <w:t>24</w:t>
            </w:r>
            <w:r w:rsidRPr="00CB4885">
              <w:rPr>
                <w:noProof/>
              </w:rPr>
              <w:t>(1), 123–130. https://doi.org/10.1016/S0191-8869(97)00145-1</w:t>
            </w:r>
          </w:p>
        </w:tc>
        <w:tc>
          <w:tcPr>
            <w:tcW w:w="2284" w:type="dxa"/>
          </w:tcPr>
          <w:p w14:paraId="7B9F66F3" w14:textId="77777777" w:rsidR="004D2421" w:rsidRPr="00DB4F15" w:rsidRDefault="004D2421" w:rsidP="00EA1134">
            <w:pPr>
              <w:spacing w:line="276" w:lineRule="auto"/>
              <w:rPr>
                <w:lang w:val="pt-PT"/>
              </w:rPr>
            </w:pPr>
            <w:r w:rsidRPr="00DB4F15">
              <w:rPr>
                <w:lang w:val="pt-PT"/>
              </w:rPr>
              <w:t xml:space="preserve">No </w:t>
            </w:r>
            <w:proofErr w:type="spellStart"/>
            <w:r w:rsidRPr="00DB4F15">
              <w:rPr>
                <w:lang w:val="pt-PT"/>
              </w:rPr>
              <w:t>separate</w:t>
            </w:r>
            <w:proofErr w:type="spellEnd"/>
            <w:r w:rsidRPr="00DB4F15">
              <w:rPr>
                <w:lang w:val="pt-PT"/>
              </w:rPr>
              <w:t xml:space="preserve"> data for </w:t>
            </w:r>
            <w:proofErr w:type="spellStart"/>
            <w:r w:rsidRPr="00DB4F15">
              <w:rPr>
                <w:lang w:val="pt-PT"/>
              </w:rPr>
              <w:t>girls</w:t>
            </w:r>
            <w:proofErr w:type="spellEnd"/>
          </w:p>
        </w:tc>
      </w:tr>
    </w:tbl>
    <w:p w14:paraId="2AEA90EE" w14:textId="77777777" w:rsidR="004D2421" w:rsidRDefault="004D2421" w:rsidP="004D2421">
      <w:pPr>
        <w:rPr>
          <w:lang w:val="pt-PT"/>
        </w:rPr>
      </w:pPr>
    </w:p>
    <w:p w14:paraId="03C6D1FB" w14:textId="0C0B1047" w:rsidR="004D2421" w:rsidRDefault="004D2421" w:rsidP="004D2421">
      <w:pPr>
        <w:autoSpaceDE/>
        <w:autoSpaceDN/>
        <w:adjustRightInd/>
        <w:spacing w:line="480" w:lineRule="auto"/>
        <w:rPr>
          <w:rFonts w:asciiTheme="majorBidi" w:hAnsiTheme="majorBidi" w:cstheme="majorBidi"/>
        </w:rPr>
      </w:pPr>
      <w:r>
        <w:rPr>
          <w:rFonts w:asciiTheme="majorBidi" w:hAnsiTheme="majorBidi" w:cstheme="majorBidi"/>
        </w:rPr>
        <w:t xml:space="preserve">Online Resource </w:t>
      </w:r>
      <w:r w:rsidR="00262998">
        <w:rPr>
          <w:rFonts w:asciiTheme="majorBidi" w:hAnsiTheme="majorBidi" w:cstheme="majorBidi"/>
        </w:rPr>
        <w:t>3</w:t>
      </w:r>
    </w:p>
    <w:p w14:paraId="7D7243A6" w14:textId="77777777" w:rsidR="004D2421" w:rsidRPr="00D55B56" w:rsidRDefault="004D2421" w:rsidP="004D2421">
      <w:pPr>
        <w:autoSpaceDE/>
        <w:autoSpaceDN/>
        <w:adjustRightInd/>
        <w:spacing w:line="480" w:lineRule="auto"/>
        <w:rPr>
          <w:rFonts w:asciiTheme="majorBidi" w:hAnsiTheme="majorBidi" w:cstheme="majorBidi"/>
          <w:i/>
        </w:rPr>
      </w:pPr>
      <w:r>
        <w:rPr>
          <w:rFonts w:asciiTheme="majorBidi" w:hAnsiTheme="majorBidi" w:cstheme="majorBidi"/>
          <w:i/>
        </w:rPr>
        <w:t>Table of Excluded Papers for Systematic Literature Review</w:t>
      </w:r>
    </w:p>
    <w:p w14:paraId="239A43B9" w14:textId="77777777" w:rsidR="004D2421" w:rsidRPr="00D55B56" w:rsidRDefault="004D2421" w:rsidP="004D2421">
      <w:pPr>
        <w:autoSpaceDE/>
        <w:autoSpaceDN/>
        <w:adjustRightInd/>
        <w:spacing w:line="480" w:lineRule="auto"/>
        <w:rPr>
          <w:rFonts w:asciiTheme="majorBidi" w:hAnsiTheme="majorBidi" w:cstheme="majorBidi"/>
        </w:rPr>
      </w:pPr>
    </w:p>
    <w:p w14:paraId="7024D2F7" w14:textId="77777777" w:rsidR="004D2421" w:rsidRDefault="004D2421" w:rsidP="004D2421">
      <w:pPr>
        <w:rPr>
          <w:lang w:val="pt-PT"/>
        </w:rPr>
      </w:pPr>
    </w:p>
    <w:p w14:paraId="4FBE47DD" w14:textId="77777777" w:rsidR="004D2421" w:rsidRDefault="004D2421" w:rsidP="004D2421">
      <w:pPr>
        <w:rPr>
          <w:lang w:val="pt-PT"/>
        </w:rPr>
      </w:pPr>
    </w:p>
    <w:p w14:paraId="51D7C61F" w14:textId="77777777" w:rsidR="004D2421" w:rsidRPr="00DB4F15" w:rsidRDefault="004D2421" w:rsidP="004D2421">
      <w:pPr>
        <w:rPr>
          <w:lang w:val="pt-PT"/>
        </w:rPr>
      </w:pPr>
      <w:r w:rsidRPr="00DB4F15">
        <w:rPr>
          <w:lang w:val="pt-PT"/>
        </w:rPr>
        <w:br w:type="page"/>
      </w:r>
    </w:p>
    <w:tbl>
      <w:tblPr>
        <w:tblW w:w="8752" w:type="dxa"/>
        <w:tblInd w:w="18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468"/>
        <w:gridCol w:w="2284"/>
      </w:tblGrid>
      <w:tr w:rsidR="004D2421" w:rsidRPr="00CB4885" w14:paraId="57219356" w14:textId="77777777" w:rsidTr="00EA1134">
        <w:tc>
          <w:tcPr>
            <w:tcW w:w="6468" w:type="dxa"/>
          </w:tcPr>
          <w:p w14:paraId="5DD86F1F" w14:textId="77777777" w:rsidR="004D2421" w:rsidRPr="00CB4885" w:rsidRDefault="004D2421" w:rsidP="00EA1134">
            <w:pPr>
              <w:widowControl w:val="0"/>
              <w:spacing w:line="276" w:lineRule="auto"/>
              <w:rPr>
                <w:noProof/>
              </w:rPr>
            </w:pPr>
            <w:r w:rsidRPr="00DB4F15">
              <w:rPr>
                <w:noProof/>
                <w:lang w:val="pt-PT"/>
              </w:rPr>
              <w:lastRenderedPageBreak/>
              <w:t xml:space="preserve">Cunha, M., Soares, I., &amp; Pinto-Gouveia, J. (2008). </w:t>
            </w:r>
            <w:r w:rsidRPr="00CB4885">
              <w:rPr>
                <w:noProof/>
              </w:rPr>
              <w:t xml:space="preserve">The role of individual temperament, family and peers in social anxiety disorder: A controlled study. </w:t>
            </w:r>
            <w:r w:rsidRPr="00CB4885">
              <w:rPr>
                <w:i/>
                <w:iCs/>
                <w:noProof/>
              </w:rPr>
              <w:t>International Journal of Clinical and Health Psychology</w:t>
            </w:r>
            <w:r w:rsidRPr="00CB4885">
              <w:rPr>
                <w:noProof/>
              </w:rPr>
              <w:t xml:space="preserve">, </w:t>
            </w:r>
            <w:r w:rsidRPr="00CB4885">
              <w:rPr>
                <w:i/>
                <w:iCs/>
                <w:noProof/>
              </w:rPr>
              <w:t>8</w:t>
            </w:r>
            <w:r w:rsidRPr="00CB4885">
              <w:rPr>
                <w:noProof/>
              </w:rPr>
              <w:t>(3), 631–655.</w:t>
            </w:r>
          </w:p>
        </w:tc>
        <w:tc>
          <w:tcPr>
            <w:tcW w:w="2284" w:type="dxa"/>
          </w:tcPr>
          <w:p w14:paraId="532BECA0" w14:textId="77777777" w:rsidR="004D2421" w:rsidRPr="00CB4885" w:rsidRDefault="004D2421" w:rsidP="00EA1134">
            <w:pPr>
              <w:spacing w:line="276" w:lineRule="auto"/>
            </w:pPr>
            <w:r w:rsidRPr="00CB4885">
              <w:t>No gender analysis for social anxiety as outcome variable</w:t>
            </w:r>
          </w:p>
        </w:tc>
      </w:tr>
      <w:tr w:rsidR="004D2421" w:rsidRPr="00CB4885" w14:paraId="134D1C8D" w14:textId="77777777" w:rsidTr="00EA1134">
        <w:tc>
          <w:tcPr>
            <w:tcW w:w="6468" w:type="dxa"/>
          </w:tcPr>
          <w:p w14:paraId="3E1E2295" w14:textId="77777777" w:rsidR="004D2421" w:rsidRPr="00CB4885" w:rsidRDefault="004D2421" w:rsidP="00EA1134">
            <w:pPr>
              <w:widowControl w:val="0"/>
              <w:spacing w:line="276" w:lineRule="auto"/>
              <w:rPr>
                <w:noProof/>
              </w:rPr>
            </w:pPr>
            <w:r w:rsidRPr="00CB4885">
              <w:rPr>
                <w:noProof/>
              </w:rPr>
              <w:t xml:space="preserve">Delgado, B., Inglés, C. J., Aparisi, D., &amp; García-Fernández, J. M. (2016). Social anxiety and sociometric nomination in spanish students of compulsory secondary education. </w:t>
            </w:r>
            <w:r w:rsidRPr="00CB4885">
              <w:rPr>
                <w:i/>
                <w:iCs/>
                <w:noProof/>
              </w:rPr>
              <w:t>The Spanish Journal of Psychology</w:t>
            </w:r>
            <w:r w:rsidRPr="00CB4885">
              <w:rPr>
                <w:noProof/>
              </w:rPr>
              <w:t xml:space="preserve">, </w:t>
            </w:r>
            <w:r w:rsidRPr="00CB4885">
              <w:rPr>
                <w:i/>
                <w:iCs/>
                <w:noProof/>
              </w:rPr>
              <w:t>19</w:t>
            </w:r>
            <w:r w:rsidRPr="00CB4885">
              <w:rPr>
                <w:noProof/>
              </w:rPr>
              <w:t>, E41. https://doi.org/10.1017/sjp.2016.47</w:t>
            </w:r>
          </w:p>
        </w:tc>
        <w:tc>
          <w:tcPr>
            <w:tcW w:w="2284" w:type="dxa"/>
          </w:tcPr>
          <w:p w14:paraId="25218DE4" w14:textId="77777777" w:rsidR="004D2421" w:rsidRPr="00CB4885" w:rsidRDefault="004D2421" w:rsidP="00EA1134">
            <w:pPr>
              <w:spacing w:line="276" w:lineRule="auto"/>
            </w:pPr>
            <w:r w:rsidRPr="00CB4885">
              <w:t>Gender not considered as an independent factor</w:t>
            </w:r>
          </w:p>
        </w:tc>
      </w:tr>
      <w:tr w:rsidR="004D2421" w:rsidRPr="00DB4F15" w14:paraId="350B8E51" w14:textId="77777777" w:rsidTr="00EA1134">
        <w:tc>
          <w:tcPr>
            <w:tcW w:w="6468" w:type="dxa"/>
          </w:tcPr>
          <w:p w14:paraId="104D13F5" w14:textId="77777777" w:rsidR="004D2421" w:rsidRPr="00CB4885" w:rsidRDefault="004D2421" w:rsidP="00EA1134">
            <w:pPr>
              <w:widowControl w:val="0"/>
              <w:spacing w:line="276" w:lineRule="auto"/>
              <w:rPr>
                <w:noProof/>
              </w:rPr>
            </w:pPr>
            <w:r w:rsidRPr="00CB4885">
              <w:rPr>
                <w:noProof/>
              </w:rPr>
              <w:t xml:space="preserve">Dempsey, A. G., Sulkowski, M. L., Nichols, R., &amp; Storch, E. A. (2009). Differences between peer victimization in cyber and physical settings and associated psychosocial adjustment in early adolescence. </w:t>
            </w:r>
            <w:r w:rsidRPr="00CB4885">
              <w:rPr>
                <w:i/>
                <w:iCs/>
                <w:noProof/>
              </w:rPr>
              <w:t>Psychology in the Schools</w:t>
            </w:r>
            <w:r w:rsidRPr="00CB4885">
              <w:rPr>
                <w:noProof/>
              </w:rPr>
              <w:t xml:space="preserve">, </w:t>
            </w:r>
            <w:r w:rsidRPr="00CB4885">
              <w:rPr>
                <w:i/>
                <w:iCs/>
                <w:noProof/>
              </w:rPr>
              <w:t>46</w:t>
            </w:r>
            <w:r w:rsidRPr="00CB4885">
              <w:rPr>
                <w:noProof/>
              </w:rPr>
              <w:t>(10), 962–972. https://doi.org/10.1002/pits.20437</w:t>
            </w:r>
          </w:p>
        </w:tc>
        <w:tc>
          <w:tcPr>
            <w:tcW w:w="2284" w:type="dxa"/>
          </w:tcPr>
          <w:p w14:paraId="78036376" w14:textId="77777777" w:rsidR="004D2421" w:rsidRPr="00DB4F15" w:rsidRDefault="004D2421" w:rsidP="00EA1134">
            <w:pPr>
              <w:spacing w:line="276" w:lineRule="auto"/>
              <w:rPr>
                <w:lang w:val="pt-PT"/>
              </w:rPr>
            </w:pPr>
            <w:r w:rsidRPr="00DB4F15">
              <w:rPr>
                <w:lang w:val="pt-PT"/>
              </w:rPr>
              <w:t xml:space="preserve">No </w:t>
            </w:r>
            <w:proofErr w:type="spellStart"/>
            <w:r w:rsidRPr="00DB4F15">
              <w:rPr>
                <w:lang w:val="pt-PT"/>
              </w:rPr>
              <w:t>separate</w:t>
            </w:r>
            <w:proofErr w:type="spellEnd"/>
            <w:r w:rsidRPr="00DB4F15">
              <w:rPr>
                <w:lang w:val="pt-PT"/>
              </w:rPr>
              <w:t xml:space="preserve"> data for </w:t>
            </w:r>
            <w:proofErr w:type="spellStart"/>
            <w:r w:rsidRPr="00DB4F15">
              <w:rPr>
                <w:lang w:val="pt-PT"/>
              </w:rPr>
              <w:t>girls</w:t>
            </w:r>
            <w:proofErr w:type="spellEnd"/>
          </w:p>
        </w:tc>
      </w:tr>
      <w:tr w:rsidR="004D2421" w:rsidRPr="00CB4885" w14:paraId="79090D74" w14:textId="77777777" w:rsidTr="00EA1134">
        <w:tc>
          <w:tcPr>
            <w:tcW w:w="6468" w:type="dxa"/>
          </w:tcPr>
          <w:p w14:paraId="175F9B5C" w14:textId="77777777" w:rsidR="004D2421" w:rsidRPr="00CB4885" w:rsidRDefault="004D2421" w:rsidP="00EA1134">
            <w:pPr>
              <w:widowControl w:val="0"/>
              <w:spacing w:line="276" w:lineRule="auto"/>
              <w:rPr>
                <w:noProof/>
              </w:rPr>
            </w:pPr>
            <w:r w:rsidRPr="00CB4885">
              <w:rPr>
                <w:noProof/>
              </w:rPr>
              <w:t xml:space="preserve">Epkins, C. C., &amp; Seegan, P. L. (2015). Mother-reported and children’s perceived social and academic competence in clinic-referred youth: Unique relations to depression and/or social anxiety and the role of self-perceptions. </w:t>
            </w:r>
            <w:r w:rsidRPr="00CB4885">
              <w:rPr>
                <w:i/>
                <w:iCs/>
                <w:noProof/>
              </w:rPr>
              <w:t>Child Psychiatry and Human Development</w:t>
            </w:r>
            <w:r w:rsidRPr="00CB4885">
              <w:rPr>
                <w:noProof/>
              </w:rPr>
              <w:t xml:space="preserve">, </w:t>
            </w:r>
            <w:r w:rsidRPr="00CB4885">
              <w:rPr>
                <w:i/>
                <w:iCs/>
                <w:noProof/>
              </w:rPr>
              <w:t>46</w:t>
            </w:r>
            <w:r w:rsidRPr="00CB4885">
              <w:rPr>
                <w:noProof/>
              </w:rPr>
              <w:t>(5), 656–670. https://doi.org/10.1007/s10578-014-0508-9</w:t>
            </w:r>
          </w:p>
        </w:tc>
        <w:tc>
          <w:tcPr>
            <w:tcW w:w="2284" w:type="dxa"/>
          </w:tcPr>
          <w:p w14:paraId="49D7DB68" w14:textId="77777777" w:rsidR="004D2421" w:rsidRPr="00CB4885" w:rsidRDefault="004D2421" w:rsidP="00EA1134">
            <w:pPr>
              <w:spacing w:line="276" w:lineRule="auto"/>
            </w:pPr>
            <w:r w:rsidRPr="00CB4885">
              <w:t>No analysis of data by gender</w:t>
            </w:r>
          </w:p>
        </w:tc>
      </w:tr>
      <w:tr w:rsidR="004D2421" w:rsidRPr="00CB4885" w14:paraId="185974EE" w14:textId="77777777" w:rsidTr="00EA1134">
        <w:trPr>
          <w:trHeight w:val="1124"/>
        </w:trPr>
        <w:tc>
          <w:tcPr>
            <w:tcW w:w="6468" w:type="dxa"/>
          </w:tcPr>
          <w:p w14:paraId="6B5611D3" w14:textId="77777777" w:rsidR="004D2421" w:rsidRPr="00CB4885" w:rsidRDefault="004D2421" w:rsidP="00EA1134">
            <w:pPr>
              <w:widowControl w:val="0"/>
              <w:spacing w:line="276" w:lineRule="auto"/>
              <w:rPr>
                <w:noProof/>
              </w:rPr>
            </w:pPr>
            <w:r w:rsidRPr="00CB4885">
              <w:rPr>
                <w:noProof/>
              </w:rPr>
              <w:t xml:space="preserve">Erath, S. A., Flanagan, K. S., Bierman, K. L., &amp; Tu, K. M. (2010). Friendships moderate psychosocial maladjustment in socially anxious early adolescents. </w:t>
            </w:r>
            <w:r w:rsidRPr="00CB4885">
              <w:rPr>
                <w:i/>
                <w:iCs/>
                <w:noProof/>
              </w:rPr>
              <w:t>Journal of Applied Developmental Psychology</w:t>
            </w:r>
            <w:r w:rsidRPr="00CB4885">
              <w:rPr>
                <w:noProof/>
              </w:rPr>
              <w:t xml:space="preserve">, </w:t>
            </w:r>
            <w:r w:rsidRPr="00CB4885">
              <w:rPr>
                <w:i/>
                <w:iCs/>
                <w:noProof/>
              </w:rPr>
              <w:t>31</w:t>
            </w:r>
            <w:r w:rsidRPr="00CB4885">
              <w:rPr>
                <w:noProof/>
              </w:rPr>
              <w:t>(1), 15–26. https://doi.org/10.1016/j.appdev.2009.05.005</w:t>
            </w:r>
          </w:p>
        </w:tc>
        <w:tc>
          <w:tcPr>
            <w:tcW w:w="2284" w:type="dxa"/>
          </w:tcPr>
          <w:p w14:paraId="5FF6C110" w14:textId="77777777" w:rsidR="004D2421" w:rsidRPr="00CB4885" w:rsidRDefault="004D2421" w:rsidP="00EA1134">
            <w:pPr>
              <w:spacing w:line="276" w:lineRule="auto"/>
            </w:pPr>
            <w:r w:rsidRPr="00CB4885">
              <w:t>Not about development of social anxiety</w:t>
            </w:r>
          </w:p>
        </w:tc>
      </w:tr>
      <w:tr w:rsidR="004D2421" w:rsidRPr="00CB4885" w14:paraId="7E89048E" w14:textId="77777777" w:rsidTr="00EA1134">
        <w:tc>
          <w:tcPr>
            <w:tcW w:w="6468" w:type="dxa"/>
          </w:tcPr>
          <w:p w14:paraId="3AE79A70" w14:textId="77777777" w:rsidR="004D2421" w:rsidRPr="00CB4885" w:rsidRDefault="004D2421" w:rsidP="00EA1134">
            <w:pPr>
              <w:widowControl w:val="0"/>
              <w:spacing w:line="276" w:lineRule="auto"/>
              <w:rPr>
                <w:noProof/>
              </w:rPr>
            </w:pPr>
            <w:r w:rsidRPr="00DB4F15">
              <w:rPr>
                <w:noProof/>
                <w:lang w:val="it-IT"/>
              </w:rPr>
              <w:t xml:space="preserve">Festa, C. C., &amp; Ginsburg, G. S. (2011). </w:t>
            </w:r>
            <w:r w:rsidRPr="00CB4885">
              <w:rPr>
                <w:noProof/>
              </w:rPr>
              <w:t xml:space="preserve">Parental and peer predictors of social anxiety in youth. </w:t>
            </w:r>
            <w:r w:rsidRPr="00CB4885">
              <w:rPr>
                <w:i/>
                <w:iCs/>
                <w:noProof/>
              </w:rPr>
              <w:t>Child Psychiatry and Human Development</w:t>
            </w:r>
            <w:r w:rsidRPr="00CB4885">
              <w:rPr>
                <w:noProof/>
              </w:rPr>
              <w:t xml:space="preserve">, </w:t>
            </w:r>
            <w:r w:rsidRPr="00CB4885">
              <w:rPr>
                <w:i/>
                <w:iCs/>
                <w:noProof/>
              </w:rPr>
              <w:t>42</w:t>
            </w:r>
            <w:r w:rsidRPr="00CB4885">
              <w:rPr>
                <w:noProof/>
              </w:rPr>
              <w:t>(3), 291–306. https://doi.org/10.1007/s10578-011-0215-8</w:t>
            </w:r>
          </w:p>
        </w:tc>
        <w:tc>
          <w:tcPr>
            <w:tcW w:w="2284" w:type="dxa"/>
          </w:tcPr>
          <w:p w14:paraId="621C9B91" w14:textId="77777777" w:rsidR="004D2421" w:rsidRPr="00CB4885" w:rsidRDefault="004D2421" w:rsidP="00EA1134">
            <w:pPr>
              <w:spacing w:line="276" w:lineRule="auto"/>
            </w:pPr>
            <w:r w:rsidRPr="00CB4885">
              <w:t>No separate data for girls in peer relationships</w:t>
            </w:r>
          </w:p>
        </w:tc>
      </w:tr>
      <w:tr w:rsidR="004D2421" w:rsidRPr="00CB4885" w14:paraId="24DDD679" w14:textId="77777777" w:rsidTr="00EA1134">
        <w:tc>
          <w:tcPr>
            <w:tcW w:w="6468" w:type="dxa"/>
          </w:tcPr>
          <w:p w14:paraId="6980B797" w14:textId="77777777" w:rsidR="004D2421" w:rsidRPr="00CB4885" w:rsidRDefault="004D2421" w:rsidP="00EA1134">
            <w:pPr>
              <w:widowControl w:val="0"/>
              <w:spacing w:line="276" w:lineRule="auto"/>
              <w:rPr>
                <w:noProof/>
              </w:rPr>
            </w:pPr>
            <w:r w:rsidRPr="00DB4F15">
              <w:rPr>
                <w:noProof/>
                <w:lang w:val="it-IT"/>
              </w:rPr>
              <w:t xml:space="preserve">Ginsburg, G. S., La Greca, A. M., &amp; Silverman, W. K. (1998). </w:t>
            </w:r>
            <w:r w:rsidRPr="00CB4885">
              <w:rPr>
                <w:noProof/>
              </w:rPr>
              <w:t xml:space="preserve">Social anxiety in children with anxiety disorders: Relation with social and emotional functioning. </w:t>
            </w:r>
            <w:r w:rsidRPr="00CB4885">
              <w:rPr>
                <w:i/>
                <w:iCs/>
                <w:noProof/>
              </w:rPr>
              <w:t>Journal of Abnormal Child Psychology</w:t>
            </w:r>
            <w:r w:rsidRPr="00CB4885">
              <w:rPr>
                <w:noProof/>
              </w:rPr>
              <w:t xml:space="preserve">, </w:t>
            </w:r>
            <w:r w:rsidRPr="00CB4885">
              <w:rPr>
                <w:i/>
                <w:iCs/>
                <w:noProof/>
              </w:rPr>
              <w:t>26</w:t>
            </w:r>
            <w:r w:rsidRPr="00CB4885">
              <w:rPr>
                <w:noProof/>
              </w:rPr>
              <w:t>(3), 175–185. https://doi.org/10.1023/A:1022668101048</w:t>
            </w:r>
          </w:p>
        </w:tc>
        <w:tc>
          <w:tcPr>
            <w:tcW w:w="2284" w:type="dxa"/>
          </w:tcPr>
          <w:p w14:paraId="0A100D60" w14:textId="77777777" w:rsidR="004D2421" w:rsidRPr="00CB4885" w:rsidRDefault="004D2421" w:rsidP="00EA1134">
            <w:pPr>
              <w:spacing w:line="276" w:lineRule="auto"/>
            </w:pPr>
            <w:r w:rsidRPr="00CB4885">
              <w:t>Lack of reported data</w:t>
            </w:r>
          </w:p>
        </w:tc>
      </w:tr>
      <w:tr w:rsidR="004D2421" w:rsidRPr="00CB4885" w14:paraId="31005B9F" w14:textId="77777777" w:rsidTr="00EA1134">
        <w:tc>
          <w:tcPr>
            <w:tcW w:w="6468" w:type="dxa"/>
          </w:tcPr>
          <w:p w14:paraId="6D799514" w14:textId="77777777" w:rsidR="004D2421" w:rsidRPr="00CB4885" w:rsidRDefault="004D2421" w:rsidP="00EA1134">
            <w:pPr>
              <w:widowControl w:val="0"/>
              <w:spacing w:line="276" w:lineRule="auto"/>
              <w:rPr>
                <w:noProof/>
              </w:rPr>
            </w:pPr>
            <w:r w:rsidRPr="00DB4F15">
              <w:rPr>
                <w:noProof/>
                <w:lang w:val="de-DE"/>
              </w:rPr>
              <w:t xml:space="preserve">Gren-Landell, M., Aho, N., Andersson, G., &amp; Svedin, C. G. (2011). </w:t>
            </w:r>
            <w:r w:rsidRPr="00CB4885">
              <w:rPr>
                <w:noProof/>
              </w:rPr>
              <w:t xml:space="preserve">Social anxiety disorder and victimization in a community sample of adolescents. </w:t>
            </w:r>
            <w:r w:rsidRPr="00CB4885">
              <w:rPr>
                <w:i/>
                <w:iCs/>
                <w:noProof/>
              </w:rPr>
              <w:t>Journal of Adolescence</w:t>
            </w:r>
            <w:r w:rsidRPr="00CB4885">
              <w:rPr>
                <w:noProof/>
              </w:rPr>
              <w:t xml:space="preserve">, </w:t>
            </w:r>
            <w:r w:rsidRPr="00CB4885">
              <w:rPr>
                <w:i/>
                <w:iCs/>
                <w:noProof/>
              </w:rPr>
              <w:t>34</w:t>
            </w:r>
            <w:r w:rsidRPr="00CB4885">
              <w:rPr>
                <w:noProof/>
              </w:rPr>
              <w:t>(3), 569–577. https://doi.org/10.1016/j.adolescence.2010.03.007</w:t>
            </w:r>
          </w:p>
        </w:tc>
        <w:tc>
          <w:tcPr>
            <w:tcW w:w="2284" w:type="dxa"/>
          </w:tcPr>
          <w:p w14:paraId="6C591826" w14:textId="77777777" w:rsidR="004D2421" w:rsidRPr="00CB4885" w:rsidRDefault="004D2421" w:rsidP="00EA1134">
            <w:pPr>
              <w:spacing w:line="276" w:lineRule="auto"/>
            </w:pPr>
            <w:r w:rsidRPr="00CB4885">
              <w:t>Data combined for peers/siblings</w:t>
            </w:r>
          </w:p>
        </w:tc>
      </w:tr>
    </w:tbl>
    <w:p w14:paraId="75C7B94D" w14:textId="77777777" w:rsidR="004D2421" w:rsidRPr="00CB4885" w:rsidRDefault="004D2421" w:rsidP="004D2421">
      <w:r w:rsidRPr="00CB4885">
        <w:br w:type="page"/>
      </w:r>
    </w:p>
    <w:tbl>
      <w:tblPr>
        <w:tblW w:w="8737" w:type="dxa"/>
        <w:tblInd w:w="202"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453"/>
        <w:gridCol w:w="2284"/>
      </w:tblGrid>
      <w:tr w:rsidR="004D2421" w:rsidRPr="00CB4885" w14:paraId="4842316D" w14:textId="77777777" w:rsidTr="00EA1134">
        <w:tc>
          <w:tcPr>
            <w:tcW w:w="6453" w:type="dxa"/>
          </w:tcPr>
          <w:p w14:paraId="0A1CB750" w14:textId="77777777" w:rsidR="004D2421" w:rsidRPr="00CB4885" w:rsidRDefault="004D2421" w:rsidP="00EA1134">
            <w:pPr>
              <w:widowControl w:val="0"/>
              <w:spacing w:line="276" w:lineRule="auto"/>
              <w:rPr>
                <w:noProof/>
              </w:rPr>
            </w:pPr>
            <w:r w:rsidRPr="00DB4F15">
              <w:rPr>
                <w:noProof/>
                <w:lang w:val="de-DE"/>
              </w:rPr>
              <w:lastRenderedPageBreak/>
              <w:t xml:space="preserve">Inderbitzen, H. M., Walters, K. S., &amp; Bukowski, A. L. (1997). </w:t>
            </w:r>
            <w:r w:rsidRPr="00CB4885">
              <w:rPr>
                <w:noProof/>
              </w:rPr>
              <w:t xml:space="preserve">The role of social anxiety in adolescent peer relations: Differences among sociometric status groups and rejected subgroups. </w:t>
            </w:r>
            <w:r w:rsidRPr="00CB4885">
              <w:rPr>
                <w:i/>
                <w:iCs/>
                <w:noProof/>
              </w:rPr>
              <w:t>Journal of Clinical Child Psychology</w:t>
            </w:r>
            <w:r w:rsidRPr="00CB4885">
              <w:rPr>
                <w:noProof/>
              </w:rPr>
              <w:t xml:space="preserve">, </w:t>
            </w:r>
            <w:r w:rsidRPr="00CB4885">
              <w:rPr>
                <w:i/>
                <w:iCs/>
                <w:noProof/>
              </w:rPr>
              <w:t>26</w:t>
            </w:r>
            <w:r w:rsidRPr="00CB4885">
              <w:rPr>
                <w:noProof/>
              </w:rPr>
              <w:t>(4), 338–348. https://doi.org/10.1207/s15374424jccp2604_2</w:t>
            </w:r>
          </w:p>
        </w:tc>
        <w:tc>
          <w:tcPr>
            <w:tcW w:w="2284" w:type="dxa"/>
          </w:tcPr>
          <w:p w14:paraId="0AB120C1" w14:textId="77777777" w:rsidR="004D2421" w:rsidRPr="00CB4885" w:rsidRDefault="004D2421" w:rsidP="00EA1134">
            <w:pPr>
              <w:spacing w:line="276" w:lineRule="auto"/>
            </w:pPr>
            <w:r w:rsidRPr="00CB4885">
              <w:t>No separate data for girls in peer relationships</w:t>
            </w:r>
          </w:p>
        </w:tc>
      </w:tr>
      <w:tr w:rsidR="004D2421" w:rsidRPr="00CB4885" w14:paraId="0F443B3B" w14:textId="77777777" w:rsidTr="00EA1134">
        <w:tc>
          <w:tcPr>
            <w:tcW w:w="6453" w:type="dxa"/>
          </w:tcPr>
          <w:p w14:paraId="2E6F0DF9" w14:textId="77777777" w:rsidR="004D2421" w:rsidRPr="00CB4885" w:rsidRDefault="004D2421" w:rsidP="00EA1134">
            <w:pPr>
              <w:widowControl w:val="0"/>
              <w:spacing w:line="276" w:lineRule="auto"/>
              <w:rPr>
                <w:noProof/>
              </w:rPr>
            </w:pPr>
            <w:r w:rsidRPr="00CB4885">
              <w:rPr>
                <w:noProof/>
              </w:rPr>
              <w:t xml:space="preserve">Jackson, T. (2007). Protective self-presentation, sources of socialization, and loneliness among Australian adolescents and young adults. </w:t>
            </w:r>
            <w:r w:rsidRPr="00CB4885">
              <w:rPr>
                <w:i/>
                <w:iCs/>
                <w:noProof/>
              </w:rPr>
              <w:t>Personality and Individual Differences</w:t>
            </w:r>
            <w:r w:rsidRPr="00CB4885">
              <w:rPr>
                <w:noProof/>
              </w:rPr>
              <w:t xml:space="preserve">, </w:t>
            </w:r>
            <w:r w:rsidRPr="00CB4885">
              <w:rPr>
                <w:i/>
                <w:iCs/>
                <w:noProof/>
              </w:rPr>
              <w:t>43</w:t>
            </w:r>
            <w:r w:rsidRPr="00CB4885">
              <w:rPr>
                <w:noProof/>
              </w:rPr>
              <w:t>(6), 1552–1562. https://doi.org/10.1016/j.paid.2007.04.012</w:t>
            </w:r>
          </w:p>
        </w:tc>
        <w:tc>
          <w:tcPr>
            <w:tcW w:w="2284" w:type="dxa"/>
          </w:tcPr>
          <w:p w14:paraId="7577C818" w14:textId="77777777" w:rsidR="004D2421" w:rsidRPr="00CB4885" w:rsidRDefault="004D2421" w:rsidP="00EA1134">
            <w:pPr>
              <w:spacing w:line="276" w:lineRule="auto"/>
            </w:pPr>
            <w:r w:rsidRPr="00CB4885">
              <w:t>Not about development of social anxiety</w:t>
            </w:r>
          </w:p>
        </w:tc>
      </w:tr>
      <w:tr w:rsidR="004D2421" w:rsidRPr="00CB4885" w14:paraId="7B5D7AB0" w14:textId="77777777" w:rsidTr="00EA1134">
        <w:tc>
          <w:tcPr>
            <w:tcW w:w="6453" w:type="dxa"/>
          </w:tcPr>
          <w:p w14:paraId="47A0F94F" w14:textId="77777777" w:rsidR="004D2421" w:rsidRPr="00CB4885" w:rsidRDefault="004D2421" w:rsidP="00EA1134">
            <w:pPr>
              <w:widowControl w:val="0"/>
              <w:spacing w:line="276" w:lineRule="auto"/>
              <w:rPr>
                <w:noProof/>
              </w:rPr>
            </w:pPr>
            <w:r w:rsidRPr="00CB4885">
              <w:rPr>
                <w:noProof/>
              </w:rPr>
              <w:t xml:space="preserve">Landoll, R. R., La Greca, A. M., Lai, B. S., Chan, S. F., &amp; Herge, W. M. (2015). Cyber victimization by peers: Prospective associations with adolescent social anxiety and depressive symptoms. </w:t>
            </w:r>
            <w:r w:rsidRPr="00CB4885">
              <w:rPr>
                <w:i/>
                <w:iCs/>
                <w:noProof/>
              </w:rPr>
              <w:t>Journal of Adolescence</w:t>
            </w:r>
            <w:r w:rsidRPr="00CB4885">
              <w:rPr>
                <w:noProof/>
              </w:rPr>
              <w:t xml:space="preserve">, </w:t>
            </w:r>
            <w:r w:rsidRPr="00CB4885">
              <w:rPr>
                <w:i/>
                <w:iCs/>
                <w:noProof/>
              </w:rPr>
              <w:t>42</w:t>
            </w:r>
            <w:r w:rsidRPr="00CB4885">
              <w:rPr>
                <w:noProof/>
              </w:rPr>
              <w:t>, 77–86. https://doi.org/10.1016/j.adolescence.2015.04.002</w:t>
            </w:r>
          </w:p>
        </w:tc>
        <w:tc>
          <w:tcPr>
            <w:tcW w:w="2284" w:type="dxa"/>
          </w:tcPr>
          <w:p w14:paraId="0589325B" w14:textId="77777777" w:rsidR="004D2421" w:rsidRPr="00CB4885" w:rsidRDefault="004D2421" w:rsidP="00EA1134">
            <w:pPr>
              <w:spacing w:line="276" w:lineRule="auto"/>
            </w:pPr>
            <w:r w:rsidRPr="00CB4885">
              <w:t>No separate data for social anxiety</w:t>
            </w:r>
          </w:p>
        </w:tc>
      </w:tr>
      <w:tr w:rsidR="004D2421" w:rsidRPr="00CB4885" w14:paraId="27165676" w14:textId="77777777" w:rsidTr="00EA1134">
        <w:tc>
          <w:tcPr>
            <w:tcW w:w="6453" w:type="dxa"/>
          </w:tcPr>
          <w:p w14:paraId="4C38A387" w14:textId="77777777" w:rsidR="004D2421" w:rsidRPr="00CB4885" w:rsidRDefault="004D2421" w:rsidP="00EA1134">
            <w:pPr>
              <w:widowControl w:val="0"/>
              <w:spacing w:line="276" w:lineRule="auto"/>
              <w:rPr>
                <w:noProof/>
              </w:rPr>
            </w:pPr>
            <w:r w:rsidRPr="00CB4885">
              <w:rPr>
                <w:noProof/>
              </w:rPr>
              <w:t xml:space="preserve">Leadbeater, B. J., Thompson, K., &amp; Sukhawathanakul, P. (2014). It gets better or does it? Peer victimization and internalizing problems in the transition to young adulthood. </w:t>
            </w:r>
            <w:r w:rsidRPr="00CB4885">
              <w:rPr>
                <w:i/>
                <w:iCs/>
                <w:noProof/>
              </w:rPr>
              <w:t>Development and Psychopathology</w:t>
            </w:r>
            <w:r w:rsidRPr="00CB4885">
              <w:rPr>
                <w:noProof/>
              </w:rPr>
              <w:t xml:space="preserve">, </w:t>
            </w:r>
            <w:r w:rsidRPr="00CB4885">
              <w:rPr>
                <w:i/>
                <w:iCs/>
                <w:noProof/>
              </w:rPr>
              <w:t>26</w:t>
            </w:r>
            <w:r w:rsidRPr="00CB4885">
              <w:rPr>
                <w:noProof/>
              </w:rPr>
              <w:t>(2014), 675–88. https://doi.org/10.1017/S0954579414000315</w:t>
            </w:r>
          </w:p>
        </w:tc>
        <w:tc>
          <w:tcPr>
            <w:tcW w:w="2284" w:type="dxa"/>
          </w:tcPr>
          <w:p w14:paraId="33E659F8" w14:textId="77777777" w:rsidR="004D2421" w:rsidRPr="00CB4885" w:rsidRDefault="004D2421" w:rsidP="00EA1134">
            <w:pPr>
              <w:spacing w:line="276" w:lineRule="auto"/>
            </w:pPr>
            <w:r w:rsidRPr="00CB4885">
              <w:t>Not social anxiety</w:t>
            </w:r>
          </w:p>
        </w:tc>
      </w:tr>
      <w:tr w:rsidR="004D2421" w:rsidRPr="00CB4885" w14:paraId="233E5994" w14:textId="77777777" w:rsidTr="00EA1134">
        <w:trPr>
          <w:trHeight w:val="683"/>
        </w:trPr>
        <w:tc>
          <w:tcPr>
            <w:tcW w:w="6453" w:type="dxa"/>
          </w:tcPr>
          <w:p w14:paraId="1EFFBEC4" w14:textId="77777777" w:rsidR="004D2421" w:rsidRPr="00CB4885" w:rsidRDefault="004D2421" w:rsidP="00EA1134">
            <w:pPr>
              <w:widowControl w:val="0"/>
              <w:spacing w:line="276" w:lineRule="auto"/>
              <w:rPr>
                <w:noProof/>
              </w:rPr>
            </w:pPr>
            <w:proofErr w:type="spellStart"/>
            <w:r w:rsidRPr="00CB4885">
              <w:t>Levpušček</w:t>
            </w:r>
            <w:proofErr w:type="spellEnd"/>
            <w:r w:rsidRPr="00CB4885">
              <w:rPr>
                <w:noProof/>
              </w:rPr>
              <w:t xml:space="preserve">, M. P., &amp; Berce, J. (2012). Social anxiety, social acceptance and academic self-perceptions in high-school students. </w:t>
            </w:r>
            <w:r w:rsidRPr="00CB4885">
              <w:rPr>
                <w:i/>
                <w:iCs/>
                <w:noProof/>
              </w:rPr>
              <w:t>Drustvena Istrazivanja</w:t>
            </w:r>
            <w:r w:rsidRPr="00CB4885">
              <w:rPr>
                <w:noProof/>
              </w:rPr>
              <w:t xml:space="preserve">, </w:t>
            </w:r>
            <w:r w:rsidRPr="00CB4885">
              <w:rPr>
                <w:i/>
                <w:iCs/>
                <w:noProof/>
              </w:rPr>
              <w:t>21</w:t>
            </w:r>
            <w:r w:rsidRPr="00CB4885">
              <w:rPr>
                <w:noProof/>
              </w:rPr>
              <w:t>(2), 405–419. https://doi.org/10.5559/di.21.2.06</w:t>
            </w:r>
          </w:p>
        </w:tc>
        <w:tc>
          <w:tcPr>
            <w:tcW w:w="2284" w:type="dxa"/>
          </w:tcPr>
          <w:p w14:paraId="54462D22" w14:textId="77777777" w:rsidR="004D2421" w:rsidRPr="00CB4885" w:rsidRDefault="004D2421" w:rsidP="00EA1134">
            <w:pPr>
              <w:spacing w:line="276" w:lineRule="auto"/>
            </w:pPr>
            <w:r w:rsidRPr="00CB4885">
              <w:t>No analysis of data by gender</w:t>
            </w:r>
          </w:p>
        </w:tc>
      </w:tr>
      <w:tr w:rsidR="004D2421" w:rsidRPr="00CB4885" w14:paraId="6FC2227C" w14:textId="77777777" w:rsidTr="00EA1134">
        <w:trPr>
          <w:trHeight w:val="1043"/>
        </w:trPr>
        <w:tc>
          <w:tcPr>
            <w:tcW w:w="6453" w:type="dxa"/>
          </w:tcPr>
          <w:p w14:paraId="29FF4FA5" w14:textId="77777777" w:rsidR="004D2421" w:rsidRPr="00CB4885" w:rsidRDefault="004D2421" w:rsidP="00EA1134">
            <w:pPr>
              <w:widowControl w:val="0"/>
              <w:spacing w:line="276" w:lineRule="auto"/>
              <w:rPr>
                <w:noProof/>
              </w:rPr>
            </w:pPr>
            <w:r w:rsidRPr="00DB4F15">
              <w:rPr>
                <w:noProof/>
                <w:lang w:val="it-IT"/>
              </w:rPr>
              <w:t xml:space="preserve">Liu, J., Coplan, R. J., Ooi, L. L., Chen, X., &amp; Li, D. (2015). </w:t>
            </w:r>
            <w:r w:rsidRPr="00CB4885">
              <w:rPr>
                <w:noProof/>
              </w:rPr>
              <w:t xml:space="preserve">Examining the implications of social anxiety in a community sample of mainland chinese children. </w:t>
            </w:r>
            <w:r w:rsidRPr="00CB4885">
              <w:rPr>
                <w:i/>
                <w:iCs/>
                <w:noProof/>
              </w:rPr>
              <w:t>Journal of Clinical Psychology</w:t>
            </w:r>
            <w:r w:rsidRPr="00CB4885">
              <w:rPr>
                <w:noProof/>
              </w:rPr>
              <w:t xml:space="preserve">, </w:t>
            </w:r>
            <w:r w:rsidRPr="00CB4885">
              <w:rPr>
                <w:i/>
                <w:iCs/>
                <w:noProof/>
              </w:rPr>
              <w:t>71</w:t>
            </w:r>
            <w:r w:rsidRPr="00CB4885">
              <w:rPr>
                <w:noProof/>
              </w:rPr>
              <w:t>(10), 979–993. https://doi.org/10.1002/jclp.22195</w:t>
            </w:r>
          </w:p>
        </w:tc>
        <w:tc>
          <w:tcPr>
            <w:tcW w:w="2284" w:type="dxa"/>
          </w:tcPr>
          <w:p w14:paraId="429F2E5B" w14:textId="77777777" w:rsidR="004D2421" w:rsidRPr="00CB4885" w:rsidRDefault="004D2421" w:rsidP="00EA1134">
            <w:pPr>
              <w:spacing w:line="276" w:lineRule="auto"/>
            </w:pPr>
            <w:r w:rsidRPr="00CB4885">
              <w:t>No analysis of data by gender</w:t>
            </w:r>
          </w:p>
        </w:tc>
      </w:tr>
      <w:tr w:rsidR="004D2421" w:rsidRPr="00CB4885" w14:paraId="26082D8F" w14:textId="77777777" w:rsidTr="00EA1134">
        <w:tc>
          <w:tcPr>
            <w:tcW w:w="6453" w:type="dxa"/>
          </w:tcPr>
          <w:p w14:paraId="05B1EF8E" w14:textId="77777777" w:rsidR="004D2421" w:rsidRPr="00CB4885" w:rsidRDefault="004D2421" w:rsidP="00EA1134">
            <w:pPr>
              <w:widowControl w:val="0"/>
              <w:spacing w:line="276" w:lineRule="auto"/>
              <w:rPr>
                <w:noProof/>
              </w:rPr>
            </w:pPr>
            <w:r w:rsidRPr="00CB4885">
              <w:rPr>
                <w:noProof/>
              </w:rPr>
              <w:t xml:space="preserve">MacEvoy, J. P., Papadakis, A. A., Fedigan, S. K., &amp; Ash, S. E. (2016). Friendship expectations and children’s friendship-related behavior and adjustment. </w:t>
            </w:r>
            <w:r w:rsidRPr="00CB4885">
              <w:rPr>
                <w:i/>
                <w:iCs/>
                <w:noProof/>
              </w:rPr>
              <w:t>Merrill-Palmer Quarterly</w:t>
            </w:r>
            <w:r w:rsidRPr="00CB4885">
              <w:rPr>
                <w:noProof/>
              </w:rPr>
              <w:t xml:space="preserve">, </w:t>
            </w:r>
            <w:r w:rsidRPr="00CB4885">
              <w:rPr>
                <w:i/>
                <w:iCs/>
                <w:noProof/>
              </w:rPr>
              <w:t>62</w:t>
            </w:r>
            <w:r w:rsidRPr="00CB4885">
              <w:rPr>
                <w:noProof/>
              </w:rPr>
              <w:t>(1), 74–104. https://doi.org/10.13110/merrpalmquar1982.62.1.0074</w:t>
            </w:r>
          </w:p>
        </w:tc>
        <w:tc>
          <w:tcPr>
            <w:tcW w:w="2284" w:type="dxa"/>
          </w:tcPr>
          <w:p w14:paraId="163FBB7B" w14:textId="77777777" w:rsidR="004D2421" w:rsidRPr="00CB4885" w:rsidRDefault="004D2421" w:rsidP="00EA1134">
            <w:pPr>
              <w:spacing w:line="276" w:lineRule="auto"/>
            </w:pPr>
            <w:r w:rsidRPr="00CB4885">
              <w:t xml:space="preserve">Outcome measure specific to fear of negative evaluation </w:t>
            </w:r>
          </w:p>
        </w:tc>
      </w:tr>
      <w:tr w:rsidR="004D2421" w:rsidRPr="00CB4885" w14:paraId="54835640" w14:textId="77777777" w:rsidTr="00EA1134">
        <w:tc>
          <w:tcPr>
            <w:tcW w:w="6453" w:type="dxa"/>
          </w:tcPr>
          <w:p w14:paraId="22C8928E" w14:textId="77777777" w:rsidR="004D2421" w:rsidRPr="00CB4885" w:rsidRDefault="004D2421" w:rsidP="00EA1134">
            <w:pPr>
              <w:widowControl w:val="0"/>
              <w:spacing w:line="276" w:lineRule="auto"/>
              <w:rPr>
                <w:noProof/>
              </w:rPr>
            </w:pPr>
            <w:r w:rsidRPr="00DB4F15">
              <w:rPr>
                <w:noProof/>
                <w:lang w:val="de-DE"/>
              </w:rPr>
              <w:t xml:space="preserve">Miers, A. C., Blote, A. W., de Rooij, M., Bokhorst, C. L., &amp; Westenberg, P. M. (2013). </w:t>
            </w:r>
            <w:r w:rsidRPr="00CB4885">
              <w:rPr>
                <w:noProof/>
              </w:rPr>
              <w:t xml:space="preserve">Trajectories of social anxiety during adolescence and relations with cognition, social competence, and temperament. </w:t>
            </w:r>
            <w:r w:rsidRPr="00CB4885">
              <w:rPr>
                <w:i/>
                <w:iCs/>
                <w:noProof/>
              </w:rPr>
              <w:t>Journal of Abnormal Child Psychology</w:t>
            </w:r>
            <w:r w:rsidRPr="00CB4885">
              <w:rPr>
                <w:noProof/>
              </w:rPr>
              <w:t xml:space="preserve">, </w:t>
            </w:r>
            <w:r w:rsidRPr="00CB4885">
              <w:rPr>
                <w:i/>
                <w:iCs/>
                <w:noProof/>
              </w:rPr>
              <w:t>41</w:t>
            </w:r>
            <w:r w:rsidRPr="00CB4885">
              <w:rPr>
                <w:noProof/>
              </w:rPr>
              <w:t>(1), 97–110. https://doi.org/10.1007/s10802-012-9651-6</w:t>
            </w:r>
          </w:p>
        </w:tc>
        <w:tc>
          <w:tcPr>
            <w:tcW w:w="2284" w:type="dxa"/>
          </w:tcPr>
          <w:p w14:paraId="03AB0FA1" w14:textId="77777777" w:rsidR="004D2421" w:rsidRPr="00CB4885" w:rsidRDefault="004D2421" w:rsidP="00EA1134">
            <w:pPr>
              <w:spacing w:line="276" w:lineRule="auto"/>
            </w:pPr>
            <w:r w:rsidRPr="00CB4885">
              <w:t>No separate data for girls for relationship between social problems and social anxiety</w:t>
            </w:r>
          </w:p>
        </w:tc>
      </w:tr>
    </w:tbl>
    <w:p w14:paraId="4D90A905" w14:textId="77777777" w:rsidR="004D2421" w:rsidRPr="00CB4885" w:rsidRDefault="004D2421" w:rsidP="004D2421">
      <w:r w:rsidRPr="00CB4885">
        <w:br w:type="page"/>
      </w:r>
    </w:p>
    <w:tbl>
      <w:tblPr>
        <w:tblW w:w="8719" w:type="dxa"/>
        <w:tblInd w:w="202"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453"/>
        <w:gridCol w:w="2266"/>
      </w:tblGrid>
      <w:tr w:rsidR="004D2421" w:rsidRPr="00CB4885" w14:paraId="3B9A3EA0" w14:textId="77777777" w:rsidTr="00EA1134">
        <w:trPr>
          <w:trHeight w:val="1214"/>
        </w:trPr>
        <w:tc>
          <w:tcPr>
            <w:tcW w:w="6453" w:type="dxa"/>
          </w:tcPr>
          <w:p w14:paraId="41B10181" w14:textId="77777777" w:rsidR="004D2421" w:rsidRPr="00CB4885" w:rsidRDefault="004D2421" w:rsidP="00EA1134">
            <w:pPr>
              <w:widowControl w:val="0"/>
              <w:spacing w:line="276" w:lineRule="auto"/>
              <w:rPr>
                <w:noProof/>
              </w:rPr>
            </w:pPr>
            <w:r w:rsidRPr="00CB4885">
              <w:rPr>
                <w:noProof/>
              </w:rPr>
              <w:lastRenderedPageBreak/>
              <w:t xml:space="preserve">Motoca, L. M., Williams, S., &amp; Silverman, W. K. (2012). Social skills as a mediator between anxiety symptoms and peer interactions among children and adolescents. </w:t>
            </w:r>
            <w:r w:rsidRPr="00CB4885">
              <w:rPr>
                <w:i/>
                <w:iCs/>
                <w:noProof/>
              </w:rPr>
              <w:t>Journal of Clinical Child and Adolescent Psychology</w:t>
            </w:r>
            <w:r w:rsidRPr="00CB4885">
              <w:rPr>
                <w:noProof/>
              </w:rPr>
              <w:t xml:space="preserve">, </w:t>
            </w:r>
            <w:r w:rsidRPr="00CB4885">
              <w:rPr>
                <w:i/>
                <w:iCs/>
                <w:noProof/>
              </w:rPr>
              <w:t>41</w:t>
            </w:r>
            <w:r w:rsidRPr="00CB4885">
              <w:rPr>
                <w:noProof/>
              </w:rPr>
              <w:t>(3), 329–336. https://doi.org/10.1080/15374416.2012.668843</w:t>
            </w:r>
          </w:p>
        </w:tc>
        <w:tc>
          <w:tcPr>
            <w:tcW w:w="2266" w:type="dxa"/>
          </w:tcPr>
          <w:p w14:paraId="3E937FCA" w14:textId="77777777" w:rsidR="004D2421" w:rsidRPr="00CB4885" w:rsidRDefault="004D2421" w:rsidP="00EA1134">
            <w:pPr>
              <w:spacing w:line="276" w:lineRule="auto"/>
            </w:pPr>
            <w:r w:rsidRPr="00CB4885">
              <w:t>Not social anxiety</w:t>
            </w:r>
          </w:p>
        </w:tc>
      </w:tr>
      <w:tr w:rsidR="004D2421" w:rsidRPr="00CB4885" w14:paraId="269904FC" w14:textId="77777777" w:rsidTr="00EA1134">
        <w:tc>
          <w:tcPr>
            <w:tcW w:w="6453" w:type="dxa"/>
          </w:tcPr>
          <w:p w14:paraId="27615C97" w14:textId="77777777" w:rsidR="004D2421" w:rsidRPr="00CB4885" w:rsidRDefault="004D2421" w:rsidP="00EA1134">
            <w:pPr>
              <w:widowControl w:val="0"/>
              <w:spacing w:line="276" w:lineRule="auto"/>
              <w:rPr>
                <w:noProof/>
              </w:rPr>
            </w:pPr>
            <w:r w:rsidRPr="00CB4885">
              <w:rPr>
                <w:noProof/>
              </w:rPr>
              <w:t xml:space="preserve">Muris, P., &amp; Littel, M. (2005). Domains of childhood teasing and psychopathological symptoms in dutch adolescents. </w:t>
            </w:r>
            <w:r w:rsidRPr="00CB4885">
              <w:rPr>
                <w:i/>
                <w:iCs/>
                <w:noProof/>
              </w:rPr>
              <w:t>Psychological Reports</w:t>
            </w:r>
            <w:r w:rsidRPr="00CB4885">
              <w:rPr>
                <w:noProof/>
              </w:rPr>
              <w:t xml:space="preserve">, </w:t>
            </w:r>
            <w:r w:rsidRPr="00CB4885">
              <w:rPr>
                <w:i/>
                <w:iCs/>
                <w:noProof/>
              </w:rPr>
              <w:t>96</w:t>
            </w:r>
            <w:r w:rsidRPr="00CB4885">
              <w:rPr>
                <w:noProof/>
              </w:rPr>
              <w:t>(3), 707–708. https://doi.org/10.2466/PR0.96.3.707-708</w:t>
            </w:r>
          </w:p>
        </w:tc>
        <w:tc>
          <w:tcPr>
            <w:tcW w:w="2266" w:type="dxa"/>
          </w:tcPr>
          <w:p w14:paraId="5D29C5E0" w14:textId="77777777" w:rsidR="004D2421" w:rsidRPr="00CB4885" w:rsidRDefault="004D2421" w:rsidP="00EA1134">
            <w:pPr>
              <w:spacing w:line="276" w:lineRule="auto"/>
            </w:pPr>
            <w:r w:rsidRPr="00CB4885">
              <w:t>No separate data for social anxiety</w:t>
            </w:r>
          </w:p>
        </w:tc>
      </w:tr>
      <w:tr w:rsidR="004D2421" w:rsidRPr="00CB4885" w14:paraId="136AC867" w14:textId="77777777" w:rsidTr="00EA1134">
        <w:tc>
          <w:tcPr>
            <w:tcW w:w="6453" w:type="dxa"/>
          </w:tcPr>
          <w:p w14:paraId="5760EC85" w14:textId="77777777" w:rsidR="004D2421" w:rsidRPr="00CB4885" w:rsidRDefault="004D2421" w:rsidP="00EA1134">
            <w:pPr>
              <w:widowControl w:val="0"/>
              <w:spacing w:line="276" w:lineRule="auto"/>
              <w:rPr>
                <w:noProof/>
              </w:rPr>
            </w:pPr>
            <w:r w:rsidRPr="00CB4885">
              <w:rPr>
                <w:noProof/>
              </w:rPr>
              <w:t xml:space="preserve">Pabian, S., &amp; Vandebosch, H. (2016). An investigation of short-term longitudinal associations between social anxiety and victimization and perpetration of traditional bullying and cyberbullying. </w:t>
            </w:r>
            <w:r w:rsidRPr="00CB4885">
              <w:rPr>
                <w:i/>
                <w:iCs/>
                <w:noProof/>
              </w:rPr>
              <w:t>Journal of Youth and Adolescence</w:t>
            </w:r>
            <w:r w:rsidRPr="00CB4885">
              <w:rPr>
                <w:noProof/>
              </w:rPr>
              <w:t xml:space="preserve">, </w:t>
            </w:r>
            <w:r w:rsidRPr="00CB4885">
              <w:rPr>
                <w:i/>
                <w:iCs/>
                <w:noProof/>
              </w:rPr>
              <w:t>45</w:t>
            </w:r>
            <w:r w:rsidRPr="00CB4885">
              <w:rPr>
                <w:noProof/>
              </w:rPr>
              <w:t>(2), 328–339. https://doi.org/10.1007/s10964-015-0259-3</w:t>
            </w:r>
          </w:p>
        </w:tc>
        <w:tc>
          <w:tcPr>
            <w:tcW w:w="2266" w:type="dxa"/>
          </w:tcPr>
          <w:p w14:paraId="3C5E9444" w14:textId="77777777" w:rsidR="004D2421" w:rsidRPr="00CB4885" w:rsidRDefault="004D2421" w:rsidP="00EA1134">
            <w:pPr>
              <w:spacing w:line="276" w:lineRule="auto"/>
            </w:pPr>
            <w:r w:rsidRPr="00CB4885">
              <w:t>No separate data for social anxiety</w:t>
            </w:r>
          </w:p>
        </w:tc>
      </w:tr>
      <w:tr w:rsidR="004D2421" w:rsidRPr="00CB4885" w14:paraId="5ABF2BB0" w14:textId="77777777" w:rsidTr="00EA1134">
        <w:tc>
          <w:tcPr>
            <w:tcW w:w="6453" w:type="dxa"/>
          </w:tcPr>
          <w:p w14:paraId="0296C6C7" w14:textId="77777777" w:rsidR="004D2421" w:rsidRPr="00CB4885" w:rsidRDefault="004D2421" w:rsidP="00EA1134">
            <w:pPr>
              <w:widowControl w:val="0"/>
              <w:spacing w:line="276" w:lineRule="auto"/>
              <w:rPr>
                <w:noProof/>
              </w:rPr>
            </w:pPr>
            <w:r w:rsidRPr="00CB4885">
              <w:rPr>
                <w:noProof/>
              </w:rPr>
              <w:t xml:space="preserve">Peng, Z. W., Lam, L. T., Jin, J., &amp; Jin, G. (2011). Factors associated with social interaction anxiety among Chinese adolescents. </w:t>
            </w:r>
            <w:r w:rsidRPr="00CB4885">
              <w:rPr>
                <w:i/>
                <w:iCs/>
                <w:noProof/>
              </w:rPr>
              <w:t>East Asian Archives of Psychiatry</w:t>
            </w:r>
            <w:r w:rsidRPr="00CB4885">
              <w:rPr>
                <w:noProof/>
              </w:rPr>
              <w:t xml:space="preserve">, </w:t>
            </w:r>
            <w:r w:rsidRPr="00CB4885">
              <w:rPr>
                <w:i/>
                <w:iCs/>
                <w:noProof/>
              </w:rPr>
              <w:t>21</w:t>
            </w:r>
            <w:r w:rsidRPr="00CB4885">
              <w:rPr>
                <w:noProof/>
              </w:rPr>
              <w:t>(4), 135–141. Retrieved from http://search.ebscohost.com/login.aspx?direct=true&amp;db=psyh&amp;AN=2012-00708-001&amp;site=ehost-live</w:t>
            </w:r>
          </w:p>
        </w:tc>
        <w:tc>
          <w:tcPr>
            <w:tcW w:w="2266" w:type="dxa"/>
          </w:tcPr>
          <w:p w14:paraId="6D546BF9" w14:textId="77777777" w:rsidR="004D2421" w:rsidRPr="00CB4885" w:rsidRDefault="004D2421" w:rsidP="00EA1134">
            <w:pPr>
              <w:spacing w:line="276" w:lineRule="auto"/>
            </w:pPr>
            <w:r w:rsidRPr="00CB4885">
              <w:t>No analysis of relationship between peer relations and social anxiety</w:t>
            </w:r>
          </w:p>
        </w:tc>
      </w:tr>
      <w:tr w:rsidR="004D2421" w:rsidRPr="00CB4885" w14:paraId="2B5AFD7B" w14:textId="77777777" w:rsidTr="00EA1134">
        <w:tc>
          <w:tcPr>
            <w:tcW w:w="6453" w:type="dxa"/>
          </w:tcPr>
          <w:p w14:paraId="72FBF5FF" w14:textId="77777777" w:rsidR="004D2421" w:rsidRPr="00CB4885" w:rsidRDefault="004D2421" w:rsidP="00EA1134">
            <w:pPr>
              <w:widowControl w:val="0"/>
              <w:spacing w:line="276" w:lineRule="auto"/>
              <w:rPr>
                <w:noProof/>
              </w:rPr>
            </w:pPr>
            <w:r w:rsidRPr="00CB4885">
              <w:rPr>
                <w:noProof/>
              </w:rPr>
              <w:t xml:space="preserve">Prinstein, M. J. (2007). Moderators of peer contagion: A longitudinal examination of depression socialization between adolescents and their best friends. </w:t>
            </w:r>
            <w:r w:rsidRPr="00CB4885">
              <w:rPr>
                <w:i/>
                <w:iCs/>
                <w:noProof/>
              </w:rPr>
              <w:t>Journal of Clinical Child and Adolescent Psychology</w:t>
            </w:r>
            <w:r w:rsidRPr="00CB4885">
              <w:rPr>
                <w:noProof/>
              </w:rPr>
              <w:t xml:space="preserve">, </w:t>
            </w:r>
            <w:r w:rsidRPr="00CB4885">
              <w:rPr>
                <w:i/>
                <w:iCs/>
                <w:noProof/>
              </w:rPr>
              <w:t>36</w:t>
            </w:r>
            <w:r w:rsidRPr="00CB4885">
              <w:rPr>
                <w:noProof/>
              </w:rPr>
              <w:t>(2), 159–170. https://doi.org/10.1080/15374410701274934</w:t>
            </w:r>
          </w:p>
        </w:tc>
        <w:tc>
          <w:tcPr>
            <w:tcW w:w="2266" w:type="dxa"/>
          </w:tcPr>
          <w:p w14:paraId="47192987" w14:textId="77777777" w:rsidR="004D2421" w:rsidRPr="00CB4885" w:rsidRDefault="004D2421" w:rsidP="00EA1134">
            <w:pPr>
              <w:spacing w:line="276" w:lineRule="auto"/>
            </w:pPr>
            <w:r w:rsidRPr="00CB4885">
              <w:t>Social anxiety as moderator</w:t>
            </w:r>
          </w:p>
        </w:tc>
      </w:tr>
      <w:tr w:rsidR="004D2421" w:rsidRPr="00CB4885" w14:paraId="6DC1B6BF" w14:textId="77777777" w:rsidTr="00EA1134">
        <w:tc>
          <w:tcPr>
            <w:tcW w:w="6453" w:type="dxa"/>
          </w:tcPr>
          <w:p w14:paraId="5CBB1E90" w14:textId="77777777" w:rsidR="004D2421" w:rsidRPr="00CB4885" w:rsidRDefault="004D2421" w:rsidP="00EA1134">
            <w:pPr>
              <w:widowControl w:val="0"/>
              <w:spacing w:line="276" w:lineRule="auto"/>
              <w:rPr>
                <w:noProof/>
              </w:rPr>
            </w:pPr>
            <w:r w:rsidRPr="00CB4885">
              <w:rPr>
                <w:noProof/>
              </w:rPr>
              <w:t xml:space="preserve">Prinstein, M. J. (2007). Moderators of peer contagion: A longitudinal examination of depression socialization between adolescents and their best friends. </w:t>
            </w:r>
            <w:r w:rsidRPr="00CB4885">
              <w:rPr>
                <w:i/>
                <w:iCs/>
                <w:noProof/>
              </w:rPr>
              <w:t>Journal of Clinical Child and Adolescent Psychology</w:t>
            </w:r>
            <w:r w:rsidRPr="00CB4885">
              <w:rPr>
                <w:noProof/>
              </w:rPr>
              <w:t xml:space="preserve">, </w:t>
            </w:r>
            <w:r w:rsidRPr="00CB4885">
              <w:rPr>
                <w:i/>
                <w:iCs/>
                <w:noProof/>
              </w:rPr>
              <w:t>36</w:t>
            </w:r>
            <w:r w:rsidRPr="00CB4885">
              <w:rPr>
                <w:noProof/>
              </w:rPr>
              <w:t>(2), 159–170. https://doi.org/10.1080/15374410701274934</w:t>
            </w:r>
          </w:p>
        </w:tc>
        <w:tc>
          <w:tcPr>
            <w:tcW w:w="2266" w:type="dxa"/>
          </w:tcPr>
          <w:p w14:paraId="11907413" w14:textId="77777777" w:rsidR="004D2421" w:rsidRPr="00CB4885" w:rsidRDefault="004D2421" w:rsidP="00EA1134">
            <w:pPr>
              <w:spacing w:line="276" w:lineRule="auto"/>
            </w:pPr>
            <w:r w:rsidRPr="00CB4885">
              <w:t xml:space="preserve">Duplicate </w:t>
            </w:r>
          </w:p>
        </w:tc>
      </w:tr>
      <w:tr w:rsidR="004D2421" w:rsidRPr="00CB4885" w14:paraId="510DF69A" w14:textId="77777777" w:rsidTr="00EA1134">
        <w:tc>
          <w:tcPr>
            <w:tcW w:w="6453" w:type="dxa"/>
          </w:tcPr>
          <w:p w14:paraId="3B8C9FEB" w14:textId="77777777" w:rsidR="004D2421" w:rsidRPr="00CB4885" w:rsidRDefault="004D2421" w:rsidP="00EA1134">
            <w:pPr>
              <w:widowControl w:val="0"/>
              <w:spacing w:line="276" w:lineRule="auto"/>
              <w:rPr>
                <w:noProof/>
              </w:rPr>
            </w:pPr>
            <w:r w:rsidRPr="00DB4F15">
              <w:rPr>
                <w:noProof/>
                <w:lang w:val="de-DE"/>
              </w:rPr>
              <w:t xml:space="preserve">Ranta, K., Kaltiala-Heino, R., Pelkonen, M., &amp; Marttunen, M. (2009). </w:t>
            </w:r>
            <w:r w:rsidRPr="00CB4885">
              <w:rPr>
                <w:noProof/>
              </w:rPr>
              <w:t xml:space="preserve">Associations between peer victimization, self-reported depression and social phobia among adolescents: The role of comorbidity. </w:t>
            </w:r>
            <w:r w:rsidRPr="00CB4885">
              <w:rPr>
                <w:i/>
                <w:iCs/>
                <w:noProof/>
              </w:rPr>
              <w:t>Journal of Adolescence</w:t>
            </w:r>
            <w:r w:rsidRPr="00CB4885">
              <w:rPr>
                <w:noProof/>
              </w:rPr>
              <w:t xml:space="preserve">, </w:t>
            </w:r>
            <w:r w:rsidRPr="00CB4885">
              <w:rPr>
                <w:i/>
                <w:iCs/>
                <w:noProof/>
              </w:rPr>
              <w:t>32</w:t>
            </w:r>
            <w:r w:rsidRPr="00CB4885">
              <w:rPr>
                <w:noProof/>
              </w:rPr>
              <w:t>(1), 77–93. https://doi.org/10.1016/j.adolescence.2007.11.005</w:t>
            </w:r>
          </w:p>
        </w:tc>
        <w:tc>
          <w:tcPr>
            <w:tcW w:w="2266" w:type="dxa"/>
          </w:tcPr>
          <w:p w14:paraId="1CDFCED1" w14:textId="77777777" w:rsidR="004D2421" w:rsidRPr="00CB4885" w:rsidRDefault="004D2421" w:rsidP="00EA1134">
            <w:pPr>
              <w:spacing w:line="276" w:lineRule="auto"/>
            </w:pPr>
            <w:r w:rsidRPr="00CB4885">
              <w:t>Not about development of social anxiety</w:t>
            </w:r>
          </w:p>
        </w:tc>
      </w:tr>
      <w:tr w:rsidR="004D2421" w:rsidRPr="00DB4F15" w14:paraId="15F5B638" w14:textId="77777777" w:rsidTr="00EA1134">
        <w:tc>
          <w:tcPr>
            <w:tcW w:w="6453" w:type="dxa"/>
          </w:tcPr>
          <w:p w14:paraId="1FBA4126" w14:textId="77777777" w:rsidR="004D2421" w:rsidRPr="00CB4885" w:rsidRDefault="004D2421" w:rsidP="00EA1134">
            <w:pPr>
              <w:widowControl w:val="0"/>
              <w:spacing w:line="276" w:lineRule="auto"/>
              <w:rPr>
                <w:noProof/>
              </w:rPr>
            </w:pPr>
            <w:r w:rsidRPr="00DB4F15">
              <w:rPr>
                <w:noProof/>
                <w:lang w:val="de-DE"/>
              </w:rPr>
              <w:t xml:space="preserve">Scharfstein, L. a., &amp; Beidel, D. C. (2015). </w:t>
            </w:r>
            <w:r w:rsidRPr="00CB4885">
              <w:rPr>
                <w:noProof/>
              </w:rPr>
              <w:t xml:space="preserve">Social skills and social acceptance in children with anxiety disorders. </w:t>
            </w:r>
            <w:r w:rsidRPr="00CB4885">
              <w:rPr>
                <w:i/>
                <w:iCs/>
                <w:noProof/>
              </w:rPr>
              <w:t>Journal of Clinical Child and Adolescent Psychology</w:t>
            </w:r>
            <w:r w:rsidRPr="00CB4885">
              <w:rPr>
                <w:noProof/>
              </w:rPr>
              <w:t xml:space="preserve">, </w:t>
            </w:r>
            <w:r w:rsidRPr="00CB4885">
              <w:rPr>
                <w:i/>
                <w:iCs/>
                <w:noProof/>
              </w:rPr>
              <w:t>44</w:t>
            </w:r>
            <w:r w:rsidRPr="00CB4885">
              <w:rPr>
                <w:noProof/>
              </w:rPr>
              <w:t>(5), 826–838. https://doi.org/10.1080/15374416.2014.895938</w:t>
            </w:r>
          </w:p>
        </w:tc>
        <w:tc>
          <w:tcPr>
            <w:tcW w:w="2266" w:type="dxa"/>
          </w:tcPr>
          <w:p w14:paraId="4762020E" w14:textId="77777777" w:rsidR="004D2421" w:rsidRPr="00DB4F15" w:rsidRDefault="004D2421" w:rsidP="00EA1134">
            <w:pPr>
              <w:spacing w:line="276" w:lineRule="auto"/>
              <w:rPr>
                <w:lang w:val="pt-PT"/>
              </w:rPr>
            </w:pPr>
            <w:r w:rsidRPr="00DB4F15">
              <w:rPr>
                <w:lang w:val="pt-PT"/>
              </w:rPr>
              <w:t xml:space="preserve">No </w:t>
            </w:r>
            <w:proofErr w:type="spellStart"/>
            <w:r w:rsidRPr="00DB4F15">
              <w:rPr>
                <w:lang w:val="pt-PT"/>
              </w:rPr>
              <w:t>separate</w:t>
            </w:r>
            <w:proofErr w:type="spellEnd"/>
            <w:r w:rsidRPr="00DB4F15">
              <w:rPr>
                <w:lang w:val="pt-PT"/>
              </w:rPr>
              <w:t xml:space="preserve"> data for </w:t>
            </w:r>
            <w:proofErr w:type="spellStart"/>
            <w:r w:rsidRPr="00DB4F15">
              <w:rPr>
                <w:lang w:val="pt-PT"/>
              </w:rPr>
              <w:t>girls</w:t>
            </w:r>
            <w:proofErr w:type="spellEnd"/>
          </w:p>
        </w:tc>
      </w:tr>
      <w:tr w:rsidR="004D2421" w:rsidRPr="00CB4885" w14:paraId="6F609D5F" w14:textId="77777777" w:rsidTr="00EA1134">
        <w:tc>
          <w:tcPr>
            <w:tcW w:w="6453" w:type="dxa"/>
          </w:tcPr>
          <w:p w14:paraId="0E5C41BD" w14:textId="77777777" w:rsidR="004D2421" w:rsidRPr="00CB4885" w:rsidRDefault="004D2421" w:rsidP="00EA1134">
            <w:pPr>
              <w:widowControl w:val="0"/>
              <w:spacing w:line="276" w:lineRule="auto"/>
              <w:rPr>
                <w:noProof/>
              </w:rPr>
            </w:pPr>
            <w:r w:rsidRPr="00DB4F15">
              <w:rPr>
                <w:noProof/>
                <w:lang w:val="de-DE"/>
              </w:rPr>
              <w:t xml:space="preserve">Scharfstein, L., Alfano, C., Beidel, D., &amp; Wong, N. (2011). </w:t>
            </w:r>
            <w:r w:rsidRPr="00CB4885">
              <w:rPr>
                <w:noProof/>
              </w:rPr>
              <w:t xml:space="preserve">Children with generalized anxiety disorder do not have peer problems, just fewer friends. </w:t>
            </w:r>
            <w:r w:rsidRPr="00CB4885">
              <w:rPr>
                <w:i/>
                <w:iCs/>
                <w:noProof/>
              </w:rPr>
              <w:t>Child Psychiatry and Human Development</w:t>
            </w:r>
            <w:r w:rsidRPr="00CB4885">
              <w:rPr>
                <w:noProof/>
              </w:rPr>
              <w:t xml:space="preserve">, </w:t>
            </w:r>
            <w:r w:rsidRPr="00CB4885">
              <w:rPr>
                <w:i/>
                <w:iCs/>
                <w:noProof/>
              </w:rPr>
              <w:t>42</w:t>
            </w:r>
            <w:r w:rsidRPr="00CB4885">
              <w:rPr>
                <w:noProof/>
              </w:rPr>
              <w:t>(6), 712–723. https://doi.org/10.1007/s10578-011-0245-2</w:t>
            </w:r>
          </w:p>
        </w:tc>
        <w:tc>
          <w:tcPr>
            <w:tcW w:w="2266" w:type="dxa"/>
          </w:tcPr>
          <w:p w14:paraId="04529667" w14:textId="77777777" w:rsidR="004D2421" w:rsidRPr="00CB4885" w:rsidRDefault="004D2421" w:rsidP="00EA1134">
            <w:pPr>
              <w:spacing w:line="276" w:lineRule="auto"/>
            </w:pPr>
            <w:r w:rsidRPr="00CB4885">
              <w:t>No analysis of data by gender</w:t>
            </w:r>
          </w:p>
        </w:tc>
      </w:tr>
      <w:tr w:rsidR="004D2421" w:rsidRPr="00CB4885" w14:paraId="3E826E6A" w14:textId="77777777" w:rsidTr="00EA1134">
        <w:tc>
          <w:tcPr>
            <w:tcW w:w="6453" w:type="dxa"/>
          </w:tcPr>
          <w:p w14:paraId="688228F0" w14:textId="77777777" w:rsidR="004D2421" w:rsidRPr="00CB4885" w:rsidRDefault="004D2421" w:rsidP="00EA1134">
            <w:pPr>
              <w:widowControl w:val="0"/>
              <w:spacing w:line="276" w:lineRule="auto"/>
              <w:rPr>
                <w:noProof/>
              </w:rPr>
            </w:pPr>
            <w:r w:rsidRPr="00CB4885">
              <w:rPr>
                <w:noProof/>
              </w:rPr>
              <w:t xml:space="preserve">Stapinski, L. A., Araya, R., Heron, J., Montgomery, A. A., &amp; Stallard, P. (2015). Peer victimization during adolescence: Concurrent and prospective impact on symptoms of depression </w:t>
            </w:r>
            <w:r w:rsidRPr="00CB4885">
              <w:rPr>
                <w:noProof/>
              </w:rPr>
              <w:lastRenderedPageBreak/>
              <w:t xml:space="preserve">and anxiety. </w:t>
            </w:r>
            <w:r w:rsidRPr="00CB4885">
              <w:rPr>
                <w:i/>
                <w:iCs/>
                <w:noProof/>
              </w:rPr>
              <w:t>Anxiety Stress and Coping</w:t>
            </w:r>
            <w:r w:rsidRPr="00CB4885">
              <w:rPr>
                <w:noProof/>
              </w:rPr>
              <w:t xml:space="preserve">, </w:t>
            </w:r>
            <w:r w:rsidRPr="00CB4885">
              <w:rPr>
                <w:i/>
                <w:iCs/>
                <w:noProof/>
              </w:rPr>
              <w:t>28</w:t>
            </w:r>
            <w:r w:rsidRPr="00CB4885">
              <w:rPr>
                <w:noProof/>
              </w:rPr>
              <w:t>(1), 105–120. https://doi.org/10.1080/10615806.2014.962023</w:t>
            </w:r>
          </w:p>
        </w:tc>
        <w:tc>
          <w:tcPr>
            <w:tcW w:w="2266" w:type="dxa"/>
          </w:tcPr>
          <w:p w14:paraId="646980E3" w14:textId="77777777" w:rsidR="004D2421" w:rsidRPr="00CB4885" w:rsidRDefault="004D2421" w:rsidP="00EA1134">
            <w:pPr>
              <w:spacing w:line="276" w:lineRule="auto"/>
            </w:pPr>
            <w:r w:rsidRPr="00CB4885">
              <w:lastRenderedPageBreak/>
              <w:t>Not social anxiety</w:t>
            </w:r>
          </w:p>
        </w:tc>
      </w:tr>
      <w:tr w:rsidR="004D2421" w:rsidRPr="00CB4885" w14:paraId="0FC75EB9" w14:textId="77777777" w:rsidTr="00EA1134">
        <w:tc>
          <w:tcPr>
            <w:tcW w:w="6453" w:type="dxa"/>
          </w:tcPr>
          <w:p w14:paraId="2CD2AC34" w14:textId="77777777" w:rsidR="004D2421" w:rsidRPr="00CB4885" w:rsidRDefault="004D2421" w:rsidP="00EA1134">
            <w:pPr>
              <w:widowControl w:val="0"/>
              <w:spacing w:line="276" w:lineRule="auto"/>
              <w:rPr>
                <w:noProof/>
              </w:rPr>
            </w:pPr>
            <w:r w:rsidRPr="00CB4885">
              <w:rPr>
                <w:noProof/>
              </w:rPr>
              <w:t xml:space="preserve">Stapinski, L. A., Bowes, L., Wolke, D., Pearson, R. M., Mahedy, L., Button, K. S., … Araya, R. (2014). Peer victimization during adolescence and risk for anxiety disorders in adulthood: A prospective cohort study. </w:t>
            </w:r>
            <w:r w:rsidRPr="00CB4885">
              <w:rPr>
                <w:i/>
                <w:iCs/>
                <w:noProof/>
              </w:rPr>
              <w:t>Depression and Anxiety</w:t>
            </w:r>
            <w:r w:rsidRPr="00CB4885">
              <w:rPr>
                <w:noProof/>
              </w:rPr>
              <w:t xml:space="preserve">, </w:t>
            </w:r>
            <w:r w:rsidRPr="00CB4885">
              <w:rPr>
                <w:i/>
                <w:iCs/>
                <w:noProof/>
              </w:rPr>
              <w:t>31</w:t>
            </w:r>
            <w:r w:rsidRPr="00CB4885">
              <w:rPr>
                <w:noProof/>
              </w:rPr>
              <w:t>(7), 574–582. https://doi.org/10.1002/da.22270</w:t>
            </w:r>
          </w:p>
        </w:tc>
        <w:tc>
          <w:tcPr>
            <w:tcW w:w="2266" w:type="dxa"/>
          </w:tcPr>
          <w:p w14:paraId="29251C9C" w14:textId="77777777" w:rsidR="004D2421" w:rsidRPr="00CB4885" w:rsidRDefault="004D2421" w:rsidP="00EA1134">
            <w:pPr>
              <w:spacing w:line="276" w:lineRule="auto"/>
            </w:pPr>
            <w:r w:rsidRPr="00CB4885">
              <w:t>No separate data for girls in relationship between peers and social anxiety</w:t>
            </w:r>
          </w:p>
        </w:tc>
      </w:tr>
      <w:tr w:rsidR="004D2421" w:rsidRPr="00CB4885" w14:paraId="3820FF26" w14:textId="77777777" w:rsidTr="00EA1134">
        <w:tc>
          <w:tcPr>
            <w:tcW w:w="6453" w:type="dxa"/>
          </w:tcPr>
          <w:p w14:paraId="6E898EB6" w14:textId="77777777" w:rsidR="004D2421" w:rsidRPr="00CB4885" w:rsidRDefault="004D2421" w:rsidP="00EA1134">
            <w:pPr>
              <w:widowControl w:val="0"/>
              <w:spacing w:line="276" w:lineRule="auto"/>
              <w:rPr>
                <w:noProof/>
              </w:rPr>
            </w:pPr>
            <w:r w:rsidRPr="00DB4F15">
              <w:rPr>
                <w:noProof/>
                <w:lang w:val="de-DE"/>
              </w:rPr>
              <w:t xml:space="preserve">Teachman, B. A., &amp; Allen, J. P. (2007). </w:t>
            </w:r>
            <w:r w:rsidRPr="00CB4885">
              <w:rPr>
                <w:noProof/>
              </w:rPr>
              <w:t xml:space="preserve">Development of social anxiety: Social interaction predictors of implicit and explicit fear of negative evaluation. </w:t>
            </w:r>
            <w:r w:rsidRPr="00CB4885">
              <w:rPr>
                <w:i/>
                <w:iCs/>
                <w:noProof/>
              </w:rPr>
              <w:t>Journal of Abnormal Child Psychology</w:t>
            </w:r>
            <w:r w:rsidRPr="00CB4885">
              <w:rPr>
                <w:noProof/>
              </w:rPr>
              <w:t xml:space="preserve">, </w:t>
            </w:r>
            <w:r w:rsidRPr="00CB4885">
              <w:rPr>
                <w:i/>
                <w:iCs/>
                <w:noProof/>
              </w:rPr>
              <w:t>35</w:t>
            </w:r>
            <w:r w:rsidRPr="00CB4885">
              <w:rPr>
                <w:noProof/>
              </w:rPr>
              <w:t>(1), 63–78. https://doi.org/10.1007/s10802-006-9084-1</w:t>
            </w:r>
          </w:p>
        </w:tc>
        <w:tc>
          <w:tcPr>
            <w:tcW w:w="2266" w:type="dxa"/>
          </w:tcPr>
          <w:p w14:paraId="2E34BC1A" w14:textId="77777777" w:rsidR="004D2421" w:rsidRPr="00CB4885" w:rsidRDefault="004D2421" w:rsidP="00EA1134">
            <w:pPr>
              <w:spacing w:line="276" w:lineRule="auto"/>
            </w:pPr>
            <w:r w:rsidRPr="00CB4885">
              <w:t>No analysis of relationship between peer relations and social anxiety</w:t>
            </w:r>
          </w:p>
        </w:tc>
      </w:tr>
      <w:tr w:rsidR="004D2421" w:rsidRPr="00DB4F15" w14:paraId="6283BB2D" w14:textId="77777777" w:rsidTr="00EA1134">
        <w:tc>
          <w:tcPr>
            <w:tcW w:w="6453" w:type="dxa"/>
          </w:tcPr>
          <w:p w14:paraId="64E91624" w14:textId="77777777" w:rsidR="004D2421" w:rsidRPr="00CB4885" w:rsidRDefault="004D2421" w:rsidP="00EA1134">
            <w:pPr>
              <w:widowControl w:val="0"/>
              <w:spacing w:line="276" w:lineRule="auto"/>
              <w:rPr>
                <w:noProof/>
              </w:rPr>
            </w:pPr>
            <w:r w:rsidRPr="00CB4885">
              <w:rPr>
                <w:noProof/>
              </w:rPr>
              <w:t xml:space="preserve">van den Eijnden, R., Vermulst, A., van Rooij, A. J., Scholte, R., &amp; van de Mheen, D. (2014). The bidirectional relationships between online victimization and psychosocial problems in adolescents: A comparison with real-life victimization. </w:t>
            </w:r>
            <w:r w:rsidRPr="00CB4885">
              <w:rPr>
                <w:i/>
                <w:iCs/>
                <w:noProof/>
              </w:rPr>
              <w:t>Journal of Youth and Adolescence</w:t>
            </w:r>
            <w:r w:rsidRPr="00CB4885">
              <w:rPr>
                <w:noProof/>
              </w:rPr>
              <w:t xml:space="preserve">, </w:t>
            </w:r>
            <w:r w:rsidRPr="00CB4885">
              <w:rPr>
                <w:i/>
                <w:iCs/>
                <w:noProof/>
              </w:rPr>
              <w:t>43</w:t>
            </w:r>
            <w:r w:rsidRPr="00CB4885">
              <w:rPr>
                <w:noProof/>
              </w:rPr>
              <w:t>(5), 790–802. https://doi.org/10.1007/s10964-013-0003-9</w:t>
            </w:r>
          </w:p>
        </w:tc>
        <w:tc>
          <w:tcPr>
            <w:tcW w:w="2266" w:type="dxa"/>
          </w:tcPr>
          <w:p w14:paraId="5D034BE7" w14:textId="77777777" w:rsidR="004D2421" w:rsidRPr="00DB4F15" w:rsidRDefault="004D2421" w:rsidP="00EA1134">
            <w:pPr>
              <w:spacing w:line="276" w:lineRule="auto"/>
              <w:rPr>
                <w:lang w:val="pt-PT"/>
              </w:rPr>
            </w:pPr>
            <w:r w:rsidRPr="00DB4F15">
              <w:rPr>
                <w:lang w:val="pt-PT"/>
              </w:rPr>
              <w:t xml:space="preserve">No </w:t>
            </w:r>
            <w:proofErr w:type="spellStart"/>
            <w:r w:rsidRPr="00DB4F15">
              <w:rPr>
                <w:lang w:val="pt-PT"/>
              </w:rPr>
              <w:t>separate</w:t>
            </w:r>
            <w:proofErr w:type="spellEnd"/>
            <w:r w:rsidRPr="00DB4F15">
              <w:rPr>
                <w:lang w:val="pt-PT"/>
              </w:rPr>
              <w:t xml:space="preserve"> data for </w:t>
            </w:r>
            <w:proofErr w:type="spellStart"/>
            <w:r w:rsidRPr="00DB4F15">
              <w:rPr>
                <w:lang w:val="pt-PT"/>
              </w:rPr>
              <w:t>girls</w:t>
            </w:r>
            <w:proofErr w:type="spellEnd"/>
          </w:p>
        </w:tc>
      </w:tr>
      <w:tr w:rsidR="004D2421" w:rsidRPr="00CB4885" w14:paraId="2603D95B" w14:textId="77777777" w:rsidTr="00EA1134">
        <w:tc>
          <w:tcPr>
            <w:tcW w:w="6453" w:type="dxa"/>
          </w:tcPr>
          <w:p w14:paraId="72B09A84" w14:textId="77777777" w:rsidR="004D2421" w:rsidRPr="00CB4885" w:rsidRDefault="004D2421" w:rsidP="00EA1134">
            <w:pPr>
              <w:widowControl w:val="0"/>
              <w:spacing w:line="276" w:lineRule="auto"/>
              <w:rPr>
                <w:noProof/>
              </w:rPr>
            </w:pPr>
            <w:r w:rsidRPr="00DB4F15">
              <w:rPr>
                <w:noProof/>
                <w:lang w:val="pt-PT"/>
              </w:rPr>
              <w:t xml:space="preserve">van Oort, F. V. A., Greaves-Lord, K., Ormel, J., Verhulst, F. C., &amp; Huizink, A. C. (2011). </w:t>
            </w:r>
            <w:r w:rsidRPr="00CB4885">
              <w:rPr>
                <w:noProof/>
              </w:rPr>
              <w:t xml:space="preserve">Risk indicators of anxiety throughout adolescence: The trails study. </w:t>
            </w:r>
            <w:r w:rsidRPr="00CB4885">
              <w:rPr>
                <w:i/>
                <w:iCs/>
                <w:noProof/>
              </w:rPr>
              <w:t>Depression and Anxiety</w:t>
            </w:r>
            <w:r w:rsidRPr="00CB4885">
              <w:rPr>
                <w:noProof/>
              </w:rPr>
              <w:t xml:space="preserve">, </w:t>
            </w:r>
            <w:r w:rsidRPr="00CB4885">
              <w:rPr>
                <w:i/>
                <w:iCs/>
                <w:noProof/>
              </w:rPr>
              <w:t>28</w:t>
            </w:r>
            <w:r w:rsidRPr="00CB4885">
              <w:rPr>
                <w:noProof/>
              </w:rPr>
              <w:t>(6), 485–494. https://doi.org/10.1002/da.20818</w:t>
            </w:r>
          </w:p>
        </w:tc>
        <w:tc>
          <w:tcPr>
            <w:tcW w:w="2266" w:type="dxa"/>
          </w:tcPr>
          <w:p w14:paraId="7C24ACBD" w14:textId="77777777" w:rsidR="004D2421" w:rsidRPr="00CB4885" w:rsidRDefault="004D2421" w:rsidP="00EA1134">
            <w:pPr>
              <w:spacing w:line="276" w:lineRule="auto"/>
            </w:pPr>
            <w:r w:rsidRPr="00CB4885">
              <w:t>No analysis of data by gender</w:t>
            </w:r>
          </w:p>
        </w:tc>
      </w:tr>
      <w:tr w:rsidR="004D2421" w:rsidRPr="00CB4885" w14:paraId="26063459" w14:textId="77777777" w:rsidTr="00EA1134">
        <w:tc>
          <w:tcPr>
            <w:tcW w:w="6453" w:type="dxa"/>
          </w:tcPr>
          <w:p w14:paraId="7CB633EC" w14:textId="77777777" w:rsidR="004D2421" w:rsidRPr="00CB4885" w:rsidRDefault="004D2421" w:rsidP="00EA1134">
            <w:pPr>
              <w:widowControl w:val="0"/>
              <w:spacing w:line="276" w:lineRule="auto"/>
              <w:rPr>
                <w:noProof/>
              </w:rPr>
            </w:pPr>
            <w:r w:rsidRPr="00DB4F15">
              <w:rPr>
                <w:noProof/>
                <w:lang w:val="de-DE"/>
              </w:rPr>
              <w:t xml:space="preserve">Walters, K. S., &amp; Inderbitzen, H. M. (1998). </w:t>
            </w:r>
            <w:r w:rsidRPr="00CB4885">
              <w:rPr>
                <w:noProof/>
              </w:rPr>
              <w:t xml:space="preserve">Social anxiety and peer relations among adolescents: Testing a psychobiological model. </w:t>
            </w:r>
            <w:r w:rsidRPr="00CB4885">
              <w:rPr>
                <w:i/>
                <w:iCs/>
                <w:noProof/>
              </w:rPr>
              <w:t>Journal of Anxiety Disorders</w:t>
            </w:r>
            <w:r w:rsidRPr="00CB4885">
              <w:rPr>
                <w:noProof/>
              </w:rPr>
              <w:t xml:space="preserve">, </w:t>
            </w:r>
            <w:r w:rsidRPr="00CB4885">
              <w:rPr>
                <w:i/>
                <w:iCs/>
                <w:noProof/>
              </w:rPr>
              <w:t>12</w:t>
            </w:r>
            <w:r w:rsidRPr="00CB4885">
              <w:rPr>
                <w:noProof/>
              </w:rPr>
              <w:t>(3), 183–198. https://doi.org/10.1016/S0887-6185(98)00008-5</w:t>
            </w:r>
          </w:p>
        </w:tc>
        <w:tc>
          <w:tcPr>
            <w:tcW w:w="2266" w:type="dxa"/>
          </w:tcPr>
          <w:p w14:paraId="74F2E9F4" w14:textId="77777777" w:rsidR="004D2421" w:rsidRPr="00CB4885" w:rsidRDefault="004D2421" w:rsidP="00EA1134">
            <w:pPr>
              <w:spacing w:line="276" w:lineRule="auto"/>
            </w:pPr>
            <w:r w:rsidRPr="00CB4885">
              <w:t>No separate data for girls in peer relationships</w:t>
            </w:r>
          </w:p>
        </w:tc>
      </w:tr>
      <w:tr w:rsidR="004D2421" w:rsidRPr="00CB4885" w14:paraId="1BB52EA8" w14:textId="77777777" w:rsidTr="00EA1134">
        <w:tc>
          <w:tcPr>
            <w:tcW w:w="6453" w:type="dxa"/>
          </w:tcPr>
          <w:p w14:paraId="5712F3CD" w14:textId="77777777" w:rsidR="004D2421" w:rsidRPr="00CB4885" w:rsidRDefault="004D2421" w:rsidP="00EA1134">
            <w:pPr>
              <w:widowControl w:val="0"/>
              <w:spacing w:line="276" w:lineRule="auto"/>
              <w:rPr>
                <w:rFonts w:eastAsiaTheme="minorHAnsi"/>
                <w:noProof/>
              </w:rPr>
            </w:pPr>
            <w:r w:rsidRPr="00DB4F15">
              <w:rPr>
                <w:noProof/>
                <w:lang w:val="de-DE"/>
              </w:rPr>
              <w:t xml:space="preserve">Zimmer-Gembeck, M. J., &amp; Pronk, R. E. (2012). </w:t>
            </w:r>
            <w:r w:rsidRPr="00CB4885">
              <w:rPr>
                <w:noProof/>
              </w:rPr>
              <w:t xml:space="preserve">Relation of depression and anxiety to self- and peer-reported relational aggression. </w:t>
            </w:r>
            <w:r w:rsidRPr="00CB4885">
              <w:rPr>
                <w:i/>
                <w:iCs/>
                <w:noProof/>
              </w:rPr>
              <w:t>Aggressive Behavior</w:t>
            </w:r>
            <w:r w:rsidRPr="00CB4885">
              <w:rPr>
                <w:noProof/>
              </w:rPr>
              <w:t xml:space="preserve">, </w:t>
            </w:r>
            <w:r w:rsidRPr="00CB4885">
              <w:rPr>
                <w:i/>
                <w:iCs/>
                <w:noProof/>
              </w:rPr>
              <w:t>38</w:t>
            </w:r>
            <w:r w:rsidRPr="00CB4885">
              <w:rPr>
                <w:noProof/>
              </w:rPr>
              <w:t>(1), 16–30. https://doi.org/10.1002/ab.20416</w:t>
            </w:r>
          </w:p>
        </w:tc>
        <w:tc>
          <w:tcPr>
            <w:tcW w:w="2266" w:type="dxa"/>
          </w:tcPr>
          <w:p w14:paraId="0D1FE587" w14:textId="77777777" w:rsidR="004D2421" w:rsidRPr="00CB4885" w:rsidRDefault="004D2421" w:rsidP="00EA1134">
            <w:pPr>
              <w:spacing w:line="276" w:lineRule="auto"/>
            </w:pPr>
            <w:r w:rsidRPr="00CB4885">
              <w:t xml:space="preserve">No analysis of data by gender </w:t>
            </w:r>
          </w:p>
        </w:tc>
      </w:tr>
    </w:tbl>
    <w:p w14:paraId="10CBA8DE" w14:textId="77777777" w:rsidR="004D2421" w:rsidRPr="00CB4885" w:rsidRDefault="004D2421" w:rsidP="004D2421">
      <w:pPr>
        <w:sectPr w:rsidR="004D2421" w:rsidRPr="00CB4885" w:rsidSect="00EA1134">
          <w:headerReference w:type="default" r:id="rId9"/>
          <w:pgSz w:w="11907" w:h="16840" w:code="9"/>
          <w:pgMar w:top="850" w:right="850" w:bottom="864" w:left="2275" w:header="432" w:footer="432" w:gutter="0"/>
          <w:cols w:space="708"/>
          <w:formProt w:val="0"/>
          <w:docGrid w:linePitch="360"/>
        </w:sectPr>
      </w:pPr>
    </w:p>
    <w:p w14:paraId="701A0B36" w14:textId="77777777" w:rsidR="004D2421" w:rsidRPr="00203B8E" w:rsidRDefault="004D2421" w:rsidP="004D2421">
      <w:pPr>
        <w:autoSpaceDE/>
        <w:autoSpaceDN/>
        <w:adjustRightInd/>
        <w:spacing w:line="240" w:lineRule="auto"/>
        <w:rPr>
          <w:rFonts w:asciiTheme="majorBidi" w:hAnsiTheme="majorBidi" w:cstheme="majorBidi"/>
        </w:rPr>
      </w:pPr>
    </w:p>
    <w:p w14:paraId="322D0A28" w14:textId="77777777" w:rsidR="00172AC6" w:rsidRDefault="00172AC6"/>
    <w:p w14:paraId="04EB7DF9" w14:textId="77777777" w:rsidR="00EA1134" w:rsidRDefault="00EA1134"/>
    <w:sectPr w:rsidR="00EA1134" w:rsidSect="00EA1134">
      <w:pgSz w:w="16840" w:h="11900"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6A9DF" w14:textId="77777777" w:rsidR="00446DF4" w:rsidRDefault="00446DF4">
      <w:pPr>
        <w:spacing w:line="240" w:lineRule="auto"/>
      </w:pPr>
      <w:r>
        <w:separator/>
      </w:r>
    </w:p>
  </w:endnote>
  <w:endnote w:type="continuationSeparator" w:id="0">
    <w:p w14:paraId="034CEF35" w14:textId="77777777" w:rsidR="00446DF4" w:rsidRDefault="00446D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Courier">
    <w:panose1 w:val="00000000000000000000"/>
    <w:charset w:val="00"/>
    <w:family w:val="auto"/>
    <w:pitch w:val="variable"/>
    <w:sig w:usb0="00000003" w:usb1="00000000" w:usb2="00000000" w:usb3="00000000" w:csb0="00000003" w:csb1="00000000"/>
  </w:font>
  <w:font w:name="Lucida Sans">
    <w:panose1 w:val="020B0602030504020204"/>
    <w:charset w:val="4D"/>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F326D" w14:textId="77777777" w:rsidR="00446DF4" w:rsidRDefault="00446DF4">
      <w:pPr>
        <w:spacing w:line="240" w:lineRule="auto"/>
      </w:pPr>
      <w:r>
        <w:separator/>
      </w:r>
    </w:p>
  </w:footnote>
  <w:footnote w:type="continuationSeparator" w:id="0">
    <w:p w14:paraId="11FAFCED" w14:textId="77777777" w:rsidR="00446DF4" w:rsidRDefault="00446D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C59FA" w14:textId="77777777" w:rsidR="00EA1134" w:rsidRDefault="00EA1134" w:rsidP="00EA113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249F37" w14:textId="77777777" w:rsidR="00EA1134" w:rsidRDefault="00EA1134" w:rsidP="00EA113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7D0F9" w14:textId="77777777" w:rsidR="00EA1134" w:rsidRDefault="00EA1134" w:rsidP="00EA113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7F88E77" w14:textId="77777777" w:rsidR="00EA1134" w:rsidRDefault="00EA1134" w:rsidP="00EA1134">
    <w:pPr>
      <w:pStyle w:val="Header"/>
      <w:ind w:right="360"/>
    </w:pPr>
    <w:r>
      <w:t>Running head: SOCIAL ANXIETY IN ADOLESCENT GIRLS</w:t>
    </w:r>
    <w:r>
      <w:tab/>
      <w:t xml:space="preserve">                             </w:t>
    </w:r>
  </w:p>
  <w:p w14:paraId="557E32F0" w14:textId="77777777" w:rsidR="00EA1134" w:rsidRPr="00DD04A7" w:rsidRDefault="00EA1134" w:rsidP="00EA11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4F877" w14:textId="77777777" w:rsidR="00EA1134" w:rsidRPr="002F4B86" w:rsidRDefault="00EA1134" w:rsidP="00EA1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280593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054E4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792A37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88EE8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A2ED6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5AC8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2E116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DE74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FA15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6A082A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5512BA"/>
    <w:multiLevelType w:val="hybridMultilevel"/>
    <w:tmpl w:val="20C45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EE49E1"/>
    <w:multiLevelType w:val="hybridMultilevel"/>
    <w:tmpl w:val="348064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051351F"/>
    <w:multiLevelType w:val="hybridMultilevel"/>
    <w:tmpl w:val="518E23CC"/>
    <w:lvl w:ilvl="0" w:tplc="0809000F">
      <w:start w:val="1"/>
      <w:numFmt w:val="decimal"/>
      <w:lvlText w:val="%1."/>
      <w:lvlJc w:val="left"/>
      <w:pPr>
        <w:ind w:left="360" w:hanging="360"/>
      </w:pPr>
    </w:lvl>
    <w:lvl w:ilvl="1" w:tplc="08090019">
      <w:start w:val="1"/>
      <w:numFmt w:val="lowerLetter"/>
      <w:lvlText w:val="%2."/>
      <w:lvlJc w:val="left"/>
      <w:pPr>
        <w:ind w:left="927" w:hanging="360"/>
      </w:pPr>
    </w:lvl>
    <w:lvl w:ilvl="2" w:tplc="0809001B">
      <w:start w:val="1"/>
      <w:numFmt w:val="lowerRoman"/>
      <w:lvlText w:val="%3."/>
      <w:lvlJc w:val="right"/>
      <w:pPr>
        <w:ind w:left="1173"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3" w15:restartNumberingAfterBreak="0">
    <w:nsid w:val="11DD0FB8"/>
    <w:multiLevelType w:val="hybridMultilevel"/>
    <w:tmpl w:val="00D06928"/>
    <w:lvl w:ilvl="0" w:tplc="E5D23EDC">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097C52"/>
    <w:multiLevelType w:val="hybridMultilevel"/>
    <w:tmpl w:val="6B28352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235E0153"/>
    <w:multiLevelType w:val="hybridMultilevel"/>
    <w:tmpl w:val="304A07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52E0E2D"/>
    <w:multiLevelType w:val="hybridMultilevel"/>
    <w:tmpl w:val="2A56A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F64BC8"/>
    <w:multiLevelType w:val="hybridMultilevel"/>
    <w:tmpl w:val="5DA850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5C62DC"/>
    <w:multiLevelType w:val="hybridMultilevel"/>
    <w:tmpl w:val="DACA0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4622DE"/>
    <w:multiLevelType w:val="hybridMultilevel"/>
    <w:tmpl w:val="D12867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0EA2BC8"/>
    <w:multiLevelType w:val="hybridMultilevel"/>
    <w:tmpl w:val="9E2EF06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0B1F6D"/>
    <w:multiLevelType w:val="hybridMultilevel"/>
    <w:tmpl w:val="C76E6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360EC1"/>
    <w:multiLevelType w:val="hybridMultilevel"/>
    <w:tmpl w:val="62EC83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42E7665"/>
    <w:multiLevelType w:val="hybridMultilevel"/>
    <w:tmpl w:val="AE2AEC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5431A4B"/>
    <w:multiLevelType w:val="multilevel"/>
    <w:tmpl w:val="A1804F3A"/>
    <w:lvl w:ilvl="0">
      <w:start w:val="1"/>
      <w:numFmt w:val="upperLetter"/>
      <w:pStyle w:val="AppendixMain"/>
      <w:lvlText w:val="Appendix %1"/>
      <w:lvlJc w:val="left"/>
      <w:pPr>
        <w:ind w:left="1350" w:hanging="360"/>
      </w:pPr>
      <w:rPr>
        <w:rFonts w:ascii="Times New Roman" w:hAnsi="Times New Roman" w:cs="Times New Roman" w:hint="default"/>
      </w:rPr>
    </w:lvl>
    <w:lvl w:ilvl="1">
      <w:start w:val="1"/>
      <w:numFmt w:val="decimal"/>
      <w:pStyle w:val="AppendixSubheading"/>
      <w:lvlText w:val="%1.%2"/>
      <w:lvlJc w:val="left"/>
      <w:pPr>
        <w:ind w:left="720" w:hanging="720"/>
      </w:pPr>
      <w:rPr>
        <w:rFonts w:hint="default"/>
      </w:rPr>
    </w:lvl>
    <w:lvl w:ilvl="2">
      <w:start w:val="1"/>
      <w:numFmt w:val="decimal"/>
      <w:pStyle w:val="AppendixThird"/>
      <w:lvlText w:val="%1.%2.%3"/>
      <w:lvlJc w:val="left"/>
      <w:pPr>
        <w:ind w:left="1080" w:hanging="10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474CCC"/>
    <w:multiLevelType w:val="hybridMultilevel"/>
    <w:tmpl w:val="F9E675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11F0023"/>
    <w:multiLevelType w:val="multilevel"/>
    <w:tmpl w:val="A49C9C14"/>
    <w:lvl w:ilvl="0">
      <w:start w:val="1"/>
      <w:numFmt w:val="decimal"/>
      <w:pStyle w:val="Heading1"/>
      <w:lvlText w:val="Chapter %1:"/>
      <w:lvlJc w:val="left"/>
      <w:pPr>
        <w:tabs>
          <w:tab w:val="num" w:pos="1985"/>
        </w:tabs>
        <w:ind w:left="567" w:hanging="567"/>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1021"/>
        </w:tabs>
        <w:ind w:left="1021" w:hanging="1021"/>
      </w:pPr>
      <w:rPr>
        <w:rFonts w:hint="default"/>
        <w:sz w:val="24"/>
        <w:szCs w:val="24"/>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decimal"/>
      <w:pStyle w:val="Heading6"/>
      <w:lvlText w:val="%1.%2.%3.%4.%5.%6"/>
      <w:lvlJc w:val="left"/>
      <w:pPr>
        <w:tabs>
          <w:tab w:val="num" w:pos="1361"/>
        </w:tabs>
        <w:ind w:left="1361" w:hanging="1361"/>
      </w:pPr>
      <w:rPr>
        <w:rFonts w:hint="default"/>
      </w:rPr>
    </w:lvl>
    <w:lvl w:ilvl="6">
      <w:start w:val="1"/>
      <w:numFmt w:val="decimal"/>
      <w:pStyle w:val="Heading7"/>
      <w:lvlText w:val="%1.%2.%3.%4.%5.%6.%7"/>
      <w:lvlJc w:val="left"/>
      <w:pPr>
        <w:tabs>
          <w:tab w:val="num" w:pos="1474"/>
        </w:tabs>
        <w:ind w:left="1474" w:hanging="1474"/>
      </w:pPr>
      <w:rPr>
        <w:rFonts w:hint="default"/>
      </w:rPr>
    </w:lvl>
    <w:lvl w:ilvl="7">
      <w:start w:val="1"/>
      <w:numFmt w:val="decimal"/>
      <w:pStyle w:val="Heading8"/>
      <w:lvlText w:val="%1.%2.%3.%4.%5.%6.%7.%8"/>
      <w:lvlJc w:val="left"/>
      <w:pPr>
        <w:tabs>
          <w:tab w:val="num" w:pos="1588"/>
        </w:tabs>
        <w:ind w:left="1588" w:hanging="1588"/>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27" w15:restartNumberingAfterBreak="0">
    <w:nsid w:val="48BE5C9D"/>
    <w:multiLevelType w:val="hybridMultilevel"/>
    <w:tmpl w:val="708E6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DD51BC1"/>
    <w:multiLevelType w:val="hybridMultilevel"/>
    <w:tmpl w:val="CF0CA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F2109E"/>
    <w:multiLevelType w:val="hybridMultilevel"/>
    <w:tmpl w:val="7EECC3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011559C"/>
    <w:multiLevelType w:val="multilevel"/>
    <w:tmpl w:val="A1804F3A"/>
    <w:lvl w:ilvl="0">
      <w:start w:val="1"/>
      <w:numFmt w:val="upperLetter"/>
      <w:lvlText w:val="Appendix %1"/>
      <w:lvlJc w:val="left"/>
      <w:pPr>
        <w:ind w:left="1350" w:hanging="360"/>
      </w:pPr>
      <w:rPr>
        <w:rFonts w:ascii="Times New Roman" w:hAnsi="Times New Roman" w:cs="Times New Roman"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3F52407"/>
    <w:multiLevelType w:val="hybridMultilevel"/>
    <w:tmpl w:val="44783C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403355A"/>
    <w:multiLevelType w:val="hybridMultilevel"/>
    <w:tmpl w:val="16B46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C13C6F"/>
    <w:multiLevelType w:val="hybridMultilevel"/>
    <w:tmpl w:val="5CC2D81C"/>
    <w:lvl w:ilvl="0" w:tplc="7082B59A">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EE53E1"/>
    <w:multiLevelType w:val="hybridMultilevel"/>
    <w:tmpl w:val="C6069246"/>
    <w:lvl w:ilvl="0" w:tplc="0809000F">
      <w:start w:val="1"/>
      <w:numFmt w:val="decimal"/>
      <w:lvlText w:val="%1."/>
      <w:lvlJc w:val="left"/>
      <w:pPr>
        <w:ind w:left="360" w:hanging="360"/>
      </w:pPr>
    </w:lvl>
    <w:lvl w:ilvl="1" w:tplc="08090019">
      <w:start w:val="1"/>
      <w:numFmt w:val="lowerLetter"/>
      <w:lvlText w:val="%2."/>
      <w:lvlJc w:val="left"/>
      <w:pPr>
        <w:ind w:left="927"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CC7473"/>
    <w:multiLevelType w:val="hybridMultilevel"/>
    <w:tmpl w:val="655CF1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6094396"/>
    <w:multiLevelType w:val="hybridMultilevel"/>
    <w:tmpl w:val="131C92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6D40DC6"/>
    <w:multiLevelType w:val="hybridMultilevel"/>
    <w:tmpl w:val="299EFA3C"/>
    <w:lvl w:ilvl="0" w:tplc="93CC7948">
      <w:start w:val="9"/>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76C5EE4"/>
    <w:multiLevelType w:val="hybridMultilevel"/>
    <w:tmpl w:val="4F248F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B7D7014"/>
    <w:multiLevelType w:val="hybridMultilevel"/>
    <w:tmpl w:val="167875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37A4D98"/>
    <w:multiLevelType w:val="multilevel"/>
    <w:tmpl w:val="A1804F3A"/>
    <w:lvl w:ilvl="0">
      <w:start w:val="1"/>
      <w:numFmt w:val="upperLetter"/>
      <w:lvlText w:val="Appendix %1"/>
      <w:lvlJc w:val="left"/>
      <w:pPr>
        <w:ind w:left="1350" w:hanging="360"/>
      </w:pPr>
      <w:rPr>
        <w:rFonts w:ascii="Times New Roman" w:hAnsi="Times New Roman" w:cs="Times New Roman"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5B61A7D"/>
    <w:multiLevelType w:val="hybridMultilevel"/>
    <w:tmpl w:val="B4804820"/>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E8934AA"/>
    <w:multiLevelType w:val="hybridMultilevel"/>
    <w:tmpl w:val="5DA850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24"/>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1"/>
  </w:num>
  <w:num w:numId="15">
    <w:abstractNumId w:val="42"/>
  </w:num>
  <w:num w:numId="16">
    <w:abstractNumId w:val="35"/>
  </w:num>
  <w:num w:numId="17">
    <w:abstractNumId w:val="12"/>
  </w:num>
  <w:num w:numId="18">
    <w:abstractNumId w:val="20"/>
  </w:num>
  <w:num w:numId="19">
    <w:abstractNumId w:val="41"/>
  </w:num>
  <w:num w:numId="20">
    <w:abstractNumId w:val="34"/>
  </w:num>
  <w:num w:numId="21">
    <w:abstractNumId w:val="11"/>
  </w:num>
  <w:num w:numId="22">
    <w:abstractNumId w:val="37"/>
  </w:num>
  <w:num w:numId="23">
    <w:abstractNumId w:val="17"/>
  </w:num>
  <w:num w:numId="24">
    <w:abstractNumId w:val="18"/>
  </w:num>
  <w:num w:numId="25">
    <w:abstractNumId w:val="28"/>
  </w:num>
  <w:num w:numId="26">
    <w:abstractNumId w:val="32"/>
  </w:num>
  <w:num w:numId="27">
    <w:abstractNumId w:val="38"/>
  </w:num>
  <w:num w:numId="28">
    <w:abstractNumId w:val="31"/>
  </w:num>
  <w:num w:numId="29">
    <w:abstractNumId w:val="29"/>
  </w:num>
  <w:num w:numId="30">
    <w:abstractNumId w:val="27"/>
  </w:num>
  <w:num w:numId="31">
    <w:abstractNumId w:val="36"/>
  </w:num>
  <w:num w:numId="32">
    <w:abstractNumId w:val="25"/>
  </w:num>
  <w:num w:numId="33">
    <w:abstractNumId w:val="19"/>
  </w:num>
  <w:num w:numId="34">
    <w:abstractNumId w:val="39"/>
  </w:num>
  <w:num w:numId="35">
    <w:abstractNumId w:val="15"/>
  </w:num>
  <w:num w:numId="36">
    <w:abstractNumId w:val="22"/>
  </w:num>
  <w:num w:numId="37">
    <w:abstractNumId w:val="16"/>
  </w:num>
  <w:num w:numId="38">
    <w:abstractNumId w:val="23"/>
  </w:num>
  <w:num w:numId="39">
    <w:abstractNumId w:val="10"/>
  </w:num>
  <w:num w:numId="40">
    <w:abstractNumId w:val="33"/>
  </w:num>
  <w:num w:numId="41">
    <w:abstractNumId w:val="14"/>
  </w:num>
  <w:num w:numId="42">
    <w:abstractNumId w:val="13"/>
  </w:num>
  <w:num w:numId="43">
    <w:abstractNumId w:val="40"/>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2421"/>
    <w:rsid w:val="00172AC6"/>
    <w:rsid w:val="00262998"/>
    <w:rsid w:val="00446DF4"/>
    <w:rsid w:val="004D2421"/>
    <w:rsid w:val="005B7FB1"/>
    <w:rsid w:val="00B514C3"/>
    <w:rsid w:val="00EA113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02C19F"/>
  <w14:defaultImageDpi w14:val="300"/>
  <w15:docId w15:val="{92E25C3A-B2D5-6142-981C-C0C7823CC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421"/>
    <w:pPr>
      <w:autoSpaceDE w:val="0"/>
      <w:autoSpaceDN w:val="0"/>
      <w:adjustRightInd w:val="0"/>
      <w:spacing w:line="360" w:lineRule="auto"/>
    </w:pPr>
    <w:rPr>
      <w:rFonts w:ascii="Times New Roman" w:eastAsia="Times New Roman" w:hAnsi="Times New Roman" w:cs="Times New Roman"/>
    </w:rPr>
  </w:style>
  <w:style w:type="paragraph" w:styleId="Heading1">
    <w:name w:val="heading 1"/>
    <w:basedOn w:val="Normal"/>
    <w:next w:val="Normal"/>
    <w:link w:val="Heading1Char"/>
    <w:qFormat/>
    <w:rsid w:val="004D2421"/>
    <w:pPr>
      <w:keepNext/>
      <w:numPr>
        <w:numId w:val="1"/>
      </w:numPr>
      <w:autoSpaceDE/>
      <w:autoSpaceDN/>
      <w:adjustRightInd/>
      <w:spacing w:before="200" w:after="240"/>
      <w:outlineLvl w:val="0"/>
    </w:pPr>
    <w:rPr>
      <w:rFonts w:ascii="Calibri" w:hAnsi="Calibri" w:cs="Arial"/>
      <w:b/>
      <w:bCs/>
      <w:kern w:val="32"/>
      <w:sz w:val="36"/>
      <w:szCs w:val="32"/>
    </w:rPr>
  </w:style>
  <w:style w:type="paragraph" w:styleId="Heading2">
    <w:name w:val="heading 2"/>
    <w:basedOn w:val="Heading1"/>
    <w:next w:val="Normal"/>
    <w:link w:val="Heading2Char"/>
    <w:qFormat/>
    <w:rsid w:val="004D2421"/>
    <w:pPr>
      <w:numPr>
        <w:ilvl w:val="1"/>
      </w:numPr>
      <w:spacing w:before="360"/>
      <w:outlineLvl w:val="1"/>
    </w:pPr>
    <w:rPr>
      <w:bCs w:val="0"/>
      <w:sz w:val="28"/>
      <w:szCs w:val="24"/>
      <w:lang w:eastAsia="en-GB"/>
    </w:rPr>
  </w:style>
  <w:style w:type="paragraph" w:styleId="Heading3">
    <w:name w:val="heading 3"/>
    <w:basedOn w:val="Heading1"/>
    <w:next w:val="Normal"/>
    <w:link w:val="Heading3Char"/>
    <w:qFormat/>
    <w:rsid w:val="004D2421"/>
    <w:pPr>
      <w:numPr>
        <w:ilvl w:val="2"/>
      </w:numPr>
      <w:spacing w:before="360"/>
      <w:outlineLvl w:val="2"/>
    </w:pPr>
    <w:rPr>
      <w:bCs w:val="0"/>
      <w:sz w:val="22"/>
      <w:szCs w:val="26"/>
    </w:rPr>
  </w:style>
  <w:style w:type="paragraph" w:styleId="Heading4">
    <w:name w:val="heading 4"/>
    <w:basedOn w:val="Heading1"/>
    <w:next w:val="Normal"/>
    <w:link w:val="Heading4Char"/>
    <w:qFormat/>
    <w:rsid w:val="004D2421"/>
    <w:pPr>
      <w:numPr>
        <w:ilvl w:val="3"/>
      </w:numPr>
      <w:outlineLvl w:val="3"/>
    </w:pPr>
    <w:rPr>
      <w:rFonts w:eastAsiaTheme="majorEastAsia" w:cstheme="majorBidi"/>
      <w:bCs w:val="0"/>
      <w:iCs/>
      <w:sz w:val="22"/>
      <w:szCs w:val="24"/>
    </w:rPr>
  </w:style>
  <w:style w:type="paragraph" w:styleId="Heading5">
    <w:name w:val="heading 5"/>
    <w:basedOn w:val="Heading1"/>
    <w:next w:val="Normal"/>
    <w:link w:val="Heading5Char"/>
    <w:qFormat/>
    <w:rsid w:val="004D2421"/>
    <w:pPr>
      <w:keepLines/>
      <w:numPr>
        <w:ilvl w:val="4"/>
      </w:numPr>
      <w:outlineLvl w:val="4"/>
    </w:pPr>
    <w:rPr>
      <w:rFonts w:eastAsiaTheme="majorEastAsia" w:cstheme="majorBidi"/>
      <w:sz w:val="22"/>
      <w:szCs w:val="24"/>
    </w:rPr>
  </w:style>
  <w:style w:type="paragraph" w:styleId="Heading6">
    <w:name w:val="heading 6"/>
    <w:basedOn w:val="Heading1"/>
    <w:next w:val="Normal"/>
    <w:link w:val="Heading6Char"/>
    <w:qFormat/>
    <w:rsid w:val="004D2421"/>
    <w:pPr>
      <w:keepLines/>
      <w:numPr>
        <w:ilvl w:val="5"/>
      </w:numPr>
      <w:outlineLvl w:val="5"/>
    </w:pPr>
    <w:rPr>
      <w:rFonts w:eastAsiaTheme="majorEastAsia" w:cstheme="majorBidi"/>
      <w:b w:val="0"/>
      <w:iCs/>
      <w:sz w:val="22"/>
      <w:szCs w:val="24"/>
    </w:rPr>
  </w:style>
  <w:style w:type="paragraph" w:styleId="Heading7">
    <w:name w:val="heading 7"/>
    <w:basedOn w:val="Heading1"/>
    <w:next w:val="Normal"/>
    <w:link w:val="Heading7Char"/>
    <w:qFormat/>
    <w:rsid w:val="004D2421"/>
    <w:pPr>
      <w:keepLines/>
      <w:numPr>
        <w:ilvl w:val="6"/>
      </w:numPr>
      <w:outlineLvl w:val="6"/>
    </w:pPr>
    <w:rPr>
      <w:rFonts w:eastAsiaTheme="majorEastAsia" w:cstheme="majorBidi"/>
      <w:b w:val="0"/>
      <w:iCs/>
      <w:sz w:val="22"/>
      <w:szCs w:val="24"/>
    </w:rPr>
  </w:style>
  <w:style w:type="paragraph" w:styleId="Heading8">
    <w:name w:val="heading 8"/>
    <w:basedOn w:val="Heading1"/>
    <w:next w:val="Normal"/>
    <w:link w:val="Heading8Char"/>
    <w:qFormat/>
    <w:rsid w:val="004D2421"/>
    <w:pPr>
      <w:keepLines/>
      <w:numPr>
        <w:ilvl w:val="7"/>
      </w:numPr>
      <w:outlineLvl w:val="7"/>
    </w:pPr>
    <w:rPr>
      <w:rFonts w:eastAsiaTheme="majorEastAsia" w:cstheme="majorBidi"/>
      <w:b w:val="0"/>
      <w:sz w:val="22"/>
    </w:rPr>
  </w:style>
  <w:style w:type="paragraph" w:styleId="Heading9">
    <w:name w:val="heading 9"/>
    <w:basedOn w:val="Heading1"/>
    <w:next w:val="Normal"/>
    <w:link w:val="Heading9Char"/>
    <w:qFormat/>
    <w:rsid w:val="004D2421"/>
    <w:pPr>
      <w:keepLines/>
      <w:numPr>
        <w:ilvl w:val="8"/>
      </w:numPr>
      <w:outlineLvl w:val="8"/>
    </w:pPr>
    <w:rPr>
      <w:rFonts w:eastAsiaTheme="majorEastAsia" w:cstheme="majorBidi"/>
      <w:b w:val="0"/>
      <w:iCs/>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2421"/>
    <w:rPr>
      <w:rFonts w:ascii="Calibri" w:eastAsia="Times New Roman" w:hAnsi="Calibri" w:cs="Arial"/>
      <w:b/>
      <w:bCs/>
      <w:kern w:val="32"/>
      <w:sz w:val="36"/>
      <w:szCs w:val="32"/>
    </w:rPr>
  </w:style>
  <w:style w:type="character" w:customStyle="1" w:styleId="Heading2Char">
    <w:name w:val="Heading 2 Char"/>
    <w:basedOn w:val="DefaultParagraphFont"/>
    <w:link w:val="Heading2"/>
    <w:rsid w:val="004D2421"/>
    <w:rPr>
      <w:rFonts w:ascii="Calibri" w:eastAsia="Times New Roman" w:hAnsi="Calibri" w:cs="Arial"/>
      <w:b/>
      <w:kern w:val="32"/>
      <w:sz w:val="28"/>
      <w:lang w:eastAsia="en-GB"/>
    </w:rPr>
  </w:style>
  <w:style w:type="character" w:customStyle="1" w:styleId="Heading3Char">
    <w:name w:val="Heading 3 Char"/>
    <w:basedOn w:val="DefaultParagraphFont"/>
    <w:link w:val="Heading3"/>
    <w:rsid w:val="004D2421"/>
    <w:rPr>
      <w:rFonts w:ascii="Calibri" w:eastAsia="Times New Roman" w:hAnsi="Calibri" w:cs="Arial"/>
      <w:b/>
      <w:kern w:val="32"/>
      <w:sz w:val="22"/>
      <w:szCs w:val="26"/>
    </w:rPr>
  </w:style>
  <w:style w:type="character" w:customStyle="1" w:styleId="Heading4Char">
    <w:name w:val="Heading 4 Char"/>
    <w:basedOn w:val="DefaultParagraphFont"/>
    <w:link w:val="Heading4"/>
    <w:rsid w:val="004D2421"/>
    <w:rPr>
      <w:rFonts w:ascii="Calibri" w:eastAsiaTheme="majorEastAsia" w:hAnsi="Calibri" w:cstheme="majorBidi"/>
      <w:b/>
      <w:iCs/>
      <w:kern w:val="32"/>
      <w:sz w:val="22"/>
    </w:rPr>
  </w:style>
  <w:style w:type="character" w:customStyle="1" w:styleId="Heading5Char">
    <w:name w:val="Heading 5 Char"/>
    <w:basedOn w:val="DefaultParagraphFont"/>
    <w:link w:val="Heading5"/>
    <w:rsid w:val="004D2421"/>
    <w:rPr>
      <w:rFonts w:ascii="Calibri" w:eastAsiaTheme="majorEastAsia" w:hAnsi="Calibri" w:cstheme="majorBidi"/>
      <w:b/>
      <w:bCs/>
      <w:kern w:val="32"/>
      <w:sz w:val="22"/>
    </w:rPr>
  </w:style>
  <w:style w:type="character" w:customStyle="1" w:styleId="Heading6Char">
    <w:name w:val="Heading 6 Char"/>
    <w:basedOn w:val="DefaultParagraphFont"/>
    <w:link w:val="Heading6"/>
    <w:rsid w:val="004D2421"/>
    <w:rPr>
      <w:rFonts w:ascii="Calibri" w:eastAsiaTheme="majorEastAsia" w:hAnsi="Calibri" w:cstheme="majorBidi"/>
      <w:bCs/>
      <w:iCs/>
      <w:kern w:val="32"/>
      <w:sz w:val="22"/>
    </w:rPr>
  </w:style>
  <w:style w:type="character" w:customStyle="1" w:styleId="Heading7Char">
    <w:name w:val="Heading 7 Char"/>
    <w:basedOn w:val="DefaultParagraphFont"/>
    <w:link w:val="Heading7"/>
    <w:rsid w:val="004D2421"/>
    <w:rPr>
      <w:rFonts w:ascii="Calibri" w:eastAsiaTheme="majorEastAsia" w:hAnsi="Calibri" w:cstheme="majorBidi"/>
      <w:bCs/>
      <w:iCs/>
      <w:kern w:val="32"/>
      <w:sz w:val="22"/>
    </w:rPr>
  </w:style>
  <w:style w:type="character" w:customStyle="1" w:styleId="Heading8Char">
    <w:name w:val="Heading 8 Char"/>
    <w:basedOn w:val="DefaultParagraphFont"/>
    <w:link w:val="Heading8"/>
    <w:rsid w:val="004D2421"/>
    <w:rPr>
      <w:rFonts w:ascii="Calibri" w:eastAsiaTheme="majorEastAsia" w:hAnsi="Calibri" w:cstheme="majorBidi"/>
      <w:bCs/>
      <w:kern w:val="32"/>
      <w:sz w:val="22"/>
      <w:szCs w:val="32"/>
    </w:rPr>
  </w:style>
  <w:style w:type="character" w:customStyle="1" w:styleId="Heading9Char">
    <w:name w:val="Heading 9 Char"/>
    <w:basedOn w:val="DefaultParagraphFont"/>
    <w:link w:val="Heading9"/>
    <w:rsid w:val="004D2421"/>
    <w:rPr>
      <w:rFonts w:ascii="Calibri" w:eastAsiaTheme="majorEastAsia" w:hAnsi="Calibri" w:cstheme="majorBidi"/>
      <w:bCs/>
      <w:iCs/>
      <w:color w:val="000000" w:themeColor="text1"/>
      <w:kern w:val="32"/>
      <w:sz w:val="22"/>
      <w:szCs w:val="32"/>
    </w:rPr>
  </w:style>
  <w:style w:type="paragraph" w:styleId="Header">
    <w:name w:val="header"/>
    <w:basedOn w:val="Normal"/>
    <w:link w:val="HeaderChar"/>
    <w:uiPriority w:val="99"/>
    <w:unhideWhenUsed/>
    <w:rsid w:val="004D2421"/>
    <w:pPr>
      <w:tabs>
        <w:tab w:val="center" w:pos="4320"/>
        <w:tab w:val="right" w:pos="8640"/>
      </w:tabs>
      <w:spacing w:line="240" w:lineRule="auto"/>
    </w:pPr>
  </w:style>
  <w:style w:type="character" w:customStyle="1" w:styleId="HeaderChar">
    <w:name w:val="Header Char"/>
    <w:basedOn w:val="DefaultParagraphFont"/>
    <w:link w:val="Header"/>
    <w:uiPriority w:val="99"/>
    <w:rsid w:val="004D2421"/>
    <w:rPr>
      <w:rFonts w:ascii="Times New Roman" w:eastAsia="Times New Roman" w:hAnsi="Times New Roman" w:cs="Times New Roman"/>
    </w:rPr>
  </w:style>
  <w:style w:type="paragraph" w:styleId="Footer">
    <w:name w:val="footer"/>
    <w:basedOn w:val="Normal"/>
    <w:link w:val="FooterChar"/>
    <w:uiPriority w:val="99"/>
    <w:unhideWhenUsed/>
    <w:rsid w:val="004D2421"/>
    <w:pPr>
      <w:tabs>
        <w:tab w:val="center" w:pos="4320"/>
        <w:tab w:val="right" w:pos="8640"/>
      </w:tabs>
      <w:spacing w:line="240" w:lineRule="auto"/>
    </w:pPr>
  </w:style>
  <w:style w:type="character" w:customStyle="1" w:styleId="FooterChar">
    <w:name w:val="Footer Char"/>
    <w:basedOn w:val="DefaultParagraphFont"/>
    <w:link w:val="Footer"/>
    <w:uiPriority w:val="99"/>
    <w:rsid w:val="004D2421"/>
    <w:rPr>
      <w:rFonts w:ascii="Times New Roman" w:eastAsia="Times New Roman" w:hAnsi="Times New Roman" w:cs="Times New Roman"/>
    </w:rPr>
  </w:style>
  <w:style w:type="character" w:styleId="Hyperlink">
    <w:name w:val="Hyperlink"/>
    <w:basedOn w:val="DefaultParagraphFont"/>
    <w:uiPriority w:val="99"/>
    <w:unhideWhenUsed/>
    <w:rsid w:val="004D2421"/>
    <w:rPr>
      <w:color w:val="0000FF" w:themeColor="hyperlink"/>
      <w:u w:val="single"/>
    </w:rPr>
  </w:style>
  <w:style w:type="paragraph" w:styleId="BodyText">
    <w:name w:val="Body Text"/>
    <w:basedOn w:val="Normal"/>
    <w:link w:val="BodyTextChar"/>
    <w:semiHidden/>
    <w:rsid w:val="004D2421"/>
    <w:pPr>
      <w:autoSpaceDE/>
      <w:autoSpaceDN/>
      <w:adjustRightInd/>
      <w:spacing w:before="200"/>
    </w:pPr>
    <w:rPr>
      <w:rFonts w:ascii="Calibri" w:hAnsi="Calibri"/>
      <w:sz w:val="22"/>
      <w:szCs w:val="22"/>
      <w:lang w:eastAsia="en-GB"/>
    </w:rPr>
  </w:style>
  <w:style w:type="character" w:customStyle="1" w:styleId="BodyTextChar">
    <w:name w:val="Body Text Char"/>
    <w:basedOn w:val="DefaultParagraphFont"/>
    <w:link w:val="BodyText"/>
    <w:semiHidden/>
    <w:rsid w:val="004D2421"/>
    <w:rPr>
      <w:rFonts w:ascii="Calibri" w:eastAsia="Times New Roman" w:hAnsi="Calibri" w:cs="Times New Roman"/>
      <w:sz w:val="22"/>
      <w:szCs w:val="22"/>
      <w:lang w:eastAsia="en-GB"/>
    </w:rPr>
  </w:style>
  <w:style w:type="character" w:customStyle="1" w:styleId="BodyTextIndentChar">
    <w:name w:val="Body Text Indent Char"/>
    <w:basedOn w:val="DefaultParagraphFont"/>
    <w:link w:val="BodyTextIndent"/>
    <w:semiHidden/>
    <w:rsid w:val="004D2421"/>
    <w:rPr>
      <w:rFonts w:ascii="Calibri" w:eastAsia="Times New Roman" w:hAnsi="Calibri" w:cs="Times New Roman"/>
      <w:sz w:val="22"/>
      <w:szCs w:val="22"/>
      <w:lang w:eastAsia="zh-CN"/>
    </w:rPr>
  </w:style>
  <w:style w:type="paragraph" w:styleId="BodyTextIndent">
    <w:name w:val="Body Text Indent"/>
    <w:basedOn w:val="Normal"/>
    <w:link w:val="BodyTextIndentChar"/>
    <w:semiHidden/>
    <w:rsid w:val="004D2421"/>
    <w:pPr>
      <w:autoSpaceDE/>
      <w:autoSpaceDN/>
      <w:adjustRightInd/>
      <w:spacing w:before="200"/>
      <w:ind w:left="283"/>
    </w:pPr>
    <w:rPr>
      <w:rFonts w:ascii="Calibri" w:hAnsi="Calibri"/>
      <w:sz w:val="22"/>
      <w:szCs w:val="22"/>
      <w:lang w:eastAsia="zh-CN"/>
    </w:rPr>
  </w:style>
  <w:style w:type="character" w:customStyle="1" w:styleId="BodyTextIndentChar1">
    <w:name w:val="Body Text Indent Char1"/>
    <w:basedOn w:val="DefaultParagraphFont"/>
    <w:uiPriority w:val="99"/>
    <w:semiHidden/>
    <w:rsid w:val="004D2421"/>
    <w:rPr>
      <w:rFonts w:ascii="Times New Roman" w:eastAsia="Times New Roman" w:hAnsi="Times New Roman" w:cs="Times New Roman"/>
    </w:rPr>
  </w:style>
  <w:style w:type="character" w:customStyle="1" w:styleId="BalloonTextChar">
    <w:name w:val="Balloon Text Char"/>
    <w:basedOn w:val="DefaultParagraphFont"/>
    <w:link w:val="BalloonText"/>
    <w:uiPriority w:val="99"/>
    <w:semiHidden/>
    <w:rsid w:val="004D2421"/>
    <w:rPr>
      <w:rFonts w:ascii="Tahoma" w:eastAsia="Times New Roman" w:hAnsi="Tahoma" w:cs="Tahoma"/>
      <w:sz w:val="16"/>
      <w:szCs w:val="16"/>
      <w:lang w:eastAsia="zh-CN"/>
    </w:rPr>
  </w:style>
  <w:style w:type="paragraph" w:styleId="BalloonText">
    <w:name w:val="Balloon Text"/>
    <w:basedOn w:val="Normal"/>
    <w:link w:val="BalloonTextChar"/>
    <w:uiPriority w:val="99"/>
    <w:semiHidden/>
    <w:rsid w:val="004D2421"/>
    <w:pPr>
      <w:autoSpaceDE/>
      <w:autoSpaceDN/>
      <w:adjustRightInd/>
      <w:spacing w:before="200"/>
    </w:pPr>
    <w:rPr>
      <w:rFonts w:ascii="Tahoma" w:hAnsi="Tahoma" w:cs="Tahoma"/>
      <w:sz w:val="16"/>
      <w:szCs w:val="16"/>
      <w:lang w:eastAsia="zh-CN"/>
    </w:rPr>
  </w:style>
  <w:style w:type="character" w:customStyle="1" w:styleId="BalloonTextChar1">
    <w:name w:val="Balloon Text Char1"/>
    <w:basedOn w:val="DefaultParagraphFont"/>
    <w:uiPriority w:val="99"/>
    <w:semiHidden/>
    <w:rsid w:val="004D2421"/>
    <w:rPr>
      <w:rFonts w:ascii="Lucida Grande" w:eastAsia="Times New Roman" w:hAnsi="Lucida Grande" w:cs="Lucida Grande"/>
      <w:sz w:val="18"/>
      <w:szCs w:val="18"/>
    </w:rPr>
  </w:style>
  <w:style w:type="character" w:styleId="PageNumber">
    <w:name w:val="page number"/>
    <w:rsid w:val="004D2421"/>
    <w:rPr>
      <w:rFonts w:ascii="Calibri" w:hAnsi="Calibri"/>
      <w:sz w:val="22"/>
      <w:lang w:val="en-GB"/>
    </w:rPr>
  </w:style>
  <w:style w:type="character" w:customStyle="1" w:styleId="DocumentMapChar">
    <w:name w:val="Document Map Char"/>
    <w:basedOn w:val="DefaultParagraphFont"/>
    <w:link w:val="DocumentMap"/>
    <w:uiPriority w:val="99"/>
    <w:semiHidden/>
    <w:rsid w:val="004D2421"/>
    <w:rPr>
      <w:rFonts w:ascii="Tahoma" w:eastAsia="Times New Roman" w:hAnsi="Tahoma" w:cs="Tahoma"/>
      <w:sz w:val="22"/>
      <w:szCs w:val="20"/>
      <w:shd w:val="clear" w:color="auto" w:fill="000080"/>
      <w:lang w:eastAsia="zh-CN"/>
    </w:rPr>
  </w:style>
  <w:style w:type="paragraph" w:styleId="DocumentMap">
    <w:name w:val="Document Map"/>
    <w:basedOn w:val="Normal"/>
    <w:link w:val="DocumentMapChar"/>
    <w:uiPriority w:val="99"/>
    <w:semiHidden/>
    <w:rsid w:val="004D2421"/>
    <w:pPr>
      <w:shd w:val="clear" w:color="auto" w:fill="000080"/>
      <w:autoSpaceDE/>
      <w:autoSpaceDN/>
      <w:adjustRightInd/>
      <w:spacing w:before="200"/>
    </w:pPr>
    <w:rPr>
      <w:rFonts w:ascii="Tahoma" w:hAnsi="Tahoma" w:cs="Tahoma"/>
      <w:sz w:val="22"/>
      <w:szCs w:val="20"/>
      <w:lang w:eastAsia="zh-CN"/>
    </w:rPr>
  </w:style>
  <w:style w:type="character" w:customStyle="1" w:styleId="DocumentMapChar1">
    <w:name w:val="Document Map Char1"/>
    <w:basedOn w:val="DefaultParagraphFont"/>
    <w:uiPriority w:val="99"/>
    <w:semiHidden/>
    <w:rsid w:val="004D2421"/>
    <w:rPr>
      <w:rFonts w:ascii="Lucida Grande" w:eastAsia="Times New Roman" w:hAnsi="Lucida Grande" w:cs="Lucida Grande"/>
    </w:rPr>
  </w:style>
  <w:style w:type="paragraph" w:styleId="Caption">
    <w:name w:val="caption"/>
    <w:basedOn w:val="Normal"/>
    <w:next w:val="Normal"/>
    <w:uiPriority w:val="35"/>
    <w:qFormat/>
    <w:rsid w:val="004D2421"/>
    <w:pPr>
      <w:tabs>
        <w:tab w:val="left" w:pos="1418"/>
      </w:tabs>
      <w:autoSpaceDE/>
      <w:autoSpaceDN/>
      <w:adjustRightInd/>
      <w:spacing w:before="120" w:after="120"/>
      <w:ind w:left="1134" w:hanging="1134"/>
      <w:contextualSpacing/>
    </w:pPr>
    <w:rPr>
      <w:rFonts w:ascii="Calibri" w:hAnsi="Calibri"/>
      <w:sz w:val="22"/>
      <w:szCs w:val="26"/>
    </w:rPr>
  </w:style>
  <w:style w:type="paragraph" w:customStyle="1" w:styleId="TableCell">
    <w:name w:val="Table Cell"/>
    <w:basedOn w:val="Normal"/>
    <w:rsid w:val="004D2421"/>
    <w:pPr>
      <w:autoSpaceDE/>
      <w:autoSpaceDN/>
      <w:adjustRightInd/>
      <w:spacing w:before="40" w:after="40"/>
      <w:ind w:left="6"/>
    </w:pPr>
    <w:rPr>
      <w:rFonts w:ascii="Calibri" w:hAnsi="Calibri"/>
      <w:sz w:val="22"/>
      <w:szCs w:val="22"/>
      <w:lang w:eastAsia="zh-CN"/>
    </w:rPr>
  </w:style>
  <w:style w:type="paragraph" w:styleId="TableofFigures">
    <w:name w:val="table of figures"/>
    <w:basedOn w:val="Normal"/>
    <w:next w:val="Normal"/>
    <w:autoRedefine/>
    <w:uiPriority w:val="99"/>
    <w:rsid w:val="004D2421"/>
    <w:pPr>
      <w:tabs>
        <w:tab w:val="left" w:pos="1560"/>
        <w:tab w:val="right" w:leader="dot" w:pos="8505"/>
      </w:tabs>
      <w:autoSpaceDE/>
      <w:autoSpaceDN/>
      <w:adjustRightInd/>
      <w:spacing w:before="200"/>
      <w:ind w:left="1560" w:hanging="1560"/>
    </w:pPr>
    <w:rPr>
      <w:rFonts w:ascii="Calibri" w:hAnsi="Calibri"/>
      <w:sz w:val="22"/>
    </w:rPr>
  </w:style>
  <w:style w:type="paragraph" w:customStyle="1" w:styleId="Contents">
    <w:name w:val="Contents"/>
    <w:basedOn w:val="Normal"/>
    <w:next w:val="Normal"/>
    <w:qFormat/>
    <w:rsid w:val="004D2421"/>
    <w:pPr>
      <w:autoSpaceDE/>
      <w:autoSpaceDN/>
      <w:adjustRightInd/>
      <w:spacing w:before="200" w:after="240"/>
      <w:outlineLvl w:val="0"/>
    </w:pPr>
    <w:rPr>
      <w:rFonts w:ascii="Calibri" w:hAnsi="Calibri" w:cs="Arial"/>
      <w:b/>
      <w:bCs/>
      <w:kern w:val="32"/>
      <w:sz w:val="36"/>
      <w:szCs w:val="32"/>
    </w:rPr>
  </w:style>
  <w:style w:type="paragraph" w:customStyle="1" w:styleId="TitlePage">
    <w:name w:val="TitlePage"/>
    <w:basedOn w:val="Normal"/>
    <w:rsid w:val="004D2421"/>
    <w:pPr>
      <w:autoSpaceDE/>
      <w:autoSpaceDN/>
      <w:adjustRightInd/>
      <w:spacing w:before="200"/>
      <w:jc w:val="center"/>
    </w:pPr>
    <w:rPr>
      <w:rFonts w:ascii="Calibri" w:hAnsi="Calibri"/>
    </w:rPr>
  </w:style>
  <w:style w:type="paragraph" w:customStyle="1" w:styleId="Quotation">
    <w:name w:val="Quotation"/>
    <w:basedOn w:val="Normal"/>
    <w:qFormat/>
    <w:rsid w:val="004D2421"/>
    <w:pPr>
      <w:autoSpaceDE/>
      <w:autoSpaceDN/>
      <w:adjustRightInd/>
      <w:spacing w:before="200"/>
      <w:ind w:left="425" w:right="425"/>
    </w:pPr>
    <w:rPr>
      <w:rFonts w:ascii="Calibri" w:hAnsi="Calibri"/>
      <w:iCs/>
      <w:sz w:val="22"/>
    </w:rPr>
  </w:style>
  <w:style w:type="paragraph" w:styleId="TOC1">
    <w:name w:val="toc 1"/>
    <w:basedOn w:val="Normal"/>
    <w:next w:val="Normal"/>
    <w:autoRedefine/>
    <w:uiPriority w:val="39"/>
    <w:rsid w:val="004D2421"/>
    <w:pPr>
      <w:tabs>
        <w:tab w:val="left" w:pos="993"/>
        <w:tab w:val="right" w:leader="dot" w:pos="8789"/>
      </w:tabs>
      <w:autoSpaceDE/>
      <w:autoSpaceDN/>
      <w:adjustRightInd/>
      <w:spacing w:before="200" w:after="100"/>
      <w:ind w:left="992" w:hanging="992"/>
      <w:contextualSpacing/>
    </w:pPr>
    <w:rPr>
      <w:rFonts w:ascii="Calibri" w:hAnsi="Calibri"/>
      <w:b/>
      <w:szCs w:val="22"/>
      <w:lang w:eastAsia="zh-CN"/>
    </w:rPr>
  </w:style>
  <w:style w:type="paragraph" w:styleId="TOC2">
    <w:name w:val="toc 2"/>
    <w:basedOn w:val="TOC1"/>
    <w:next w:val="Normal"/>
    <w:autoRedefine/>
    <w:uiPriority w:val="39"/>
    <w:rsid w:val="004D2421"/>
    <w:pPr>
      <w:tabs>
        <w:tab w:val="clear" w:pos="993"/>
        <w:tab w:val="left" w:pos="851"/>
      </w:tabs>
      <w:spacing w:before="0"/>
      <w:ind w:left="851" w:hanging="567"/>
    </w:pPr>
    <w:rPr>
      <w:b w:val="0"/>
    </w:rPr>
  </w:style>
  <w:style w:type="paragraph" w:styleId="TOC3">
    <w:name w:val="toc 3"/>
    <w:basedOn w:val="TOC1"/>
    <w:next w:val="Normal"/>
    <w:autoRedefine/>
    <w:uiPriority w:val="39"/>
    <w:rsid w:val="004D2421"/>
    <w:pPr>
      <w:tabs>
        <w:tab w:val="clear" w:pos="993"/>
        <w:tab w:val="left" w:pos="1701"/>
      </w:tabs>
      <w:spacing w:before="0"/>
      <w:ind w:left="1701"/>
    </w:pPr>
    <w:rPr>
      <w:b w:val="0"/>
    </w:rPr>
  </w:style>
  <w:style w:type="paragraph" w:styleId="TOC4">
    <w:name w:val="toc 4"/>
    <w:basedOn w:val="TOC1"/>
    <w:next w:val="Normal"/>
    <w:autoRedefine/>
    <w:rsid w:val="004D2421"/>
    <w:pPr>
      <w:tabs>
        <w:tab w:val="clear" w:pos="993"/>
        <w:tab w:val="left" w:pos="1843"/>
      </w:tabs>
      <w:spacing w:before="0"/>
      <w:ind w:left="1843" w:hanging="851"/>
    </w:pPr>
    <w:rPr>
      <w:b w:val="0"/>
    </w:rPr>
  </w:style>
  <w:style w:type="paragraph" w:customStyle="1" w:styleId="ContentsSubheading">
    <w:name w:val="Contents Subheading"/>
    <w:basedOn w:val="Contents"/>
    <w:next w:val="Normal"/>
    <w:qFormat/>
    <w:rsid w:val="004D2421"/>
    <w:pPr>
      <w:outlineLvl w:val="1"/>
    </w:pPr>
    <w:rPr>
      <w:sz w:val="28"/>
    </w:rPr>
  </w:style>
  <w:style w:type="paragraph" w:customStyle="1" w:styleId="Declaration">
    <w:name w:val="Declaration"/>
    <w:basedOn w:val="Normal"/>
    <w:rsid w:val="004D2421"/>
    <w:pPr>
      <w:autoSpaceDE/>
      <w:autoSpaceDN/>
      <w:adjustRightInd/>
      <w:spacing w:before="200"/>
      <w:ind w:left="6"/>
    </w:pPr>
    <w:rPr>
      <w:rFonts w:ascii="Calibri" w:hAnsi="Calibri"/>
      <w:sz w:val="22"/>
    </w:rPr>
  </w:style>
  <w:style w:type="paragraph" w:styleId="TOC5">
    <w:name w:val="toc 5"/>
    <w:basedOn w:val="TOC1"/>
    <w:next w:val="Normal"/>
    <w:autoRedefine/>
    <w:rsid w:val="004D2421"/>
    <w:pPr>
      <w:tabs>
        <w:tab w:val="clear" w:pos="993"/>
        <w:tab w:val="left" w:pos="2127"/>
      </w:tabs>
      <w:spacing w:before="0"/>
      <w:ind w:left="2126"/>
    </w:pPr>
    <w:rPr>
      <w:b w:val="0"/>
      <w:sz w:val="22"/>
    </w:rPr>
  </w:style>
  <w:style w:type="paragraph" w:customStyle="1" w:styleId="AppendixMain">
    <w:name w:val="Appendix Main"/>
    <w:basedOn w:val="Contents"/>
    <w:next w:val="Normal"/>
    <w:qFormat/>
    <w:rsid w:val="004D2421"/>
    <w:pPr>
      <w:keepNext/>
      <w:numPr>
        <w:numId w:val="2"/>
      </w:numPr>
    </w:pPr>
  </w:style>
  <w:style w:type="paragraph" w:customStyle="1" w:styleId="AppendixSubheading">
    <w:name w:val="Appendix Subheading"/>
    <w:basedOn w:val="ContentsSubheading"/>
    <w:next w:val="Normal"/>
    <w:qFormat/>
    <w:rsid w:val="004D2421"/>
    <w:pPr>
      <w:keepNext/>
      <w:numPr>
        <w:ilvl w:val="1"/>
        <w:numId w:val="2"/>
      </w:numPr>
    </w:pPr>
  </w:style>
  <w:style w:type="paragraph" w:customStyle="1" w:styleId="AppendixThird">
    <w:name w:val="Appendix Third"/>
    <w:basedOn w:val="Normal"/>
    <w:next w:val="Normal"/>
    <w:qFormat/>
    <w:rsid w:val="004D2421"/>
    <w:pPr>
      <w:keepNext/>
      <w:numPr>
        <w:ilvl w:val="2"/>
        <w:numId w:val="2"/>
      </w:numPr>
      <w:autoSpaceDE/>
      <w:autoSpaceDN/>
      <w:adjustRightInd/>
      <w:spacing w:before="200"/>
      <w:outlineLvl w:val="2"/>
    </w:pPr>
    <w:rPr>
      <w:rFonts w:ascii="Calibri" w:hAnsi="Calibri"/>
      <w:b/>
      <w:szCs w:val="22"/>
      <w:lang w:eastAsia="zh-CN"/>
    </w:rPr>
  </w:style>
  <w:style w:type="paragraph" w:customStyle="1" w:styleId="CaptionFollowon">
    <w:name w:val="Caption Follow on"/>
    <w:basedOn w:val="Caption"/>
    <w:next w:val="Normal"/>
    <w:qFormat/>
    <w:rsid w:val="004D2421"/>
    <w:pPr>
      <w:spacing w:before="0"/>
      <w:ind w:firstLine="0"/>
    </w:pPr>
  </w:style>
  <w:style w:type="character" w:customStyle="1" w:styleId="BodyText2Char">
    <w:name w:val="Body Text 2 Char"/>
    <w:basedOn w:val="DefaultParagraphFont"/>
    <w:link w:val="BodyText2"/>
    <w:semiHidden/>
    <w:rsid w:val="004D2421"/>
    <w:rPr>
      <w:rFonts w:ascii="Calibri" w:eastAsia="Times New Roman" w:hAnsi="Calibri" w:cs="Times New Roman"/>
      <w:sz w:val="22"/>
      <w:szCs w:val="22"/>
      <w:lang w:eastAsia="zh-CN"/>
    </w:rPr>
  </w:style>
  <w:style w:type="paragraph" w:styleId="BodyText2">
    <w:name w:val="Body Text 2"/>
    <w:basedOn w:val="Normal"/>
    <w:link w:val="BodyText2Char"/>
    <w:semiHidden/>
    <w:unhideWhenUsed/>
    <w:rsid w:val="004D2421"/>
    <w:pPr>
      <w:autoSpaceDE/>
      <w:autoSpaceDN/>
      <w:adjustRightInd/>
      <w:spacing w:before="200" w:after="120" w:line="480" w:lineRule="auto"/>
    </w:pPr>
    <w:rPr>
      <w:rFonts w:ascii="Calibri" w:hAnsi="Calibri"/>
      <w:sz w:val="22"/>
      <w:szCs w:val="22"/>
      <w:lang w:eastAsia="zh-CN"/>
    </w:rPr>
  </w:style>
  <w:style w:type="character" w:customStyle="1" w:styleId="BodyText2Char1">
    <w:name w:val="Body Text 2 Char1"/>
    <w:basedOn w:val="DefaultParagraphFont"/>
    <w:uiPriority w:val="99"/>
    <w:semiHidden/>
    <w:rsid w:val="004D2421"/>
    <w:rPr>
      <w:rFonts w:ascii="Times New Roman" w:eastAsia="Times New Roman" w:hAnsi="Times New Roman" w:cs="Times New Roman"/>
    </w:rPr>
  </w:style>
  <w:style w:type="character" w:customStyle="1" w:styleId="BodyText3Char">
    <w:name w:val="Body Text 3 Char"/>
    <w:basedOn w:val="DefaultParagraphFont"/>
    <w:link w:val="BodyText3"/>
    <w:semiHidden/>
    <w:rsid w:val="004D2421"/>
    <w:rPr>
      <w:rFonts w:ascii="Calibri" w:eastAsia="Times New Roman" w:hAnsi="Calibri" w:cs="Times New Roman"/>
      <w:sz w:val="16"/>
      <w:szCs w:val="16"/>
      <w:lang w:eastAsia="zh-CN"/>
    </w:rPr>
  </w:style>
  <w:style w:type="paragraph" w:styleId="BodyText3">
    <w:name w:val="Body Text 3"/>
    <w:basedOn w:val="Normal"/>
    <w:link w:val="BodyText3Char"/>
    <w:semiHidden/>
    <w:unhideWhenUsed/>
    <w:rsid w:val="004D2421"/>
    <w:pPr>
      <w:autoSpaceDE/>
      <w:autoSpaceDN/>
      <w:adjustRightInd/>
      <w:spacing w:before="200" w:after="120"/>
    </w:pPr>
    <w:rPr>
      <w:rFonts w:ascii="Calibri" w:hAnsi="Calibri"/>
      <w:sz w:val="16"/>
      <w:szCs w:val="16"/>
      <w:lang w:eastAsia="zh-CN"/>
    </w:rPr>
  </w:style>
  <w:style w:type="character" w:customStyle="1" w:styleId="BodyText3Char1">
    <w:name w:val="Body Text 3 Char1"/>
    <w:basedOn w:val="DefaultParagraphFont"/>
    <w:uiPriority w:val="99"/>
    <w:semiHidden/>
    <w:rsid w:val="004D2421"/>
    <w:rPr>
      <w:rFonts w:ascii="Times New Roman" w:eastAsia="Times New Roman" w:hAnsi="Times New Roman" w:cs="Times New Roman"/>
      <w:sz w:val="16"/>
      <w:szCs w:val="16"/>
    </w:rPr>
  </w:style>
  <w:style w:type="character" w:customStyle="1" w:styleId="BodyTextFirstIndent2Char">
    <w:name w:val="Body Text First Indent 2 Char"/>
    <w:basedOn w:val="BodyTextIndentChar"/>
    <w:link w:val="BodyTextFirstIndent2"/>
    <w:semiHidden/>
    <w:rsid w:val="004D2421"/>
    <w:rPr>
      <w:rFonts w:ascii="Calibri" w:eastAsia="Times New Roman" w:hAnsi="Calibri" w:cs="Times New Roman"/>
      <w:sz w:val="22"/>
      <w:szCs w:val="22"/>
      <w:lang w:eastAsia="zh-CN"/>
    </w:rPr>
  </w:style>
  <w:style w:type="paragraph" w:styleId="BodyTextFirstIndent2">
    <w:name w:val="Body Text First Indent 2"/>
    <w:basedOn w:val="BodyTextIndent"/>
    <w:link w:val="BodyTextFirstIndent2Char"/>
    <w:semiHidden/>
    <w:unhideWhenUsed/>
    <w:rsid w:val="004D2421"/>
    <w:pPr>
      <w:ind w:left="360" w:firstLine="360"/>
    </w:pPr>
  </w:style>
  <w:style w:type="character" w:customStyle="1" w:styleId="BodyTextFirstIndent2Char1">
    <w:name w:val="Body Text First Indent 2 Char1"/>
    <w:basedOn w:val="BodyTextIndentChar1"/>
    <w:uiPriority w:val="99"/>
    <w:semiHidden/>
    <w:rsid w:val="004D2421"/>
    <w:rPr>
      <w:rFonts w:ascii="Times New Roman" w:eastAsia="Times New Roman" w:hAnsi="Times New Roman" w:cs="Times New Roman"/>
    </w:rPr>
  </w:style>
  <w:style w:type="character" w:customStyle="1" w:styleId="BodyTextIndent2Char">
    <w:name w:val="Body Text Indent 2 Char"/>
    <w:basedOn w:val="DefaultParagraphFont"/>
    <w:link w:val="BodyTextIndent2"/>
    <w:semiHidden/>
    <w:rsid w:val="004D2421"/>
    <w:rPr>
      <w:rFonts w:ascii="Calibri" w:eastAsia="Times New Roman" w:hAnsi="Calibri" w:cs="Times New Roman"/>
      <w:sz w:val="22"/>
      <w:szCs w:val="22"/>
      <w:lang w:eastAsia="zh-CN"/>
    </w:rPr>
  </w:style>
  <w:style w:type="paragraph" w:styleId="BodyTextIndent2">
    <w:name w:val="Body Text Indent 2"/>
    <w:basedOn w:val="Normal"/>
    <w:link w:val="BodyTextIndent2Char"/>
    <w:semiHidden/>
    <w:unhideWhenUsed/>
    <w:rsid w:val="004D2421"/>
    <w:pPr>
      <w:autoSpaceDE/>
      <w:autoSpaceDN/>
      <w:adjustRightInd/>
      <w:spacing w:before="200" w:after="120" w:line="480" w:lineRule="auto"/>
      <w:ind w:left="283"/>
    </w:pPr>
    <w:rPr>
      <w:rFonts w:ascii="Calibri" w:hAnsi="Calibri"/>
      <w:sz w:val="22"/>
      <w:szCs w:val="22"/>
      <w:lang w:eastAsia="zh-CN"/>
    </w:rPr>
  </w:style>
  <w:style w:type="character" w:customStyle="1" w:styleId="BodyTextIndent2Char1">
    <w:name w:val="Body Text Indent 2 Char1"/>
    <w:basedOn w:val="DefaultParagraphFont"/>
    <w:uiPriority w:val="99"/>
    <w:semiHidden/>
    <w:rsid w:val="004D2421"/>
    <w:rPr>
      <w:rFonts w:ascii="Times New Roman" w:eastAsia="Times New Roman" w:hAnsi="Times New Roman" w:cs="Times New Roman"/>
    </w:rPr>
  </w:style>
  <w:style w:type="character" w:customStyle="1" w:styleId="BodyTextIndent3Char">
    <w:name w:val="Body Text Indent 3 Char"/>
    <w:basedOn w:val="DefaultParagraphFont"/>
    <w:link w:val="BodyTextIndent3"/>
    <w:semiHidden/>
    <w:rsid w:val="004D2421"/>
    <w:rPr>
      <w:rFonts w:ascii="Calibri" w:eastAsia="Times New Roman" w:hAnsi="Calibri" w:cs="Times New Roman"/>
      <w:sz w:val="16"/>
      <w:szCs w:val="16"/>
      <w:lang w:eastAsia="zh-CN"/>
    </w:rPr>
  </w:style>
  <w:style w:type="paragraph" w:styleId="BodyTextIndent3">
    <w:name w:val="Body Text Indent 3"/>
    <w:basedOn w:val="Normal"/>
    <w:link w:val="BodyTextIndent3Char"/>
    <w:semiHidden/>
    <w:unhideWhenUsed/>
    <w:rsid w:val="004D2421"/>
    <w:pPr>
      <w:autoSpaceDE/>
      <w:autoSpaceDN/>
      <w:adjustRightInd/>
      <w:spacing w:before="200" w:after="120"/>
      <w:ind w:left="283"/>
    </w:pPr>
    <w:rPr>
      <w:rFonts w:ascii="Calibri" w:hAnsi="Calibri"/>
      <w:sz w:val="16"/>
      <w:szCs w:val="16"/>
      <w:lang w:eastAsia="zh-CN"/>
    </w:rPr>
  </w:style>
  <w:style w:type="character" w:customStyle="1" w:styleId="BodyTextIndent3Char1">
    <w:name w:val="Body Text Indent 3 Char1"/>
    <w:basedOn w:val="DefaultParagraphFont"/>
    <w:uiPriority w:val="99"/>
    <w:semiHidden/>
    <w:rsid w:val="004D2421"/>
    <w:rPr>
      <w:rFonts w:ascii="Times New Roman" w:eastAsia="Times New Roman" w:hAnsi="Times New Roman" w:cs="Times New Roman"/>
      <w:sz w:val="16"/>
      <w:szCs w:val="16"/>
    </w:rPr>
  </w:style>
  <w:style w:type="character" w:customStyle="1" w:styleId="ClosingChar">
    <w:name w:val="Closing Char"/>
    <w:basedOn w:val="DefaultParagraphFont"/>
    <w:link w:val="Closing"/>
    <w:semiHidden/>
    <w:rsid w:val="004D2421"/>
    <w:rPr>
      <w:rFonts w:ascii="Calibri" w:eastAsia="Times New Roman" w:hAnsi="Calibri" w:cs="Times New Roman"/>
      <w:sz w:val="22"/>
      <w:szCs w:val="22"/>
      <w:lang w:eastAsia="zh-CN"/>
    </w:rPr>
  </w:style>
  <w:style w:type="paragraph" w:styleId="Closing">
    <w:name w:val="Closing"/>
    <w:basedOn w:val="Normal"/>
    <w:link w:val="ClosingChar"/>
    <w:semiHidden/>
    <w:unhideWhenUsed/>
    <w:rsid w:val="004D2421"/>
    <w:pPr>
      <w:autoSpaceDE/>
      <w:autoSpaceDN/>
      <w:adjustRightInd/>
      <w:spacing w:line="240" w:lineRule="auto"/>
      <w:ind w:left="4252"/>
    </w:pPr>
    <w:rPr>
      <w:rFonts w:ascii="Calibri" w:hAnsi="Calibri"/>
      <w:sz w:val="22"/>
      <w:szCs w:val="22"/>
      <w:lang w:eastAsia="zh-CN"/>
    </w:rPr>
  </w:style>
  <w:style w:type="character" w:customStyle="1" w:styleId="ClosingChar1">
    <w:name w:val="Closing Char1"/>
    <w:basedOn w:val="DefaultParagraphFont"/>
    <w:uiPriority w:val="99"/>
    <w:semiHidden/>
    <w:rsid w:val="004D2421"/>
    <w:rPr>
      <w:rFonts w:ascii="Times New Roman" w:eastAsia="Times New Roman" w:hAnsi="Times New Roman" w:cs="Times New Roman"/>
    </w:rPr>
  </w:style>
  <w:style w:type="paragraph" w:styleId="CommentText">
    <w:name w:val="annotation text"/>
    <w:basedOn w:val="Normal"/>
    <w:link w:val="CommentTextChar"/>
    <w:uiPriority w:val="99"/>
    <w:unhideWhenUsed/>
    <w:rsid w:val="004D2421"/>
    <w:pPr>
      <w:autoSpaceDE/>
      <w:autoSpaceDN/>
      <w:adjustRightInd/>
      <w:spacing w:before="200" w:line="240" w:lineRule="auto"/>
    </w:pPr>
    <w:rPr>
      <w:rFonts w:ascii="Calibri" w:hAnsi="Calibri"/>
      <w:sz w:val="20"/>
      <w:szCs w:val="20"/>
      <w:lang w:eastAsia="zh-CN"/>
    </w:rPr>
  </w:style>
  <w:style w:type="character" w:customStyle="1" w:styleId="CommentTextChar">
    <w:name w:val="Comment Text Char"/>
    <w:basedOn w:val="DefaultParagraphFont"/>
    <w:link w:val="CommentText"/>
    <w:uiPriority w:val="99"/>
    <w:rsid w:val="004D2421"/>
    <w:rPr>
      <w:rFonts w:ascii="Calibri" w:eastAsia="Times New Roman" w:hAnsi="Calibri" w:cs="Times New Roman"/>
      <w:sz w:val="20"/>
      <w:szCs w:val="20"/>
      <w:lang w:eastAsia="zh-CN"/>
    </w:rPr>
  </w:style>
  <w:style w:type="character" w:customStyle="1" w:styleId="CommentSubjectChar">
    <w:name w:val="Comment Subject Char"/>
    <w:basedOn w:val="CommentTextChar"/>
    <w:link w:val="CommentSubject"/>
    <w:uiPriority w:val="99"/>
    <w:semiHidden/>
    <w:rsid w:val="004D2421"/>
    <w:rPr>
      <w:rFonts w:ascii="Calibri" w:eastAsia="Times New Roman" w:hAnsi="Calibri" w:cs="Times New Roman"/>
      <w:b/>
      <w:bCs/>
      <w:sz w:val="20"/>
      <w:szCs w:val="20"/>
      <w:lang w:eastAsia="zh-CN"/>
    </w:rPr>
  </w:style>
  <w:style w:type="paragraph" w:styleId="CommentSubject">
    <w:name w:val="annotation subject"/>
    <w:basedOn w:val="CommentText"/>
    <w:next w:val="CommentText"/>
    <w:link w:val="CommentSubjectChar"/>
    <w:uiPriority w:val="99"/>
    <w:semiHidden/>
    <w:unhideWhenUsed/>
    <w:rsid w:val="004D2421"/>
    <w:rPr>
      <w:b/>
      <w:bCs/>
    </w:rPr>
  </w:style>
  <w:style w:type="character" w:customStyle="1" w:styleId="CommentSubjectChar1">
    <w:name w:val="Comment Subject Char1"/>
    <w:basedOn w:val="CommentTextChar"/>
    <w:uiPriority w:val="99"/>
    <w:semiHidden/>
    <w:rsid w:val="004D2421"/>
    <w:rPr>
      <w:rFonts w:ascii="Calibri" w:eastAsia="Times New Roman" w:hAnsi="Calibri" w:cs="Times New Roman"/>
      <w:b/>
      <w:bCs/>
      <w:sz w:val="20"/>
      <w:szCs w:val="20"/>
      <w:lang w:eastAsia="zh-CN"/>
    </w:rPr>
  </w:style>
  <w:style w:type="paragraph" w:styleId="Date">
    <w:name w:val="Date"/>
    <w:basedOn w:val="Normal"/>
    <w:next w:val="Normal"/>
    <w:link w:val="DateChar"/>
    <w:rsid w:val="004D2421"/>
    <w:pPr>
      <w:autoSpaceDE/>
      <w:autoSpaceDN/>
      <w:adjustRightInd/>
      <w:spacing w:before="200"/>
    </w:pPr>
    <w:rPr>
      <w:rFonts w:ascii="Calibri" w:hAnsi="Calibri"/>
      <w:sz w:val="22"/>
      <w:szCs w:val="22"/>
      <w:lang w:eastAsia="zh-CN"/>
    </w:rPr>
  </w:style>
  <w:style w:type="character" w:customStyle="1" w:styleId="DateChar">
    <w:name w:val="Date Char"/>
    <w:basedOn w:val="DefaultParagraphFont"/>
    <w:link w:val="Date"/>
    <w:rsid w:val="004D2421"/>
    <w:rPr>
      <w:rFonts w:ascii="Calibri" w:eastAsia="Times New Roman" w:hAnsi="Calibri" w:cs="Times New Roman"/>
      <w:sz w:val="22"/>
      <w:szCs w:val="22"/>
      <w:lang w:eastAsia="zh-CN"/>
    </w:rPr>
  </w:style>
  <w:style w:type="character" w:customStyle="1" w:styleId="E-mailSignatureChar">
    <w:name w:val="E-mail Signature Char"/>
    <w:basedOn w:val="DefaultParagraphFont"/>
    <w:link w:val="E-mailSignature"/>
    <w:semiHidden/>
    <w:rsid w:val="004D2421"/>
    <w:rPr>
      <w:rFonts w:ascii="Calibri" w:eastAsia="Times New Roman" w:hAnsi="Calibri" w:cs="Times New Roman"/>
      <w:sz w:val="22"/>
      <w:szCs w:val="22"/>
      <w:lang w:eastAsia="zh-CN"/>
    </w:rPr>
  </w:style>
  <w:style w:type="paragraph" w:styleId="E-mailSignature">
    <w:name w:val="E-mail Signature"/>
    <w:basedOn w:val="Normal"/>
    <w:link w:val="E-mailSignatureChar"/>
    <w:semiHidden/>
    <w:unhideWhenUsed/>
    <w:rsid w:val="004D2421"/>
    <w:pPr>
      <w:autoSpaceDE/>
      <w:autoSpaceDN/>
      <w:adjustRightInd/>
      <w:spacing w:line="240" w:lineRule="auto"/>
    </w:pPr>
    <w:rPr>
      <w:rFonts w:ascii="Calibri" w:hAnsi="Calibri"/>
      <w:sz w:val="22"/>
      <w:szCs w:val="22"/>
      <w:lang w:eastAsia="zh-CN"/>
    </w:rPr>
  </w:style>
  <w:style w:type="character" w:customStyle="1" w:styleId="E-mailSignatureChar1">
    <w:name w:val="E-mail Signature Char1"/>
    <w:basedOn w:val="DefaultParagraphFont"/>
    <w:uiPriority w:val="99"/>
    <w:semiHidden/>
    <w:rsid w:val="004D2421"/>
    <w:rPr>
      <w:rFonts w:ascii="Times New Roman" w:eastAsia="Times New Roman" w:hAnsi="Times New Roman" w:cs="Times New Roman"/>
    </w:rPr>
  </w:style>
  <w:style w:type="character" w:customStyle="1" w:styleId="EndnoteTextChar">
    <w:name w:val="Endnote Text Char"/>
    <w:basedOn w:val="DefaultParagraphFont"/>
    <w:link w:val="EndnoteText"/>
    <w:semiHidden/>
    <w:rsid w:val="004D2421"/>
    <w:rPr>
      <w:rFonts w:ascii="Calibri" w:eastAsia="Times New Roman" w:hAnsi="Calibri" w:cs="Times New Roman"/>
      <w:sz w:val="20"/>
      <w:szCs w:val="20"/>
      <w:lang w:eastAsia="zh-CN"/>
    </w:rPr>
  </w:style>
  <w:style w:type="paragraph" w:styleId="EndnoteText">
    <w:name w:val="endnote text"/>
    <w:basedOn w:val="Normal"/>
    <w:link w:val="EndnoteTextChar"/>
    <w:semiHidden/>
    <w:unhideWhenUsed/>
    <w:rsid w:val="004D2421"/>
    <w:pPr>
      <w:autoSpaceDE/>
      <w:autoSpaceDN/>
      <w:adjustRightInd/>
      <w:spacing w:line="240" w:lineRule="auto"/>
    </w:pPr>
    <w:rPr>
      <w:rFonts w:ascii="Calibri" w:hAnsi="Calibri"/>
      <w:sz w:val="20"/>
      <w:szCs w:val="20"/>
      <w:lang w:eastAsia="zh-CN"/>
    </w:rPr>
  </w:style>
  <w:style w:type="character" w:customStyle="1" w:styleId="EndnoteTextChar1">
    <w:name w:val="Endnote Text Char1"/>
    <w:basedOn w:val="DefaultParagraphFont"/>
    <w:uiPriority w:val="99"/>
    <w:semiHidden/>
    <w:rsid w:val="004D2421"/>
    <w:rPr>
      <w:rFonts w:ascii="Times New Roman" w:eastAsia="Times New Roman" w:hAnsi="Times New Roman" w:cs="Times New Roman"/>
    </w:rPr>
  </w:style>
  <w:style w:type="paragraph" w:styleId="EnvelopeAddress">
    <w:name w:val="envelope address"/>
    <w:basedOn w:val="Normal"/>
    <w:semiHidden/>
    <w:unhideWhenUsed/>
    <w:rsid w:val="004D2421"/>
    <w:pPr>
      <w:framePr w:w="7920" w:h="1980" w:hRule="exact" w:hSpace="180" w:wrap="auto" w:hAnchor="page" w:xAlign="center" w:yAlign="bottom"/>
      <w:autoSpaceDE/>
      <w:autoSpaceDN/>
      <w:adjustRightInd/>
      <w:spacing w:line="240" w:lineRule="auto"/>
      <w:ind w:left="2880"/>
    </w:pPr>
    <w:rPr>
      <w:rFonts w:asciiTheme="majorHAnsi" w:eastAsiaTheme="majorEastAsia" w:hAnsiTheme="majorHAnsi" w:cstheme="majorBidi"/>
      <w:lang w:eastAsia="zh-CN"/>
    </w:rPr>
  </w:style>
  <w:style w:type="character" w:customStyle="1" w:styleId="FootnoteTextChar">
    <w:name w:val="Footnote Text Char"/>
    <w:basedOn w:val="DefaultParagraphFont"/>
    <w:link w:val="FootnoteText"/>
    <w:rsid w:val="004D2421"/>
    <w:rPr>
      <w:rFonts w:ascii="Calibri" w:eastAsia="Times New Roman" w:hAnsi="Calibri" w:cs="Times New Roman"/>
      <w:sz w:val="20"/>
      <w:szCs w:val="20"/>
      <w:lang w:eastAsia="zh-CN"/>
    </w:rPr>
  </w:style>
  <w:style w:type="paragraph" w:styleId="FootnoteText">
    <w:name w:val="footnote text"/>
    <w:basedOn w:val="Normal"/>
    <w:link w:val="FootnoteTextChar"/>
    <w:unhideWhenUsed/>
    <w:rsid w:val="004D2421"/>
    <w:pPr>
      <w:autoSpaceDE/>
      <w:autoSpaceDN/>
      <w:adjustRightInd/>
      <w:spacing w:line="240" w:lineRule="auto"/>
    </w:pPr>
    <w:rPr>
      <w:rFonts w:ascii="Calibri" w:hAnsi="Calibri"/>
      <w:sz w:val="20"/>
      <w:szCs w:val="20"/>
      <w:lang w:eastAsia="zh-CN"/>
    </w:rPr>
  </w:style>
  <w:style w:type="character" w:customStyle="1" w:styleId="FootnoteTextChar1">
    <w:name w:val="Footnote Text Char1"/>
    <w:basedOn w:val="DefaultParagraphFont"/>
    <w:uiPriority w:val="99"/>
    <w:semiHidden/>
    <w:rsid w:val="004D2421"/>
    <w:rPr>
      <w:rFonts w:ascii="Times New Roman" w:eastAsia="Times New Roman" w:hAnsi="Times New Roman" w:cs="Times New Roman"/>
    </w:rPr>
  </w:style>
  <w:style w:type="character" w:customStyle="1" w:styleId="HTMLAddressChar">
    <w:name w:val="HTML Address Char"/>
    <w:basedOn w:val="DefaultParagraphFont"/>
    <w:link w:val="HTMLAddress"/>
    <w:semiHidden/>
    <w:rsid w:val="004D2421"/>
    <w:rPr>
      <w:rFonts w:ascii="Calibri" w:eastAsia="Times New Roman" w:hAnsi="Calibri" w:cs="Times New Roman"/>
      <w:i/>
      <w:iCs/>
      <w:sz w:val="22"/>
      <w:szCs w:val="22"/>
      <w:lang w:eastAsia="zh-CN"/>
    </w:rPr>
  </w:style>
  <w:style w:type="paragraph" w:styleId="HTMLAddress">
    <w:name w:val="HTML Address"/>
    <w:basedOn w:val="Normal"/>
    <w:link w:val="HTMLAddressChar"/>
    <w:semiHidden/>
    <w:unhideWhenUsed/>
    <w:rsid w:val="004D2421"/>
    <w:pPr>
      <w:autoSpaceDE/>
      <w:autoSpaceDN/>
      <w:adjustRightInd/>
      <w:spacing w:line="240" w:lineRule="auto"/>
    </w:pPr>
    <w:rPr>
      <w:rFonts w:ascii="Calibri" w:hAnsi="Calibri"/>
      <w:i/>
      <w:iCs/>
      <w:sz w:val="22"/>
      <w:szCs w:val="22"/>
      <w:lang w:eastAsia="zh-CN"/>
    </w:rPr>
  </w:style>
  <w:style w:type="character" w:customStyle="1" w:styleId="HTMLAddressChar1">
    <w:name w:val="HTML Address Char1"/>
    <w:basedOn w:val="DefaultParagraphFont"/>
    <w:uiPriority w:val="99"/>
    <w:semiHidden/>
    <w:rsid w:val="004D2421"/>
    <w:rPr>
      <w:rFonts w:ascii="Times New Roman" w:eastAsia="Times New Roman" w:hAnsi="Times New Roman" w:cs="Times New Roman"/>
      <w:i/>
      <w:iCs/>
    </w:rPr>
  </w:style>
  <w:style w:type="character" w:customStyle="1" w:styleId="HTMLPreformattedChar">
    <w:name w:val="HTML Preformatted Char"/>
    <w:basedOn w:val="DefaultParagraphFont"/>
    <w:link w:val="HTMLPreformatted"/>
    <w:semiHidden/>
    <w:rsid w:val="004D2421"/>
    <w:rPr>
      <w:rFonts w:ascii="Consolas" w:eastAsia="Times New Roman" w:hAnsi="Consolas" w:cs="Times New Roman"/>
      <w:sz w:val="20"/>
      <w:szCs w:val="20"/>
      <w:lang w:eastAsia="zh-CN"/>
    </w:rPr>
  </w:style>
  <w:style w:type="paragraph" w:styleId="HTMLPreformatted">
    <w:name w:val="HTML Preformatted"/>
    <w:basedOn w:val="Normal"/>
    <w:link w:val="HTMLPreformattedChar"/>
    <w:semiHidden/>
    <w:unhideWhenUsed/>
    <w:rsid w:val="004D2421"/>
    <w:pPr>
      <w:autoSpaceDE/>
      <w:autoSpaceDN/>
      <w:adjustRightInd/>
      <w:spacing w:line="240" w:lineRule="auto"/>
    </w:pPr>
    <w:rPr>
      <w:rFonts w:ascii="Consolas" w:hAnsi="Consolas"/>
      <w:sz w:val="20"/>
      <w:szCs w:val="20"/>
      <w:lang w:eastAsia="zh-CN"/>
    </w:rPr>
  </w:style>
  <w:style w:type="character" w:customStyle="1" w:styleId="HTMLPreformattedChar1">
    <w:name w:val="HTML Preformatted Char1"/>
    <w:basedOn w:val="DefaultParagraphFont"/>
    <w:uiPriority w:val="99"/>
    <w:semiHidden/>
    <w:rsid w:val="004D2421"/>
    <w:rPr>
      <w:rFonts w:ascii="Courier" w:eastAsia="Times New Roman" w:hAnsi="Courier" w:cs="Times New Roman"/>
      <w:sz w:val="20"/>
      <w:szCs w:val="20"/>
    </w:rPr>
  </w:style>
  <w:style w:type="paragraph" w:styleId="Index1">
    <w:name w:val="index 1"/>
    <w:basedOn w:val="Normal"/>
    <w:next w:val="Normal"/>
    <w:autoRedefine/>
    <w:semiHidden/>
    <w:unhideWhenUsed/>
    <w:rsid w:val="004D2421"/>
    <w:pPr>
      <w:autoSpaceDE/>
      <w:autoSpaceDN/>
      <w:adjustRightInd/>
      <w:spacing w:line="240" w:lineRule="auto"/>
      <w:ind w:left="220" w:hanging="220"/>
    </w:pPr>
    <w:rPr>
      <w:rFonts w:ascii="Calibri" w:hAnsi="Calibri"/>
      <w:sz w:val="22"/>
      <w:szCs w:val="22"/>
      <w:lang w:eastAsia="zh-CN"/>
    </w:rPr>
  </w:style>
  <w:style w:type="paragraph" w:styleId="List">
    <w:name w:val="List"/>
    <w:basedOn w:val="Normal"/>
    <w:semiHidden/>
    <w:unhideWhenUsed/>
    <w:rsid w:val="004D2421"/>
    <w:pPr>
      <w:autoSpaceDE/>
      <w:autoSpaceDN/>
      <w:adjustRightInd/>
      <w:spacing w:before="200"/>
      <w:ind w:left="283" w:hanging="283"/>
      <w:contextualSpacing/>
    </w:pPr>
    <w:rPr>
      <w:rFonts w:ascii="Calibri" w:hAnsi="Calibri"/>
      <w:sz w:val="22"/>
      <w:szCs w:val="22"/>
      <w:lang w:eastAsia="zh-CN"/>
    </w:rPr>
  </w:style>
  <w:style w:type="paragraph" w:styleId="ListBullet">
    <w:name w:val="List Bullet"/>
    <w:basedOn w:val="Normal"/>
    <w:semiHidden/>
    <w:unhideWhenUsed/>
    <w:rsid w:val="004D2421"/>
    <w:pPr>
      <w:numPr>
        <w:numId w:val="4"/>
      </w:numPr>
      <w:autoSpaceDE/>
      <w:autoSpaceDN/>
      <w:adjustRightInd/>
      <w:spacing w:before="200"/>
      <w:contextualSpacing/>
    </w:pPr>
    <w:rPr>
      <w:rFonts w:ascii="Calibri" w:hAnsi="Calibri"/>
      <w:sz w:val="22"/>
      <w:szCs w:val="22"/>
      <w:lang w:eastAsia="zh-CN"/>
    </w:rPr>
  </w:style>
  <w:style w:type="paragraph" w:styleId="ListBullet2">
    <w:name w:val="List Bullet 2"/>
    <w:basedOn w:val="Normal"/>
    <w:semiHidden/>
    <w:unhideWhenUsed/>
    <w:rsid w:val="004D2421"/>
    <w:pPr>
      <w:numPr>
        <w:numId w:val="5"/>
      </w:numPr>
      <w:autoSpaceDE/>
      <w:autoSpaceDN/>
      <w:adjustRightInd/>
      <w:spacing w:before="200"/>
      <w:contextualSpacing/>
    </w:pPr>
    <w:rPr>
      <w:rFonts w:ascii="Calibri" w:hAnsi="Calibri"/>
      <w:sz w:val="22"/>
      <w:szCs w:val="22"/>
      <w:lang w:eastAsia="zh-CN"/>
    </w:rPr>
  </w:style>
  <w:style w:type="paragraph" w:styleId="ListBullet3">
    <w:name w:val="List Bullet 3"/>
    <w:basedOn w:val="Normal"/>
    <w:semiHidden/>
    <w:unhideWhenUsed/>
    <w:rsid w:val="004D2421"/>
    <w:pPr>
      <w:numPr>
        <w:numId w:val="6"/>
      </w:numPr>
      <w:autoSpaceDE/>
      <w:autoSpaceDN/>
      <w:adjustRightInd/>
      <w:spacing w:before="200"/>
      <w:contextualSpacing/>
    </w:pPr>
    <w:rPr>
      <w:rFonts w:ascii="Calibri" w:hAnsi="Calibri"/>
      <w:sz w:val="22"/>
      <w:szCs w:val="22"/>
      <w:lang w:eastAsia="zh-CN"/>
    </w:rPr>
  </w:style>
  <w:style w:type="paragraph" w:styleId="ListBullet4">
    <w:name w:val="List Bullet 4"/>
    <w:basedOn w:val="Normal"/>
    <w:semiHidden/>
    <w:unhideWhenUsed/>
    <w:rsid w:val="004D2421"/>
    <w:pPr>
      <w:numPr>
        <w:numId w:val="7"/>
      </w:numPr>
      <w:autoSpaceDE/>
      <w:autoSpaceDN/>
      <w:adjustRightInd/>
      <w:spacing w:before="200"/>
      <w:contextualSpacing/>
    </w:pPr>
    <w:rPr>
      <w:rFonts w:ascii="Calibri" w:hAnsi="Calibri"/>
      <w:sz w:val="22"/>
      <w:szCs w:val="22"/>
      <w:lang w:eastAsia="zh-CN"/>
    </w:rPr>
  </w:style>
  <w:style w:type="paragraph" w:styleId="ListBullet5">
    <w:name w:val="List Bullet 5"/>
    <w:basedOn w:val="Normal"/>
    <w:semiHidden/>
    <w:unhideWhenUsed/>
    <w:rsid w:val="004D2421"/>
    <w:pPr>
      <w:numPr>
        <w:numId w:val="8"/>
      </w:numPr>
      <w:autoSpaceDE/>
      <w:autoSpaceDN/>
      <w:adjustRightInd/>
      <w:spacing w:before="200"/>
      <w:contextualSpacing/>
    </w:pPr>
    <w:rPr>
      <w:rFonts w:ascii="Calibri" w:hAnsi="Calibri"/>
      <w:sz w:val="22"/>
      <w:szCs w:val="22"/>
      <w:lang w:eastAsia="zh-CN"/>
    </w:rPr>
  </w:style>
  <w:style w:type="paragraph" w:styleId="ListNumber">
    <w:name w:val="List Number"/>
    <w:basedOn w:val="Normal"/>
    <w:rsid w:val="004D2421"/>
    <w:pPr>
      <w:numPr>
        <w:numId w:val="9"/>
      </w:numPr>
      <w:autoSpaceDE/>
      <w:autoSpaceDN/>
      <w:adjustRightInd/>
      <w:spacing w:before="200"/>
      <w:ind w:left="357" w:hanging="357"/>
      <w:contextualSpacing/>
    </w:pPr>
    <w:rPr>
      <w:rFonts w:ascii="Calibri" w:hAnsi="Calibri"/>
      <w:sz w:val="22"/>
      <w:szCs w:val="22"/>
      <w:lang w:eastAsia="zh-CN"/>
    </w:rPr>
  </w:style>
  <w:style w:type="paragraph" w:styleId="ListNumber2">
    <w:name w:val="List Number 2"/>
    <w:basedOn w:val="Normal"/>
    <w:semiHidden/>
    <w:unhideWhenUsed/>
    <w:rsid w:val="004D2421"/>
    <w:pPr>
      <w:numPr>
        <w:numId w:val="10"/>
      </w:numPr>
      <w:autoSpaceDE/>
      <w:autoSpaceDN/>
      <w:adjustRightInd/>
      <w:spacing w:before="200"/>
      <w:contextualSpacing/>
    </w:pPr>
    <w:rPr>
      <w:rFonts w:ascii="Calibri" w:hAnsi="Calibri"/>
      <w:sz w:val="22"/>
      <w:szCs w:val="22"/>
      <w:lang w:eastAsia="zh-CN"/>
    </w:rPr>
  </w:style>
  <w:style w:type="paragraph" w:styleId="ListNumber3">
    <w:name w:val="List Number 3"/>
    <w:basedOn w:val="Normal"/>
    <w:semiHidden/>
    <w:unhideWhenUsed/>
    <w:rsid w:val="004D2421"/>
    <w:pPr>
      <w:numPr>
        <w:numId w:val="11"/>
      </w:numPr>
      <w:autoSpaceDE/>
      <w:autoSpaceDN/>
      <w:adjustRightInd/>
      <w:spacing w:before="200"/>
      <w:contextualSpacing/>
    </w:pPr>
    <w:rPr>
      <w:rFonts w:ascii="Calibri" w:hAnsi="Calibri"/>
      <w:sz w:val="22"/>
      <w:szCs w:val="22"/>
      <w:lang w:eastAsia="zh-CN"/>
    </w:rPr>
  </w:style>
  <w:style w:type="paragraph" w:styleId="ListNumber4">
    <w:name w:val="List Number 4"/>
    <w:basedOn w:val="Normal"/>
    <w:semiHidden/>
    <w:unhideWhenUsed/>
    <w:rsid w:val="004D2421"/>
    <w:pPr>
      <w:numPr>
        <w:numId w:val="12"/>
      </w:numPr>
      <w:autoSpaceDE/>
      <w:autoSpaceDN/>
      <w:adjustRightInd/>
      <w:spacing w:before="200"/>
      <w:contextualSpacing/>
    </w:pPr>
    <w:rPr>
      <w:rFonts w:ascii="Calibri" w:hAnsi="Calibri"/>
      <w:sz w:val="22"/>
      <w:szCs w:val="22"/>
      <w:lang w:eastAsia="zh-CN"/>
    </w:rPr>
  </w:style>
  <w:style w:type="paragraph" w:styleId="ListNumber5">
    <w:name w:val="List Number 5"/>
    <w:basedOn w:val="Normal"/>
    <w:semiHidden/>
    <w:unhideWhenUsed/>
    <w:rsid w:val="004D2421"/>
    <w:pPr>
      <w:numPr>
        <w:numId w:val="13"/>
      </w:numPr>
      <w:autoSpaceDE/>
      <w:autoSpaceDN/>
      <w:adjustRightInd/>
      <w:spacing w:before="200"/>
      <w:contextualSpacing/>
    </w:pPr>
    <w:rPr>
      <w:rFonts w:ascii="Calibri" w:hAnsi="Calibri"/>
      <w:sz w:val="22"/>
      <w:szCs w:val="22"/>
      <w:lang w:eastAsia="zh-CN"/>
    </w:rPr>
  </w:style>
  <w:style w:type="character" w:customStyle="1" w:styleId="MacroTextChar">
    <w:name w:val="Macro Text Char"/>
    <w:basedOn w:val="DefaultParagraphFont"/>
    <w:link w:val="MacroText"/>
    <w:semiHidden/>
    <w:rsid w:val="004D2421"/>
    <w:rPr>
      <w:rFonts w:ascii="Consolas" w:eastAsia="Times New Roman" w:hAnsi="Consolas" w:cs="Times New Roman"/>
      <w:sz w:val="20"/>
      <w:szCs w:val="20"/>
      <w:lang w:eastAsia="zh-CN"/>
    </w:rPr>
  </w:style>
  <w:style w:type="paragraph" w:styleId="MacroText">
    <w:name w:val="macro"/>
    <w:link w:val="MacroTextChar"/>
    <w:semiHidden/>
    <w:unhideWhenUsed/>
    <w:rsid w:val="004D2421"/>
    <w:pPr>
      <w:tabs>
        <w:tab w:val="left" w:pos="480"/>
        <w:tab w:val="left" w:pos="960"/>
        <w:tab w:val="left" w:pos="1440"/>
        <w:tab w:val="left" w:pos="1920"/>
        <w:tab w:val="left" w:pos="2400"/>
        <w:tab w:val="left" w:pos="2880"/>
        <w:tab w:val="left" w:pos="3360"/>
        <w:tab w:val="left" w:pos="3840"/>
        <w:tab w:val="left" w:pos="4320"/>
      </w:tabs>
      <w:spacing w:before="200" w:line="360" w:lineRule="auto"/>
    </w:pPr>
    <w:rPr>
      <w:rFonts w:ascii="Consolas" w:eastAsia="Times New Roman" w:hAnsi="Consolas" w:cs="Times New Roman"/>
      <w:sz w:val="20"/>
      <w:szCs w:val="20"/>
      <w:lang w:eastAsia="zh-CN"/>
    </w:rPr>
  </w:style>
  <w:style w:type="character" w:customStyle="1" w:styleId="MacroTextChar1">
    <w:name w:val="Macro Text Char1"/>
    <w:basedOn w:val="DefaultParagraphFont"/>
    <w:uiPriority w:val="99"/>
    <w:semiHidden/>
    <w:rsid w:val="004D2421"/>
    <w:rPr>
      <w:rFonts w:ascii="Courier" w:eastAsia="Times New Roman" w:hAnsi="Courier" w:cs="Times New Roman"/>
      <w:sz w:val="20"/>
      <w:szCs w:val="20"/>
    </w:rPr>
  </w:style>
  <w:style w:type="character" w:customStyle="1" w:styleId="MessageHeaderChar">
    <w:name w:val="Message Header Char"/>
    <w:basedOn w:val="DefaultParagraphFont"/>
    <w:link w:val="MessageHeader"/>
    <w:semiHidden/>
    <w:rsid w:val="004D2421"/>
    <w:rPr>
      <w:rFonts w:asciiTheme="majorHAnsi" w:eastAsiaTheme="majorEastAsia" w:hAnsiTheme="majorHAnsi" w:cstheme="majorBidi"/>
      <w:shd w:val="pct20" w:color="auto" w:fill="auto"/>
      <w:lang w:eastAsia="zh-CN"/>
    </w:rPr>
  </w:style>
  <w:style w:type="paragraph" w:styleId="MessageHeader">
    <w:name w:val="Message Header"/>
    <w:basedOn w:val="Normal"/>
    <w:link w:val="MessageHeaderChar"/>
    <w:semiHidden/>
    <w:unhideWhenUsed/>
    <w:rsid w:val="004D2421"/>
    <w:pPr>
      <w:pBdr>
        <w:top w:val="single" w:sz="6" w:space="1" w:color="auto"/>
        <w:left w:val="single" w:sz="6" w:space="1" w:color="auto"/>
        <w:bottom w:val="single" w:sz="6" w:space="1" w:color="auto"/>
        <w:right w:val="single" w:sz="6" w:space="1" w:color="auto"/>
      </w:pBdr>
      <w:shd w:val="pct20" w:color="auto" w:fill="auto"/>
      <w:autoSpaceDE/>
      <w:autoSpaceDN/>
      <w:adjustRightInd/>
      <w:spacing w:line="240" w:lineRule="auto"/>
      <w:ind w:left="1134" w:hanging="1134"/>
    </w:pPr>
    <w:rPr>
      <w:rFonts w:asciiTheme="majorHAnsi" w:eastAsiaTheme="majorEastAsia" w:hAnsiTheme="majorHAnsi" w:cstheme="majorBidi"/>
      <w:lang w:eastAsia="zh-CN"/>
    </w:rPr>
  </w:style>
  <w:style w:type="character" w:customStyle="1" w:styleId="MessageHeaderChar1">
    <w:name w:val="Message Header Char1"/>
    <w:basedOn w:val="DefaultParagraphFont"/>
    <w:uiPriority w:val="99"/>
    <w:semiHidden/>
    <w:rsid w:val="004D2421"/>
    <w:rPr>
      <w:rFonts w:asciiTheme="majorHAnsi" w:eastAsiaTheme="majorEastAsia" w:hAnsiTheme="majorHAnsi" w:cstheme="majorBidi"/>
      <w:shd w:val="pct20" w:color="auto" w:fill="auto"/>
    </w:rPr>
  </w:style>
  <w:style w:type="paragraph" w:styleId="NoSpacing">
    <w:name w:val="No Spacing"/>
    <w:uiPriority w:val="1"/>
    <w:qFormat/>
    <w:rsid w:val="004D2421"/>
    <w:rPr>
      <w:rFonts w:ascii="Calibri" w:eastAsia="Times New Roman" w:hAnsi="Calibri" w:cs="Times New Roman"/>
      <w:sz w:val="22"/>
      <w:szCs w:val="22"/>
      <w:lang w:eastAsia="zh-CN"/>
    </w:rPr>
  </w:style>
  <w:style w:type="paragraph" w:styleId="NormalWeb">
    <w:name w:val="Normal (Web)"/>
    <w:basedOn w:val="Normal"/>
    <w:uiPriority w:val="99"/>
    <w:unhideWhenUsed/>
    <w:rsid w:val="004D2421"/>
    <w:pPr>
      <w:autoSpaceDE/>
      <w:autoSpaceDN/>
      <w:adjustRightInd/>
      <w:spacing w:before="200"/>
    </w:pPr>
    <w:rPr>
      <w:lang w:eastAsia="zh-CN"/>
    </w:rPr>
  </w:style>
  <w:style w:type="paragraph" w:styleId="NormalIndent">
    <w:name w:val="Normal Indent"/>
    <w:basedOn w:val="Normal"/>
    <w:semiHidden/>
    <w:unhideWhenUsed/>
    <w:rsid w:val="004D2421"/>
    <w:pPr>
      <w:autoSpaceDE/>
      <w:autoSpaceDN/>
      <w:adjustRightInd/>
      <w:spacing w:before="200"/>
      <w:ind w:left="720"/>
    </w:pPr>
    <w:rPr>
      <w:rFonts w:ascii="Calibri" w:hAnsi="Calibri"/>
      <w:sz w:val="22"/>
      <w:szCs w:val="22"/>
      <w:lang w:eastAsia="zh-CN"/>
    </w:rPr>
  </w:style>
  <w:style w:type="character" w:customStyle="1" w:styleId="NoteHeadingChar">
    <w:name w:val="Note Heading Char"/>
    <w:basedOn w:val="DefaultParagraphFont"/>
    <w:link w:val="NoteHeading"/>
    <w:semiHidden/>
    <w:rsid w:val="004D2421"/>
    <w:rPr>
      <w:rFonts w:ascii="Calibri" w:eastAsia="Times New Roman" w:hAnsi="Calibri" w:cs="Times New Roman"/>
      <w:sz w:val="22"/>
      <w:szCs w:val="22"/>
      <w:lang w:eastAsia="zh-CN"/>
    </w:rPr>
  </w:style>
  <w:style w:type="paragraph" w:styleId="NoteHeading">
    <w:name w:val="Note Heading"/>
    <w:basedOn w:val="Normal"/>
    <w:next w:val="Normal"/>
    <w:link w:val="NoteHeadingChar"/>
    <w:semiHidden/>
    <w:unhideWhenUsed/>
    <w:rsid w:val="004D2421"/>
    <w:pPr>
      <w:autoSpaceDE/>
      <w:autoSpaceDN/>
      <w:adjustRightInd/>
      <w:spacing w:line="240" w:lineRule="auto"/>
    </w:pPr>
    <w:rPr>
      <w:rFonts w:ascii="Calibri" w:hAnsi="Calibri"/>
      <w:sz w:val="22"/>
      <w:szCs w:val="22"/>
      <w:lang w:eastAsia="zh-CN"/>
    </w:rPr>
  </w:style>
  <w:style w:type="character" w:customStyle="1" w:styleId="NoteHeadingChar1">
    <w:name w:val="Note Heading Char1"/>
    <w:basedOn w:val="DefaultParagraphFont"/>
    <w:uiPriority w:val="99"/>
    <w:semiHidden/>
    <w:rsid w:val="004D2421"/>
    <w:rPr>
      <w:rFonts w:ascii="Times New Roman" w:eastAsia="Times New Roman" w:hAnsi="Times New Roman" w:cs="Times New Roman"/>
    </w:rPr>
  </w:style>
  <w:style w:type="character" w:customStyle="1" w:styleId="PlainTextChar">
    <w:name w:val="Plain Text Char"/>
    <w:basedOn w:val="DefaultParagraphFont"/>
    <w:link w:val="PlainText"/>
    <w:semiHidden/>
    <w:rsid w:val="004D2421"/>
    <w:rPr>
      <w:rFonts w:ascii="Consolas" w:eastAsia="Times New Roman" w:hAnsi="Consolas" w:cs="Times New Roman"/>
      <w:sz w:val="21"/>
      <w:szCs w:val="21"/>
      <w:lang w:eastAsia="zh-CN"/>
    </w:rPr>
  </w:style>
  <w:style w:type="paragraph" w:styleId="PlainText">
    <w:name w:val="Plain Text"/>
    <w:basedOn w:val="Normal"/>
    <w:link w:val="PlainTextChar"/>
    <w:semiHidden/>
    <w:unhideWhenUsed/>
    <w:rsid w:val="004D2421"/>
    <w:pPr>
      <w:autoSpaceDE/>
      <w:autoSpaceDN/>
      <w:adjustRightInd/>
      <w:spacing w:line="240" w:lineRule="auto"/>
    </w:pPr>
    <w:rPr>
      <w:rFonts w:ascii="Consolas" w:hAnsi="Consolas"/>
      <w:sz w:val="21"/>
      <w:szCs w:val="21"/>
      <w:lang w:eastAsia="zh-CN"/>
    </w:rPr>
  </w:style>
  <w:style w:type="character" w:customStyle="1" w:styleId="PlainTextChar1">
    <w:name w:val="Plain Text Char1"/>
    <w:basedOn w:val="DefaultParagraphFont"/>
    <w:uiPriority w:val="99"/>
    <w:semiHidden/>
    <w:rsid w:val="004D2421"/>
    <w:rPr>
      <w:rFonts w:ascii="Courier" w:eastAsia="Times New Roman" w:hAnsi="Courier" w:cs="Times New Roman"/>
      <w:sz w:val="21"/>
      <w:szCs w:val="21"/>
    </w:rPr>
  </w:style>
  <w:style w:type="character" w:customStyle="1" w:styleId="SignatureChar">
    <w:name w:val="Signature Char"/>
    <w:basedOn w:val="DefaultParagraphFont"/>
    <w:link w:val="Signature"/>
    <w:semiHidden/>
    <w:rsid w:val="004D2421"/>
    <w:rPr>
      <w:rFonts w:ascii="Calibri" w:eastAsia="Times New Roman" w:hAnsi="Calibri" w:cs="Times New Roman"/>
      <w:sz w:val="22"/>
      <w:szCs w:val="22"/>
      <w:lang w:eastAsia="zh-CN"/>
    </w:rPr>
  </w:style>
  <w:style w:type="paragraph" w:styleId="Signature">
    <w:name w:val="Signature"/>
    <w:basedOn w:val="Normal"/>
    <w:link w:val="SignatureChar"/>
    <w:semiHidden/>
    <w:unhideWhenUsed/>
    <w:rsid w:val="004D2421"/>
    <w:pPr>
      <w:autoSpaceDE/>
      <w:autoSpaceDN/>
      <w:adjustRightInd/>
      <w:spacing w:line="240" w:lineRule="auto"/>
      <w:ind w:left="4252"/>
    </w:pPr>
    <w:rPr>
      <w:rFonts w:ascii="Calibri" w:hAnsi="Calibri"/>
      <w:sz w:val="22"/>
      <w:szCs w:val="22"/>
      <w:lang w:eastAsia="zh-CN"/>
    </w:rPr>
  </w:style>
  <w:style w:type="character" w:customStyle="1" w:styleId="SignatureChar1">
    <w:name w:val="Signature Char1"/>
    <w:basedOn w:val="DefaultParagraphFont"/>
    <w:uiPriority w:val="99"/>
    <w:semiHidden/>
    <w:rsid w:val="004D2421"/>
    <w:rPr>
      <w:rFonts w:ascii="Times New Roman" w:eastAsia="Times New Roman" w:hAnsi="Times New Roman" w:cs="Times New Roman"/>
    </w:rPr>
  </w:style>
  <w:style w:type="paragraph" w:customStyle="1" w:styleId="FooterLandscapedEven">
    <w:name w:val="Footer Landscaped Even"/>
    <w:basedOn w:val="Footer"/>
    <w:qFormat/>
    <w:rsid w:val="004D2421"/>
    <w:pPr>
      <w:tabs>
        <w:tab w:val="clear" w:pos="4320"/>
        <w:tab w:val="clear" w:pos="8640"/>
        <w:tab w:val="center" w:pos="4153"/>
        <w:tab w:val="right" w:pos="8505"/>
      </w:tabs>
      <w:autoSpaceDE/>
      <w:autoSpaceDN/>
      <w:adjustRightInd/>
      <w:spacing w:after="1800"/>
      <w:jc w:val="center"/>
    </w:pPr>
    <w:rPr>
      <w:rFonts w:ascii="Calibri" w:hAnsi="Calibri"/>
      <w:noProof/>
      <w:sz w:val="22"/>
    </w:rPr>
  </w:style>
  <w:style w:type="paragraph" w:customStyle="1" w:styleId="HeaderLandscapedOdd">
    <w:name w:val="Header Landscaped Odd"/>
    <w:basedOn w:val="Header"/>
    <w:qFormat/>
    <w:rsid w:val="004D2421"/>
    <w:pPr>
      <w:tabs>
        <w:tab w:val="clear" w:pos="4320"/>
        <w:tab w:val="clear" w:pos="8640"/>
        <w:tab w:val="center" w:pos="4153"/>
        <w:tab w:val="right" w:pos="8460"/>
      </w:tabs>
      <w:autoSpaceDE/>
      <w:autoSpaceDN/>
      <w:adjustRightInd/>
      <w:spacing w:before="1800"/>
      <w:jc w:val="right"/>
    </w:pPr>
    <w:rPr>
      <w:rFonts w:ascii="Calibri" w:hAnsi="Calibri"/>
      <w:sz w:val="22"/>
    </w:rPr>
  </w:style>
  <w:style w:type="paragraph" w:customStyle="1" w:styleId="QuotationAttribution">
    <w:name w:val="Quotation_Attribution"/>
    <w:basedOn w:val="Quotation"/>
    <w:next w:val="Normal"/>
    <w:qFormat/>
    <w:rsid w:val="004D2421"/>
    <w:rPr>
      <w:b/>
    </w:rPr>
  </w:style>
  <w:style w:type="paragraph" w:customStyle="1" w:styleId="Insertedimage">
    <w:name w:val="Inserted image"/>
    <w:basedOn w:val="Normal"/>
    <w:next w:val="Normal"/>
    <w:qFormat/>
    <w:rsid w:val="004D2421"/>
    <w:pPr>
      <w:keepNext/>
      <w:autoSpaceDE/>
      <w:autoSpaceDN/>
      <w:adjustRightInd/>
      <w:spacing w:before="120" w:after="120" w:line="240" w:lineRule="auto"/>
      <w:jc w:val="center"/>
    </w:pPr>
    <w:rPr>
      <w:rFonts w:ascii="Calibri" w:hAnsi="Calibri"/>
      <w:noProof/>
      <w:sz w:val="22"/>
      <w:szCs w:val="22"/>
      <w:lang w:eastAsia="zh-CN"/>
    </w:rPr>
  </w:style>
  <w:style w:type="paragraph" w:styleId="Title">
    <w:name w:val="Title"/>
    <w:basedOn w:val="Normal"/>
    <w:next w:val="Normal"/>
    <w:link w:val="TitleChar"/>
    <w:qFormat/>
    <w:rsid w:val="004D2421"/>
    <w:pPr>
      <w:autoSpaceDE/>
      <w:autoSpaceDN/>
      <w:adjustRightInd/>
      <w:spacing w:before="360" w:after="360"/>
      <w:contextualSpacing/>
      <w:jc w:val="center"/>
    </w:pPr>
    <w:rPr>
      <w:rFonts w:asciiTheme="minorHAnsi" w:eastAsiaTheme="majorEastAsia" w:hAnsiTheme="minorHAnsi" w:cstheme="majorBidi"/>
      <w:b/>
      <w:spacing w:val="5"/>
      <w:kern w:val="28"/>
      <w:szCs w:val="52"/>
      <w:lang w:eastAsia="zh-CN"/>
    </w:rPr>
  </w:style>
  <w:style w:type="character" w:customStyle="1" w:styleId="TitleChar">
    <w:name w:val="Title Char"/>
    <w:basedOn w:val="DefaultParagraphFont"/>
    <w:link w:val="Title"/>
    <w:rsid w:val="004D2421"/>
    <w:rPr>
      <w:rFonts w:eastAsiaTheme="majorEastAsia" w:cstheme="majorBidi"/>
      <w:b/>
      <w:spacing w:val="5"/>
      <w:kern w:val="28"/>
      <w:szCs w:val="52"/>
      <w:lang w:eastAsia="zh-CN"/>
    </w:rPr>
  </w:style>
  <w:style w:type="paragraph" w:styleId="ListParagraph">
    <w:name w:val="List Paragraph"/>
    <w:basedOn w:val="Normal"/>
    <w:uiPriority w:val="34"/>
    <w:qFormat/>
    <w:rsid w:val="004D2421"/>
    <w:pPr>
      <w:autoSpaceDE/>
      <w:autoSpaceDN/>
      <w:adjustRightInd/>
      <w:spacing w:before="200"/>
      <w:ind w:left="720"/>
      <w:contextualSpacing/>
    </w:pPr>
    <w:rPr>
      <w:rFonts w:ascii="Calibri" w:hAnsi="Calibri"/>
      <w:sz w:val="22"/>
      <w:szCs w:val="22"/>
      <w:lang w:eastAsia="zh-CN"/>
    </w:rPr>
  </w:style>
  <w:style w:type="paragraph" w:customStyle="1" w:styleId="Default">
    <w:name w:val="Default"/>
    <w:rsid w:val="004D2421"/>
    <w:pPr>
      <w:autoSpaceDE w:val="0"/>
      <w:autoSpaceDN w:val="0"/>
      <w:adjustRightInd w:val="0"/>
    </w:pPr>
    <w:rPr>
      <w:rFonts w:ascii="Lucida Sans" w:eastAsia="Times New Roman" w:hAnsi="Lucida Sans" w:cs="Lucida Sans"/>
      <w:color w:val="000000"/>
      <w:lang w:eastAsia="zh-CN"/>
    </w:rPr>
  </w:style>
  <w:style w:type="paragraph" w:customStyle="1" w:styleId="p1">
    <w:name w:val="p1"/>
    <w:basedOn w:val="Normal"/>
    <w:rsid w:val="004D2421"/>
    <w:pPr>
      <w:autoSpaceDE/>
      <w:autoSpaceDN/>
      <w:adjustRightInd/>
      <w:spacing w:line="240" w:lineRule="auto"/>
    </w:pPr>
    <w:rPr>
      <w:rFonts w:ascii="Arial" w:hAnsi="Arial" w:cs="Arial"/>
      <w:color w:val="2F2F2F"/>
      <w:lang w:val="en-US"/>
    </w:rPr>
  </w:style>
  <w:style w:type="character" w:customStyle="1" w:styleId="s2">
    <w:name w:val="s2"/>
    <w:basedOn w:val="DefaultParagraphFont"/>
    <w:rsid w:val="004D2421"/>
    <w:rPr>
      <w:color w:val="326C9D"/>
    </w:rPr>
  </w:style>
  <w:style w:type="character" w:customStyle="1" w:styleId="s1">
    <w:name w:val="s1"/>
    <w:basedOn w:val="DefaultParagraphFont"/>
    <w:rsid w:val="004D2421"/>
  </w:style>
  <w:style w:type="character" w:customStyle="1" w:styleId="apple-converted-space">
    <w:name w:val="apple-converted-space"/>
    <w:basedOn w:val="DefaultParagraphFont"/>
    <w:rsid w:val="004D2421"/>
  </w:style>
  <w:style w:type="character" w:customStyle="1" w:styleId="app-emphasisitalic">
    <w:name w:val="app-emphasisitalic"/>
    <w:basedOn w:val="DefaultParagraphFont"/>
    <w:rsid w:val="004D2421"/>
  </w:style>
  <w:style w:type="character" w:customStyle="1" w:styleId="fipmark">
    <w:name w:val="fip_mark"/>
    <w:basedOn w:val="DefaultParagraphFont"/>
    <w:rsid w:val="004D2421"/>
  </w:style>
  <w:style w:type="character" w:customStyle="1" w:styleId="submissionname1">
    <w:name w:val="submissionname1"/>
    <w:rsid w:val="004D2421"/>
  </w:style>
  <w:style w:type="character" w:customStyle="1" w:styleId="smallgreytext1">
    <w:name w:val="smallgreytext1"/>
    <w:rsid w:val="004D2421"/>
    <w:rPr>
      <w:b w:val="0"/>
      <w:bCs w:val="0"/>
      <w:color w:val="666666"/>
      <w:sz w:val="19"/>
      <w:szCs w:val="19"/>
    </w:rPr>
  </w:style>
  <w:style w:type="character" w:styleId="CommentReference">
    <w:name w:val="annotation reference"/>
    <w:basedOn w:val="DefaultParagraphFont"/>
    <w:uiPriority w:val="99"/>
    <w:semiHidden/>
    <w:unhideWhenUsed/>
    <w:rsid w:val="004D2421"/>
    <w:rPr>
      <w:sz w:val="18"/>
      <w:szCs w:val="18"/>
    </w:rPr>
  </w:style>
  <w:style w:type="table" w:styleId="TableGrid">
    <w:name w:val="Table Grid"/>
    <w:basedOn w:val="TableNormal"/>
    <w:uiPriority w:val="59"/>
    <w:rsid w:val="004D2421"/>
    <w:pPr>
      <w:adjustRightInd w:val="0"/>
      <w:spacing w:before="40" w:after="40" w:line="360" w:lineRule="auto"/>
    </w:pPr>
    <w:rPr>
      <w:rFonts w:ascii="Calibri" w:eastAsia="Times New Roman" w:hAnsi="Calibri" w:cs="Times New Roman"/>
      <w:sz w:val="22"/>
      <w:szCs w:val="22"/>
      <w:lang w:eastAsia="zh-CN"/>
    </w:rPr>
    <w:tblPr>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Pr>
  </w:style>
  <w:style w:type="character" w:customStyle="1" w:styleId="ref-journal">
    <w:name w:val="ref-journal"/>
    <w:basedOn w:val="DefaultParagraphFont"/>
    <w:rsid w:val="004D2421"/>
  </w:style>
  <w:style w:type="character" w:customStyle="1" w:styleId="ref-vol">
    <w:name w:val="ref-vol"/>
    <w:basedOn w:val="DefaultParagraphFont"/>
    <w:rsid w:val="004D2421"/>
  </w:style>
  <w:style w:type="character" w:styleId="Emphasis">
    <w:name w:val="Emphasis"/>
    <w:basedOn w:val="DefaultParagraphFont"/>
    <w:uiPriority w:val="20"/>
    <w:qFormat/>
    <w:rsid w:val="004D2421"/>
    <w:rPr>
      <w:i/>
      <w:iCs/>
    </w:rPr>
  </w:style>
  <w:style w:type="character" w:styleId="FootnoteReference">
    <w:name w:val="footnote reference"/>
    <w:basedOn w:val="DefaultParagraphFont"/>
    <w:uiPriority w:val="99"/>
    <w:unhideWhenUsed/>
    <w:rsid w:val="004D24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2475</Words>
  <Characters>14112</Characters>
  <Application>Microsoft Office Word</Application>
  <DocSecurity>0</DocSecurity>
  <Lines>117</Lines>
  <Paragraphs>33</Paragraphs>
  <ScaleCrop>false</ScaleCrop>
  <Company>University of Southampton</Company>
  <LinksUpToDate>false</LinksUpToDate>
  <CharactersWithSpaces>16554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Kovshoff</dc:creator>
  <cp:keywords/>
  <dc:description/>
  <cp:lastModifiedBy>Kovshoff H.</cp:lastModifiedBy>
  <cp:revision>3</cp:revision>
  <dcterms:created xsi:type="dcterms:W3CDTF">2019-01-09T17:27:00Z</dcterms:created>
  <dcterms:modified xsi:type="dcterms:W3CDTF">2019-03-28T18:33:00Z</dcterms:modified>
</cp:coreProperties>
</file>