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7ED81" w14:textId="0548FBC9" w:rsidR="00850C40" w:rsidRPr="00E23DCB" w:rsidRDefault="00D66482" w:rsidP="00850C40">
      <w:pPr>
        <w:jc w:val="both"/>
        <w:rPr>
          <w:b/>
          <w:bCs/>
          <w:lang w:val="en-GB"/>
        </w:rPr>
      </w:pPr>
      <w:r w:rsidRPr="00E23DCB">
        <w:rPr>
          <w:b/>
          <w:bCs/>
          <w:lang w:val="en-GB"/>
        </w:rPr>
        <w:t xml:space="preserve">Online Resource 2: </w:t>
      </w:r>
      <w:bookmarkStart w:id="0" w:name="_Hlk99722080"/>
      <w:bookmarkStart w:id="1" w:name="_Hlk98407973"/>
      <w:bookmarkEnd w:id="0"/>
      <w:r w:rsidRPr="00E23DCB">
        <w:rPr>
          <w:b/>
          <w:bCs/>
          <w:lang w:val="en-GB"/>
        </w:rPr>
        <w:t xml:space="preserve">A Systematic Review of Intervention Programs Promoting Peer Relationships </w:t>
      </w:r>
      <w:proofErr w:type="gramStart"/>
      <w:r w:rsidRPr="00E23DCB">
        <w:rPr>
          <w:b/>
          <w:bCs/>
          <w:lang w:val="en-GB"/>
        </w:rPr>
        <w:t>Among</w:t>
      </w:r>
      <w:proofErr w:type="gramEnd"/>
      <w:r w:rsidRPr="00E23DCB">
        <w:rPr>
          <w:b/>
          <w:bCs/>
          <w:lang w:val="en-GB"/>
        </w:rPr>
        <w:t xml:space="preserve"> Children and Adolescents: </w:t>
      </w:r>
      <w:bookmarkEnd w:id="1"/>
      <w:r w:rsidR="00850C40" w:rsidRPr="00E23DCB">
        <w:rPr>
          <w:b/>
          <w:bCs/>
          <w:lang w:val="en-GB"/>
        </w:rPr>
        <w:t xml:space="preserve">Methods and Targets used in Effective Programs </w:t>
      </w:r>
    </w:p>
    <w:p w14:paraId="2A787194" w14:textId="43D6DEA3" w:rsidR="00D66482" w:rsidRPr="00E23DCB" w:rsidRDefault="00D66482" w:rsidP="00850C40">
      <w:pPr>
        <w:jc w:val="both"/>
        <w:rPr>
          <w:lang w:val="en-GB"/>
        </w:rPr>
      </w:pPr>
      <w:r w:rsidRPr="00E23DCB">
        <w:rPr>
          <w:lang w:val="en-GB"/>
        </w:rPr>
        <w:t>Pollak Isabella, Mitic Marija, Birchwood James, Dörfler Sylvia, Krammer Ina, Rogers Jack C., Schek Esther Judith, Schrank Beate, Stiehl Katharina A.M., and Woodcock Kate Anne</w:t>
      </w:r>
    </w:p>
    <w:p w14:paraId="69A9F608" w14:textId="77777777" w:rsidR="00D66482" w:rsidRPr="00E23DCB" w:rsidRDefault="00D66482" w:rsidP="00D66482">
      <w:pPr>
        <w:pStyle w:val="Authornames"/>
        <w:spacing w:line="240" w:lineRule="auto"/>
        <w:jc w:val="both"/>
        <w:rPr>
          <w:rFonts w:asciiTheme="minorHAnsi" w:eastAsiaTheme="minorHAnsi" w:hAnsiTheme="minorHAnsi" w:cstheme="minorBidi"/>
          <w:sz w:val="22"/>
          <w:szCs w:val="22"/>
          <w:lang w:eastAsia="en-US"/>
        </w:rPr>
      </w:pPr>
      <w:r w:rsidRPr="00E23DCB">
        <w:rPr>
          <w:rFonts w:asciiTheme="minorHAnsi" w:eastAsiaTheme="minorHAnsi" w:hAnsiTheme="minorHAnsi" w:cstheme="minorBidi"/>
          <w:sz w:val="22"/>
          <w:szCs w:val="22"/>
          <w:lang w:eastAsia="en-US"/>
        </w:rPr>
        <w:t xml:space="preserve">Corresponding author: Isabella Pollak, email: Isabella.pollak@kl.ac.at </w:t>
      </w:r>
    </w:p>
    <w:p w14:paraId="24323B3B" w14:textId="77777777" w:rsidR="00D66482" w:rsidRPr="00E23DCB" w:rsidRDefault="00D66482" w:rsidP="00A745EB">
      <w:pPr>
        <w:spacing w:after="120" w:line="288" w:lineRule="auto"/>
        <w:rPr>
          <w:b/>
          <w:bCs/>
          <w:lang w:val="en-GB"/>
        </w:rPr>
      </w:pPr>
    </w:p>
    <w:p w14:paraId="4CB2004B" w14:textId="69635EA1" w:rsidR="00A745EB" w:rsidRPr="00E23DCB" w:rsidRDefault="00A745EB" w:rsidP="00A745EB">
      <w:pPr>
        <w:spacing w:after="120" w:line="288" w:lineRule="auto"/>
        <w:rPr>
          <w:b/>
          <w:bCs/>
          <w:lang w:val="en-GB"/>
        </w:rPr>
      </w:pPr>
      <w:r w:rsidRPr="00E23DCB">
        <w:rPr>
          <w:b/>
          <w:bCs/>
          <w:lang w:val="en-GB"/>
        </w:rPr>
        <w:t>Use of Cochrane ROB 2 tool</w:t>
      </w:r>
    </w:p>
    <w:p w14:paraId="63C20BB2" w14:textId="77777777" w:rsidR="00A745EB" w:rsidRPr="00E23DCB" w:rsidRDefault="00A745EB" w:rsidP="00A745EB">
      <w:pPr>
        <w:spacing w:after="120" w:line="288" w:lineRule="auto"/>
        <w:rPr>
          <w:lang w:val="en-GB"/>
        </w:rPr>
      </w:pPr>
      <w:r w:rsidRPr="00E23DCB">
        <w:rPr>
          <w:lang w:val="en-GB"/>
        </w:rPr>
        <w:t xml:space="preserve">A few minor modifications were made to the Cochrane ROB 2 tool in order to make it applicable for the specific context of interventions and all study types (e.g. cluster RCTs). </w:t>
      </w:r>
    </w:p>
    <w:p w14:paraId="26478C53" w14:textId="77777777" w:rsidR="00A745EB" w:rsidRPr="00E23DCB" w:rsidRDefault="00A745EB" w:rsidP="00A745EB">
      <w:pPr>
        <w:spacing w:after="120" w:line="288" w:lineRule="auto"/>
        <w:rPr>
          <w:lang w:val="en-GB"/>
        </w:rPr>
      </w:pPr>
      <w:r w:rsidRPr="00E23DCB">
        <w:rPr>
          <w:lang w:val="en-GB"/>
        </w:rPr>
        <w:t xml:space="preserve">In order to account for different design requirements in cluster RCTs, the appropriate sub-questions in domain 1(b) were retrieved from the Cochrane RoB2 tool for cluster RCTs and used for the </w:t>
      </w:r>
      <w:proofErr w:type="gramStart"/>
      <w:r w:rsidRPr="00E23DCB">
        <w:rPr>
          <w:lang w:val="en-GB"/>
        </w:rPr>
        <w:t>appraisal</w:t>
      </w:r>
      <w:proofErr w:type="gramEnd"/>
      <w:r w:rsidRPr="00E23DCB">
        <w:rPr>
          <w:lang w:val="en-GB"/>
        </w:rPr>
        <w:t xml:space="preserve"> of cluster RCTs.</w:t>
      </w:r>
    </w:p>
    <w:p w14:paraId="21DF0BC5" w14:textId="77777777" w:rsidR="00A745EB" w:rsidRPr="00E23DCB" w:rsidRDefault="00A745EB" w:rsidP="00A745EB">
      <w:pPr>
        <w:spacing w:after="120" w:line="288" w:lineRule="auto"/>
        <w:rPr>
          <w:lang w:val="en-GB"/>
        </w:rPr>
      </w:pPr>
      <w:r w:rsidRPr="00E23DCB">
        <w:rPr>
          <w:lang w:val="en-GB"/>
        </w:rPr>
        <w:t>Among the optional questions in domain 2 (effect of adhering to intervention) only question 2.4 on intervention implementation was used. Non-protocol interventions (question 2.3) were difficult to judge in complex school and community backgrounds and non-adherence (question 2.5) was not applicable in psychological intervention contexts where any adherence to intervention procedures beyond students’ mere presence at sessions was not controllable.</w:t>
      </w:r>
    </w:p>
    <w:p w14:paraId="04D34037" w14:textId="77777777" w:rsidR="00A745EB" w:rsidRPr="00E23DCB" w:rsidRDefault="00A745EB" w:rsidP="00A745EB">
      <w:pPr>
        <w:spacing w:after="120" w:line="288" w:lineRule="auto"/>
        <w:rPr>
          <w:b/>
          <w:bCs/>
          <w:lang w:val="en-GB"/>
        </w:rPr>
      </w:pPr>
      <w:r w:rsidRPr="00E23DCB">
        <w:rPr>
          <w:b/>
          <w:bCs/>
          <w:lang w:val="en-GB"/>
        </w:rPr>
        <w:t xml:space="preserve">Author-derived ROB assessment based on Cochrane ROB 2 </w:t>
      </w:r>
    </w:p>
    <w:p w14:paraId="37532193" w14:textId="77777777" w:rsidR="00A745EB" w:rsidRPr="00E23DCB" w:rsidRDefault="00A745EB" w:rsidP="00A745EB">
      <w:pPr>
        <w:spacing w:after="120" w:line="288" w:lineRule="auto"/>
        <w:rPr>
          <w:lang w:val="en-GB"/>
        </w:rPr>
      </w:pPr>
      <w:r w:rsidRPr="00E23DCB">
        <w:rPr>
          <w:lang w:val="en-GB"/>
        </w:rPr>
        <w:t xml:space="preserve">Rating for Level of Study Quality </w:t>
      </w:r>
    </w:p>
    <w:p w14:paraId="0B3BC299" w14:textId="77777777" w:rsidR="00A745EB" w:rsidRPr="00E23DCB" w:rsidRDefault="00A745EB" w:rsidP="00A745EB">
      <w:pPr>
        <w:pStyle w:val="ListParagraph"/>
        <w:numPr>
          <w:ilvl w:val="0"/>
          <w:numId w:val="1"/>
        </w:numPr>
        <w:spacing w:after="120" w:line="288" w:lineRule="auto"/>
        <w:rPr>
          <w:lang w:val="en-GB"/>
        </w:rPr>
      </w:pPr>
      <w:r w:rsidRPr="00E23DCB">
        <w:rPr>
          <w:lang w:val="en-GB"/>
        </w:rPr>
        <w:t>Study Design</w:t>
      </w:r>
    </w:p>
    <w:p w14:paraId="0EA511EB" w14:textId="229B622F" w:rsidR="00A745EB" w:rsidRPr="00E23DCB" w:rsidRDefault="00A745EB" w:rsidP="00A745EB">
      <w:pPr>
        <w:spacing w:after="120" w:line="288" w:lineRule="auto"/>
        <w:rPr>
          <w:lang w:val="en-GB"/>
        </w:rPr>
      </w:pPr>
      <w:r w:rsidRPr="00E23DCB">
        <w:rPr>
          <w:lang w:val="en-GB"/>
        </w:rPr>
        <w:t xml:space="preserve">Randomised controlled trials (RCTs) received 2 points, controlled trials received 1 point and uncontrolled trials received 0 points. </w:t>
      </w:r>
    </w:p>
    <w:p w14:paraId="6DAD2FE5" w14:textId="77777777" w:rsidR="00A745EB" w:rsidRPr="00E23DCB" w:rsidRDefault="00A745EB" w:rsidP="00A745EB">
      <w:pPr>
        <w:pStyle w:val="ListParagraph"/>
        <w:numPr>
          <w:ilvl w:val="0"/>
          <w:numId w:val="1"/>
        </w:numPr>
        <w:spacing w:after="120" w:line="288" w:lineRule="auto"/>
        <w:rPr>
          <w:lang w:val="en-GB"/>
        </w:rPr>
      </w:pPr>
      <w:r w:rsidRPr="00E23DCB">
        <w:rPr>
          <w:lang w:val="en-GB"/>
        </w:rPr>
        <w:t>Randomization</w:t>
      </w:r>
    </w:p>
    <w:p w14:paraId="281367FE" w14:textId="77777777" w:rsidR="00A745EB" w:rsidRPr="00E23DCB" w:rsidRDefault="00A745EB" w:rsidP="00A745EB">
      <w:pPr>
        <w:spacing w:after="120" w:line="288" w:lineRule="auto"/>
        <w:rPr>
          <w:color w:val="000000" w:themeColor="text1"/>
          <w:lang w:val="en-GB"/>
        </w:rPr>
      </w:pPr>
      <w:r w:rsidRPr="00E23DCB">
        <w:rPr>
          <w:color w:val="000000" w:themeColor="text1"/>
          <w:lang w:val="en-GB"/>
        </w:rPr>
        <w:t xml:space="preserve">This rating was based on Cochrane ROB 2 tool. Two points were given if a judgement of “low risk” was achieved following Cochrane ROB 2, 1 point for “some concerns” (e.g. randomized trials, without adequate concealment or in case results suggest problems with randomization) and 0 points for “high risk” (e.g. non-randomised). </w:t>
      </w:r>
    </w:p>
    <w:p w14:paraId="0B89423C" w14:textId="77777777" w:rsidR="00A745EB" w:rsidRPr="00E23DCB" w:rsidRDefault="00A745EB" w:rsidP="00A745EB">
      <w:pPr>
        <w:pStyle w:val="ListParagraph"/>
        <w:numPr>
          <w:ilvl w:val="0"/>
          <w:numId w:val="1"/>
        </w:numPr>
        <w:spacing w:after="120" w:line="288" w:lineRule="auto"/>
        <w:rPr>
          <w:lang w:val="en-GB"/>
        </w:rPr>
      </w:pPr>
      <w:r w:rsidRPr="00E23DCB">
        <w:rPr>
          <w:lang w:val="en-GB"/>
        </w:rPr>
        <w:t>Implementation fidelity</w:t>
      </w:r>
    </w:p>
    <w:p w14:paraId="2BBEABCC" w14:textId="37FD2B87" w:rsidR="00A745EB" w:rsidRPr="00E23DCB" w:rsidRDefault="00A745EB" w:rsidP="00A745EB">
      <w:pPr>
        <w:spacing w:after="120" w:line="288" w:lineRule="auto"/>
        <w:rPr>
          <w:lang w:val="en-GB"/>
        </w:rPr>
      </w:pPr>
      <w:r w:rsidRPr="00E23DCB">
        <w:rPr>
          <w:lang w:val="en-GB"/>
        </w:rPr>
        <w:t xml:space="preserve">This rating was based on Cochrane ROB 2 tool. </w:t>
      </w:r>
      <w:r w:rsidRPr="00E23DCB">
        <w:rPr>
          <w:color w:val="000000" w:themeColor="text1"/>
          <w:lang w:val="en-GB"/>
        </w:rPr>
        <w:t>Two points were given if a judgement of “low risk” was achieved following Cochrane ROB2 (e.g. quantitative checks of fidelity</w:t>
      </w:r>
      <w:r w:rsidR="009F16A2" w:rsidRPr="00E23DCB">
        <w:rPr>
          <w:color w:val="000000" w:themeColor="text1"/>
          <w:lang w:val="en-GB"/>
        </w:rPr>
        <w:t>,</w:t>
      </w:r>
      <w:r w:rsidRPr="00E23DCB">
        <w:rPr>
          <w:color w:val="000000" w:themeColor="text1"/>
          <w:lang w:val="en-GB"/>
        </w:rPr>
        <w:t xml:space="preserve"> not suggesting any issues), 1 point for “some concerns” (e.g. some kind of checks were implemented, but no quantitative data was provided) and 0 points for “high risk” (e.g. no information).</w:t>
      </w:r>
    </w:p>
    <w:p w14:paraId="4CD18D32" w14:textId="77777777" w:rsidR="00A745EB" w:rsidRPr="00E23DCB" w:rsidRDefault="00A745EB" w:rsidP="00A745EB">
      <w:pPr>
        <w:pStyle w:val="ListParagraph"/>
        <w:numPr>
          <w:ilvl w:val="0"/>
          <w:numId w:val="1"/>
        </w:numPr>
        <w:spacing w:after="120" w:line="288" w:lineRule="auto"/>
        <w:rPr>
          <w:lang w:val="en-GB"/>
        </w:rPr>
      </w:pPr>
      <w:r w:rsidRPr="00E23DCB">
        <w:rPr>
          <w:lang w:val="en-GB"/>
        </w:rPr>
        <w:t>Missing Data</w:t>
      </w:r>
    </w:p>
    <w:p w14:paraId="1E229A12" w14:textId="77777777" w:rsidR="00A745EB" w:rsidRPr="00E23DCB" w:rsidRDefault="00A745EB" w:rsidP="00A745EB">
      <w:pPr>
        <w:spacing w:after="120" w:line="288" w:lineRule="auto"/>
        <w:rPr>
          <w:lang w:val="en-GB"/>
        </w:rPr>
      </w:pPr>
      <w:r w:rsidRPr="00E23DCB">
        <w:rPr>
          <w:lang w:val="en-GB"/>
        </w:rPr>
        <w:t xml:space="preserve">This rating was also based on Cochrane ROB 2, however in practice only two outcomes could be achieved. Either papers were given 2 points for “low risk” or 0 points for “high risk”. Papers were judged as “low risk” if outcome data was reported for almost all participants or if authors provided evidence that outcome is not biased due to missing data. Papers were judged “high risk” if no </w:t>
      </w:r>
      <w:r w:rsidRPr="00E23DCB">
        <w:rPr>
          <w:lang w:val="en-GB"/>
        </w:rPr>
        <w:lastRenderedPageBreak/>
        <w:t>information was provided or if missingness could be related to outcomes (e.g. drop outs due to more stress during intervention).</w:t>
      </w:r>
    </w:p>
    <w:p w14:paraId="307D7563" w14:textId="77777777" w:rsidR="00A745EB" w:rsidRPr="00E23DCB" w:rsidRDefault="00A745EB" w:rsidP="00A745EB">
      <w:pPr>
        <w:spacing w:after="120" w:line="288" w:lineRule="auto"/>
        <w:rPr>
          <w:bCs/>
          <w:lang w:val="en-GB"/>
        </w:rPr>
      </w:pPr>
      <w:r w:rsidRPr="00E23DCB">
        <w:rPr>
          <w:lang w:val="en-GB"/>
        </w:rPr>
        <w:t xml:space="preserve">Total scores of between 0 and 8 points could be achieved. </w:t>
      </w:r>
      <w:r w:rsidRPr="00E23DCB">
        <w:rPr>
          <w:bCs/>
          <w:lang w:val="en-GB"/>
        </w:rPr>
        <w:t xml:space="preserve">Results were presented as percentage out of the total possible points to make interpretation more intuitive. </w:t>
      </w:r>
    </w:p>
    <w:p w14:paraId="580D306E" w14:textId="77777777" w:rsidR="00A745EB" w:rsidRPr="00E23DCB" w:rsidRDefault="00A745EB" w:rsidP="00A745EB">
      <w:pPr>
        <w:spacing w:after="120" w:line="288" w:lineRule="auto"/>
        <w:rPr>
          <w:b/>
          <w:lang w:val="en-GB"/>
        </w:rPr>
      </w:pPr>
      <w:r w:rsidRPr="00E23DCB">
        <w:rPr>
          <w:b/>
          <w:lang w:val="en-GB"/>
        </w:rPr>
        <w:t>Level of Evidence Rating:</w:t>
      </w:r>
    </w:p>
    <w:p w14:paraId="0D07C128" w14:textId="77777777" w:rsidR="00A745EB" w:rsidRPr="00E23DCB" w:rsidRDefault="00A745EB" w:rsidP="00A745EB">
      <w:pPr>
        <w:spacing w:after="120" w:line="288" w:lineRule="auto"/>
        <w:rPr>
          <w:bCs/>
          <w:lang w:val="en-GB"/>
        </w:rPr>
      </w:pPr>
      <w:r w:rsidRPr="00E23DCB">
        <w:rPr>
          <w:lang w:val="en-GB"/>
        </w:rPr>
        <w:t xml:space="preserve">The (B) </w:t>
      </w:r>
      <w:r w:rsidRPr="00E23DCB">
        <w:rPr>
          <w:i/>
          <w:lang w:val="en-GB"/>
        </w:rPr>
        <w:t>level of evidence rating</w:t>
      </w:r>
      <w:r w:rsidRPr="00E23DCB">
        <w:rPr>
          <w:lang w:val="en-GB"/>
        </w:rPr>
        <w:t xml:space="preserve"> comprised (</w:t>
      </w:r>
      <w:proofErr w:type="spellStart"/>
      <w:r w:rsidRPr="00E23DCB">
        <w:rPr>
          <w:lang w:val="en-GB"/>
        </w:rPr>
        <w:t>i</w:t>
      </w:r>
      <w:proofErr w:type="spellEnd"/>
      <w:r w:rsidRPr="00E23DCB">
        <w:rPr>
          <w:lang w:val="en-GB"/>
        </w:rPr>
        <w:t xml:space="preserve">) between group significance (if applicable), (ii) effect sizes, (iii) follow-up evidence (if applicable) and </w:t>
      </w:r>
      <w:proofErr w:type="gramStart"/>
      <w:r w:rsidRPr="00E23DCB">
        <w:rPr>
          <w:lang w:val="en-GB"/>
        </w:rPr>
        <w:t>(iv) sample</w:t>
      </w:r>
      <w:proofErr w:type="gramEnd"/>
      <w:r w:rsidRPr="00E23DCB">
        <w:rPr>
          <w:lang w:val="en-GB"/>
        </w:rPr>
        <w:t xml:space="preserve"> size. Effect sizes were incorporated because they (a) are crucial for inferring practical significance of results and compare results across studies </w:t>
      </w:r>
      <w:r w:rsidRPr="00E23DCB">
        <w:rPr>
          <w:lang w:val="en-GB"/>
        </w:rPr>
        <w:fldChar w:fldCharType="begin" w:fldLock="1"/>
      </w:r>
      <w:r w:rsidRPr="00E23DCB">
        <w:rPr>
          <w:lang w:val="en-GB"/>
        </w:rPr>
        <w:instrText>ADDIN CSL_CITATION {"citationItems":[{"id":"ITEM-1","itemData":{"DOI":"10.3389/fpsyg.2013.00863","ISSN":"16641078","author":[{"dropping-particle":"","family":"Lakens","given":"Daniël","non-dropping-particle":"","parse-names":false,"suffix":""}],"container-title":"Frontiers in Psychology","id":"ITEM-1","issue":"NOV","issued":{"date-parts":[["2013"]]},"note":"about how to calculate effect sizes\n\nbut good intro on three reasons effect sizes are important:\n- standardized way of reporting practical significance (compared to signifinace level as likelihood of existing effect)\n- meta-analytic conculsions comparing efefct sizes\n- useful for planning futur studies","page":"1-12","title":"Calculating and reporting effect sizes to facilitate cumulative science: A practical primer for t-tests and ANOVAs","type":"article-journal","volume":"4"},"uris":["http://www.mendeley.com/documents/?uuid=3e317f6c-5201-4367-b5ba-5fadfb91b000"]}],"mendeley":{"formattedCitation":"(Lakens, 2013)","plainTextFormattedCitation":"(Lakens, 2013)","previouslyFormattedCitation":"(Lakens, 2013)"},"properties":{"noteIndex":0},"schema":"https://github.com/citation-style-language/schema/raw/master/csl-citation.json"}</w:instrText>
      </w:r>
      <w:r w:rsidRPr="00E23DCB">
        <w:rPr>
          <w:lang w:val="en-GB"/>
        </w:rPr>
        <w:fldChar w:fldCharType="separate"/>
      </w:r>
      <w:r w:rsidRPr="00E23DCB">
        <w:rPr>
          <w:noProof/>
          <w:lang w:val="en-GB"/>
        </w:rPr>
        <w:t>(Lakens, 2013)</w:t>
      </w:r>
      <w:r w:rsidRPr="00E23DCB">
        <w:rPr>
          <w:lang w:val="en-GB"/>
        </w:rPr>
        <w:fldChar w:fldCharType="end"/>
      </w:r>
      <w:r w:rsidRPr="00E23DCB">
        <w:rPr>
          <w:lang w:val="en-GB"/>
        </w:rPr>
        <w:t xml:space="preserve"> and (b) their consideration in reviews has been suggested to limit the potential bias of significant but hardly effective studies </w:t>
      </w:r>
      <w:r w:rsidRPr="00E23DCB">
        <w:rPr>
          <w:lang w:val="en-GB"/>
        </w:rPr>
        <w:fldChar w:fldCharType="begin" w:fldLock="1"/>
      </w:r>
      <w:r w:rsidRPr="00E23DCB">
        <w:rPr>
          <w:lang w:val="en-GB"/>
        </w:rPr>
        <w:instrText>ADDIN CSL_CITATION {"citationItems":[{"id":"ITEM-1","itemData":{"author":[{"dropping-particle":"","family":"Popay","given":"J","non-dropping-particle":"","parse-names":false,"suffix":""},{"dropping-particle":"","family":"Roberts","given":"H","non-dropping-particle":"","parse-names":false,"suffix":""},{"dropping-particle":"","family":"Sowden","given":"A","non-dropping-particle":"","parse-names":false,"suffix":""},{"dropping-particle":"","family":"Petticrew","given":"M","non-dropping-particle":"","parse-names":false,"suffix":""},{"dropping-particle":"","family":"Arai","given":"L","non-dropping-particle":"","parse-names":false,"suffix":""},{"dropping-particle":"","family":"Rodgers","given":"M","non-dropping-particle":"","parse-names":false,"suffix":""}],"id":"ITEM-1","issue":"April 2006","issued":{"date-parts":[["2006"]]},"page":"92","title":"Guidance on the conduct of narrative synthesis in systematic Reviews. A Product from the ESRC Methods Programme. Version 1. Swindon: Economic and Social Research Council","type":"article-journal"},"uris":["http://www.mendeley.com/documents/?uuid=72b6d539-3428-46f6-8d7e-f7a25daf1cfa"]}],"mendeley":{"formattedCitation":"(Popay et al., 2006)","plainTextFormattedCitation":"(Popay et al., 2006)","previouslyFormattedCitation":"(Popay et al., 2006)"},"properties":{"noteIndex":0},"schema":"https://github.com/citation-style-language/schema/raw/master/csl-citation.json"}</w:instrText>
      </w:r>
      <w:r w:rsidRPr="00E23DCB">
        <w:rPr>
          <w:lang w:val="en-GB"/>
        </w:rPr>
        <w:fldChar w:fldCharType="separate"/>
      </w:r>
      <w:r w:rsidRPr="00E23DCB">
        <w:rPr>
          <w:noProof/>
          <w:lang w:val="en-GB"/>
        </w:rPr>
        <w:t>(Popay et al., 2006)</w:t>
      </w:r>
      <w:r w:rsidRPr="00E23DCB">
        <w:rPr>
          <w:lang w:val="en-GB"/>
        </w:rPr>
        <w:fldChar w:fldCharType="end"/>
      </w:r>
      <w:r w:rsidRPr="00E23DCB">
        <w:rPr>
          <w:lang w:val="en-GB"/>
        </w:rPr>
        <w:t xml:space="preserve">. Since it is frequently argued that the interpretation of effect sizes should take contextual considerations into account </w:t>
      </w:r>
      <w:r w:rsidRPr="00E23DCB">
        <w:rPr>
          <w:lang w:val="en-GB"/>
        </w:rPr>
        <w:fldChar w:fldCharType="begin" w:fldLock="1"/>
      </w:r>
      <w:r w:rsidRPr="00E23DCB">
        <w:rPr>
          <w:lang w:val="en-GB"/>
        </w:rPr>
        <w:instrText>ADDIN CSL_CITATION {"citationItems":[{"id":"ITEM-1","itemData":{"DOI":"10.1177/2515245919847202","ISBN":"2515245919","ISSN":"2515-2459","abstract":"Effect sizes are underappreciated and often misinterpreted – the most common mistakes being to describe them in ways that are uninformative (e.g., using arbitrary standards) or misleading (e.g., squaring effect size r’s). We propose that effect sizes can be usefully evaluated in comparison with well-understood benchmarks or in terms of concrete consequences. In that light, we conclude that, when reliably estimated (a critical consideration), an effect of r =.05 is “very small” for the explanation of single events but potentially consequential in the not-very long run, r = .10 is still “small” at the level of single events but potentially more ultimately consequential; r = .20 is “medium” and of some use even in the short run and therefore even more important; and an effect size of r = .30 is “large” and potentially powerful in the short and long run. A “very large” effect size (r = .40 or greater) in the context of psychological research is likely to be a gross overestimate rarely found in a large sample or in a replication. Our goal is to help to move effect sizes from numbers that are ignored, reported without interpretation, or interpreted superficially or incorrectly, to aspects of research reports that can inform the application and theoretical development of psychological research","author":[{"dropping-particle":"","family":"Funder","given":"David C.","non-dropping-particle":"","parse-names":false,"suffix":""},{"dropping-particle":"","family":"Ozer","given":"Daniel J.","non-dropping-particle":"","parse-names":false,"suffix":""}],"container-title":"Advances in Methods and Practices in Psychological Science","id":"ITEM-1","issue":"2","issued":{"date-parts":[["2019"]]},"note":"After considering common interpretation of effect sizes and potential flows of classic benchmarks, Funder &amp;amp; Ozer (2019) suggest alternative benchmarks based on empirically observed effects and long-term consequences of individual effects","page":"156-168","title":"Evaluating Effect Size in Psychological Research: Sense and Nonsense","type":"article-journal","volume":"2"},"uris":["http://www.mendeley.com/documents/?uuid=bcfac723-e01a-49fc-93aa-13e0c29d0e2b"]},{"id":"ITEM-2","itemData":{"DOI":"10.1111/j.1750-8606.2008.00061.x","ISSN":"17508592","abstract":"There is no universal guideline or rule of thumb for judging the practical importance or substantive significance of a standardized effect size estimate for an intervention. Instead, one must develop empirical benchmarks of comparison that reflect the nature of the intervention being evaluated, its target population, and the outcome measure or measures being used. This approach is applied to the assessment of effect size measures for educational interventions designed to improve student academic achievement. Three types of empirical benchmarks are illustrated: (a) normative expectations for growth over time in student achievement, (b) policy-relevant gaps in student achievement by demographic group or school performance, and (c) effect size results from past research for similar interventions and target populations. The findings can be used to help assess educational interventions, and the process of doing so can provide guidelines for how to develop and use such benchmarks in other fields. © Journal Compilation © 2008 The Society for Research in Child Development, Inc.","author":[{"dropping-particle":"","family":"Hill","given":"Carolyn J.","non-dropping-particle":"","parse-names":false,"suffix":""},{"dropping-particle":"","family":"Bloom","given":"Howard S.","non-dropping-particle":"","parse-names":false,"suffix":""},{"dropping-particle":"","family":"Black","given":"Alison Rebeck","non-dropping-particle":"","parse-names":false,"suffix":""},{"dropping-particle":"","family":"Lipsey","given":"Mark W.","non-dropping-particle":"","parse-names":false,"suffix":""}],"container-title":"Child Development Perspectives","id":"ITEM-2","issue":"3","issued":{"date-parts":[["2008"]]},"page":"172-177","title":"Empirical benchmarks for interpreting effect sizes in research","type":"article-journal","volume":"2"},"uris":["http://www.mendeley.com/documents/?uuid=676b66e1-0920-4dad-bf21-5acdc37822c3"]},{"id":"ITEM-3","itemData":{"DOI":"10.1037/a0024338","ISSN":"00963445","PMID":"21823805","abstract":"The Publication Manual of the American Psychological Association (American Psychological Association, 2001,2010) calls for the reporting of effect sizes and their confidence intervals. Estimates of effect size are useful for determining the practical or theoretical importance of an effect, the relative contributions of factors, and the power of an analysis. We surveyed articles published in 2009 and 2010 in the Journal of Experimental Psychology: General, noting the statistical analyses reported and the associated reporting of effect size estimates. Effect sizes were reported for fewer than half of the analyses; no article reported a confidence interval for an effect size. The most often reported analysis was analysis of variance, and almost half of these reports were not accompanied by effect sizes. Partial η2 was the most commonly reported effect size estimate for analysis of variance. For t tests, 2/3 of the articles did not report an associated effect size estimate; Cohen's d was the most often reported. We provide a straightforward guide to understanding, selecting, calculating, and interpreting effect sizes for many types of data and to methods for calculating effect size confidence intervals and power analysis. © 2011 American Psychological Association.","author":[{"dropping-particle":"","family":"Fritz","given":"Catherine O.","non-dropping-particle":"","parse-names":false,"suffix":""},{"dropping-particle":"","family":"Morris","given":"Peter E.","non-dropping-particle":"","parse-names":false,"suffix":""},{"dropping-particle":"","family":"Richler","given":"Jennifer J.","non-dropping-particle":"","parse-names":false,"suffix":""}],"container-title":"Journal of Experimental Psychology: General","id":"ITEM-3","issue":"1","issued":{"date-parts":[["2012"]]},"page":"2-18","title":"Effect size estimates: Current use, calculations, and interpretation","type":"article-journal","volume":"141"},"uris":["http://www.mendeley.com/documents/?uuid=a0c55a01-e149-408f-be9a-c07172725571"]}],"mendeley":{"formattedCitation":"(Fritz et al., 2012; Funder &amp; Ozer, 2019; Hill et al., 2008)","plainTextFormattedCitation":"(Fritz et al., 2012; Funder &amp; Ozer, 2019; Hill et al., 2008)","previouslyFormattedCitation":"(Fritz et al., 2012; Funder &amp; Ozer, 2019; Hill et al., 2008)"},"properties":{"noteIndex":0},"schema":"https://github.com/citation-style-language/schema/raw/master/csl-citation.json"}</w:instrText>
      </w:r>
      <w:r w:rsidRPr="00E23DCB">
        <w:rPr>
          <w:lang w:val="en-GB"/>
        </w:rPr>
        <w:fldChar w:fldCharType="separate"/>
      </w:r>
      <w:r w:rsidRPr="00E23DCB">
        <w:rPr>
          <w:noProof/>
          <w:lang w:val="en-GB"/>
        </w:rPr>
        <w:t>(Fritz et al., 2012; Funder &amp; Ozer, 2019; Hill et al., 2008)</w:t>
      </w:r>
      <w:r w:rsidRPr="00E23DCB">
        <w:rPr>
          <w:lang w:val="en-GB"/>
        </w:rPr>
        <w:fldChar w:fldCharType="end"/>
      </w:r>
      <w:r w:rsidRPr="00E23DCB">
        <w:rPr>
          <w:lang w:val="en-GB"/>
        </w:rPr>
        <w:t xml:space="preserve">, effect sizes were not merely rated according to Cohen’s standard cut-offs, instead the rating was specifically designed to better reflect effect sizes observed in psychological intervention studies </w:t>
      </w:r>
      <w:r w:rsidRPr="00E23DCB">
        <w:rPr>
          <w:lang w:val="en-GB"/>
        </w:rPr>
        <w:fldChar w:fldCharType="begin" w:fldLock="1"/>
      </w:r>
      <w:r w:rsidRPr="00E23DCB">
        <w:rPr>
          <w:lang w:val="en-GB"/>
        </w:rPr>
        <w:instrText>ADDIN CSL_CITATION {"citationItems":[{"id":"ITEM-1","itemData":{"DOI":"10.1177/2515245919847202","ISBN":"2515245919","ISSN":"2515-2459","abstract":"Effect sizes are underappreciated and often misinterpreted – the most common mistakes being to describe them in ways that are uninformative (e.g., using arbitrary standards) or misleading (e.g., squaring effect size r’s). We propose that effect sizes can be usefully evaluated in comparison with well-understood benchmarks or in terms of concrete consequences. In that light, we conclude that, when reliably estimated (a critical consideration), an effect of r =.05 is “very small” for the explanation of single events but potentially consequential in the not-very long run, r = .10 is still “small” at the level of single events but potentially more ultimately consequential; r = .20 is “medium” and of some use even in the short run and therefore even more important; and an effect size of r = .30 is “large” and potentially powerful in the short and long run. A “very large” effect size (r = .40 or greater) in the context of psychological research is likely to be a gross overestimate rarely found in a large sample or in a replication. Our goal is to help to move effect sizes from numbers that are ignored, reported without interpretation, or interpreted superficially or incorrectly, to aspects of research reports that can inform the application and theoretical development of psychological research","author":[{"dropping-particle":"","family":"Funder","given":"David C.","non-dropping-particle":"","parse-names":false,"suffix":""},{"dropping-particle":"","family":"Ozer","given":"Daniel J.","non-dropping-particle":"","parse-names":false,"suffix":""}],"container-title":"Advances in Methods and Practices in Psychological Science","id":"ITEM-1","issue":"2","issued":{"date-parts":[["2019"]]},"note":"After considering common interpretation of effect sizes and potential flows of classic benchmarks, Funder &amp;amp; Ozer (2019) suggest alternative benchmarks based on empirically observed effects and long-term consequences of individual effects","page":"156-168","title":"Evaluating Effect Size in Psychological Research: Sense and Nonsense","type":"article-journal","volume":"2"},"uris":["http://www.mendeley.com/documents/?uuid=bcfac723-e01a-49fc-93aa-13e0c29d0e2b"]},{"id":"ITEM-2","itemData":{"DOI":"10.1037/1089-2680.7.4.331","ISSN":"10892680","abstract":"This article compiles results from a century of social psychological research, more than 25,000 studies of 8 million people. A large number of social psychological conclusions are listed alongside meta-analytic information about the magnitude and variability of the corresponding effects. References to 322 meta-analyses of social psychological phenomena are presented, as well as statistical effect-size summaries. Analyses reveal that social psychological effects typically yield a value of r equal to .21 and that, in the typical research literature, effects vary from study to study in ways that produce a standard deviation in r of .15. Uses, limitations, and implications of this large-scale compilation are noted.","author":[{"dropping-particle":"","family":"Richard","given":"F. D.","non-dropping-particle":"","parse-names":false,"suffix":""},{"dropping-particle":"","family":"Bond","given":"Charles F.","non-dropping-particle":"","parse-names":false,"suffix":""},{"dropping-particle":"","family":"Stokes-Zoota","given":"Juli J.","non-dropping-particle":"","parse-names":false,"suffix":""}],"container-title":"Review of General Psychology","id":"ITEM-2","issue":"4","issued":{"date-parts":[["2003"]]},"page":"331-363","title":"One Hundred Years of Social Psychology Quantitatively Described","type":"article-journal","volume":"7"},"uris":["http://www.mendeley.com/documents/?uuid=f7696f8f-ea69-456b-a877-266e439a8073"]}],"mendeley":{"formattedCitation":"(Funder &amp; Ozer, 2019; Richard et al., 2003)","plainTextFormattedCitation":"(Funder &amp; Ozer, 2019; Richard et al., 2003)","previouslyFormattedCitation":"(Funder &amp; Ozer, 2019; Richard et al., 2003)"},"properties":{"noteIndex":0},"schema":"https://github.com/citation-style-language/schema/raw/master/csl-citation.json"}</w:instrText>
      </w:r>
      <w:r w:rsidRPr="00E23DCB">
        <w:rPr>
          <w:lang w:val="en-GB"/>
        </w:rPr>
        <w:fldChar w:fldCharType="separate"/>
      </w:r>
      <w:r w:rsidRPr="00E23DCB">
        <w:rPr>
          <w:noProof/>
          <w:lang w:val="en-GB"/>
        </w:rPr>
        <w:t>(Funder &amp; Ozer, 2019; Richard et al., 2003)</w:t>
      </w:r>
      <w:r w:rsidRPr="00E23DCB">
        <w:rPr>
          <w:lang w:val="en-GB"/>
        </w:rPr>
        <w:fldChar w:fldCharType="end"/>
      </w:r>
      <w:r w:rsidRPr="00E23DCB">
        <w:rPr>
          <w:lang w:val="en-GB"/>
        </w:rPr>
        <w:t>. Also, not all studies included a control group or a follow-up analysis. Since both features are commonly related to money or time constraints, the rating incorporated reported evidence without downgrading studies with fewer categories of evidence.</w:t>
      </w:r>
    </w:p>
    <w:p w14:paraId="7D89E329" w14:textId="067BBB01" w:rsidR="00A745EB" w:rsidRPr="00E23DCB" w:rsidRDefault="00A745EB" w:rsidP="00A745EB">
      <w:pPr>
        <w:spacing w:after="120" w:line="288" w:lineRule="auto"/>
        <w:rPr>
          <w:lang w:val="en-GB"/>
        </w:rPr>
      </w:pPr>
      <w:r w:rsidRPr="00E23DCB">
        <w:rPr>
          <w:bCs/>
          <w:lang w:val="en-GB"/>
        </w:rPr>
        <w:t xml:space="preserve">For the level of evidence rating, the range for each category was between -1 and 2 points. </w:t>
      </w:r>
      <w:r w:rsidRPr="00E23DCB">
        <w:rPr>
          <w:lang w:val="en-GB"/>
        </w:rPr>
        <w:t xml:space="preserve">Using the tool, negative, non-significant and negligible evidence (non-significant between group effects, </w:t>
      </w:r>
      <w:proofErr w:type="gramStart"/>
      <w:r w:rsidRPr="00E23DCB">
        <w:rPr>
          <w:lang w:val="en-GB"/>
        </w:rPr>
        <w:t>Cohens</w:t>
      </w:r>
      <w:proofErr w:type="gramEnd"/>
      <w:r w:rsidRPr="00E23DCB">
        <w:rPr>
          <w:lang w:val="en-GB"/>
        </w:rPr>
        <w:t xml:space="preserve"> d effect size below .1) were each rated with -1 point. Absent evidence (no control group, no follow-up) was rated with 0 points. Equally, a very small sample size of below 30 participants and small effect sizes (.1 - .25) were each rated with 0 points. Thus, any study with 0 or less points was rated as a study providing weak evidence. One point each was given for moderate effect sizes (.25 - .55), a follow-up maintained short-term (up to 6 months), or medium sample size (30-250). Two points each were given for high effect sizes (&gt; .55), maintained effects at follow-up in the long-term (&gt; 6 months), a high sample size (&gt;250 participants) and significant between-group effects. Thus, total scores for the level of evidence rating could lie between -3 and 8 points with a rating below or equal 0 indicating weak results, and a rating equal or above 1 indicating (strong) positive results. </w:t>
      </w:r>
    </w:p>
    <w:p w14:paraId="2DDC8E9C" w14:textId="77777777" w:rsidR="00A745EB" w:rsidRPr="00E23DCB" w:rsidRDefault="00A745EB" w:rsidP="00A745EB">
      <w:pPr>
        <w:spacing w:after="120" w:line="288" w:lineRule="auto"/>
        <w:rPr>
          <w:bCs/>
          <w:lang w:val="en-GB"/>
        </w:rPr>
      </w:pPr>
    </w:p>
    <w:p w14:paraId="0157D41D" w14:textId="77777777" w:rsidR="00A745EB" w:rsidRPr="00E23DCB" w:rsidRDefault="00A745EB" w:rsidP="00A745EB">
      <w:pPr>
        <w:pStyle w:val="ListParagraph"/>
        <w:numPr>
          <w:ilvl w:val="0"/>
          <w:numId w:val="2"/>
        </w:numPr>
        <w:spacing w:after="120" w:line="288" w:lineRule="auto"/>
        <w:rPr>
          <w:b/>
          <w:lang w:val="en-GB"/>
        </w:rPr>
      </w:pPr>
      <w:r w:rsidRPr="00E23DCB">
        <w:rPr>
          <w:b/>
          <w:lang w:val="en-GB"/>
        </w:rPr>
        <w:t>Between Group Effects</w:t>
      </w:r>
    </w:p>
    <w:p w14:paraId="2170FD0E" w14:textId="77777777" w:rsidR="00A745EB" w:rsidRPr="00E23DCB" w:rsidRDefault="00A745EB" w:rsidP="00A745EB">
      <w:pPr>
        <w:spacing w:after="120" w:line="288" w:lineRule="auto"/>
        <w:rPr>
          <w:bCs/>
          <w:lang w:val="en-GB"/>
        </w:rPr>
      </w:pPr>
      <w:r w:rsidRPr="00E23DCB">
        <w:rPr>
          <w:bCs/>
          <w:lang w:val="en-GB"/>
        </w:rPr>
        <w:t xml:space="preserve">This rating was effectively either negative (-1) for non-significant evidence, non-existent (0) for uncontrolled trials or positive (as in receiving full 2 points) for significant effects. </w:t>
      </w:r>
    </w:p>
    <w:p w14:paraId="06A8D57C" w14:textId="53C1CA7D" w:rsidR="00A745EB" w:rsidRPr="00E23DCB" w:rsidRDefault="00A745EB" w:rsidP="00A745EB">
      <w:pPr>
        <w:spacing w:after="120" w:line="288" w:lineRule="auto"/>
        <w:rPr>
          <w:i/>
          <w:lang w:val="en-GB"/>
        </w:rPr>
      </w:pPr>
      <w:proofErr w:type="spellStart"/>
      <w:r w:rsidRPr="00E23DCB">
        <w:rPr>
          <w:i/>
          <w:lang w:val="en-GB"/>
        </w:rPr>
        <w:t>n.s</w:t>
      </w:r>
      <w:proofErr w:type="spellEnd"/>
      <w:proofErr w:type="gramStart"/>
      <w:r w:rsidRPr="00E23DCB">
        <w:rPr>
          <w:i/>
          <w:lang w:val="en-GB"/>
        </w:rPr>
        <w:t>.=</w:t>
      </w:r>
      <w:proofErr w:type="gramEnd"/>
      <w:r w:rsidRPr="00E23DCB">
        <w:rPr>
          <w:i/>
          <w:lang w:val="en-GB"/>
        </w:rPr>
        <w:t xml:space="preserve">  -1</w:t>
      </w:r>
      <w:r w:rsidRPr="00E23DCB">
        <w:rPr>
          <w:i/>
          <w:lang w:val="en-GB"/>
        </w:rPr>
        <w:tab/>
      </w:r>
      <w:r w:rsidRPr="00E23DCB">
        <w:rPr>
          <w:i/>
          <w:lang w:val="en-GB"/>
        </w:rPr>
        <w:tab/>
      </w:r>
      <w:r w:rsidRPr="00E23DCB">
        <w:rPr>
          <w:i/>
          <w:lang w:val="en-GB"/>
        </w:rPr>
        <w:tab/>
        <w:t>N/A= 0</w:t>
      </w:r>
      <w:r w:rsidRPr="00E23DCB">
        <w:rPr>
          <w:i/>
          <w:lang w:val="en-GB"/>
        </w:rPr>
        <w:tab/>
      </w:r>
      <w:r w:rsidRPr="00E23DCB">
        <w:rPr>
          <w:i/>
          <w:lang w:val="en-GB"/>
        </w:rPr>
        <w:tab/>
      </w:r>
      <w:r w:rsidRPr="00E23DCB">
        <w:rPr>
          <w:i/>
          <w:lang w:val="en-GB"/>
        </w:rPr>
        <w:tab/>
      </w:r>
      <w:r w:rsidRPr="00E23DCB">
        <w:rPr>
          <w:i/>
          <w:lang w:val="en-GB"/>
        </w:rPr>
        <w:tab/>
        <w:t>significant= 2</w:t>
      </w:r>
    </w:p>
    <w:p w14:paraId="1612BB65" w14:textId="77777777" w:rsidR="00A745EB" w:rsidRPr="00E23DCB" w:rsidRDefault="00A745EB" w:rsidP="00A745EB">
      <w:pPr>
        <w:spacing w:after="120" w:line="288" w:lineRule="auto"/>
        <w:rPr>
          <w:bCs/>
          <w:lang w:val="en-GB"/>
        </w:rPr>
      </w:pPr>
    </w:p>
    <w:p w14:paraId="67ABDC81" w14:textId="77777777" w:rsidR="00A745EB" w:rsidRPr="00E23DCB" w:rsidRDefault="00A745EB" w:rsidP="00A745EB">
      <w:pPr>
        <w:pStyle w:val="ListParagraph"/>
        <w:numPr>
          <w:ilvl w:val="0"/>
          <w:numId w:val="2"/>
        </w:numPr>
        <w:spacing w:after="120" w:line="288" w:lineRule="auto"/>
        <w:rPr>
          <w:b/>
          <w:lang w:val="en-GB"/>
        </w:rPr>
      </w:pPr>
      <w:r w:rsidRPr="00E23DCB">
        <w:rPr>
          <w:b/>
          <w:lang w:val="en-GB"/>
        </w:rPr>
        <w:t>Effect Sizes</w:t>
      </w:r>
    </w:p>
    <w:p w14:paraId="47373C02" w14:textId="77777777" w:rsidR="00A745EB" w:rsidRPr="00E23DCB" w:rsidRDefault="00A745EB" w:rsidP="00A745EB">
      <w:pPr>
        <w:pStyle w:val="NormalWeb"/>
        <w:spacing w:before="0" w:beforeAutospacing="0" w:after="120" w:afterAutospacing="0" w:line="288" w:lineRule="auto"/>
        <w:rPr>
          <w:rFonts w:asciiTheme="minorHAnsi" w:eastAsiaTheme="minorHAnsi" w:hAnsiTheme="minorHAnsi" w:cstheme="minorBidi"/>
          <w:sz w:val="22"/>
          <w:szCs w:val="22"/>
          <w:lang w:eastAsia="en-US"/>
        </w:rPr>
      </w:pPr>
      <w:r w:rsidRPr="00E23DCB">
        <w:rPr>
          <w:rFonts w:asciiTheme="minorHAnsi" w:eastAsiaTheme="minorHAnsi" w:hAnsiTheme="minorHAnsi" w:cstheme="minorBidi"/>
          <w:sz w:val="22"/>
          <w:szCs w:val="22"/>
          <w:lang w:eastAsia="en-US"/>
        </w:rPr>
        <w:t xml:space="preserve">The classical benchmarks set by Cohen (1988) are considered relatively high in the context of applied psychological research </w:t>
      </w:r>
      <w:r w:rsidRPr="00E23DCB">
        <w:rPr>
          <w:rFonts w:asciiTheme="minorHAnsi" w:eastAsiaTheme="minorHAnsi" w:hAnsiTheme="minorHAnsi" w:cstheme="minorBidi"/>
          <w:sz w:val="22"/>
          <w:szCs w:val="22"/>
          <w:lang w:eastAsia="en-US"/>
        </w:rPr>
        <w:fldChar w:fldCharType="begin" w:fldLock="1"/>
      </w:r>
      <w:r w:rsidRPr="00E23DCB">
        <w:rPr>
          <w:rFonts w:asciiTheme="minorHAnsi" w:eastAsiaTheme="minorHAnsi" w:hAnsiTheme="minorHAnsi" w:cstheme="minorBidi"/>
          <w:sz w:val="22"/>
          <w:szCs w:val="22"/>
          <w:lang w:eastAsia="en-US"/>
        </w:rPr>
        <w:instrText>ADDIN CSL_CITATION {"citationItems":[{"id":"ITEM-1","itemData":{"DOI":"10.1037/a0038047","ISSN":"00219010","PMID":"25314367","abstract":"Effect size information is essential for the scientific enterprise and plays an increasingly central role in the scientific process. We extracted 147,328 correlations and developed a hierarchical taxonomy of variables reported in Journal of Applied Psychology and Personnel Psychology from 1980 to 2010 to produce empirical effect size benchmarks at the omnibus level, for 20 common research domains, and for an even finer grained level of generality. Results indicate that the usual interpretation and classification of effect sizes as small, medium, and large bear almost no resemblance to findings in the field, because distributions of effect sizes exhibit tertile partitions at values approximately one-half to one-third those intuited by Cohen (1988). Our results offer information that can be used for research planning and design purposes, such as producing better informed non-nil hypotheses and estimating statistical power and planning sample size accordingly. We also offer information useful for understanding the relative importance of the effect sizes found in a particular study in relationship to others and which research domains have advanced more or less, given that larger effect sizes indicate a better understanding of a phenomenon. Also, our study offers information about research domains for which the investigation of moderating effects may be more fruitful and provide information that is likely to facilitate the implementation of Bayesian analysis. Finally, our study offers information that practitioners can use to evaluate the relative effectiveness of various types of interventions.","author":[{"dropping-particle":"","family":"Bosco","given":"Frank A.","non-dropping-particle":"","parse-names":false,"suffix":""},{"dropping-particle":"","family":"Aguinis","given":"Herman","non-dropping-particle":"","parse-names":false,"suffix":""},{"dropping-particle":"","family":"Singh","given":"Kulraj","non-dropping-particle":"","parse-names":false,"suffix":""},{"dropping-particle":"","family":"Field","given":"James G.","non-dropping-particle":"","parse-names":false,"suffix":""},{"dropping-particle":"","family":"Pierce","given":"Charles A.","non-dropping-particle":"","parse-names":false,"suffix":""}],"container-title":"Journal of Applied Psychology","id":"ITEM-1","issue":"2","issued":{"date-parts":[["2015"]]},"page":"431-449","title":"Correlational effect size benchmarks","type":"article-journal","volume":"100"},"uris":["http://www.mendeley.com/documents/?uuid=834a0d12-ff4d-45b3-b1fa-b5f9369c6c90"]}],"mendeley":{"formattedCitation":"(Bosco et al., 2015)","plainTextFormattedCitation":"(Bosco et al., 2015)","previouslyFormattedCitation":"(Bosco et al., 2015)"},"properties":{"noteIndex":0},"schema":"https://github.com/citation-style-language/schema/raw/master/csl-citation.json"}</w:instrText>
      </w:r>
      <w:r w:rsidRPr="00E23DCB">
        <w:rPr>
          <w:rFonts w:asciiTheme="minorHAnsi" w:eastAsiaTheme="minorHAnsi" w:hAnsiTheme="minorHAnsi" w:cstheme="minorBidi"/>
          <w:sz w:val="22"/>
          <w:szCs w:val="22"/>
          <w:lang w:eastAsia="en-US"/>
        </w:rPr>
        <w:fldChar w:fldCharType="separate"/>
      </w:r>
      <w:r w:rsidRPr="00E23DCB">
        <w:rPr>
          <w:rFonts w:asciiTheme="minorHAnsi" w:eastAsiaTheme="minorHAnsi" w:hAnsiTheme="minorHAnsi" w:cstheme="minorBidi"/>
          <w:noProof/>
          <w:sz w:val="22"/>
          <w:szCs w:val="22"/>
          <w:lang w:eastAsia="en-US"/>
        </w:rPr>
        <w:t>(Bosco et al., 2015)</w:t>
      </w:r>
      <w:r w:rsidRPr="00E23DCB">
        <w:rPr>
          <w:rFonts w:asciiTheme="minorHAnsi" w:eastAsiaTheme="minorHAnsi" w:hAnsiTheme="minorHAnsi" w:cstheme="minorBidi"/>
          <w:sz w:val="22"/>
          <w:szCs w:val="22"/>
          <w:lang w:eastAsia="en-US"/>
        </w:rPr>
        <w:fldChar w:fldCharType="end"/>
      </w:r>
      <w:r w:rsidRPr="00E23DCB">
        <w:rPr>
          <w:rFonts w:asciiTheme="minorHAnsi" w:eastAsiaTheme="minorHAnsi" w:hAnsiTheme="minorHAnsi" w:cstheme="minorBidi"/>
          <w:sz w:val="22"/>
          <w:szCs w:val="22"/>
          <w:lang w:eastAsia="en-US"/>
        </w:rPr>
        <w:t xml:space="preserve">. Cohen (1988) himself suggested his benchmarks could be used if no other basis for interpretation was applicable. Instead, effect sizes could be meaningfully interpreted in the context of typical effect sizes obtained in psychological research (Funder &amp; Ozer, 2019) or effect sizes common in the particular </w:t>
      </w:r>
      <w:proofErr w:type="spellStart"/>
      <w:r w:rsidRPr="00E23DCB">
        <w:rPr>
          <w:rFonts w:asciiTheme="minorHAnsi" w:eastAsiaTheme="minorHAnsi" w:hAnsiTheme="minorHAnsi" w:cstheme="minorBidi"/>
          <w:sz w:val="22"/>
          <w:szCs w:val="22"/>
          <w:lang w:eastAsia="en-US"/>
        </w:rPr>
        <w:t>filed</w:t>
      </w:r>
      <w:proofErr w:type="spellEnd"/>
      <w:r w:rsidRPr="00E23DCB">
        <w:rPr>
          <w:rFonts w:asciiTheme="minorHAnsi" w:eastAsiaTheme="minorHAnsi" w:hAnsiTheme="minorHAnsi" w:cstheme="minorBidi"/>
          <w:sz w:val="22"/>
          <w:szCs w:val="22"/>
          <w:lang w:eastAsia="en-US"/>
        </w:rPr>
        <w:t xml:space="preserve"> of study (Bosco et al., 2015). Based on empirically observed effects in psychological research and considerations regarding long-term consequences of individual effects, Funder &amp; Ozer (2019) suggest alternative benchmarks of r .05 – very small, r .10 – small (and potentially more consequential in the long-run), r .20 – medium (of explanatory use even in the short run), and r .30 – large and powerful in short and long run. They suggest effect sizes of r .40 and larger are likely to be overestimations. A meta-analysis of effect sizes in individual differences research suggested similar guidelines based on empirical effect sizes; r. 0.10 - small 0.20 – medium and 0.30 – large. Regarding common effect sizes in the field of study linked to this review, a meta-analysis of effect sizes in social psychology found a mean r of .17 for studies related to health psychology, a mean r of .19 for intergroup relations and a mean r of .22 for relationships </w:t>
      </w:r>
      <w:r w:rsidRPr="00E23DCB">
        <w:rPr>
          <w:rFonts w:asciiTheme="minorHAnsi" w:eastAsiaTheme="minorHAnsi" w:hAnsiTheme="minorHAnsi" w:cstheme="minorBidi"/>
          <w:sz w:val="22"/>
          <w:szCs w:val="22"/>
          <w:lang w:eastAsia="en-US"/>
        </w:rPr>
        <w:fldChar w:fldCharType="begin" w:fldLock="1"/>
      </w:r>
      <w:r w:rsidRPr="00E23DCB">
        <w:rPr>
          <w:rFonts w:asciiTheme="minorHAnsi" w:eastAsiaTheme="minorHAnsi" w:hAnsiTheme="minorHAnsi" w:cstheme="minorBidi"/>
          <w:sz w:val="22"/>
          <w:szCs w:val="22"/>
          <w:lang w:eastAsia="en-US"/>
        </w:rPr>
        <w:instrText>ADDIN CSL_CITATION {"citationItems":[{"id":"ITEM-1","itemData":{"DOI":"10.1037/1089-2680.7.4.331","ISSN":"10892680","abstract":"This article compiles results from a century of social psychological research, more than 25,000 studies of 8 million people. A large number of social psychological conclusions are listed alongside meta-analytic information about the magnitude and variability of the corresponding effects. References to 322 meta-analyses of social psychological phenomena are presented, as well as statistical effect-size summaries. Analyses reveal that social psychological effects typically yield a value of r equal to .21 and that, in the typical research literature, effects vary from study to study in ways that produce a standard deviation in r of .15. Uses, limitations, and implications of this large-scale compilation are noted.","author":[{"dropping-particle":"","family":"Richard","given":"F. D.","non-dropping-particle":"","parse-names":false,"suffix":""},{"dropping-particle":"","family":"Bond","given":"Charles F.","non-dropping-particle":"","parse-names":false,"suffix":""},{"dropping-particle":"","family":"Stokes-Zoota","given":"Juli J.","non-dropping-particle":"","parse-names":false,"suffix":""}],"container-title":"Review of General Psychology","id":"ITEM-1","issue":"4","issued":{"date-parts":[["2003"]]},"page":"331-363","title":"One Hundred Years of Social Psychology Quantitatively Described","type":"article-journal","volume":"7"},"uris":["http://www.mendeley.com/documents/?uuid=f7696f8f-ea69-456b-a877-266e439a8073"]}],"mendeley":{"formattedCitation":"(Richard et al., 2003)","plainTextFormattedCitation":"(Richard et al., 2003)","previouslyFormattedCitation":"(Richard et al., 2003)"},"properties":{"noteIndex":0},"schema":"https://github.com/citation-style-language/schema/raw/master/csl-citation.json"}</w:instrText>
      </w:r>
      <w:r w:rsidRPr="00E23DCB">
        <w:rPr>
          <w:rFonts w:asciiTheme="minorHAnsi" w:eastAsiaTheme="minorHAnsi" w:hAnsiTheme="minorHAnsi" w:cstheme="minorBidi"/>
          <w:sz w:val="22"/>
          <w:szCs w:val="22"/>
          <w:lang w:eastAsia="en-US"/>
        </w:rPr>
        <w:fldChar w:fldCharType="separate"/>
      </w:r>
      <w:r w:rsidRPr="00E23DCB">
        <w:rPr>
          <w:rFonts w:asciiTheme="minorHAnsi" w:eastAsiaTheme="minorHAnsi" w:hAnsiTheme="minorHAnsi" w:cstheme="minorBidi"/>
          <w:noProof/>
          <w:sz w:val="22"/>
          <w:szCs w:val="22"/>
          <w:lang w:eastAsia="en-US"/>
        </w:rPr>
        <w:t>(Richard et al., 2003)</w:t>
      </w:r>
      <w:r w:rsidRPr="00E23DCB">
        <w:rPr>
          <w:rFonts w:asciiTheme="minorHAnsi" w:eastAsiaTheme="minorHAnsi" w:hAnsiTheme="minorHAnsi" w:cstheme="minorBidi"/>
          <w:sz w:val="22"/>
          <w:szCs w:val="22"/>
          <w:lang w:eastAsia="en-US"/>
        </w:rPr>
        <w:fldChar w:fldCharType="end"/>
      </w:r>
      <w:r w:rsidRPr="00E23DCB">
        <w:rPr>
          <w:rFonts w:asciiTheme="minorHAnsi" w:eastAsiaTheme="minorHAnsi" w:hAnsiTheme="minorHAnsi" w:cstheme="minorBidi"/>
          <w:sz w:val="22"/>
          <w:szCs w:val="22"/>
          <w:lang w:eastAsia="en-US"/>
        </w:rPr>
        <w:t xml:space="preserve">.  Since r and d can be easily converted (Funder &amp; Ozer, 2019), it is assumed that these considerations similarly apply to benchmarks for Cohen’s d. </w:t>
      </w:r>
    </w:p>
    <w:p w14:paraId="2D05F38B" w14:textId="77777777" w:rsidR="00A745EB" w:rsidRPr="00E23DCB" w:rsidRDefault="00A745EB" w:rsidP="00A745EB">
      <w:pPr>
        <w:spacing w:after="120" w:line="288" w:lineRule="auto"/>
        <w:rPr>
          <w:lang w:val="en-GB"/>
        </w:rPr>
      </w:pPr>
      <w:r w:rsidRPr="00E23DCB">
        <w:rPr>
          <w:lang w:val="en-GB"/>
        </w:rPr>
        <w:t>Assuming that r .10 = d .20 represent small effects, r .20 = d. 40 medium effects and r .30 = d .629 large effects and that effects sizes common in health research and relationships average between r .17 = d. 345 and r .22 = d .4511, the following interpretation of effect sizes in the context of this review was created:</w:t>
      </w:r>
    </w:p>
    <w:p w14:paraId="585CD4AA" w14:textId="77777777" w:rsidR="00A745EB" w:rsidRPr="00E23DCB" w:rsidRDefault="00A745EB" w:rsidP="00A745EB">
      <w:pPr>
        <w:spacing w:after="120" w:line="288" w:lineRule="auto"/>
        <w:rPr>
          <w:i/>
          <w:lang w:val="en-GB"/>
        </w:rPr>
      </w:pPr>
      <w:r w:rsidRPr="00E23DCB">
        <w:rPr>
          <w:i/>
          <w:lang w:val="en-GB"/>
        </w:rPr>
        <w:t>Neg &amp; .0 effects</w:t>
      </w:r>
      <w:proofErr w:type="gramStart"/>
      <w:r w:rsidRPr="00E23DCB">
        <w:rPr>
          <w:i/>
          <w:lang w:val="en-GB"/>
        </w:rPr>
        <w:t>=  -</w:t>
      </w:r>
      <w:proofErr w:type="gramEnd"/>
      <w:r w:rsidRPr="00E23DCB">
        <w:rPr>
          <w:i/>
          <w:lang w:val="en-GB"/>
        </w:rPr>
        <w:t>1</w:t>
      </w:r>
      <w:r w:rsidRPr="00E23DCB">
        <w:rPr>
          <w:i/>
          <w:lang w:val="en-GB"/>
        </w:rPr>
        <w:tab/>
        <w:t>small(.1 - .25)= 0</w:t>
      </w:r>
      <w:r w:rsidRPr="00E23DCB">
        <w:rPr>
          <w:i/>
          <w:lang w:val="en-GB"/>
        </w:rPr>
        <w:tab/>
        <w:t>moderate(.25 - .55)=1</w:t>
      </w:r>
      <w:r w:rsidRPr="00E23DCB">
        <w:rPr>
          <w:i/>
          <w:lang w:val="en-GB"/>
        </w:rPr>
        <w:tab/>
        <w:t>strong (&gt; .55) =2</w:t>
      </w:r>
    </w:p>
    <w:p w14:paraId="7C576E4C" w14:textId="77777777" w:rsidR="00A745EB" w:rsidRPr="00E23DCB" w:rsidRDefault="00A745EB" w:rsidP="00A745EB">
      <w:pPr>
        <w:spacing w:after="120" w:line="288" w:lineRule="auto"/>
        <w:rPr>
          <w:bCs/>
          <w:lang w:val="en-GB"/>
        </w:rPr>
      </w:pPr>
    </w:p>
    <w:p w14:paraId="412F5312" w14:textId="77777777" w:rsidR="00A745EB" w:rsidRPr="00E23DCB" w:rsidRDefault="00A745EB" w:rsidP="00A745EB">
      <w:pPr>
        <w:pStyle w:val="ListParagraph"/>
        <w:numPr>
          <w:ilvl w:val="0"/>
          <w:numId w:val="2"/>
        </w:numPr>
        <w:spacing w:after="120" w:line="288" w:lineRule="auto"/>
        <w:rPr>
          <w:b/>
          <w:lang w:val="en-GB"/>
        </w:rPr>
      </w:pPr>
      <w:r w:rsidRPr="00E23DCB">
        <w:rPr>
          <w:b/>
          <w:lang w:val="en-GB"/>
        </w:rPr>
        <w:t>Follow-up Evidence</w:t>
      </w:r>
    </w:p>
    <w:p w14:paraId="4F929DF3" w14:textId="77777777" w:rsidR="00A745EB" w:rsidRPr="00E23DCB" w:rsidRDefault="00A745EB" w:rsidP="00A745EB">
      <w:pPr>
        <w:spacing w:after="120" w:line="288" w:lineRule="auto"/>
        <w:rPr>
          <w:lang w:val="en-GB"/>
        </w:rPr>
      </w:pPr>
      <w:r w:rsidRPr="00E23DCB">
        <w:rPr>
          <w:lang w:val="en-GB"/>
        </w:rPr>
        <w:t xml:space="preserve">This rating could either refer to within-group or between-group effects. Significant between-group effects at follow-up or within-group effect sizes </w:t>
      </w:r>
      <w:r w:rsidRPr="00E23DCB">
        <w:rPr>
          <w:i/>
          <w:iCs/>
          <w:lang w:val="en-GB"/>
        </w:rPr>
        <w:t>at the same level</w:t>
      </w:r>
      <w:r w:rsidRPr="00E23DCB">
        <w:rPr>
          <w:lang w:val="en-GB"/>
        </w:rPr>
        <w:t xml:space="preserve"> (small, medium or large) at follow-up as reported for post-test data. The rating focused on the duration of the follow-up period instead of effect sizes:</w:t>
      </w:r>
    </w:p>
    <w:p w14:paraId="46C246E6" w14:textId="77777777" w:rsidR="00A745EB" w:rsidRPr="00E23DCB" w:rsidRDefault="00A745EB" w:rsidP="00A745EB">
      <w:pPr>
        <w:spacing w:after="120" w:line="288" w:lineRule="auto"/>
        <w:rPr>
          <w:i/>
          <w:lang w:val="en-GB"/>
        </w:rPr>
      </w:pPr>
      <w:r w:rsidRPr="00E23DCB">
        <w:rPr>
          <w:i/>
          <w:lang w:val="en-GB"/>
        </w:rPr>
        <w:t xml:space="preserve">Not maintained </w:t>
      </w:r>
      <w:proofErr w:type="gramStart"/>
      <w:r w:rsidRPr="00E23DCB">
        <w:rPr>
          <w:i/>
          <w:lang w:val="en-GB"/>
        </w:rPr>
        <w:t>=  -</w:t>
      </w:r>
      <w:proofErr w:type="gramEnd"/>
      <w:r w:rsidRPr="00E23DCB">
        <w:rPr>
          <w:i/>
          <w:lang w:val="en-GB"/>
        </w:rPr>
        <w:t xml:space="preserve">1 </w:t>
      </w:r>
      <w:r w:rsidRPr="00E23DCB">
        <w:rPr>
          <w:i/>
          <w:lang w:val="en-GB"/>
        </w:rPr>
        <w:tab/>
      </w:r>
    </w:p>
    <w:p w14:paraId="2626B44E" w14:textId="77777777" w:rsidR="00A745EB" w:rsidRPr="00E23DCB" w:rsidRDefault="00A745EB" w:rsidP="00A745EB">
      <w:pPr>
        <w:spacing w:after="120" w:line="288" w:lineRule="auto"/>
        <w:rPr>
          <w:i/>
          <w:lang w:val="en-GB"/>
        </w:rPr>
      </w:pPr>
      <w:r w:rsidRPr="00E23DCB">
        <w:rPr>
          <w:i/>
          <w:lang w:val="en-GB"/>
        </w:rPr>
        <w:t>N/A= 0</w:t>
      </w:r>
      <w:r w:rsidRPr="00E23DCB">
        <w:rPr>
          <w:i/>
          <w:lang w:val="en-GB"/>
        </w:rPr>
        <w:tab/>
      </w:r>
      <w:r w:rsidRPr="00E23DCB">
        <w:rPr>
          <w:i/>
          <w:lang w:val="en-GB"/>
        </w:rPr>
        <w:tab/>
      </w:r>
    </w:p>
    <w:p w14:paraId="35DFEA81" w14:textId="77777777" w:rsidR="00A745EB" w:rsidRPr="00E23DCB" w:rsidRDefault="00A745EB" w:rsidP="00A745EB">
      <w:pPr>
        <w:spacing w:after="120" w:line="288" w:lineRule="auto"/>
        <w:rPr>
          <w:i/>
          <w:lang w:val="en-GB"/>
        </w:rPr>
      </w:pPr>
      <w:proofErr w:type="gramStart"/>
      <w:r w:rsidRPr="00E23DCB">
        <w:rPr>
          <w:i/>
          <w:lang w:val="en-GB"/>
        </w:rPr>
        <w:t>maintained</w:t>
      </w:r>
      <w:proofErr w:type="gramEnd"/>
      <w:r w:rsidRPr="00E23DCB">
        <w:rPr>
          <w:i/>
          <w:lang w:val="en-GB"/>
        </w:rPr>
        <w:t xml:space="preserve"> at short term (&lt; 6 months)= 1</w:t>
      </w:r>
      <w:r w:rsidRPr="00E23DCB">
        <w:rPr>
          <w:i/>
          <w:lang w:val="en-GB"/>
        </w:rPr>
        <w:tab/>
      </w:r>
      <w:r w:rsidRPr="00E23DCB">
        <w:rPr>
          <w:i/>
          <w:lang w:val="en-GB"/>
        </w:rPr>
        <w:tab/>
      </w:r>
    </w:p>
    <w:p w14:paraId="6A342C5B" w14:textId="77777777" w:rsidR="00A745EB" w:rsidRPr="00E23DCB" w:rsidRDefault="00A745EB" w:rsidP="00A745EB">
      <w:pPr>
        <w:spacing w:after="120" w:line="288" w:lineRule="auto"/>
        <w:rPr>
          <w:i/>
          <w:lang w:val="en-GB"/>
        </w:rPr>
      </w:pPr>
      <w:proofErr w:type="gramStart"/>
      <w:r w:rsidRPr="00E23DCB">
        <w:rPr>
          <w:i/>
          <w:lang w:val="en-GB"/>
        </w:rPr>
        <w:t>maintained</w:t>
      </w:r>
      <w:proofErr w:type="gramEnd"/>
      <w:r w:rsidRPr="00E23DCB">
        <w:rPr>
          <w:i/>
          <w:lang w:val="en-GB"/>
        </w:rPr>
        <w:t xml:space="preserve"> at medium and long term (&gt;6 month) = 2</w:t>
      </w:r>
    </w:p>
    <w:p w14:paraId="6E968290" w14:textId="77777777" w:rsidR="00A745EB" w:rsidRPr="00E23DCB" w:rsidRDefault="00A745EB" w:rsidP="00A745EB">
      <w:pPr>
        <w:spacing w:after="120" w:line="288" w:lineRule="auto"/>
        <w:rPr>
          <w:lang w:val="en-GB"/>
        </w:rPr>
      </w:pPr>
      <w:r w:rsidRPr="00E23DCB">
        <w:rPr>
          <w:lang w:val="en-GB"/>
        </w:rPr>
        <w:t>Two special cases were acknowledged:</w:t>
      </w:r>
    </w:p>
    <w:p w14:paraId="1F1BB08C" w14:textId="77777777" w:rsidR="00A745EB" w:rsidRPr="00E23DCB" w:rsidRDefault="00A745EB" w:rsidP="00A745EB">
      <w:pPr>
        <w:pStyle w:val="ListParagraph"/>
        <w:numPr>
          <w:ilvl w:val="0"/>
          <w:numId w:val="3"/>
        </w:numPr>
        <w:spacing w:after="120" w:line="288" w:lineRule="auto"/>
        <w:rPr>
          <w:lang w:val="en-GB"/>
        </w:rPr>
      </w:pPr>
      <w:r w:rsidRPr="00E23DCB">
        <w:rPr>
          <w:lang w:val="en-GB"/>
        </w:rPr>
        <w:t xml:space="preserve">Large effect size at post-test may decrease to medium effect size without being downgraded. Medium effect sizes after a follow-up period are still stronger compared to small effect sizes maintained at low level, thus medium effects are considered maintained effects. </w:t>
      </w:r>
    </w:p>
    <w:p w14:paraId="0450A36F" w14:textId="77777777" w:rsidR="00A745EB" w:rsidRPr="00E23DCB" w:rsidRDefault="00A745EB" w:rsidP="00A745EB">
      <w:pPr>
        <w:pStyle w:val="ListParagraph"/>
        <w:numPr>
          <w:ilvl w:val="0"/>
          <w:numId w:val="3"/>
        </w:numPr>
        <w:spacing w:after="120" w:line="288" w:lineRule="auto"/>
        <w:rPr>
          <w:lang w:val="en-GB"/>
        </w:rPr>
      </w:pPr>
      <w:r w:rsidRPr="00E23DCB">
        <w:rPr>
          <w:lang w:val="en-GB"/>
        </w:rPr>
        <w:t>An increase in effect sizes to a higher level is rated with 1 or 2 points (according to the time frame).</w:t>
      </w:r>
    </w:p>
    <w:p w14:paraId="249A921F" w14:textId="77777777" w:rsidR="00A745EB" w:rsidRPr="00E23DCB" w:rsidRDefault="00A745EB" w:rsidP="00A745EB">
      <w:pPr>
        <w:pStyle w:val="ListParagraph"/>
        <w:spacing w:after="120" w:line="288" w:lineRule="auto"/>
        <w:rPr>
          <w:lang w:val="en-GB"/>
        </w:rPr>
      </w:pPr>
    </w:p>
    <w:p w14:paraId="58E47CF6" w14:textId="77777777" w:rsidR="00A745EB" w:rsidRPr="00E23DCB" w:rsidRDefault="00A745EB" w:rsidP="00A745EB">
      <w:pPr>
        <w:pStyle w:val="ListParagraph"/>
        <w:numPr>
          <w:ilvl w:val="0"/>
          <w:numId w:val="2"/>
        </w:numPr>
        <w:spacing w:after="120" w:line="288" w:lineRule="auto"/>
        <w:rPr>
          <w:b/>
          <w:lang w:val="en-GB"/>
        </w:rPr>
      </w:pPr>
      <w:r w:rsidRPr="00E23DCB">
        <w:rPr>
          <w:b/>
          <w:lang w:val="en-GB"/>
        </w:rPr>
        <w:t>Sample Size</w:t>
      </w:r>
    </w:p>
    <w:p w14:paraId="509AD111" w14:textId="77777777" w:rsidR="00A745EB" w:rsidRPr="00E23DCB" w:rsidRDefault="00A745EB" w:rsidP="00A745EB">
      <w:pPr>
        <w:spacing w:after="120" w:line="288" w:lineRule="auto"/>
        <w:rPr>
          <w:lang w:val="en-GB"/>
        </w:rPr>
      </w:pPr>
      <w:r w:rsidRPr="00E23DCB">
        <w:rPr>
          <w:lang w:val="en-GB"/>
        </w:rPr>
        <w:fldChar w:fldCharType="begin" w:fldLock="1"/>
      </w:r>
      <w:r w:rsidRPr="00E23DCB">
        <w:rPr>
          <w:lang w:val="en-GB"/>
        </w:rPr>
        <w:instrText>ADDIN CSL_CITATION {"citationItems":[{"id":"ITEM-1","itemData":{"DOI":"10.3102/0013189X16656615","ISSN":"1935102X","abstract":"As evidence becomes increasingly important in educational policy, it is essential to understand how research design might contribute to reported effect sizes in experiments evaluating educational programs. A total of 645 studies from 12 recent reviews of evaluations of preschool, reading, mathematics, and science programs were studied. Effect sizes were roughly twice as large for published articles, small-scale trials, and experimenter-made measures, compared to unpublished documents, large-scale studies, and independent measures, respectively. Effect sizes were significantly higher in quasi-experiments than in randomized experiments. Excluding tutoring studies, there were no significant differences in effect sizes between elementary and middle/high studies. Regression analyses found that effects of all factors maintained after controlling for all other factors. Explanations for the effects of methodological features on effect sizes are discussed, as are implications for evidence-based policy.","author":[{"dropping-particle":"","family":"Cheung","given":"Alan C.K.","non-dropping-particle":"","parse-names":false,"suffix":""},{"dropping-particle":"","family":"Slavin","given":"Robert E.","non-dropping-particle":"","parse-names":false,"suffix":""}],"container-title":"Educational Researcher","id":"ITEM-1","issue":"5","issued":{"date-parts":[["2016"]]},"page":"283-292","title":"How Methodological Features Affect Effect Sizes in Education","type":"article-journal","volume":"45"},"uris":["http://www.mendeley.com/documents/?uuid=d1c1507a-54f5-4161-8d90-3a7977bc7f11"]}],"mendeley":{"formattedCitation":"(Cheung &amp; Slavin, 2016)","manualFormatting":"Cheung and Slavin (2016)","plainTextFormattedCitation":"(Cheung &amp; Slavin, 2016)","previouslyFormattedCitation":"(Cheung &amp; Slavin, 2016)"},"properties":{"noteIndex":0},"schema":"https://github.com/citation-style-language/schema/raw/master/csl-citation.json"}</w:instrText>
      </w:r>
      <w:r w:rsidRPr="00E23DCB">
        <w:rPr>
          <w:lang w:val="en-GB"/>
        </w:rPr>
        <w:fldChar w:fldCharType="separate"/>
      </w:r>
      <w:r w:rsidRPr="00E23DCB">
        <w:rPr>
          <w:noProof/>
          <w:lang w:val="en-GB"/>
        </w:rPr>
        <w:t>Cheung and Slavin (2016)</w:t>
      </w:r>
      <w:r w:rsidRPr="00E23DCB">
        <w:rPr>
          <w:lang w:val="en-GB"/>
        </w:rPr>
        <w:fldChar w:fldCharType="end"/>
      </w:r>
      <w:r w:rsidRPr="00E23DCB">
        <w:rPr>
          <w:lang w:val="en-GB"/>
        </w:rPr>
        <w:t xml:space="preserve"> found that studies with a sample size below N=30 tend to overestimate effect sizes and studies with a sample size larger than N= 250 tend to underestimate effect sizes. Having more than 30 participants was also suggested as general rule of thumb for finding effects in a pilot study </w:t>
      </w:r>
      <w:r w:rsidRPr="00E23DCB">
        <w:rPr>
          <w:lang w:val="en-GB"/>
        </w:rPr>
        <w:fldChar w:fldCharType="begin" w:fldLock="1"/>
      </w:r>
      <w:r w:rsidRPr="00E23DCB">
        <w:rPr>
          <w:lang w:val="en-GB"/>
        </w:rPr>
        <w:instrText>ADDIN CSL_CITATION {"citationItems":[{"id":"ITEM-1","itemData":{"DOI":"10.1111/j..2002.384.doc.x","ISSN":"13561294","PMID":"15189396","abstract":"Pilot studies play an important role in health research, but they can be misused, mistreated and misrepresented. In this paper we focus on pilot studies that are used specifically to plan a randomized controlled trial (RCT). Citing examples from the literature, we provide a methodological framework in which to work, and discuss reasons why a pilot study might be undertaken. A well-conducted pilot study, giving a clear list of aims and objectives within a formal framework will encourage methodological rigour, ensure that the work is scientifically valid and publishable, and will lead to higher quality RCTs. It will also safeguard against pilot studies being conducted simply because of small numbers of available patients.","author":[{"dropping-particle":"","family":"Lancaster","given":"Gillian A.","non-dropping-particle":"","parse-names":false,"suffix":""},{"dropping-particle":"","family":"Dodd","given":"Susanna","non-dropping-particle":"","parse-names":false,"suffix":""},{"dropping-particle":"","family":"Williamson","given":"Paula R.","non-dropping-particle":"","parse-names":false,"suffix":""}],"container-title":"Journal of Evaluation in Clinical Practice","id":"ITEM-1","issue":"2","issued":{"date-parts":[["2004"]]},"page":"307-312","title":"Design and analysis of pilot studies: Recommendations for good practice","type":"article-journal","volume":"10"},"uris":["http://www.mendeley.com/documents/?uuid=3a51f4c9-b8d0-4a92-b019-d151c34b5ff6"]}],"mendeley":{"formattedCitation":"(Lancaster et al., 2004)","plainTextFormattedCitation":"(Lancaster et al., 2004)","previouslyFormattedCitation":"(Lancaster et al., 2004)"},"properties":{"noteIndex":0},"schema":"https://github.com/citation-style-language/schema/raw/master/csl-citation.json"}</w:instrText>
      </w:r>
      <w:r w:rsidRPr="00E23DCB">
        <w:rPr>
          <w:lang w:val="en-GB"/>
        </w:rPr>
        <w:fldChar w:fldCharType="separate"/>
      </w:r>
      <w:r w:rsidRPr="00E23DCB">
        <w:rPr>
          <w:noProof/>
          <w:lang w:val="en-GB"/>
        </w:rPr>
        <w:t>(Lancaster et al., 2004)</w:t>
      </w:r>
      <w:r w:rsidRPr="00E23DCB">
        <w:rPr>
          <w:lang w:val="en-GB"/>
        </w:rPr>
        <w:fldChar w:fldCharType="end"/>
      </w:r>
      <w:r w:rsidRPr="00E23DCB">
        <w:rPr>
          <w:lang w:val="en-GB"/>
        </w:rPr>
        <w:t xml:space="preserve">. Therefore, the following benchmarks were used: </w:t>
      </w:r>
    </w:p>
    <w:p w14:paraId="5E536200" w14:textId="77777777" w:rsidR="00A745EB" w:rsidRPr="00E23DCB" w:rsidRDefault="00A745EB" w:rsidP="00A745EB">
      <w:pPr>
        <w:spacing w:after="120" w:line="288" w:lineRule="auto"/>
        <w:rPr>
          <w:lang w:val="en-GB"/>
        </w:rPr>
      </w:pPr>
      <w:r w:rsidRPr="00E23DCB">
        <w:rPr>
          <w:lang w:val="en-GB"/>
        </w:rPr>
        <w:t xml:space="preserve">Studies with N &lt; 30 received 0 points, implicating that effect sizes might be overestimated and thus mitigating overly positive effects (e.g. high effect sizes). Studies with N </w:t>
      </w:r>
      <w:proofErr w:type="gramStart"/>
      <w:r w:rsidRPr="00E23DCB">
        <w:rPr>
          <w:lang w:val="en-GB"/>
        </w:rPr>
        <w:t>between 31-249</w:t>
      </w:r>
      <w:proofErr w:type="gramEnd"/>
      <w:r w:rsidRPr="00E23DCB">
        <w:rPr>
          <w:lang w:val="en-GB"/>
        </w:rPr>
        <w:t xml:space="preserve"> received 1 point. Studies with N &gt; 250 received 2 points, as literature suggest very large sample sizes might underestimate effect sizes, which might to a lower effect size rating, thus these study receive more points for extraordinary large samples. </w:t>
      </w:r>
    </w:p>
    <w:p w14:paraId="3FE37843" w14:textId="77777777" w:rsidR="00A745EB" w:rsidRPr="00E23DCB" w:rsidRDefault="00A745EB" w:rsidP="00A745EB">
      <w:pPr>
        <w:spacing w:after="120" w:line="288" w:lineRule="auto"/>
        <w:rPr>
          <w:i/>
          <w:iCs/>
          <w:lang w:val="en-GB"/>
        </w:rPr>
      </w:pPr>
      <w:r w:rsidRPr="00E23DCB">
        <w:rPr>
          <w:i/>
          <w:iCs/>
          <w:lang w:val="en-GB"/>
        </w:rPr>
        <w:t>N &lt; 30 = 0</w:t>
      </w:r>
      <w:r w:rsidRPr="00E23DCB">
        <w:rPr>
          <w:i/>
          <w:iCs/>
          <w:lang w:val="en-GB"/>
        </w:rPr>
        <w:tab/>
      </w:r>
      <w:r w:rsidRPr="00E23DCB">
        <w:rPr>
          <w:i/>
          <w:iCs/>
          <w:lang w:val="en-GB"/>
        </w:rPr>
        <w:tab/>
        <w:t>N 31 – 249 = 1</w:t>
      </w:r>
      <w:r w:rsidRPr="00E23DCB">
        <w:rPr>
          <w:i/>
          <w:iCs/>
          <w:lang w:val="en-GB"/>
        </w:rPr>
        <w:tab/>
      </w:r>
      <w:r w:rsidRPr="00E23DCB">
        <w:rPr>
          <w:i/>
          <w:iCs/>
          <w:lang w:val="en-GB"/>
        </w:rPr>
        <w:tab/>
        <w:t>N &gt; 250 = 2</w:t>
      </w:r>
    </w:p>
    <w:p w14:paraId="14896926" w14:textId="77777777" w:rsidR="00A745EB" w:rsidRPr="00E23DCB" w:rsidRDefault="00A745EB" w:rsidP="00A745EB">
      <w:pPr>
        <w:spacing w:after="120" w:line="288" w:lineRule="auto"/>
        <w:rPr>
          <w:bCs/>
          <w:lang w:val="en-GB"/>
        </w:rPr>
      </w:pPr>
    </w:p>
    <w:p w14:paraId="7693A33B" w14:textId="77777777" w:rsidR="00A745EB" w:rsidRPr="00E23DCB" w:rsidRDefault="00A745EB" w:rsidP="00A745EB">
      <w:pPr>
        <w:spacing w:after="120" w:line="288" w:lineRule="auto"/>
        <w:rPr>
          <w:bCs/>
          <w:lang w:val="en-GB"/>
        </w:rPr>
      </w:pPr>
    </w:p>
    <w:p w14:paraId="18E9F2C4" w14:textId="77777777" w:rsidR="00A745EB" w:rsidRPr="00E23DCB" w:rsidRDefault="00A745EB" w:rsidP="00A745EB">
      <w:pPr>
        <w:spacing w:after="120" w:line="288" w:lineRule="auto"/>
        <w:rPr>
          <w:b/>
          <w:lang w:val="en-GB"/>
        </w:rPr>
      </w:pPr>
      <w:r w:rsidRPr="00E23DCB">
        <w:rPr>
          <w:b/>
          <w:lang w:val="en-GB"/>
        </w:rPr>
        <w:t>Full Level of Evidence Rating Table</w:t>
      </w:r>
    </w:p>
    <w:p w14:paraId="62130512" w14:textId="77777777" w:rsidR="00A745EB" w:rsidRPr="00E23DCB" w:rsidRDefault="00A745EB" w:rsidP="00A745EB">
      <w:pPr>
        <w:spacing w:after="120" w:line="288" w:lineRule="auto"/>
        <w:rPr>
          <w:bCs/>
          <w:lang w:val="en-GB"/>
        </w:rPr>
      </w:pPr>
      <w:r w:rsidRPr="00E23DCB">
        <w:rPr>
          <w:bCs/>
          <w:lang w:val="en-GB"/>
        </w:rPr>
        <w:t>As sum score was calculated for the level of evidence rating, with a rating of 0 or below indicating negative or negligible intervention effects and a rating above 0 indicating positive intervention effects. For this rating, it was assumed that negative evidence in one domain (between-group effects, follow-up or effect sizes) would outweigh positive evidence to some degree. A moderate within-group effect size, for example, would be outweighed by non-significant between-group effects. In practical terms, if the intervention group seemed to have improved peer relationship levels to some degree, but the no significant improvement over a control was found, it can be assumed that a general effect of time exists, which is not attributed to the intervention. A detailed overview of the overall rating can be found below.</w:t>
      </w:r>
    </w:p>
    <w:p w14:paraId="0EB66267" w14:textId="77777777" w:rsidR="00A745EB" w:rsidRPr="00E23DCB" w:rsidRDefault="00A745EB" w:rsidP="00A745EB">
      <w:pPr>
        <w:rPr>
          <w:i/>
          <w:lang w:val="en-GB"/>
        </w:rPr>
      </w:pPr>
      <w:r w:rsidRPr="00E23DCB">
        <w:rPr>
          <w:i/>
          <w:lang w:val="en-GB"/>
        </w:rPr>
        <w:t>Between</w:t>
      </w:r>
      <w:r w:rsidRPr="00E23DCB">
        <w:rPr>
          <w:i/>
          <w:lang w:val="en-GB"/>
        </w:rPr>
        <w:tab/>
        <w:t>effect size</w:t>
      </w:r>
      <w:r w:rsidRPr="00E23DCB">
        <w:rPr>
          <w:i/>
          <w:lang w:val="en-GB"/>
        </w:rPr>
        <w:tab/>
        <w:t>follow-up</w:t>
      </w:r>
      <w:r w:rsidRPr="00E23DCB">
        <w:rPr>
          <w:i/>
          <w:lang w:val="en-GB"/>
        </w:rPr>
        <w:tab/>
        <w:t>N&lt;30</w:t>
      </w:r>
      <w:r w:rsidRPr="00E23DCB">
        <w:rPr>
          <w:i/>
          <w:lang w:val="en-GB"/>
        </w:rPr>
        <w:tab/>
      </w:r>
      <w:r w:rsidRPr="00E23DCB">
        <w:rPr>
          <w:i/>
          <w:color w:val="FF0000"/>
          <w:lang w:val="en-GB"/>
        </w:rPr>
        <w:t>rating</w:t>
      </w:r>
      <w:r w:rsidRPr="00E23DCB">
        <w:rPr>
          <w:i/>
          <w:lang w:val="en-GB"/>
        </w:rPr>
        <w:tab/>
      </w:r>
      <w:r w:rsidRPr="00E23DCB">
        <w:rPr>
          <w:i/>
          <w:lang w:val="en-GB"/>
        </w:rPr>
        <w:tab/>
        <w:t>N&gt;30</w:t>
      </w:r>
      <w:r w:rsidRPr="00E23DCB">
        <w:rPr>
          <w:i/>
          <w:lang w:val="en-GB"/>
        </w:rPr>
        <w:tab/>
      </w:r>
      <w:r w:rsidRPr="00E23DCB">
        <w:rPr>
          <w:i/>
          <w:color w:val="FF0000"/>
          <w:lang w:val="en-GB"/>
        </w:rPr>
        <w:t>rating</w:t>
      </w:r>
      <w:r w:rsidRPr="00E23DCB">
        <w:rPr>
          <w:i/>
          <w:lang w:val="en-GB"/>
        </w:rPr>
        <w:tab/>
      </w:r>
    </w:p>
    <w:p w14:paraId="05E9BB40"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0</w:t>
      </w:r>
      <w:r w:rsidRPr="00E23DCB">
        <w:rPr>
          <w:i/>
          <w:lang w:val="en-GB"/>
        </w:rPr>
        <w:tab/>
      </w:r>
      <w:r w:rsidRPr="00E23DCB">
        <w:rPr>
          <w:b/>
          <w:bCs/>
          <w:i/>
          <w:lang w:val="en-GB"/>
        </w:rPr>
        <w:t>-3</w:t>
      </w:r>
      <w:r w:rsidRPr="00E23DCB">
        <w:rPr>
          <w:i/>
          <w:lang w:val="en-GB"/>
        </w:rPr>
        <w:tab/>
      </w:r>
      <w:r w:rsidRPr="00E23DCB">
        <w:rPr>
          <w:i/>
          <w:lang w:val="en-GB"/>
        </w:rPr>
        <w:tab/>
        <w:t>1</w:t>
      </w:r>
      <w:r w:rsidRPr="00E23DCB">
        <w:rPr>
          <w:i/>
          <w:lang w:val="en-GB"/>
        </w:rPr>
        <w:tab/>
      </w:r>
      <w:r w:rsidRPr="00E23DCB">
        <w:rPr>
          <w:b/>
          <w:bCs/>
          <w:i/>
          <w:lang w:val="en-GB"/>
        </w:rPr>
        <w:t>-2</w:t>
      </w:r>
    </w:p>
    <w:p w14:paraId="72C131B5"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xml:space="preserve"> -1</w:t>
      </w:r>
      <w:r w:rsidRPr="00E23DCB">
        <w:rPr>
          <w:i/>
          <w:lang w:val="en-GB"/>
        </w:rPr>
        <w:tab/>
      </w:r>
      <w:r w:rsidRPr="00E23DCB">
        <w:rPr>
          <w:i/>
          <w:lang w:val="en-GB"/>
        </w:rPr>
        <w:tab/>
        <w:t>small 0</w:t>
      </w:r>
      <w:r w:rsidRPr="00E23DCB">
        <w:rPr>
          <w:i/>
          <w:lang w:val="en-GB"/>
        </w:rPr>
        <w:tab/>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0</w:t>
      </w:r>
      <w:r w:rsidRPr="00E23DCB">
        <w:rPr>
          <w:i/>
          <w:lang w:val="en-GB"/>
        </w:rPr>
        <w:tab/>
      </w:r>
      <w:r w:rsidRPr="00E23DCB">
        <w:rPr>
          <w:b/>
          <w:bCs/>
          <w:i/>
          <w:lang w:val="en-GB"/>
        </w:rPr>
        <w:t>-2</w:t>
      </w:r>
      <w:r w:rsidRPr="00E23DCB">
        <w:rPr>
          <w:i/>
          <w:lang w:val="en-GB"/>
        </w:rPr>
        <w:tab/>
      </w:r>
      <w:r w:rsidRPr="00E23DCB">
        <w:rPr>
          <w:i/>
          <w:lang w:val="en-GB"/>
        </w:rPr>
        <w:tab/>
        <w:t>1</w:t>
      </w:r>
      <w:r w:rsidRPr="00E23DCB">
        <w:rPr>
          <w:i/>
          <w:lang w:val="en-GB"/>
        </w:rPr>
        <w:tab/>
      </w:r>
      <w:r w:rsidRPr="00E23DCB">
        <w:rPr>
          <w:b/>
          <w:bCs/>
          <w:i/>
          <w:lang w:val="en-GB"/>
        </w:rPr>
        <w:t>-1</w:t>
      </w:r>
    </w:p>
    <w:p w14:paraId="789CD414"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-1</w:t>
      </w:r>
      <w:r w:rsidRPr="00E23DCB">
        <w:rPr>
          <w:i/>
          <w:lang w:val="en-GB"/>
        </w:rPr>
        <w:tab/>
      </w:r>
      <w:r w:rsidRPr="00E23DCB">
        <w:rPr>
          <w:i/>
          <w:lang w:val="en-GB"/>
        </w:rPr>
        <w:tab/>
        <w:t>1</w:t>
      </w:r>
      <w:r w:rsidRPr="00E23DCB">
        <w:rPr>
          <w:i/>
          <w:lang w:val="en-GB"/>
        </w:rPr>
        <w:tab/>
      </w:r>
      <w:r w:rsidRPr="00E23DCB">
        <w:rPr>
          <w:b/>
          <w:bCs/>
          <w:i/>
          <w:lang w:val="en-GB"/>
        </w:rPr>
        <w:t>0</w:t>
      </w:r>
    </w:p>
    <w:p w14:paraId="3380EFB0"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t>small 0</w:t>
      </w:r>
      <w:r w:rsidRPr="00E23DCB">
        <w:rPr>
          <w:i/>
          <w:lang w:val="en-GB"/>
        </w:rPr>
        <w:tab/>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-1</w:t>
      </w:r>
      <w:r w:rsidRPr="00E23DCB">
        <w:rPr>
          <w:i/>
          <w:lang w:val="en-GB"/>
        </w:rPr>
        <w:tab/>
      </w:r>
      <w:r w:rsidRPr="00E23DCB">
        <w:rPr>
          <w:i/>
          <w:lang w:val="en-GB"/>
        </w:rPr>
        <w:tab/>
        <w:t>1</w:t>
      </w:r>
      <w:r w:rsidRPr="00E23DCB">
        <w:rPr>
          <w:i/>
          <w:lang w:val="en-GB"/>
        </w:rPr>
        <w:tab/>
      </w:r>
      <w:r w:rsidRPr="00E23DCB">
        <w:rPr>
          <w:b/>
          <w:bCs/>
          <w:i/>
          <w:lang w:val="en-GB"/>
        </w:rPr>
        <w:t>0</w:t>
      </w:r>
    </w:p>
    <w:p w14:paraId="7478067B"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t>small 0</w:t>
      </w:r>
      <w:r w:rsidRPr="00E23DCB">
        <w:rPr>
          <w:i/>
          <w:lang w:val="en-GB"/>
        </w:rPr>
        <w:tab/>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0</w:t>
      </w:r>
      <w:r w:rsidRPr="00E23DCB">
        <w:rPr>
          <w:i/>
          <w:lang w:val="en-GB"/>
        </w:rPr>
        <w:tab/>
      </w:r>
      <w:r w:rsidRPr="00E23DCB">
        <w:rPr>
          <w:b/>
          <w:bCs/>
          <w:i/>
          <w:lang w:val="en-GB"/>
        </w:rPr>
        <w:t>-1</w:t>
      </w:r>
      <w:r w:rsidRPr="00E23DCB">
        <w:rPr>
          <w:i/>
          <w:lang w:val="en-GB"/>
        </w:rPr>
        <w:tab/>
      </w:r>
      <w:r w:rsidRPr="00E23DCB">
        <w:rPr>
          <w:i/>
          <w:lang w:val="en-GB"/>
        </w:rPr>
        <w:tab/>
        <w:t>1</w:t>
      </w:r>
      <w:r w:rsidRPr="00E23DCB">
        <w:rPr>
          <w:i/>
          <w:lang w:val="en-GB"/>
        </w:rPr>
        <w:tab/>
      </w:r>
      <w:r w:rsidRPr="00E23DCB">
        <w:rPr>
          <w:b/>
          <w:bCs/>
          <w:i/>
          <w:lang w:val="en-GB"/>
        </w:rPr>
        <w:t>0</w:t>
      </w:r>
    </w:p>
    <w:p w14:paraId="3B9D8AD4"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t>small 0</w:t>
      </w:r>
      <w:r w:rsidRPr="00E23DCB">
        <w:rPr>
          <w:i/>
          <w:lang w:val="en-GB"/>
        </w:rPr>
        <w:tab/>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0</w:t>
      </w:r>
      <w:r w:rsidRPr="00E23DCB">
        <w:rPr>
          <w:i/>
          <w:lang w:val="en-GB"/>
        </w:rPr>
        <w:tab/>
      </w:r>
      <w:r w:rsidRPr="00E23DCB">
        <w:rPr>
          <w:i/>
          <w:lang w:val="en-GB"/>
        </w:rPr>
        <w:tab/>
        <w:t>1</w:t>
      </w:r>
      <w:r w:rsidRPr="00E23DCB">
        <w:rPr>
          <w:i/>
          <w:lang w:val="en-GB"/>
        </w:rPr>
        <w:tab/>
      </w:r>
      <w:r w:rsidRPr="00E23DCB">
        <w:rPr>
          <w:b/>
          <w:bCs/>
          <w:i/>
          <w:lang w:val="en-GB"/>
        </w:rPr>
        <w:t>1</w:t>
      </w:r>
    </w:p>
    <w:p w14:paraId="25E3C175"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t>moderate 1</w:t>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0</w:t>
      </w:r>
      <w:r w:rsidRPr="00E23DCB">
        <w:rPr>
          <w:i/>
          <w:lang w:val="en-GB"/>
        </w:rPr>
        <w:tab/>
      </w:r>
      <w:r w:rsidRPr="00E23DCB">
        <w:rPr>
          <w:i/>
          <w:lang w:val="en-GB"/>
        </w:rPr>
        <w:tab/>
        <w:t>1</w:t>
      </w:r>
      <w:r w:rsidRPr="00E23DCB">
        <w:rPr>
          <w:i/>
          <w:lang w:val="en-GB"/>
        </w:rPr>
        <w:tab/>
      </w:r>
      <w:r w:rsidRPr="00E23DCB">
        <w:rPr>
          <w:b/>
          <w:bCs/>
          <w:i/>
          <w:lang w:val="en-GB"/>
        </w:rPr>
        <w:t>1</w:t>
      </w:r>
    </w:p>
    <w:p w14:paraId="2D816233"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t>moderate 1</w:t>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0</w:t>
      </w:r>
      <w:r w:rsidRPr="00E23DCB">
        <w:rPr>
          <w:i/>
          <w:lang w:val="en-GB"/>
        </w:rPr>
        <w:tab/>
      </w:r>
      <w:r w:rsidRPr="00E23DCB">
        <w:rPr>
          <w:b/>
          <w:bCs/>
          <w:i/>
          <w:lang w:val="en-GB"/>
        </w:rPr>
        <w:t>0</w:t>
      </w:r>
      <w:r w:rsidRPr="00E23DCB">
        <w:rPr>
          <w:i/>
          <w:lang w:val="en-GB"/>
        </w:rPr>
        <w:tab/>
      </w:r>
      <w:r w:rsidRPr="00E23DCB">
        <w:rPr>
          <w:i/>
          <w:lang w:val="en-GB"/>
        </w:rPr>
        <w:tab/>
        <w:t>1</w:t>
      </w:r>
      <w:r w:rsidRPr="00E23DCB">
        <w:rPr>
          <w:i/>
          <w:lang w:val="en-GB"/>
        </w:rPr>
        <w:tab/>
      </w:r>
      <w:r w:rsidRPr="00E23DCB">
        <w:rPr>
          <w:b/>
          <w:bCs/>
          <w:i/>
          <w:lang w:val="en-GB"/>
        </w:rPr>
        <w:t>1</w:t>
      </w:r>
    </w:p>
    <w:p w14:paraId="57A0F6F2"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t>high 2</w:t>
      </w:r>
      <w:r w:rsidRPr="00E23DCB">
        <w:rPr>
          <w:i/>
          <w:lang w:val="en-GB"/>
        </w:rPr>
        <w:tab/>
      </w:r>
      <w:r w:rsidRPr="00E23DCB">
        <w:rPr>
          <w:i/>
          <w:lang w:val="en-GB"/>
        </w:rPr>
        <w:tab/>
      </w:r>
      <w:proofErr w:type="spellStart"/>
      <w:r w:rsidRPr="00E23DCB">
        <w:rPr>
          <w:i/>
          <w:lang w:val="en-GB"/>
        </w:rPr>
        <w:t>n.s</w:t>
      </w:r>
      <w:proofErr w:type="spellEnd"/>
      <w:r w:rsidRPr="00E23DCB">
        <w:rPr>
          <w:i/>
          <w:lang w:val="en-GB"/>
        </w:rPr>
        <w:t xml:space="preserve"> -1</w:t>
      </w:r>
      <w:r w:rsidRPr="00E23DCB">
        <w:rPr>
          <w:i/>
          <w:lang w:val="en-GB"/>
        </w:rPr>
        <w:tab/>
      </w:r>
      <w:r w:rsidRPr="00E23DCB">
        <w:rPr>
          <w:i/>
          <w:lang w:val="en-GB"/>
        </w:rPr>
        <w:tab/>
        <w:t xml:space="preserve">0 </w:t>
      </w:r>
      <w:r w:rsidRPr="00E23DCB">
        <w:rPr>
          <w:i/>
          <w:lang w:val="en-GB"/>
        </w:rPr>
        <w:tab/>
      </w:r>
      <w:r w:rsidRPr="00E23DCB">
        <w:rPr>
          <w:b/>
          <w:bCs/>
          <w:i/>
          <w:lang w:val="en-GB"/>
        </w:rPr>
        <w:t>0</w:t>
      </w:r>
      <w:r w:rsidRPr="00E23DCB">
        <w:rPr>
          <w:i/>
          <w:lang w:val="en-GB"/>
        </w:rPr>
        <w:tab/>
      </w:r>
      <w:r w:rsidRPr="00E23DCB">
        <w:rPr>
          <w:i/>
          <w:lang w:val="en-GB"/>
        </w:rPr>
        <w:tab/>
        <w:t>1</w:t>
      </w:r>
      <w:r w:rsidRPr="00E23DCB">
        <w:rPr>
          <w:i/>
          <w:lang w:val="en-GB"/>
        </w:rPr>
        <w:tab/>
      </w:r>
      <w:r w:rsidRPr="00E23DCB">
        <w:rPr>
          <w:b/>
          <w:bCs/>
          <w:i/>
          <w:lang w:val="en-GB"/>
        </w:rPr>
        <w:t>1</w:t>
      </w:r>
    </w:p>
    <w:p w14:paraId="552E9980" w14:textId="77777777" w:rsidR="00A745EB" w:rsidRPr="00E23DCB" w:rsidRDefault="00A745EB" w:rsidP="00A745EB">
      <w:pPr>
        <w:rPr>
          <w:i/>
          <w:lang w:val="en-GB"/>
        </w:rPr>
      </w:pPr>
      <w:proofErr w:type="gramStart"/>
      <w:r w:rsidRPr="00E23DCB">
        <w:rPr>
          <w:i/>
          <w:lang w:val="en-GB"/>
        </w:rPr>
        <w:t>n.s.-1</w:t>
      </w:r>
      <w:proofErr w:type="gramEnd"/>
      <w:r w:rsidRPr="00E23DCB">
        <w:rPr>
          <w:i/>
          <w:lang w:val="en-GB"/>
        </w:rPr>
        <w:tab/>
      </w:r>
      <w:r w:rsidRPr="00E23DCB">
        <w:rPr>
          <w:i/>
          <w:lang w:val="en-GB"/>
        </w:rPr>
        <w:tab/>
        <w:t>high 2</w:t>
      </w:r>
      <w:r w:rsidRPr="00E23DCB">
        <w:rPr>
          <w:i/>
          <w:lang w:val="en-GB"/>
        </w:rPr>
        <w:tab/>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1</w:t>
      </w:r>
      <w:r w:rsidRPr="00E23DCB">
        <w:rPr>
          <w:i/>
          <w:lang w:val="en-GB"/>
        </w:rPr>
        <w:tab/>
      </w:r>
      <w:r w:rsidRPr="00E23DCB">
        <w:rPr>
          <w:i/>
          <w:lang w:val="en-GB"/>
        </w:rPr>
        <w:tab/>
        <w:t>1</w:t>
      </w:r>
      <w:r w:rsidRPr="00E23DCB">
        <w:rPr>
          <w:i/>
          <w:lang w:val="en-GB"/>
        </w:rPr>
        <w:tab/>
      </w:r>
      <w:r w:rsidRPr="00E23DCB">
        <w:rPr>
          <w:b/>
          <w:bCs/>
          <w:i/>
          <w:lang w:val="en-GB"/>
        </w:rPr>
        <w:t>2</w:t>
      </w:r>
    </w:p>
    <w:p w14:paraId="77C39971"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t>moderate 1</w:t>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2</w:t>
      </w:r>
      <w:r w:rsidRPr="00E23DCB">
        <w:rPr>
          <w:i/>
          <w:lang w:val="en-GB"/>
        </w:rPr>
        <w:tab/>
      </w:r>
      <w:r w:rsidRPr="00E23DCB">
        <w:rPr>
          <w:i/>
          <w:lang w:val="en-GB"/>
        </w:rPr>
        <w:tab/>
        <w:t>1</w:t>
      </w:r>
      <w:r w:rsidRPr="00E23DCB">
        <w:rPr>
          <w:i/>
          <w:lang w:val="en-GB"/>
        </w:rPr>
        <w:tab/>
      </w:r>
      <w:r w:rsidRPr="00E23DCB">
        <w:rPr>
          <w:b/>
          <w:bCs/>
          <w:i/>
          <w:lang w:val="en-GB"/>
        </w:rPr>
        <w:t>3</w:t>
      </w:r>
    </w:p>
    <w:p w14:paraId="25E26B01"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t>moderate 1</w:t>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1</w:t>
      </w:r>
      <w:r w:rsidRPr="00E23DCB">
        <w:rPr>
          <w:i/>
          <w:lang w:val="en-GB"/>
        </w:rPr>
        <w:tab/>
      </w:r>
      <w:r w:rsidRPr="00E23DCB">
        <w:rPr>
          <w:i/>
          <w:lang w:val="en-GB"/>
        </w:rPr>
        <w:tab/>
        <w:t>1</w:t>
      </w:r>
      <w:r w:rsidRPr="00E23DCB">
        <w:rPr>
          <w:i/>
          <w:lang w:val="en-GB"/>
        </w:rPr>
        <w:tab/>
      </w:r>
      <w:r w:rsidRPr="00E23DCB">
        <w:rPr>
          <w:b/>
          <w:bCs/>
          <w:i/>
          <w:lang w:val="en-GB"/>
        </w:rPr>
        <w:t>2</w:t>
      </w:r>
    </w:p>
    <w:p w14:paraId="7A2FCF04" w14:textId="77777777" w:rsidR="00A745EB" w:rsidRPr="00E23DCB" w:rsidRDefault="00A745EB" w:rsidP="00A745EB">
      <w:pPr>
        <w:rPr>
          <w:i/>
          <w:lang w:val="en-GB"/>
        </w:rPr>
      </w:pPr>
      <w:proofErr w:type="spellStart"/>
      <w:proofErr w:type="gramStart"/>
      <w:r w:rsidRPr="00E23DCB">
        <w:rPr>
          <w:i/>
          <w:lang w:val="en-GB"/>
        </w:rPr>
        <w:t>n.s</w:t>
      </w:r>
      <w:proofErr w:type="spellEnd"/>
      <w:proofErr w:type="gramEnd"/>
      <w:r w:rsidRPr="00E23DCB">
        <w:rPr>
          <w:i/>
          <w:lang w:val="en-GB"/>
        </w:rPr>
        <w:t>. -1</w:t>
      </w:r>
      <w:r w:rsidRPr="00E23DCB">
        <w:rPr>
          <w:i/>
          <w:lang w:val="en-GB"/>
        </w:rPr>
        <w:tab/>
      </w:r>
      <w:r w:rsidRPr="00E23DCB">
        <w:rPr>
          <w:i/>
          <w:lang w:val="en-GB"/>
        </w:rPr>
        <w:tab/>
        <w:t>high 2</w:t>
      </w:r>
      <w:r w:rsidRPr="00E23DCB">
        <w:rPr>
          <w:i/>
          <w:lang w:val="en-GB"/>
        </w:rPr>
        <w:tab/>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2</w:t>
      </w:r>
      <w:r w:rsidRPr="00E23DCB">
        <w:rPr>
          <w:i/>
          <w:lang w:val="en-GB"/>
        </w:rPr>
        <w:tab/>
      </w:r>
      <w:r w:rsidRPr="00E23DCB">
        <w:rPr>
          <w:i/>
          <w:lang w:val="en-GB"/>
        </w:rPr>
        <w:tab/>
        <w:t>1</w:t>
      </w:r>
      <w:r w:rsidRPr="00E23DCB">
        <w:rPr>
          <w:i/>
          <w:lang w:val="en-GB"/>
        </w:rPr>
        <w:tab/>
      </w:r>
      <w:r w:rsidRPr="00E23DCB">
        <w:rPr>
          <w:b/>
          <w:bCs/>
          <w:i/>
          <w:lang w:val="en-GB"/>
        </w:rPr>
        <w:t>3</w:t>
      </w:r>
    </w:p>
    <w:p w14:paraId="1725BB80" w14:textId="77777777" w:rsidR="00A745EB" w:rsidRPr="00E23DCB" w:rsidRDefault="00A745EB" w:rsidP="00A745EB">
      <w:pPr>
        <w:rPr>
          <w:i/>
          <w:lang w:val="en-GB"/>
        </w:rPr>
      </w:pPr>
      <w:r w:rsidRPr="00E23DCB">
        <w:rPr>
          <w:i/>
          <w:lang w:val="en-GB"/>
        </w:rPr>
        <w:t>Sig 2</w:t>
      </w:r>
      <w:r w:rsidRPr="00E23DCB">
        <w:rPr>
          <w:i/>
          <w:lang w:val="en-GB"/>
        </w:rPr>
        <w:tab/>
      </w:r>
      <w:r w:rsidRPr="00E23DCB">
        <w:rPr>
          <w:i/>
          <w:lang w:val="en-GB"/>
        </w:rPr>
        <w:tab/>
        <w:t>moderate 1</w:t>
      </w:r>
      <w:r w:rsidRPr="00E23DCB">
        <w:rPr>
          <w:i/>
          <w:lang w:val="en-GB"/>
        </w:rPr>
        <w:tab/>
      </w:r>
      <w:proofErr w:type="spellStart"/>
      <w:r w:rsidRPr="00E23DCB">
        <w:rPr>
          <w:i/>
          <w:lang w:val="en-GB"/>
        </w:rPr>
        <w:t>n.s</w:t>
      </w:r>
      <w:proofErr w:type="spellEnd"/>
      <w:r w:rsidRPr="00E23DCB">
        <w:rPr>
          <w:i/>
          <w:lang w:val="en-GB"/>
        </w:rPr>
        <w:t>. -1</w:t>
      </w:r>
      <w:r w:rsidRPr="00E23DCB">
        <w:rPr>
          <w:i/>
          <w:lang w:val="en-GB"/>
        </w:rPr>
        <w:tab/>
      </w:r>
      <w:r w:rsidRPr="00E23DCB">
        <w:rPr>
          <w:i/>
          <w:lang w:val="en-GB"/>
        </w:rPr>
        <w:tab/>
        <w:t>0</w:t>
      </w:r>
      <w:r w:rsidRPr="00E23DCB">
        <w:rPr>
          <w:i/>
          <w:lang w:val="en-GB"/>
        </w:rPr>
        <w:tab/>
      </w:r>
      <w:r w:rsidRPr="00E23DCB">
        <w:rPr>
          <w:b/>
          <w:bCs/>
          <w:i/>
          <w:lang w:val="en-GB"/>
        </w:rPr>
        <w:t>2</w:t>
      </w:r>
      <w:r w:rsidRPr="00E23DCB">
        <w:rPr>
          <w:i/>
          <w:lang w:val="en-GB"/>
        </w:rPr>
        <w:tab/>
      </w:r>
      <w:r w:rsidRPr="00E23DCB">
        <w:rPr>
          <w:i/>
          <w:lang w:val="en-GB"/>
        </w:rPr>
        <w:tab/>
        <w:t>1</w:t>
      </w:r>
      <w:r w:rsidRPr="00E23DCB">
        <w:rPr>
          <w:i/>
          <w:lang w:val="en-GB"/>
        </w:rPr>
        <w:tab/>
      </w:r>
      <w:r w:rsidRPr="00E23DCB">
        <w:rPr>
          <w:b/>
          <w:bCs/>
          <w:i/>
          <w:lang w:val="en-GB"/>
        </w:rPr>
        <w:t>3</w:t>
      </w:r>
    </w:p>
    <w:p w14:paraId="1D96D879" w14:textId="77777777" w:rsidR="00A745EB" w:rsidRPr="00E23DCB" w:rsidRDefault="00A745EB" w:rsidP="00A745EB">
      <w:pPr>
        <w:rPr>
          <w:i/>
          <w:lang w:val="en-GB"/>
        </w:rPr>
      </w:pPr>
      <w:r w:rsidRPr="00E23DCB">
        <w:rPr>
          <w:i/>
          <w:lang w:val="en-GB"/>
        </w:rPr>
        <w:t>Sig 2</w:t>
      </w:r>
      <w:r w:rsidRPr="00E23DCB">
        <w:rPr>
          <w:i/>
          <w:lang w:val="en-GB"/>
        </w:rPr>
        <w:tab/>
      </w:r>
      <w:r w:rsidRPr="00E23DCB">
        <w:rPr>
          <w:i/>
          <w:lang w:val="en-GB"/>
        </w:rPr>
        <w:tab/>
        <w:t>moderate 1</w:t>
      </w:r>
      <w:r w:rsidRPr="00E23DCB">
        <w:rPr>
          <w:i/>
          <w:lang w:val="en-GB"/>
        </w:rPr>
        <w:tab/>
        <w:t>N/A 0</w:t>
      </w:r>
      <w:r w:rsidRPr="00E23DCB">
        <w:rPr>
          <w:i/>
          <w:lang w:val="en-GB"/>
        </w:rPr>
        <w:tab/>
      </w:r>
      <w:r w:rsidRPr="00E23DCB">
        <w:rPr>
          <w:i/>
          <w:lang w:val="en-GB"/>
        </w:rPr>
        <w:tab/>
        <w:t>0</w:t>
      </w:r>
      <w:r w:rsidRPr="00E23DCB">
        <w:rPr>
          <w:i/>
          <w:lang w:val="en-GB"/>
        </w:rPr>
        <w:tab/>
      </w:r>
      <w:r w:rsidRPr="00E23DCB">
        <w:rPr>
          <w:b/>
          <w:bCs/>
          <w:i/>
          <w:lang w:val="en-GB"/>
        </w:rPr>
        <w:t>3</w:t>
      </w:r>
      <w:r w:rsidRPr="00E23DCB">
        <w:rPr>
          <w:i/>
          <w:lang w:val="en-GB"/>
        </w:rPr>
        <w:tab/>
      </w:r>
      <w:r w:rsidRPr="00E23DCB">
        <w:rPr>
          <w:i/>
          <w:lang w:val="en-GB"/>
        </w:rPr>
        <w:tab/>
        <w:t>1</w:t>
      </w:r>
      <w:r w:rsidRPr="00E23DCB">
        <w:rPr>
          <w:i/>
          <w:lang w:val="en-GB"/>
        </w:rPr>
        <w:tab/>
      </w:r>
      <w:r w:rsidRPr="00E23DCB">
        <w:rPr>
          <w:b/>
          <w:bCs/>
          <w:i/>
          <w:lang w:val="en-GB"/>
        </w:rPr>
        <w:t>4</w:t>
      </w:r>
    </w:p>
    <w:p w14:paraId="3EFB4B8F" w14:textId="77777777" w:rsidR="00A745EB" w:rsidRPr="00E23DCB" w:rsidRDefault="00A745EB" w:rsidP="00A745EB">
      <w:pPr>
        <w:rPr>
          <w:i/>
          <w:lang w:val="en-GB"/>
        </w:rPr>
      </w:pPr>
      <w:r w:rsidRPr="00E23DCB">
        <w:rPr>
          <w:i/>
          <w:lang w:val="en-GB"/>
        </w:rPr>
        <w:t>N/A 0</w:t>
      </w:r>
      <w:r w:rsidRPr="00E23DCB">
        <w:rPr>
          <w:i/>
          <w:lang w:val="en-GB"/>
        </w:rPr>
        <w:tab/>
      </w:r>
      <w:r w:rsidRPr="00E23DCB">
        <w:rPr>
          <w:i/>
          <w:lang w:val="en-GB"/>
        </w:rPr>
        <w:tab/>
        <w:t>high 2</w:t>
      </w:r>
      <w:r w:rsidRPr="00E23DCB">
        <w:rPr>
          <w:i/>
          <w:lang w:val="en-GB"/>
        </w:rPr>
        <w:tab/>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3</w:t>
      </w:r>
      <w:r w:rsidRPr="00E23DCB">
        <w:rPr>
          <w:i/>
          <w:lang w:val="en-GB"/>
        </w:rPr>
        <w:tab/>
      </w:r>
      <w:r w:rsidRPr="00E23DCB">
        <w:rPr>
          <w:i/>
          <w:lang w:val="en-GB"/>
        </w:rPr>
        <w:tab/>
        <w:t>1</w:t>
      </w:r>
      <w:r w:rsidRPr="00E23DCB">
        <w:rPr>
          <w:i/>
          <w:lang w:val="en-GB"/>
        </w:rPr>
        <w:tab/>
      </w:r>
      <w:r w:rsidRPr="00E23DCB">
        <w:rPr>
          <w:b/>
          <w:bCs/>
          <w:i/>
          <w:lang w:val="en-GB"/>
        </w:rPr>
        <w:t>4</w:t>
      </w:r>
    </w:p>
    <w:p w14:paraId="498E903B" w14:textId="77777777" w:rsidR="00A745EB" w:rsidRPr="00E23DCB" w:rsidRDefault="00A745EB" w:rsidP="00A745EB">
      <w:pPr>
        <w:rPr>
          <w:i/>
          <w:lang w:val="en-GB"/>
        </w:rPr>
      </w:pPr>
      <w:r w:rsidRPr="00E23DCB">
        <w:rPr>
          <w:i/>
          <w:lang w:val="en-GB"/>
        </w:rPr>
        <w:t>Sig 2</w:t>
      </w:r>
      <w:r w:rsidRPr="00E23DCB">
        <w:rPr>
          <w:i/>
          <w:lang w:val="en-GB"/>
        </w:rPr>
        <w:tab/>
      </w:r>
      <w:r w:rsidRPr="00E23DCB">
        <w:rPr>
          <w:i/>
          <w:lang w:val="en-GB"/>
        </w:rPr>
        <w:tab/>
        <w:t>high 2</w:t>
      </w:r>
      <w:r w:rsidRPr="00E23DCB">
        <w:rPr>
          <w:i/>
          <w:lang w:val="en-GB"/>
        </w:rPr>
        <w:tab/>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4</w:t>
      </w:r>
      <w:r w:rsidRPr="00E23DCB">
        <w:rPr>
          <w:i/>
          <w:lang w:val="en-GB"/>
        </w:rPr>
        <w:tab/>
      </w:r>
      <w:r w:rsidRPr="00E23DCB">
        <w:rPr>
          <w:i/>
          <w:lang w:val="en-GB"/>
        </w:rPr>
        <w:tab/>
        <w:t>1</w:t>
      </w:r>
      <w:r w:rsidRPr="00E23DCB">
        <w:rPr>
          <w:i/>
          <w:lang w:val="en-GB"/>
        </w:rPr>
        <w:tab/>
      </w:r>
      <w:r w:rsidRPr="00E23DCB">
        <w:rPr>
          <w:b/>
          <w:bCs/>
          <w:i/>
          <w:lang w:val="en-GB"/>
        </w:rPr>
        <w:t>5</w:t>
      </w:r>
    </w:p>
    <w:p w14:paraId="7D3FF4C2" w14:textId="77777777" w:rsidR="00A745EB" w:rsidRPr="00E23DCB" w:rsidRDefault="00A745EB" w:rsidP="00A745EB">
      <w:pPr>
        <w:rPr>
          <w:i/>
          <w:lang w:val="en-GB"/>
        </w:rPr>
      </w:pPr>
      <w:r w:rsidRPr="00E23DCB">
        <w:rPr>
          <w:i/>
          <w:lang w:val="en-GB"/>
        </w:rPr>
        <w:t>Sig 2</w:t>
      </w:r>
      <w:r w:rsidRPr="00E23DCB">
        <w:rPr>
          <w:i/>
          <w:lang w:val="en-GB"/>
        </w:rPr>
        <w:tab/>
      </w:r>
      <w:r w:rsidRPr="00E23DCB">
        <w:rPr>
          <w:i/>
          <w:lang w:val="en-GB"/>
        </w:rPr>
        <w:tab/>
        <w:t>moderate 1</w:t>
      </w:r>
      <w:r w:rsidRPr="00E23DCB">
        <w:rPr>
          <w:i/>
          <w:lang w:val="en-GB"/>
        </w:rPr>
        <w:tab/>
        <w:t>short 1</w:t>
      </w:r>
      <w:r w:rsidRPr="00E23DCB">
        <w:rPr>
          <w:i/>
          <w:lang w:val="en-GB"/>
        </w:rPr>
        <w:tab/>
      </w:r>
      <w:r w:rsidRPr="00E23DCB">
        <w:rPr>
          <w:i/>
          <w:lang w:val="en-GB"/>
        </w:rPr>
        <w:tab/>
        <w:t>0</w:t>
      </w:r>
      <w:r w:rsidRPr="00E23DCB">
        <w:rPr>
          <w:i/>
          <w:lang w:val="en-GB"/>
        </w:rPr>
        <w:tab/>
      </w:r>
      <w:r w:rsidRPr="00E23DCB">
        <w:rPr>
          <w:b/>
          <w:bCs/>
          <w:i/>
          <w:lang w:val="en-GB"/>
        </w:rPr>
        <w:t>4</w:t>
      </w:r>
      <w:r w:rsidRPr="00E23DCB">
        <w:rPr>
          <w:i/>
          <w:lang w:val="en-GB"/>
        </w:rPr>
        <w:tab/>
      </w:r>
      <w:r w:rsidRPr="00E23DCB">
        <w:rPr>
          <w:i/>
          <w:lang w:val="en-GB"/>
        </w:rPr>
        <w:tab/>
        <w:t>1</w:t>
      </w:r>
      <w:r w:rsidRPr="00E23DCB">
        <w:rPr>
          <w:i/>
          <w:lang w:val="en-GB"/>
        </w:rPr>
        <w:tab/>
      </w:r>
      <w:r w:rsidRPr="00E23DCB">
        <w:rPr>
          <w:b/>
          <w:bCs/>
          <w:i/>
          <w:lang w:val="en-GB"/>
        </w:rPr>
        <w:t>5</w:t>
      </w:r>
      <w:r w:rsidRPr="00E23DCB">
        <w:rPr>
          <w:i/>
          <w:lang w:val="en-GB"/>
        </w:rPr>
        <w:t xml:space="preserve"> </w:t>
      </w:r>
    </w:p>
    <w:p w14:paraId="199DA1B4" w14:textId="77777777" w:rsidR="00A745EB" w:rsidRPr="00E23DCB" w:rsidRDefault="00A745EB" w:rsidP="00A745EB">
      <w:pPr>
        <w:rPr>
          <w:i/>
          <w:lang w:val="en-GB"/>
        </w:rPr>
      </w:pPr>
      <w:proofErr w:type="gramStart"/>
      <w:r w:rsidRPr="00E23DCB">
        <w:rPr>
          <w:i/>
          <w:lang w:val="en-GB"/>
        </w:rPr>
        <w:t>sig</w:t>
      </w:r>
      <w:proofErr w:type="gramEnd"/>
      <w:r w:rsidRPr="00E23DCB">
        <w:rPr>
          <w:i/>
          <w:lang w:val="en-GB"/>
        </w:rPr>
        <w:t xml:space="preserve"> 2</w:t>
      </w:r>
      <w:r w:rsidRPr="00E23DCB">
        <w:rPr>
          <w:i/>
          <w:lang w:val="en-GB"/>
        </w:rPr>
        <w:tab/>
      </w:r>
      <w:r w:rsidRPr="00E23DCB">
        <w:rPr>
          <w:i/>
          <w:lang w:val="en-GB"/>
        </w:rPr>
        <w:tab/>
        <w:t>high 2</w:t>
      </w:r>
      <w:r w:rsidRPr="00E23DCB">
        <w:rPr>
          <w:i/>
          <w:lang w:val="en-GB"/>
        </w:rPr>
        <w:tab/>
      </w:r>
      <w:r w:rsidRPr="00E23DCB">
        <w:rPr>
          <w:i/>
          <w:lang w:val="en-GB"/>
        </w:rPr>
        <w:tab/>
        <w:t>long 2</w:t>
      </w:r>
      <w:r w:rsidRPr="00E23DCB">
        <w:rPr>
          <w:i/>
          <w:lang w:val="en-GB"/>
        </w:rPr>
        <w:tab/>
      </w:r>
      <w:r w:rsidRPr="00E23DCB">
        <w:rPr>
          <w:i/>
          <w:lang w:val="en-GB"/>
        </w:rPr>
        <w:tab/>
        <w:t>0</w:t>
      </w:r>
      <w:r w:rsidRPr="00E23DCB">
        <w:rPr>
          <w:i/>
          <w:lang w:val="en-GB"/>
        </w:rPr>
        <w:tab/>
      </w:r>
      <w:r w:rsidRPr="00E23DCB">
        <w:rPr>
          <w:b/>
          <w:bCs/>
          <w:i/>
          <w:lang w:val="en-GB"/>
        </w:rPr>
        <w:t>6</w:t>
      </w:r>
      <w:r w:rsidRPr="00E23DCB">
        <w:rPr>
          <w:i/>
          <w:lang w:val="en-GB"/>
        </w:rPr>
        <w:tab/>
      </w:r>
      <w:r w:rsidRPr="00E23DCB">
        <w:rPr>
          <w:i/>
          <w:lang w:val="en-GB"/>
        </w:rPr>
        <w:tab/>
        <w:t>1</w:t>
      </w:r>
      <w:r w:rsidRPr="00E23DCB">
        <w:rPr>
          <w:i/>
          <w:lang w:val="en-GB"/>
        </w:rPr>
        <w:tab/>
      </w:r>
      <w:r w:rsidRPr="00E23DCB">
        <w:rPr>
          <w:b/>
          <w:bCs/>
          <w:i/>
          <w:lang w:val="en-GB"/>
        </w:rPr>
        <w:t>7</w:t>
      </w:r>
    </w:p>
    <w:p w14:paraId="4F51272B" w14:textId="77777777" w:rsidR="00A745EB" w:rsidRPr="00E23DCB" w:rsidRDefault="00A745EB" w:rsidP="00A745EB">
      <w:pPr>
        <w:spacing w:line="259" w:lineRule="auto"/>
        <w:rPr>
          <w:bCs/>
          <w:lang w:val="en-GB"/>
        </w:rPr>
      </w:pPr>
      <w:r w:rsidRPr="00E23DCB">
        <w:rPr>
          <w:bCs/>
          <w:lang w:val="en-GB"/>
        </w:rPr>
        <w:br w:type="page"/>
      </w:r>
    </w:p>
    <w:p w14:paraId="77587FF9" w14:textId="77777777" w:rsidR="00A745EB" w:rsidRPr="00E23DCB" w:rsidRDefault="00A745EB" w:rsidP="00A745EB">
      <w:pPr>
        <w:rPr>
          <w:b/>
          <w:bCs/>
          <w:lang w:val="en-GB"/>
        </w:rPr>
      </w:pPr>
      <w:r w:rsidRPr="00E23DCB">
        <w:rPr>
          <w:b/>
          <w:bCs/>
          <w:lang w:val="en-GB"/>
        </w:rPr>
        <w:t>References</w:t>
      </w:r>
    </w:p>
    <w:p w14:paraId="19326E1E"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lang w:val="en-GB"/>
        </w:rPr>
        <w:fldChar w:fldCharType="begin" w:fldLock="1"/>
      </w:r>
      <w:r w:rsidRPr="00E23DCB">
        <w:rPr>
          <w:lang w:val="en-GB"/>
        </w:rPr>
        <w:instrText xml:space="preserve">ADDIN Mendeley Bibliography CSL_BIBLIOGRAPHY </w:instrText>
      </w:r>
      <w:r w:rsidRPr="00E23DCB">
        <w:rPr>
          <w:lang w:val="en-GB"/>
        </w:rPr>
        <w:fldChar w:fldCharType="separate"/>
      </w:r>
      <w:r w:rsidRPr="00E23DCB">
        <w:rPr>
          <w:rFonts w:ascii="Calibri" w:hAnsi="Calibri" w:cs="Calibri"/>
          <w:noProof/>
          <w:szCs w:val="24"/>
          <w:lang w:val="en-GB"/>
        </w:rPr>
        <w:t xml:space="preserve">Bosco, F. A., Aguinis, H., Singh, K., Field, J. G., &amp; Pierce, C. A. (2015). Correlational effect size benchmarks. </w:t>
      </w:r>
      <w:r w:rsidRPr="00E23DCB">
        <w:rPr>
          <w:rFonts w:ascii="Calibri" w:hAnsi="Calibri" w:cs="Calibri"/>
          <w:i/>
          <w:iCs/>
          <w:noProof/>
          <w:szCs w:val="24"/>
          <w:lang w:val="en-GB"/>
        </w:rPr>
        <w:t>Journal of Applied Psychology</w:t>
      </w:r>
      <w:r w:rsidRPr="00E23DCB">
        <w:rPr>
          <w:rFonts w:ascii="Calibri" w:hAnsi="Calibri" w:cs="Calibri"/>
          <w:noProof/>
          <w:szCs w:val="24"/>
          <w:lang w:val="en-GB"/>
        </w:rPr>
        <w:t xml:space="preserve">, </w:t>
      </w:r>
      <w:r w:rsidRPr="00E23DCB">
        <w:rPr>
          <w:rFonts w:ascii="Calibri" w:hAnsi="Calibri" w:cs="Calibri"/>
          <w:i/>
          <w:iCs/>
          <w:noProof/>
          <w:szCs w:val="24"/>
          <w:lang w:val="en-GB"/>
        </w:rPr>
        <w:t>100</w:t>
      </w:r>
      <w:r w:rsidRPr="00E23DCB">
        <w:rPr>
          <w:rFonts w:ascii="Calibri" w:hAnsi="Calibri" w:cs="Calibri"/>
          <w:noProof/>
          <w:szCs w:val="24"/>
          <w:lang w:val="en-GB"/>
        </w:rPr>
        <w:t>(2), 431–449. https://doi.org/10.1037/a0038047</w:t>
      </w:r>
    </w:p>
    <w:p w14:paraId="3EB735B6"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Cheung, A. C. K., &amp; Slavin, R. E. (2016). How Methodological Features Affect Effect Sizes in Education. </w:t>
      </w:r>
      <w:r w:rsidRPr="00E23DCB">
        <w:rPr>
          <w:rFonts w:ascii="Calibri" w:hAnsi="Calibri" w:cs="Calibri"/>
          <w:i/>
          <w:iCs/>
          <w:noProof/>
          <w:szCs w:val="24"/>
          <w:lang w:val="en-GB"/>
        </w:rPr>
        <w:t>Educational Researcher</w:t>
      </w:r>
      <w:r w:rsidRPr="00E23DCB">
        <w:rPr>
          <w:rFonts w:ascii="Calibri" w:hAnsi="Calibri" w:cs="Calibri"/>
          <w:noProof/>
          <w:szCs w:val="24"/>
          <w:lang w:val="en-GB"/>
        </w:rPr>
        <w:t xml:space="preserve">, </w:t>
      </w:r>
      <w:r w:rsidRPr="00E23DCB">
        <w:rPr>
          <w:rFonts w:ascii="Calibri" w:hAnsi="Calibri" w:cs="Calibri"/>
          <w:i/>
          <w:iCs/>
          <w:noProof/>
          <w:szCs w:val="24"/>
          <w:lang w:val="en-GB"/>
        </w:rPr>
        <w:t>45</w:t>
      </w:r>
      <w:r w:rsidRPr="00E23DCB">
        <w:rPr>
          <w:rFonts w:ascii="Calibri" w:hAnsi="Calibri" w:cs="Calibri"/>
          <w:noProof/>
          <w:szCs w:val="24"/>
          <w:lang w:val="en-GB"/>
        </w:rPr>
        <w:t>(5), 283–292. https://doi.org/10.3102/0013189X16656615</w:t>
      </w:r>
    </w:p>
    <w:p w14:paraId="15946588"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Fritz, C. O., Morris, P. E., &amp; Richler, J. J. (2012). Effect size estimates: Current use, calculations, and interpretation. </w:t>
      </w:r>
      <w:r w:rsidRPr="00E23DCB">
        <w:rPr>
          <w:rFonts w:ascii="Calibri" w:hAnsi="Calibri" w:cs="Calibri"/>
          <w:i/>
          <w:iCs/>
          <w:noProof/>
          <w:szCs w:val="24"/>
          <w:lang w:val="en-GB"/>
        </w:rPr>
        <w:t>Journal of Experimental Psychology: General</w:t>
      </w:r>
      <w:r w:rsidRPr="00E23DCB">
        <w:rPr>
          <w:rFonts w:ascii="Calibri" w:hAnsi="Calibri" w:cs="Calibri"/>
          <w:noProof/>
          <w:szCs w:val="24"/>
          <w:lang w:val="en-GB"/>
        </w:rPr>
        <w:t xml:space="preserve">, </w:t>
      </w:r>
      <w:r w:rsidRPr="00E23DCB">
        <w:rPr>
          <w:rFonts w:ascii="Calibri" w:hAnsi="Calibri" w:cs="Calibri"/>
          <w:i/>
          <w:iCs/>
          <w:noProof/>
          <w:szCs w:val="24"/>
          <w:lang w:val="en-GB"/>
        </w:rPr>
        <w:t>141</w:t>
      </w:r>
      <w:r w:rsidRPr="00E23DCB">
        <w:rPr>
          <w:rFonts w:ascii="Calibri" w:hAnsi="Calibri" w:cs="Calibri"/>
          <w:noProof/>
          <w:szCs w:val="24"/>
          <w:lang w:val="en-GB"/>
        </w:rPr>
        <w:t>(1), 2–18. https://doi.org/10.1037/a0024338</w:t>
      </w:r>
    </w:p>
    <w:p w14:paraId="7907C0C9"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Funder, D. C., &amp; Ozer, D. J. (2019). Evaluating Effect Size in Psychological Research: Sense and Nonsense. </w:t>
      </w:r>
      <w:r w:rsidRPr="00E23DCB">
        <w:rPr>
          <w:rFonts w:ascii="Calibri" w:hAnsi="Calibri" w:cs="Calibri"/>
          <w:i/>
          <w:iCs/>
          <w:noProof/>
          <w:szCs w:val="24"/>
          <w:lang w:val="en-GB"/>
        </w:rPr>
        <w:t>Advances in Methods and Practices in Psychological Science</w:t>
      </w:r>
      <w:r w:rsidRPr="00E23DCB">
        <w:rPr>
          <w:rFonts w:ascii="Calibri" w:hAnsi="Calibri" w:cs="Calibri"/>
          <w:noProof/>
          <w:szCs w:val="24"/>
          <w:lang w:val="en-GB"/>
        </w:rPr>
        <w:t xml:space="preserve">, </w:t>
      </w:r>
      <w:r w:rsidRPr="00E23DCB">
        <w:rPr>
          <w:rFonts w:ascii="Calibri" w:hAnsi="Calibri" w:cs="Calibri"/>
          <w:i/>
          <w:iCs/>
          <w:noProof/>
          <w:szCs w:val="24"/>
          <w:lang w:val="en-GB"/>
        </w:rPr>
        <w:t>2</w:t>
      </w:r>
      <w:r w:rsidRPr="00E23DCB">
        <w:rPr>
          <w:rFonts w:ascii="Calibri" w:hAnsi="Calibri" w:cs="Calibri"/>
          <w:noProof/>
          <w:szCs w:val="24"/>
          <w:lang w:val="en-GB"/>
        </w:rPr>
        <w:t>(2), 156–168. https://doi.org/10.1177/2515245919847202</w:t>
      </w:r>
    </w:p>
    <w:p w14:paraId="397BC991"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Hill, C. J., Bloom, H. S., Black, A. R., &amp; Lipsey, M. W. (2008). Empirical benchmarks for interpreting effect sizes in research. </w:t>
      </w:r>
      <w:r w:rsidRPr="00E23DCB">
        <w:rPr>
          <w:rFonts w:ascii="Calibri" w:hAnsi="Calibri" w:cs="Calibri"/>
          <w:i/>
          <w:iCs/>
          <w:noProof/>
          <w:szCs w:val="24"/>
          <w:lang w:val="en-GB"/>
        </w:rPr>
        <w:t>Child Development Perspectives</w:t>
      </w:r>
      <w:r w:rsidRPr="00E23DCB">
        <w:rPr>
          <w:rFonts w:ascii="Calibri" w:hAnsi="Calibri" w:cs="Calibri"/>
          <w:noProof/>
          <w:szCs w:val="24"/>
          <w:lang w:val="en-GB"/>
        </w:rPr>
        <w:t xml:space="preserve">, </w:t>
      </w:r>
      <w:r w:rsidRPr="00E23DCB">
        <w:rPr>
          <w:rFonts w:ascii="Calibri" w:hAnsi="Calibri" w:cs="Calibri"/>
          <w:i/>
          <w:iCs/>
          <w:noProof/>
          <w:szCs w:val="24"/>
          <w:lang w:val="en-GB"/>
        </w:rPr>
        <w:t>2</w:t>
      </w:r>
      <w:r w:rsidRPr="00E23DCB">
        <w:rPr>
          <w:rFonts w:ascii="Calibri" w:hAnsi="Calibri" w:cs="Calibri"/>
          <w:noProof/>
          <w:szCs w:val="24"/>
          <w:lang w:val="en-GB"/>
        </w:rPr>
        <w:t>(3), 172–177. https://doi.org/10.1111/j.1750-8606.2008.00061.x</w:t>
      </w:r>
    </w:p>
    <w:p w14:paraId="5CF0A4E7"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Lakens, D. (2013). Calculating and reporting effect sizes to facilitate cumulative science: A practical primer for t-tests and ANOVAs. </w:t>
      </w:r>
      <w:r w:rsidRPr="00E23DCB">
        <w:rPr>
          <w:rFonts w:ascii="Calibri" w:hAnsi="Calibri" w:cs="Calibri"/>
          <w:i/>
          <w:iCs/>
          <w:noProof/>
          <w:szCs w:val="24"/>
          <w:lang w:val="en-GB"/>
        </w:rPr>
        <w:t>Frontiers in Psychology</w:t>
      </w:r>
      <w:r w:rsidRPr="00E23DCB">
        <w:rPr>
          <w:rFonts w:ascii="Calibri" w:hAnsi="Calibri" w:cs="Calibri"/>
          <w:noProof/>
          <w:szCs w:val="24"/>
          <w:lang w:val="en-GB"/>
        </w:rPr>
        <w:t xml:space="preserve">, </w:t>
      </w:r>
      <w:r w:rsidRPr="00E23DCB">
        <w:rPr>
          <w:rFonts w:ascii="Calibri" w:hAnsi="Calibri" w:cs="Calibri"/>
          <w:i/>
          <w:iCs/>
          <w:noProof/>
          <w:szCs w:val="24"/>
          <w:lang w:val="en-GB"/>
        </w:rPr>
        <w:t>4</w:t>
      </w:r>
      <w:r w:rsidRPr="00E23DCB">
        <w:rPr>
          <w:rFonts w:ascii="Calibri" w:hAnsi="Calibri" w:cs="Calibri"/>
          <w:noProof/>
          <w:szCs w:val="24"/>
          <w:lang w:val="en-GB"/>
        </w:rPr>
        <w:t>(NOV), 1–12. https://doi.org/10.3389/fpsyg.2013.00863</w:t>
      </w:r>
    </w:p>
    <w:p w14:paraId="16F31AF8"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Lancaster, G. A., Dodd, S., &amp; Williamson, P. R. (2004). Design and analysis of pilot studies: Recommendations for good practice. </w:t>
      </w:r>
      <w:r w:rsidRPr="00E23DCB">
        <w:rPr>
          <w:rFonts w:ascii="Calibri" w:hAnsi="Calibri" w:cs="Calibri"/>
          <w:i/>
          <w:iCs/>
          <w:noProof/>
          <w:szCs w:val="24"/>
          <w:lang w:val="en-GB"/>
        </w:rPr>
        <w:t>Journal of Evaluation in Clinical Practice</w:t>
      </w:r>
      <w:r w:rsidRPr="00E23DCB">
        <w:rPr>
          <w:rFonts w:ascii="Calibri" w:hAnsi="Calibri" w:cs="Calibri"/>
          <w:noProof/>
          <w:szCs w:val="24"/>
          <w:lang w:val="en-GB"/>
        </w:rPr>
        <w:t xml:space="preserve">, </w:t>
      </w:r>
      <w:r w:rsidRPr="00E23DCB">
        <w:rPr>
          <w:rFonts w:ascii="Calibri" w:hAnsi="Calibri" w:cs="Calibri"/>
          <w:i/>
          <w:iCs/>
          <w:noProof/>
          <w:szCs w:val="24"/>
          <w:lang w:val="en-GB"/>
        </w:rPr>
        <w:t>10</w:t>
      </w:r>
      <w:r w:rsidRPr="00E23DCB">
        <w:rPr>
          <w:rFonts w:ascii="Calibri" w:hAnsi="Calibri" w:cs="Calibri"/>
          <w:noProof/>
          <w:szCs w:val="24"/>
          <w:lang w:val="en-GB"/>
        </w:rPr>
        <w:t>(2), 307–312. https://doi.org/10.1111/j..2002.384.doc.x</w:t>
      </w:r>
    </w:p>
    <w:p w14:paraId="075E68E6" w14:textId="77777777" w:rsidR="00A745EB" w:rsidRPr="00E23DCB" w:rsidRDefault="00A745EB" w:rsidP="00A745EB">
      <w:pPr>
        <w:widowControl w:val="0"/>
        <w:autoSpaceDE w:val="0"/>
        <w:autoSpaceDN w:val="0"/>
        <w:adjustRightInd w:val="0"/>
        <w:ind w:left="480" w:hanging="480"/>
        <w:rPr>
          <w:rFonts w:ascii="Calibri" w:hAnsi="Calibri" w:cs="Calibri"/>
          <w:noProof/>
          <w:szCs w:val="24"/>
          <w:lang w:val="en-GB"/>
        </w:rPr>
      </w:pPr>
      <w:r w:rsidRPr="00E23DCB">
        <w:rPr>
          <w:rFonts w:ascii="Calibri" w:hAnsi="Calibri" w:cs="Calibri"/>
          <w:noProof/>
          <w:szCs w:val="24"/>
          <w:lang w:val="en-GB"/>
        </w:rPr>
        <w:t xml:space="preserve">Popay, J., Roberts, H., Sowden, A., Petticrew, M., Arai, L., &amp; Rodgers, M. (2006). </w:t>
      </w:r>
      <w:r w:rsidRPr="00E23DCB">
        <w:rPr>
          <w:rFonts w:ascii="Calibri" w:hAnsi="Calibri" w:cs="Calibri"/>
          <w:i/>
          <w:iCs/>
          <w:noProof/>
          <w:szCs w:val="24"/>
          <w:lang w:val="en-GB"/>
        </w:rPr>
        <w:t>Guidance on the conduct of narrative synthesis in systematic Reviews. A Product from the ESRC Methods Programme. Version 1. Swindon: Economic and Social Research Council</w:t>
      </w:r>
      <w:r w:rsidRPr="00E23DCB">
        <w:rPr>
          <w:rFonts w:ascii="Calibri" w:hAnsi="Calibri" w:cs="Calibri"/>
          <w:noProof/>
          <w:szCs w:val="24"/>
          <w:lang w:val="en-GB"/>
        </w:rPr>
        <w:t xml:space="preserve">. </w:t>
      </w:r>
      <w:r w:rsidRPr="00E23DCB">
        <w:rPr>
          <w:rFonts w:ascii="Calibri" w:hAnsi="Calibri" w:cs="Calibri"/>
          <w:i/>
          <w:iCs/>
          <w:noProof/>
          <w:szCs w:val="24"/>
          <w:lang w:val="en-GB"/>
        </w:rPr>
        <w:t>April 2006</w:t>
      </w:r>
      <w:r w:rsidRPr="00E23DCB">
        <w:rPr>
          <w:rFonts w:ascii="Calibri" w:hAnsi="Calibri" w:cs="Calibri"/>
          <w:noProof/>
          <w:szCs w:val="24"/>
          <w:lang w:val="en-GB"/>
        </w:rPr>
        <w:t>, 92.</w:t>
      </w:r>
    </w:p>
    <w:p w14:paraId="4BEAFA00" w14:textId="77777777" w:rsidR="00A745EB" w:rsidRPr="00E23DCB" w:rsidRDefault="00A745EB" w:rsidP="00A745EB">
      <w:pPr>
        <w:widowControl w:val="0"/>
        <w:autoSpaceDE w:val="0"/>
        <w:autoSpaceDN w:val="0"/>
        <w:adjustRightInd w:val="0"/>
        <w:ind w:left="480" w:hanging="480"/>
        <w:rPr>
          <w:rFonts w:ascii="Calibri" w:hAnsi="Calibri" w:cs="Calibri"/>
          <w:noProof/>
        </w:rPr>
      </w:pPr>
      <w:r w:rsidRPr="00E23DCB">
        <w:rPr>
          <w:rFonts w:ascii="Calibri" w:hAnsi="Calibri" w:cs="Calibri"/>
          <w:noProof/>
          <w:szCs w:val="24"/>
          <w:lang w:val="en-GB"/>
        </w:rPr>
        <w:t xml:space="preserve">Richard, F. D., Bond, C. F., &amp; Stokes-Zoota, J. J. (2003). One Hundred Years of Social Psychology Quantitatively Described. </w:t>
      </w:r>
      <w:r w:rsidRPr="00E23DCB">
        <w:rPr>
          <w:rFonts w:ascii="Calibri" w:hAnsi="Calibri" w:cs="Calibri"/>
          <w:i/>
          <w:iCs/>
          <w:noProof/>
          <w:szCs w:val="24"/>
        </w:rPr>
        <w:t>Review of General Psychology</w:t>
      </w:r>
      <w:r w:rsidRPr="00E23DCB">
        <w:rPr>
          <w:rFonts w:ascii="Calibri" w:hAnsi="Calibri" w:cs="Calibri"/>
          <w:noProof/>
          <w:szCs w:val="24"/>
        </w:rPr>
        <w:t xml:space="preserve">, </w:t>
      </w:r>
      <w:r w:rsidRPr="00E23DCB">
        <w:rPr>
          <w:rFonts w:ascii="Calibri" w:hAnsi="Calibri" w:cs="Calibri"/>
          <w:i/>
          <w:iCs/>
          <w:noProof/>
          <w:szCs w:val="24"/>
        </w:rPr>
        <w:t>7</w:t>
      </w:r>
      <w:r w:rsidRPr="00E23DCB">
        <w:rPr>
          <w:rFonts w:ascii="Calibri" w:hAnsi="Calibri" w:cs="Calibri"/>
          <w:noProof/>
          <w:szCs w:val="24"/>
        </w:rPr>
        <w:t>(4), 331–363. https://doi.org/10.1037/1089-2680.7.4.331</w:t>
      </w:r>
    </w:p>
    <w:p w14:paraId="10859F8E" w14:textId="77777777" w:rsidR="00A745EB" w:rsidRPr="00874B6D" w:rsidRDefault="00A745EB" w:rsidP="00A745EB">
      <w:pPr>
        <w:rPr>
          <w:lang w:val="en-GB"/>
        </w:rPr>
      </w:pPr>
      <w:r w:rsidRPr="00E23DCB">
        <w:rPr>
          <w:lang w:val="en-GB"/>
        </w:rPr>
        <w:fldChar w:fldCharType="end"/>
      </w:r>
      <w:bookmarkStart w:id="2" w:name="_GoBack"/>
      <w:bookmarkEnd w:id="2"/>
    </w:p>
    <w:sectPr w:rsidR="00A745EB" w:rsidRPr="00874B6D" w:rsidSect="00E23D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21732"/>
    <w:multiLevelType w:val="hybridMultilevel"/>
    <w:tmpl w:val="9CE44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5A4657"/>
    <w:multiLevelType w:val="hybridMultilevel"/>
    <w:tmpl w:val="68C0E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FE1063"/>
    <w:multiLevelType w:val="hybridMultilevel"/>
    <w:tmpl w:val="C8C4BC7E"/>
    <w:lvl w:ilvl="0" w:tplc="EC3EC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EB"/>
    <w:rsid w:val="00264510"/>
    <w:rsid w:val="002A00BC"/>
    <w:rsid w:val="002E7BFE"/>
    <w:rsid w:val="007F5CEA"/>
    <w:rsid w:val="00850C40"/>
    <w:rsid w:val="009F16A2"/>
    <w:rsid w:val="00A745EB"/>
    <w:rsid w:val="00D66482"/>
    <w:rsid w:val="00E23DCB"/>
    <w:rsid w:val="00EE0076"/>
    <w:rsid w:val="00EF67B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D45C"/>
  <w15:chartTrackingRefBased/>
  <w15:docId w15:val="{2C9BE7A5-D09D-4736-8E68-7153BF13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5EB"/>
    <w:pPr>
      <w:spacing w:line="240" w:lineRule="auto"/>
    </w:pPr>
  </w:style>
  <w:style w:type="paragraph" w:styleId="Heading2">
    <w:name w:val="heading 2"/>
    <w:basedOn w:val="Normal"/>
    <w:next w:val="Normal"/>
    <w:link w:val="Heading2Char"/>
    <w:uiPriority w:val="9"/>
    <w:unhideWhenUsed/>
    <w:qFormat/>
    <w:rsid w:val="00264510"/>
    <w:pPr>
      <w:keepNext/>
      <w:keepLines/>
      <w:spacing w:before="120" w:after="120"/>
      <w:outlineLvl w:val="1"/>
    </w:pPr>
    <w:rPr>
      <w:rFonts w:asciiTheme="majorHAnsi" w:eastAsiaTheme="majorEastAsia" w:hAnsiTheme="majorHAnsi" w:cstheme="majorBidi"/>
      <w:color w:val="2E74B5" w:themeColor="accent1" w:themeShade="BF"/>
      <w:sz w:val="24"/>
      <w:szCs w:val="26"/>
    </w:rPr>
  </w:style>
  <w:style w:type="paragraph" w:styleId="Heading5">
    <w:name w:val="heading 5"/>
    <w:basedOn w:val="Normal"/>
    <w:next w:val="Normal"/>
    <w:link w:val="Heading5Char"/>
    <w:uiPriority w:val="9"/>
    <w:unhideWhenUsed/>
    <w:qFormat/>
    <w:rsid w:val="00EE0076"/>
    <w:pPr>
      <w:pBdr>
        <w:bottom w:val="single" w:sz="6" w:space="1" w:color="5B9BD5" w:themeColor="accent1"/>
      </w:pBdr>
      <w:spacing w:before="300" w:after="0" w:line="276" w:lineRule="auto"/>
      <w:outlineLvl w:val="4"/>
    </w:pPr>
    <w:rPr>
      <w:rFonts w:eastAsiaTheme="minorEastAsia"/>
      <w:caps/>
      <w:color w:val="2E74B5" w:themeColor="accent1" w:themeShade="BF"/>
      <w:spacing w:val="10"/>
      <w:sz w:val="24"/>
      <w:szCs w:val="24"/>
      <w:lang w:val="en-GB"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E0076"/>
    <w:rPr>
      <w:rFonts w:eastAsiaTheme="minorEastAsia"/>
      <w:caps/>
      <w:color w:val="2E74B5" w:themeColor="accent1" w:themeShade="BF"/>
      <w:spacing w:val="10"/>
      <w:sz w:val="24"/>
      <w:szCs w:val="24"/>
      <w:lang w:val="en-GB" w:eastAsia="de-AT"/>
    </w:rPr>
  </w:style>
  <w:style w:type="character" w:customStyle="1" w:styleId="Heading2Char">
    <w:name w:val="Heading 2 Char"/>
    <w:basedOn w:val="DefaultParagraphFont"/>
    <w:link w:val="Heading2"/>
    <w:uiPriority w:val="9"/>
    <w:rsid w:val="00264510"/>
    <w:rPr>
      <w:rFonts w:asciiTheme="majorHAnsi" w:eastAsiaTheme="majorEastAsia" w:hAnsiTheme="majorHAnsi" w:cstheme="majorBidi"/>
      <w:color w:val="2E74B5" w:themeColor="accent1" w:themeShade="BF"/>
      <w:sz w:val="24"/>
      <w:szCs w:val="26"/>
    </w:rPr>
  </w:style>
  <w:style w:type="paragraph" w:styleId="ListParagraph">
    <w:name w:val="List Paragraph"/>
    <w:basedOn w:val="Normal"/>
    <w:uiPriority w:val="34"/>
    <w:qFormat/>
    <w:rsid w:val="00A745EB"/>
    <w:pPr>
      <w:spacing w:line="259" w:lineRule="auto"/>
      <w:ind w:left="720"/>
      <w:contextualSpacing/>
    </w:pPr>
  </w:style>
  <w:style w:type="paragraph" w:styleId="NormalWeb">
    <w:name w:val="Normal (Web)"/>
    <w:basedOn w:val="Normal"/>
    <w:uiPriority w:val="99"/>
    <w:semiHidden/>
    <w:unhideWhenUsed/>
    <w:rsid w:val="00A745EB"/>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uthornames">
    <w:name w:val="Author names"/>
    <w:basedOn w:val="Normal"/>
    <w:next w:val="Normal"/>
    <w:qFormat/>
    <w:rsid w:val="00D66482"/>
    <w:pPr>
      <w:spacing w:before="240" w:after="0" w:line="360" w:lineRule="auto"/>
    </w:pPr>
    <w:rPr>
      <w:rFonts w:ascii="Times New Roman" w:eastAsia="Times New Roman" w:hAnsi="Times New Roman" w:cs="Times New Roman"/>
      <w:sz w:val="2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Pollak</dc:creator>
  <cp:keywords/>
  <dc:description/>
  <cp:lastModifiedBy>Radha S</cp:lastModifiedBy>
  <cp:revision>3</cp:revision>
  <dcterms:created xsi:type="dcterms:W3CDTF">2022-11-03T09:36:00Z</dcterms:created>
  <dcterms:modified xsi:type="dcterms:W3CDTF">2022-11-03T09:36:00Z</dcterms:modified>
</cp:coreProperties>
</file>