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CCF8E7" w14:textId="04055505" w:rsidR="00E1540E" w:rsidRDefault="00A67B9D" w:rsidP="00E1540E">
      <w:pPr>
        <w:pStyle w:val="Heading1"/>
        <w:rPr>
          <w:rFonts w:ascii="Times New Roman" w:hAnsi="Times New Roman" w:cs="Times New Roman"/>
          <w:color w:val="auto"/>
          <w:lang w:val="en-US"/>
        </w:rPr>
      </w:pPr>
      <w:r w:rsidRPr="00351833">
        <w:rPr>
          <w:rFonts w:ascii="Times New Roman" w:hAnsi="Times New Roman" w:cs="Times New Roman"/>
          <w:color w:val="auto"/>
          <w:lang w:val="en-US"/>
        </w:rPr>
        <w:t xml:space="preserve">Supplementary </w:t>
      </w:r>
      <w:r w:rsidR="00385A52" w:rsidRPr="00351833">
        <w:rPr>
          <w:rFonts w:ascii="Times New Roman" w:hAnsi="Times New Roman" w:cs="Times New Roman"/>
          <w:color w:val="auto"/>
          <w:lang w:val="en-US"/>
        </w:rPr>
        <w:t>1</w:t>
      </w:r>
    </w:p>
    <w:p w14:paraId="476CD258" w14:textId="75EF2DF6" w:rsidR="00E1540E" w:rsidRPr="00E1540E" w:rsidRDefault="00E1540E" w:rsidP="00E1540E">
      <w:pPr>
        <w:pStyle w:val="Heading2"/>
        <w:rPr>
          <w:rFonts w:ascii="Times New Roman" w:hAnsi="Times New Roman" w:cs="Times New Roman"/>
          <w:color w:val="auto"/>
          <w:lang w:bidi="en-US"/>
        </w:rPr>
      </w:pPr>
      <w:r>
        <w:rPr>
          <w:rFonts w:ascii="Times New Roman" w:hAnsi="Times New Roman" w:cs="Times New Roman"/>
          <w:color w:val="auto"/>
          <w:lang w:bidi="en-US"/>
        </w:rPr>
        <w:t>Case study town details</w:t>
      </w:r>
    </w:p>
    <w:p w14:paraId="4FC11861" w14:textId="77777777" w:rsidR="00A67B9D" w:rsidRPr="00351833" w:rsidRDefault="00A67B9D" w:rsidP="00A67B9D">
      <w:pPr>
        <w:pStyle w:val="Heading2"/>
        <w:rPr>
          <w:rFonts w:ascii="Times New Roman" w:hAnsi="Times New Roman" w:cs="Times New Roman"/>
          <w:color w:val="auto"/>
          <w:lang w:bidi="en-US"/>
        </w:rPr>
      </w:pPr>
      <w:r w:rsidRPr="00351833">
        <w:rPr>
          <w:rFonts w:ascii="Times New Roman" w:hAnsi="Times New Roman" w:cs="Times New Roman"/>
          <w:color w:val="auto"/>
          <w:lang w:bidi="en-US"/>
        </w:rPr>
        <w:t>Tamworth Regional Council, New South Wales</w:t>
      </w:r>
    </w:p>
    <w:p w14:paraId="3DD11083" w14:textId="173DE30E" w:rsidR="00A67B9D" w:rsidRPr="00351833" w:rsidRDefault="00A67B9D" w:rsidP="00A67B9D">
      <w:pPr>
        <w:pStyle w:val="Caption"/>
        <w:rPr>
          <w:rFonts w:ascii="Times New Roman" w:hAnsi="Times New Roman" w:cs="Times New Roman"/>
          <w:color w:val="auto"/>
          <w:lang w:bidi="en-US"/>
        </w:rPr>
      </w:pPr>
      <w:r w:rsidRPr="00351833">
        <w:rPr>
          <w:rFonts w:ascii="Times New Roman" w:hAnsi="Times New Roman" w:cs="Times New Roman"/>
          <w:color w:val="auto"/>
          <w:lang w:bidi="en-US"/>
        </w:rPr>
        <w:t>Table S</w:t>
      </w:r>
      <w:r w:rsidR="0009296D">
        <w:rPr>
          <w:rFonts w:ascii="Times New Roman" w:hAnsi="Times New Roman" w:cs="Times New Roman"/>
          <w:color w:val="auto"/>
          <w:lang w:bidi="en-US"/>
        </w:rPr>
        <w:t>1</w:t>
      </w:r>
      <w:r w:rsidRPr="00351833">
        <w:rPr>
          <w:rFonts w:ascii="Times New Roman" w:hAnsi="Times New Roman" w:cs="Times New Roman"/>
          <w:color w:val="auto"/>
          <w:lang w:bidi="en-US"/>
        </w:rPr>
        <w:t xml:space="preserve"> Tamworth MAR conceptual scheme components. </w:t>
      </w:r>
    </w:p>
    <w:tbl>
      <w:tblPr>
        <w:tblW w:w="3333" w:type="pct"/>
        <w:tblLook w:val="04A0" w:firstRow="1" w:lastRow="0" w:firstColumn="1" w:lastColumn="0" w:noHBand="0" w:noVBand="1"/>
      </w:tblPr>
      <w:tblGrid>
        <w:gridCol w:w="2108"/>
        <w:gridCol w:w="4303"/>
      </w:tblGrid>
      <w:tr w:rsidR="00351833" w:rsidRPr="00351833" w14:paraId="58DE3666" w14:textId="77777777" w:rsidTr="00A625FD">
        <w:trPr>
          <w:trHeight w:val="180"/>
        </w:trPr>
        <w:tc>
          <w:tcPr>
            <w:tcW w:w="1644" w:type="pct"/>
            <w:tcBorders>
              <w:top w:val="single" w:sz="4" w:space="0" w:color="auto"/>
              <w:left w:val="nil"/>
              <w:bottom w:val="single" w:sz="4" w:space="0" w:color="auto"/>
              <w:right w:val="nil"/>
            </w:tcBorders>
            <w:shd w:val="clear" w:color="auto" w:fill="auto"/>
            <w:noWrap/>
            <w:vAlign w:val="bottom"/>
            <w:hideMark/>
          </w:tcPr>
          <w:p w14:paraId="1873522D"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MAR scheme component</w:t>
            </w:r>
          </w:p>
        </w:tc>
        <w:tc>
          <w:tcPr>
            <w:tcW w:w="3356" w:type="pct"/>
            <w:tcBorders>
              <w:top w:val="single" w:sz="4" w:space="0" w:color="auto"/>
              <w:left w:val="nil"/>
              <w:bottom w:val="single" w:sz="4" w:space="0" w:color="auto"/>
              <w:right w:val="nil"/>
            </w:tcBorders>
            <w:shd w:val="clear" w:color="auto" w:fill="auto"/>
            <w:noWrap/>
            <w:vAlign w:val="bottom"/>
            <w:hideMark/>
          </w:tcPr>
          <w:p w14:paraId="1B2440FF"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Description</w:t>
            </w:r>
          </w:p>
        </w:tc>
      </w:tr>
      <w:tr w:rsidR="00351833" w:rsidRPr="00351833" w14:paraId="5235176B" w14:textId="77777777" w:rsidTr="00A625FD">
        <w:trPr>
          <w:trHeight w:val="180"/>
        </w:trPr>
        <w:tc>
          <w:tcPr>
            <w:tcW w:w="1644" w:type="pct"/>
            <w:tcBorders>
              <w:top w:val="nil"/>
              <w:left w:val="nil"/>
              <w:bottom w:val="single" w:sz="4" w:space="0" w:color="auto"/>
              <w:right w:val="nil"/>
            </w:tcBorders>
            <w:shd w:val="clear" w:color="auto" w:fill="auto"/>
            <w:vAlign w:val="bottom"/>
            <w:hideMark/>
          </w:tcPr>
          <w:p w14:paraId="5FD9D6FF"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Demand</w:t>
            </w:r>
          </w:p>
        </w:tc>
        <w:tc>
          <w:tcPr>
            <w:tcW w:w="3356" w:type="pct"/>
            <w:tcBorders>
              <w:top w:val="nil"/>
              <w:left w:val="nil"/>
              <w:bottom w:val="single" w:sz="4" w:space="0" w:color="auto"/>
              <w:right w:val="nil"/>
            </w:tcBorders>
            <w:shd w:val="clear" w:color="auto" w:fill="auto"/>
            <w:vAlign w:val="bottom"/>
            <w:hideMark/>
          </w:tcPr>
          <w:p w14:paraId="4319DCB6"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Average potable water supply 8.8 MCM/y (2013-20)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DPE&lt;/Author&gt;&lt;Year&gt;2022&lt;/Year&gt;&lt;RecNum&gt;466&lt;/RecNum&gt;&lt;DisplayText&gt;(NSW DPE, 2022)&lt;/DisplayText&gt;&lt;record&gt;&lt;rec-number&gt;466&lt;/rec-number&gt;&lt;foreign-keys&gt;&lt;key app="EN" db-id="wsfap5sa5s5ptyer0t3xrzvwva0wafez2wzt" timestamp="1687159173"&gt;466&lt;/key&gt;&lt;/foreign-keys&gt;&lt;ref-type name="Report"&gt;27&lt;/ref-type&gt;&lt;contributors&gt;&lt;authors&gt;&lt;author&gt;NSW DPE,&lt;/author&gt;&lt;/authors&gt;&lt;tertiary-authors&gt;&lt;author&gt;NSW Department of Planning and Environment&lt;/author&gt;&lt;/tertiary-authors&gt;&lt;/contributors&gt;&lt;titles&gt;&lt;title&gt;Local water utility performance monitoring&lt;/title&gt;&lt;/titles&gt;&lt;dates&gt;&lt;year&gt;2022&lt;/year&gt;&lt;pub-dates&gt;&lt;date&gt;4 March 2022&lt;/date&gt;&lt;/pub-dates&gt;&lt;/dates&gt;&lt;pub-location&gt;Sydney, Australia&lt;/pub-location&gt;&lt;urls&gt;&lt;related-urls&gt;&lt;url&gt;https://www.industry.nsw.gov.au/water/water-utilities/lwu-performance-monitoring-data&lt;/url&gt;&lt;/related-urls&gt;&lt;/urls&gt;&lt;access-date&gt;19 June 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DPE, 2022)</w:t>
            </w:r>
            <w:r w:rsidRPr="00351833">
              <w:rPr>
                <w:rFonts w:ascii="Times New Roman" w:eastAsia="Times New Roman" w:hAnsi="Times New Roman" w:cs="Times New Roman"/>
                <w:sz w:val="14"/>
                <w:szCs w:val="14"/>
                <w:lang w:eastAsia="en-AU"/>
              </w:rPr>
              <w:fldChar w:fldCharType="end"/>
            </w:r>
            <w:r w:rsidRPr="00351833">
              <w:rPr>
                <w:rFonts w:ascii="Times New Roman" w:eastAsia="Times New Roman" w:hAnsi="Times New Roman" w:cs="Times New Roman"/>
                <w:sz w:val="14"/>
                <w:szCs w:val="14"/>
                <w:lang w:eastAsia="en-AU"/>
              </w:rPr>
              <w:t xml:space="preserve">. Town water annual allocations reduced by 30% during drought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&lt;EndNote&gt;&lt;Cite&gt;&lt;Author&gt;WaterNSW&lt;/Author&gt;&lt;Year&gt;2022&lt;/Year&gt;&lt;RecNum&gt;435&lt;/RecNum&gt;&lt;DisplayText&gt;(WaterNSW, 2022)&lt;/DisplayText&gt;&lt;record&gt;&lt;rec-number&gt;435&lt;/rec-number&gt;&lt;foreign-keys&gt;&lt;key app="EN" db-id="wsfap5sa5s5ptyer0t3xrzvwva0wafez2wzt" timestamp="1668578676"&gt;435&lt;/key&gt;&lt;/foreign-keys&gt;&lt;ref-type name="Report"&gt;27&lt;/ref-type&gt;&lt;contributors&gt;&lt;authors&gt;&lt;author&gt;WaterNSW&lt;/author&gt;&lt;/authors&gt;&lt;/contributors&gt;&lt;titles&gt;&lt;title&gt;NSW Water Register&lt;/title&gt;&lt;/titles&gt;&lt;dates&gt;&lt;year&gt;2022&lt;/year&gt;&lt;pub-dates&gt;&lt;date&gt;16 Nov 2022&lt;/date&gt;&lt;/pub-dates&gt;&lt;/dates&gt;&lt;urls&gt;&lt;related-urls&gt;&lt;url&gt;https://waterregister.waternsw.com.au/water-register-frame#&lt;/url&gt;&lt;/related-urls&gt;&lt;/urls&gt;&lt;access-date&gt;16 Nov 2022&lt;/access-date&gt;&lt;/record&gt;&lt;/Cite&gt;&lt;/EndNote&gt;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(WaterNSW, 2022)</w:t>
            </w:r>
            <w:r w:rsidRPr="00351833">
              <w:rPr>
                <w:rFonts w:ascii="Times New Roman" w:eastAsia="Times New Roman" w:hAnsi="Times New Roman" w:cs="Times New Roman"/>
                <w:sz w:val="14"/>
                <w:szCs w:val="14"/>
                <w:lang w:eastAsia="en-AU"/>
              </w:rPr>
              <w:fldChar w:fldCharType="end"/>
            </w:r>
            <w:r w:rsidRPr="00351833">
              <w:rPr>
                <w:rFonts w:ascii="Times New Roman" w:eastAsia="Times New Roman" w:hAnsi="Times New Roman" w:cs="Times New Roman"/>
                <w:sz w:val="14"/>
                <w:szCs w:val="14"/>
                <w:lang w:eastAsia="en-AU"/>
              </w:rPr>
              <w:t xml:space="preserve">, almost completely reliant on surface water, groundwater used for emergency supply during drought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&lt;EndNote&gt;&lt;Cite&gt;&lt;Author&gt;CSIRO&lt;/Author&gt;&lt;Year&gt;2022&lt;/Year&gt;&lt;RecNum&gt;440&lt;/RecNum&gt;&lt;DisplayText&gt;(CSIRO, 2022)&lt;/DisplayText&gt;&lt;record&gt;&lt;rec-number&gt;440&lt;/rec-number&gt;&lt;foreign-keys&gt;&lt;key app="EN" db-id="wsfap5sa5s5ptyer0t3xrzvwva0wafez2wzt" timestamp="1669776832"&gt;440&lt;/key&gt;&lt;/foreign-keys&gt;&lt;ref-type name="Report"&gt;27&lt;/ref-type&gt;&lt;contributors&gt;&lt;authors&gt;&lt;author&gt;CSIRO&lt;/author&gt;&lt;/authors&gt;&lt;/contributors&gt;&lt;titles&gt;&lt;title&gt;Economic Benefits of a More Reliable Water Supply for Tamworth&lt;/title&gt;&lt;/titles&gt;&lt;dates&gt;&lt;year&gt;2022&lt;/year&gt;&lt;/dates&gt;&lt;pub-location&gt;Canberra, Australia&lt;/pub-location&gt;&lt;urls&gt;&lt;related-urls&gt;&lt;url&gt;http://hdl.handle.net/102.100.100/442018?index=1&lt;/url&gt;&lt;/related-urls&gt;&lt;/urls&gt;&lt;access-date&gt;30 Nov 2022&lt;/access-date&gt;&lt;/record&gt;&lt;/Cite&gt;&lt;/EndNote&gt;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(CSIRO, 2022)</w:t>
            </w:r>
            <w:r w:rsidRPr="00351833">
              <w:rPr>
                <w:rFonts w:ascii="Times New Roman" w:eastAsia="Times New Roman" w:hAnsi="Times New Roman" w:cs="Times New Roman"/>
                <w:sz w:val="14"/>
                <w:szCs w:val="14"/>
                <w:lang w:eastAsia="en-AU"/>
              </w:rPr>
              <w:fldChar w:fldCharType="end"/>
            </w:r>
          </w:p>
        </w:tc>
      </w:tr>
      <w:tr w:rsidR="00351833" w:rsidRPr="00351833" w14:paraId="3218CE69"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59D053E3"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Source water</w:t>
            </w:r>
          </w:p>
        </w:tc>
        <w:tc>
          <w:tcPr>
            <w:tcW w:w="3356" w:type="pct"/>
            <w:tcBorders>
              <w:top w:val="nil"/>
              <w:left w:val="nil"/>
              <w:bottom w:val="single" w:sz="4" w:space="0" w:color="auto"/>
              <w:right w:val="nil"/>
            </w:tcBorders>
            <w:shd w:val="clear" w:color="auto" w:fill="auto"/>
            <w:vAlign w:val="bottom"/>
            <w:hideMark/>
          </w:tcPr>
          <w:p w14:paraId="282F1A83"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Peel River via Chaffey Dam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&lt;EndNote&gt;&lt;Cite&gt;&lt;Author&gt;BOM&lt;/Author&gt;&lt;Year&gt;2023&lt;/Year&gt;&lt;RecNum&gt;333&lt;/RecNum&gt;&lt;DisplayText&gt;(BOM, 2023b)&lt;/DisplayText&gt;&lt;record&gt;&lt;rec-number&gt;333&lt;/rec-number&gt;&lt;foreign-keys&gt;&lt;key app="EN" db-id="wsfap5sa5s5ptyer0t3xrzvwva0wafez2wzt" timestamp="1617937220"&gt;333&lt;/key&gt;&lt;/foreign-keys&gt;&lt;ref-type name="Report"&gt;27&lt;/ref-type&gt;&lt;contributors&gt;&lt;authors&gt;&lt;author&gt;BOM&lt;/author&gt;&lt;/authors&gt;&lt;tertiary-authors&gt;&lt;author&gt;Australian Government Bureau of Meteorology&lt;/author&gt;&lt;/tertiary-authors&gt;&lt;/contributors&gt;&lt;titles&gt;&lt;title&gt;Water markets dashboard&lt;/title&gt;&lt;/titles&gt;&lt;dates&gt;&lt;year&gt;2023&lt;/year&gt;&lt;/dates&gt;&lt;pub-location&gt;Canberra, Australia&lt;/pub-location&gt;&lt;publisher&gt;Australian Government Bureau of Meteorology&lt;/publisher&gt;&lt;urls&gt;&lt;related-urls&gt;&lt;url&gt;http://www.bom.gov.au/water/dashboards/#/water-markets/map&lt;/url&gt;&lt;/related-urls&gt;&lt;/urls&gt;&lt;access-date&gt;12/09/2023&lt;/access-date&gt;&lt;/record&gt;&lt;/Cite&gt;&lt;/EndNote&gt;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(BOM, 2023b)</w:t>
            </w:r>
            <w:r w:rsidRPr="00351833">
              <w:rPr>
                <w:rFonts w:ascii="Times New Roman" w:eastAsia="Times New Roman" w:hAnsi="Times New Roman" w:cs="Times New Roman"/>
                <w:sz w:val="14"/>
                <w:szCs w:val="14"/>
                <w:lang w:eastAsia="en-AU"/>
              </w:rPr>
              <w:fldChar w:fldCharType="end"/>
            </w:r>
          </w:p>
        </w:tc>
      </w:tr>
      <w:tr w:rsidR="00351833" w:rsidRPr="00351833" w14:paraId="4E681AE1" w14:textId="77777777" w:rsidTr="00A625FD">
        <w:trPr>
          <w:trHeight w:val="180"/>
        </w:trPr>
        <w:tc>
          <w:tcPr>
            <w:tcW w:w="1644" w:type="pct"/>
            <w:tcBorders>
              <w:top w:val="nil"/>
              <w:left w:val="nil"/>
              <w:bottom w:val="single" w:sz="4" w:space="0" w:color="auto"/>
              <w:right w:val="nil"/>
            </w:tcBorders>
            <w:shd w:val="clear" w:color="auto" w:fill="auto"/>
            <w:noWrap/>
            <w:vAlign w:val="bottom"/>
            <w:hideMark/>
          </w:tcPr>
          <w:p w14:paraId="7CB35C2C"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Recharge location</w:t>
            </w:r>
          </w:p>
        </w:tc>
        <w:tc>
          <w:tcPr>
            <w:tcW w:w="3356" w:type="pct"/>
            <w:tcBorders>
              <w:top w:val="nil"/>
              <w:left w:val="nil"/>
              <w:bottom w:val="single" w:sz="4" w:space="0" w:color="auto"/>
              <w:right w:val="nil"/>
            </w:tcBorders>
            <w:shd w:val="clear" w:color="auto" w:fill="auto"/>
            <w:vAlign w:val="bottom"/>
            <w:hideMark/>
          </w:tcPr>
          <w:p w14:paraId="07E3EF83"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Within 3 km of source and supply points</w:t>
            </w:r>
          </w:p>
        </w:tc>
      </w:tr>
      <w:tr w:rsidR="00351833" w:rsidRPr="00351833" w14:paraId="4B0F283F" w14:textId="77777777" w:rsidTr="00A625FD">
        <w:trPr>
          <w:trHeight w:val="360"/>
        </w:trPr>
        <w:tc>
          <w:tcPr>
            <w:tcW w:w="1644" w:type="pct"/>
            <w:tcBorders>
              <w:top w:val="nil"/>
              <w:left w:val="nil"/>
              <w:bottom w:val="single" w:sz="4" w:space="0" w:color="auto"/>
              <w:right w:val="nil"/>
            </w:tcBorders>
            <w:shd w:val="clear" w:color="auto" w:fill="auto"/>
            <w:noWrap/>
            <w:vAlign w:val="bottom"/>
            <w:hideMark/>
          </w:tcPr>
          <w:p w14:paraId="0ADBFC9D"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Aquifer</w:t>
            </w:r>
          </w:p>
        </w:tc>
        <w:tc>
          <w:tcPr>
            <w:tcW w:w="3356" w:type="pct"/>
            <w:tcBorders>
              <w:top w:val="nil"/>
              <w:left w:val="nil"/>
              <w:bottom w:val="single" w:sz="4" w:space="0" w:color="auto"/>
              <w:right w:val="nil"/>
            </w:tcBorders>
            <w:shd w:val="clear" w:color="auto" w:fill="auto"/>
            <w:vAlign w:val="bottom"/>
            <w:hideMark/>
          </w:tcPr>
          <w:p w14:paraId="3476C277"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Peel Alluvium, narrow, shallow around three kilometres wide and 40 m deep, gravel, sand, silt and clay, overlain 1-5 metres of clay-rich sediments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DI&lt;/Author&gt;&lt;Year&gt;2018&lt;/Year&gt;&lt;RecNum&gt;444&lt;/RecNum&gt;&lt;DisplayText&gt;(NSW DI, 2018c)&lt;/DisplayText&gt;&lt;record&gt;&lt;rec-number&gt;444&lt;/rec-number&gt;&lt;foreign-keys&gt;&lt;key app="EN" db-id="wsfap5sa5s5ptyer0t3xrzvwva0wafez2wzt" timestamp="1676873484"&gt;444&lt;/key&gt;&lt;/foreign-keys&gt;&lt;ref-type name="Government Document"&gt;46&lt;/ref-type&gt;&lt;contributors&gt;&lt;authors&gt;&lt;author&gt;NSW DI,&lt;/author&gt;&lt;/authors&gt;&lt;/contributors&gt;&lt;titles&gt;&lt;title&gt;Namoi Alluvium Water Resource Plan - Groundwater Resource Description&lt;/title&gt;&lt;/titles&gt;&lt;pages&gt;95&lt;/pages&gt;&lt;dates&gt;&lt;year&gt;2018&lt;/year&gt;&lt;/dates&gt;&lt;pub-location&gt;Sydney, Australia&lt;/pub-location&gt;&lt;publisher&gt;NSW Department of Industry&lt;/publisher&gt;&lt;urls&gt;&lt;related-urls&gt;&lt;url&gt;https://www.industry.nsw.gov.au/__data/assets/pdf_file/0017/230804/Namoi-Alluvium-WRP-resource-description.pdf&lt;/url&gt;&lt;/related-urls&gt;&lt;/urls&gt;&lt;access-date&gt;20 Feb 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DI, 2018c)</w:t>
            </w:r>
            <w:r w:rsidRPr="00351833">
              <w:rPr>
                <w:rFonts w:ascii="Times New Roman" w:eastAsia="Times New Roman" w:hAnsi="Times New Roman" w:cs="Times New Roman"/>
                <w:sz w:val="14"/>
                <w:szCs w:val="14"/>
                <w:lang w:eastAsia="en-AU"/>
              </w:rPr>
              <w:fldChar w:fldCharType="end"/>
            </w:r>
          </w:p>
        </w:tc>
      </w:tr>
      <w:tr w:rsidR="00351833" w:rsidRPr="00351833" w14:paraId="331DA6B9"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1F87CAA3"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Recharge type</w:t>
            </w:r>
          </w:p>
        </w:tc>
        <w:tc>
          <w:tcPr>
            <w:tcW w:w="3356" w:type="pct"/>
            <w:tcBorders>
              <w:top w:val="nil"/>
              <w:left w:val="nil"/>
              <w:bottom w:val="single" w:sz="4" w:space="0" w:color="auto"/>
              <w:right w:val="nil"/>
            </w:tcBorders>
            <w:shd w:val="clear" w:color="auto" w:fill="auto"/>
            <w:vAlign w:val="bottom"/>
            <w:hideMark/>
          </w:tcPr>
          <w:p w14:paraId="37758936"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Well injection to bypass surficial clay and confining layers to target more productive deeper sands</w:t>
            </w:r>
          </w:p>
        </w:tc>
      </w:tr>
      <w:tr w:rsidR="00351833" w:rsidRPr="00351833" w14:paraId="3622694E" w14:textId="77777777" w:rsidTr="00A625FD">
        <w:trPr>
          <w:trHeight w:val="360"/>
        </w:trPr>
        <w:tc>
          <w:tcPr>
            <w:tcW w:w="1644" w:type="pct"/>
            <w:tcBorders>
              <w:top w:val="nil"/>
              <w:left w:val="nil"/>
              <w:bottom w:val="single" w:sz="4" w:space="0" w:color="auto"/>
              <w:right w:val="nil"/>
            </w:tcBorders>
            <w:shd w:val="clear" w:color="auto" w:fill="auto"/>
            <w:noWrap/>
            <w:vAlign w:val="bottom"/>
            <w:hideMark/>
          </w:tcPr>
          <w:p w14:paraId="1391D356"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Treatment</w:t>
            </w:r>
          </w:p>
        </w:tc>
        <w:tc>
          <w:tcPr>
            <w:tcW w:w="3356" w:type="pct"/>
            <w:tcBorders>
              <w:top w:val="nil"/>
              <w:left w:val="nil"/>
              <w:bottom w:val="single" w:sz="4" w:space="0" w:color="auto"/>
              <w:right w:val="nil"/>
            </w:tcBorders>
            <w:shd w:val="clear" w:color="auto" w:fill="auto"/>
            <w:vAlign w:val="bottom"/>
            <w:hideMark/>
          </w:tcPr>
          <w:p w14:paraId="5C6552B2" w14:textId="7864ACBD"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Coagulation, multimedia filtration, granular activated carbon to reduce clogging risks during well injection </w:t>
            </w:r>
            <w:r w:rsidRPr="00351833">
              <w:rPr>
                <w:rFonts w:ascii="Times New Roman" w:eastAsia="Times New Roman" w:hAnsi="Times New Roman" w:cs="Times New Roman"/>
                <w:sz w:val="14"/>
                <w:szCs w:val="14"/>
                <w:lang w:eastAsia="en-AU"/>
              </w:rPr>
              <w:fldChar w:fldCharType="begin"/>
            </w:r>
            <w:r w:rsidR="00385A52" w:rsidRPr="00351833">
              <w:rPr>
                <w:rFonts w:ascii="Times New Roman" w:eastAsia="Times New Roman" w:hAnsi="Times New Roman" w:cs="Times New Roman"/>
                <w:sz w:val="14"/>
                <w:szCs w:val="14"/>
                <w:lang w:eastAsia="en-AU"/>
              </w:rPr>
              <w:instrText xml:space="preserve"> ADDIN EN.CITE &lt;EndNote&gt;&lt;Cite&gt;&lt;Author&gt;Page&lt;/Author&gt;&lt;Year&gt;2014&lt;/Year&gt;&lt;RecNum&gt;15&lt;/RecNum&gt;&lt;DisplayText&gt;(Page et al., 2014)&lt;/DisplayText&gt;&lt;record&gt;&lt;rec-number&gt;15&lt;/rec-number&gt;&lt;foreign-keys&gt;&lt;key app="EN" db-id="wsfap5sa5s5ptyer0t3xrzvwva0wafez2wzt" timestamp="1600320017"&gt;15&lt;/key&gt;&lt;/foreign-keys&gt;&lt;ref-type name="Journal Article"&gt;17&lt;/ref-type&gt;&lt;contributors&gt;&lt;authors&gt;&lt;author&gt;Page, D.&lt;/author&gt;&lt;author&gt;Vanderzalm, J.&lt;/author&gt;&lt;author&gt;Miotlinski, K.&lt;/author&gt;&lt;author&gt;Barry, K.&lt;/author&gt;&lt;author&gt;Dillon, P.&lt;/author&gt;&lt;author&gt;Lawrie, K.&lt;/author&gt;&lt;author&gt;Brodie, R. S.&lt;/author&gt;&lt;/authors&gt;&lt;/contributors&gt;&lt;auth-address&gt;CSIRO Land and Water Research Flagship, Private Bag No 2, Glen Osmond, SA 5064, Australia. Electronic address: Declan.Page@csiro.au.&amp;#xD;CSIRO Land and Water Research Flagship, Private Bag No 2, Glen Osmond, SA 5064, Australia.&amp;#xD;Geoscience Australia, GPO Box 378, Canberra, ACT 2601, Australia.&lt;/auth-address&gt;&lt;titles&gt;&lt;title&gt;Determining treatment requirements for turbid river water to avoid clogging of aquifer storage and recovery wells in siliceous alluvium&lt;/title&gt;&lt;secondary-title&gt;Water Res&lt;/secondary-title&gt;&lt;/titles&gt;&lt;periodical&gt;&lt;full-title&gt;Water Res&lt;/full-title&gt;&lt;/periodical&gt;&lt;pages&gt;99-110&lt;/pages&gt;&lt;volume&gt;66&lt;/volume&gt;&lt;edition&gt;2014/09/10&lt;/edition&gt;&lt;dates&gt;&lt;year&gt;2014&lt;/year&gt;&lt;pub-dates&gt;&lt;date&gt;Dec 1&lt;/date&gt;&lt;/pub-dates&gt;&lt;/dates&gt;&lt;isbn&gt;1879-2448 (Electronic)&amp;#xD;0043-1354 (Linking)&lt;/isbn&gt;&lt;accession-num&gt;25195029&lt;/accession-num&gt;&lt;urls&gt;&lt;related-urls&gt;&lt;url&gt;https://www.ncbi.nlm.nih.gov/pubmed/25195029&lt;/url&gt;&lt;/related-urls&gt;&lt;/urls&gt;&lt;electronic-resource-num&gt;10.1016/j.watres.2014.08.018&lt;/electronic-resource-num&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(Page et al., 2014)</w:t>
            </w:r>
            <w:r w:rsidRPr="00351833">
              <w:rPr>
                <w:rFonts w:ascii="Times New Roman" w:eastAsia="Times New Roman" w:hAnsi="Times New Roman" w:cs="Times New Roman"/>
                <w:sz w:val="14"/>
                <w:szCs w:val="14"/>
                <w:lang w:eastAsia="en-AU"/>
              </w:rPr>
              <w:fldChar w:fldCharType="end"/>
            </w:r>
          </w:p>
        </w:tc>
      </w:tr>
      <w:tr w:rsidR="00351833" w:rsidRPr="00351833" w14:paraId="5DBC493C"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612EABBA"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Storage potential</w:t>
            </w:r>
          </w:p>
        </w:tc>
        <w:tc>
          <w:tcPr>
            <w:tcW w:w="3356" w:type="pct"/>
            <w:tcBorders>
              <w:top w:val="nil"/>
              <w:left w:val="nil"/>
              <w:bottom w:val="single" w:sz="4" w:space="0" w:color="auto"/>
              <w:right w:val="nil"/>
            </w:tcBorders>
            <w:shd w:val="clear" w:color="auto" w:fill="auto"/>
            <w:vAlign w:val="bottom"/>
            <w:hideMark/>
          </w:tcPr>
          <w:p w14:paraId="567EE8F8"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1 MCM, DTW 5-10 m, localised areas where up to 6 m freeboard may be available at times, effective porosity 20-25% across radius of 500 m </w:t>
            </w:r>
            <w:r w:rsidRPr="00351833">
              <w:rPr>
                <w:rFonts w:ascii="Times New Roman" w:hAnsi="Times New Roman" w:cs="Times New Roman"/>
                <w:sz w:val="14"/>
                <w:szCs w:val="14"/>
                <w:lang w:bidi="en-US"/>
              </w:rPr>
              <w:fldChar w:fldCharType="begin"/>
            </w:r>
            <w:r w:rsidRPr="00351833">
              <w:rPr>
                <w:rFonts w:ascii="Times New Roman" w:hAnsi="Times New Roman" w:cs="Times New Roman"/>
                <w:sz w:val="14"/>
                <w:szCs w:val="14"/>
                <w:lang w:bidi="en-US"/>
              </w:rPr>
              <w:instrText xml:space="preserve"> ADDIN EN.CITE &lt;EndNote&gt;&lt;Cite&gt;&lt;Author&gt;Heath&lt;/Author&gt;&lt;Year&gt;1983&lt;/Year&gt;&lt;RecNum&gt;246&lt;/RecNum&gt;&lt;DisplayText&gt;(Heath, 1983; NSW DI, 2018c)&lt;/DisplayText&gt;&lt;record&gt;&lt;rec-number&gt;246&lt;/rec-number&gt;&lt;foreign-keys&gt;&lt;key app="EN" db-id="wsfap5sa5s5ptyer0t3xrzvwva0wafez2wzt" timestamp="1601446403"&gt;246&lt;/key&gt;&lt;/foreign-keys&gt;&lt;ref-type name="Book"&gt;6&lt;/ref-type&gt;&lt;contributors&gt;&lt;authors&gt;&lt;author&gt;Heath, Ralph C&lt;/author&gt;&lt;/authors&gt;&lt;/contributors&gt;&lt;titles&gt;&lt;title&gt;Basic ground-water hydrology&lt;/title&gt;&lt;/titles&gt;&lt;volume&gt;2220&lt;/volume&gt;&lt;dates&gt;&lt;year&gt;1983&lt;/year&gt;&lt;/dates&gt;&lt;publisher&gt;US Department of the Interior, US Geological Survey&lt;/publisher&gt;&lt;urls&gt;&lt;related-urls&gt;&lt;url&gt;https://pubs.usgs.gov/wsp/2220/report.pdf&lt;/url&gt;&lt;/related-urls&gt;&lt;/urls&gt;&lt;access-date&gt;22 Nov 2022&lt;/access-date&gt;&lt;/record&gt;&lt;/Cite&gt;&lt;Cite&gt;&lt;Author&gt;NSW DI&lt;/Author&gt;&lt;Year&gt;2018&lt;/Year&gt;&lt;RecNum&gt;444&lt;/RecNum&gt;&lt;record&gt;&lt;rec-number&gt;444&lt;/rec-number&gt;&lt;foreign-keys&gt;&lt;key app="EN" db-id="wsfap5sa5s5ptyer0t3xrzvwva0wafez2wzt" timestamp="1676873484"&gt;444&lt;/key&gt;&lt;/foreign-keys&gt;&lt;ref-type name="Government Document"&gt;46&lt;/ref-type&gt;&lt;contributors&gt;&lt;authors&gt;&lt;author&gt;NSW DI,&lt;/author&gt;&lt;/authors&gt;&lt;/contributors&gt;&lt;titles&gt;&lt;title&gt;Namoi Alluvium Water Resource Plan - Groundwater Resource Description&lt;/title&gt;&lt;/titles&gt;&lt;pages&gt;95&lt;/pages&gt;&lt;dates&gt;&lt;year&gt;2018&lt;/year&gt;&lt;/dates&gt;&lt;pub-location&gt;Sydney, Australia&lt;/pub-location&gt;&lt;publisher&gt;NSW Department of Industry&lt;/publisher&gt;&lt;urls&gt;&lt;related-urls&gt;&lt;url&gt;https://www.industry.nsw.gov.au/__data/assets/pdf_file/0017/230804/Namoi-Alluvium-WRP-resource-description.pdf&lt;/url&gt;&lt;/related-urls&gt;&lt;/urls&gt;&lt;access-date&gt;20 Feb 2023&lt;/access-date&gt;&lt;/record&gt;&lt;/Cite&gt;&lt;/EndNote&gt;</w:instrText>
            </w:r>
            <w:r w:rsidRPr="00351833">
              <w:rPr>
                <w:rFonts w:ascii="Times New Roman" w:hAnsi="Times New Roman" w:cs="Times New Roman"/>
                <w:sz w:val="14"/>
                <w:szCs w:val="14"/>
                <w:lang w:bidi="en-US"/>
              </w:rPr>
              <w:fldChar w:fldCharType="separate"/>
            </w:r>
            <w:r w:rsidRPr="00351833">
              <w:rPr>
                <w:rFonts w:ascii="Times New Roman" w:hAnsi="Times New Roman" w:cs="Times New Roman"/>
                <w:noProof/>
                <w:sz w:val="14"/>
                <w:szCs w:val="14"/>
                <w:lang w:bidi="en-US"/>
              </w:rPr>
              <w:t>(Heath, 1983; NSW DI, 2018c)</w:t>
            </w:r>
            <w:r w:rsidRPr="00351833">
              <w:rPr>
                <w:rFonts w:ascii="Times New Roman" w:hAnsi="Times New Roman" w:cs="Times New Roman"/>
                <w:sz w:val="14"/>
                <w:szCs w:val="14"/>
                <w:lang w:bidi="en-US"/>
              </w:rPr>
              <w:fldChar w:fldCharType="end"/>
            </w:r>
            <w:r w:rsidRPr="00351833">
              <w:rPr>
                <w:rFonts w:ascii="Times New Roman" w:hAnsi="Times New Roman" w:cs="Times New Roman"/>
                <w:sz w:val="14"/>
                <w:szCs w:val="14"/>
                <w:lang w:bidi="en-US"/>
              </w:rPr>
              <w:t>.</w:t>
            </w:r>
          </w:p>
        </w:tc>
      </w:tr>
      <w:tr w:rsidR="00351833" w:rsidRPr="00351833" w14:paraId="196F27F9" w14:textId="77777777" w:rsidTr="00A625FD">
        <w:trPr>
          <w:trHeight w:val="180"/>
        </w:trPr>
        <w:tc>
          <w:tcPr>
            <w:tcW w:w="1644" w:type="pct"/>
            <w:tcBorders>
              <w:top w:val="nil"/>
              <w:left w:val="nil"/>
              <w:bottom w:val="single" w:sz="4" w:space="0" w:color="auto"/>
              <w:right w:val="nil"/>
            </w:tcBorders>
            <w:shd w:val="clear" w:color="auto" w:fill="auto"/>
            <w:vAlign w:val="bottom"/>
            <w:hideMark/>
          </w:tcPr>
          <w:p w14:paraId="1B526628"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Design capacity</w:t>
            </w:r>
          </w:p>
        </w:tc>
        <w:tc>
          <w:tcPr>
            <w:tcW w:w="3356" w:type="pct"/>
            <w:tcBorders>
              <w:top w:val="nil"/>
              <w:left w:val="nil"/>
              <w:bottom w:val="single" w:sz="4" w:space="0" w:color="auto"/>
              <w:right w:val="nil"/>
            </w:tcBorders>
            <w:shd w:val="clear" w:color="auto" w:fill="auto"/>
            <w:vAlign w:val="bottom"/>
            <w:hideMark/>
          </w:tcPr>
          <w:p w14:paraId="4325BA76"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0.25 MCM/y to reach capacity over 4-5 years</w:t>
            </w:r>
          </w:p>
        </w:tc>
      </w:tr>
      <w:tr w:rsidR="00351833" w:rsidRPr="00351833" w14:paraId="69289D06" w14:textId="77777777" w:rsidTr="00A625FD">
        <w:trPr>
          <w:trHeight w:val="180"/>
        </w:trPr>
        <w:tc>
          <w:tcPr>
            <w:tcW w:w="1644" w:type="pct"/>
            <w:tcBorders>
              <w:top w:val="nil"/>
              <w:left w:val="nil"/>
              <w:bottom w:val="single" w:sz="4" w:space="0" w:color="auto"/>
              <w:right w:val="nil"/>
            </w:tcBorders>
            <w:shd w:val="clear" w:color="auto" w:fill="auto"/>
            <w:vAlign w:val="bottom"/>
            <w:hideMark/>
          </w:tcPr>
          <w:p w14:paraId="585D2C89"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Recharge rate/bore yield</w:t>
            </w:r>
          </w:p>
        </w:tc>
        <w:tc>
          <w:tcPr>
            <w:tcW w:w="3356" w:type="pct"/>
            <w:tcBorders>
              <w:top w:val="nil"/>
              <w:left w:val="nil"/>
              <w:bottom w:val="single" w:sz="4" w:space="0" w:color="auto"/>
              <w:right w:val="nil"/>
            </w:tcBorders>
            <w:shd w:val="clear" w:color="auto" w:fill="auto"/>
            <w:vAlign w:val="bottom"/>
            <w:hideMark/>
          </w:tcPr>
          <w:p w14:paraId="09825CA3"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Low, bores in Peel Regulated River Alluvium Management Zone yield &gt; 3 L/s, majority in Upper Namoi Alluvium yield around 6 L/s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DI&lt;/Author&gt;&lt;Year&gt;2018&lt;/Year&gt;&lt;RecNum&gt;444&lt;/RecNum&gt;&lt;DisplayText&gt;(NSW DI, 2018c)&lt;/DisplayText&gt;&lt;record&gt;&lt;rec-number&gt;444&lt;/rec-number&gt;&lt;foreign-keys&gt;&lt;key app="EN" db-id="wsfap5sa5s5ptyer0t3xrzvwva0wafez2wzt" timestamp="1676873484"&gt;444&lt;/key&gt;&lt;/foreign-keys&gt;&lt;ref-type name="Government Document"&gt;46&lt;/ref-type&gt;&lt;contributors&gt;&lt;authors&gt;&lt;author&gt;NSW DI,&lt;/author&gt;&lt;/authors&gt;&lt;/contributors&gt;&lt;titles&gt;&lt;title&gt;Namoi Alluvium Water Resource Plan - Groundwater Resource Description&lt;/title&gt;&lt;/titles&gt;&lt;pages&gt;95&lt;/pages&gt;&lt;dates&gt;&lt;year&gt;2018&lt;/year&gt;&lt;/dates&gt;&lt;pub-location&gt;Sydney, Australia&lt;/pub-location&gt;&lt;publisher&gt;NSW Department of Industry&lt;/publisher&gt;&lt;urls&gt;&lt;related-urls&gt;&lt;url&gt;https://www.industry.nsw.gov.au/__data/assets/pdf_file/0017/230804/Namoi-Alluvium-WRP-resource-description.pdf&lt;/url&gt;&lt;/related-urls&gt;&lt;/urls&gt;&lt;access-date&gt;20 Feb 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DI, 2018c)</w:t>
            </w:r>
            <w:r w:rsidRPr="00351833">
              <w:rPr>
                <w:rFonts w:ascii="Times New Roman" w:eastAsia="Times New Roman" w:hAnsi="Times New Roman" w:cs="Times New Roman"/>
                <w:sz w:val="14"/>
                <w:szCs w:val="14"/>
                <w:lang w:eastAsia="en-AU"/>
              </w:rPr>
              <w:fldChar w:fldCharType="end"/>
            </w:r>
          </w:p>
        </w:tc>
      </w:tr>
      <w:tr w:rsidR="00A67B9D" w:rsidRPr="00351833" w14:paraId="22C18F43"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561CD7C7"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Recovery efficiency</w:t>
            </w:r>
          </w:p>
        </w:tc>
        <w:tc>
          <w:tcPr>
            <w:tcW w:w="3356" w:type="pct"/>
            <w:tcBorders>
              <w:top w:val="nil"/>
              <w:left w:val="nil"/>
              <w:bottom w:val="single" w:sz="4" w:space="0" w:color="auto"/>
              <w:right w:val="nil"/>
            </w:tcBorders>
            <w:shd w:val="clear" w:color="auto" w:fill="auto"/>
            <w:vAlign w:val="bottom"/>
            <w:hideMark/>
          </w:tcPr>
          <w:p w14:paraId="2B8EDD03"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Expected to be high (95-100%), groundwater salinity &lt;1000 mg/L, part of current town supply </w:t>
            </w:r>
            <w:r w:rsidRPr="00351833">
              <w:rPr>
                <w:rFonts w:ascii="Times New Roman" w:hAnsi="Times New Roman" w:cs="Times New Roman"/>
                <w:sz w:val="14"/>
                <w:szCs w:val="14"/>
                <w:lang w:bidi="en-US"/>
              </w:rPr>
              <w:fldChar w:fldCharType="begin"/>
            </w:r>
            <w:r w:rsidRPr="00351833">
              <w:rPr>
                <w:rFonts w:ascii="Times New Roman" w:hAnsi="Times New Roman" w:cs="Times New Roman"/>
                <w:sz w:val="14"/>
                <w:szCs w:val="14"/>
                <w:lang w:bidi="en-US"/>
              </w:rPr>
              <w:instrText xml:space="preserve"> ADDIN EN.CITE &lt;EndNote&gt;&lt;Cite&gt;&lt;Author&gt;NSW DI&lt;/Author&gt;&lt;Year&gt;2018&lt;/Year&gt;&lt;RecNum&gt;444&lt;/RecNum&gt;&lt;DisplayText&gt;(NSW DI, 2018c)&lt;/DisplayText&gt;&lt;record&gt;&lt;rec-number&gt;444&lt;/rec-number&gt;&lt;foreign-keys&gt;&lt;key app="EN" db-id="wsfap5sa5s5ptyer0t3xrzvwva0wafez2wzt" timestamp="1676873484"&gt;444&lt;/key&gt;&lt;/foreign-keys&gt;&lt;ref-type name="Government Document"&gt;46&lt;/ref-type&gt;&lt;contributors&gt;&lt;authors&gt;&lt;author&gt;NSW DI,&lt;/author&gt;&lt;/authors&gt;&lt;/contributors&gt;&lt;titles&gt;&lt;title&gt;Namoi Alluvium Water Resource Plan - Groundwater Resource Description&lt;/title&gt;&lt;/titles&gt;&lt;pages&gt;95&lt;/pages&gt;&lt;dates&gt;&lt;year&gt;2018&lt;/year&gt;&lt;/dates&gt;&lt;pub-location&gt;Sydney, Australia&lt;/pub-location&gt;&lt;publisher&gt;NSW Department of Industry&lt;/publisher&gt;&lt;urls&gt;&lt;related-urls&gt;&lt;url&gt;https://www.industry.nsw.gov.au/__data/assets/pdf_file/0017/230804/Namoi-Alluvium-WRP-resource-description.pdf&lt;/url&gt;&lt;/related-urls&gt;&lt;/urls&gt;&lt;access-date&gt;20 Feb 2023&lt;/access-date&gt;&lt;/record&gt;&lt;/Cite&gt;&lt;/EndNote&gt;</w:instrText>
            </w:r>
            <w:r w:rsidRPr="00351833">
              <w:rPr>
                <w:rFonts w:ascii="Times New Roman" w:hAnsi="Times New Roman" w:cs="Times New Roman"/>
                <w:sz w:val="14"/>
                <w:szCs w:val="14"/>
                <w:lang w:bidi="en-US"/>
              </w:rPr>
              <w:fldChar w:fldCharType="separate"/>
            </w:r>
            <w:r w:rsidRPr="00351833">
              <w:rPr>
                <w:rFonts w:ascii="Times New Roman" w:hAnsi="Times New Roman" w:cs="Times New Roman"/>
                <w:noProof/>
                <w:sz w:val="14"/>
                <w:szCs w:val="14"/>
                <w:lang w:bidi="en-US"/>
              </w:rPr>
              <w:t>(NSW DI, 2018c)</w:t>
            </w:r>
            <w:r w:rsidRPr="00351833">
              <w:rPr>
                <w:rFonts w:ascii="Times New Roman" w:hAnsi="Times New Roman" w:cs="Times New Roman"/>
                <w:sz w:val="14"/>
                <w:szCs w:val="14"/>
                <w:lang w:bidi="en-US"/>
              </w:rPr>
              <w:fldChar w:fldCharType="end"/>
            </w:r>
          </w:p>
        </w:tc>
      </w:tr>
    </w:tbl>
    <w:p w14:paraId="76A1C8A4" w14:textId="77777777" w:rsidR="00A67B9D" w:rsidRPr="00351833" w:rsidRDefault="00A67B9D" w:rsidP="00A67B9D">
      <w:pPr>
        <w:rPr>
          <w:rFonts w:ascii="Times New Roman" w:hAnsi="Times New Roman" w:cs="Times New Roman"/>
          <w:lang w:bidi="en-US"/>
        </w:rPr>
      </w:pPr>
    </w:p>
    <w:p w14:paraId="379B2A79" w14:textId="77777777" w:rsidR="00A67B9D" w:rsidRPr="00351833" w:rsidRDefault="00A67B9D" w:rsidP="00A67B9D">
      <w:pPr>
        <w:pStyle w:val="Heading2"/>
        <w:rPr>
          <w:rFonts w:ascii="Times New Roman" w:hAnsi="Times New Roman" w:cs="Times New Roman"/>
          <w:color w:val="auto"/>
          <w:lang w:bidi="en-US"/>
        </w:rPr>
      </w:pPr>
      <w:r w:rsidRPr="00351833">
        <w:rPr>
          <w:rFonts w:ascii="Times New Roman" w:hAnsi="Times New Roman" w:cs="Times New Roman"/>
          <w:color w:val="auto"/>
          <w:lang w:bidi="en-US"/>
        </w:rPr>
        <w:t>Bathurst Regional Council, New South Wales</w:t>
      </w:r>
    </w:p>
    <w:p w14:paraId="56B93734" w14:textId="3C3C51F3" w:rsidR="00A67B9D" w:rsidRPr="00351833" w:rsidRDefault="00A67B9D" w:rsidP="00A67B9D">
      <w:pPr>
        <w:pStyle w:val="Caption"/>
        <w:rPr>
          <w:rFonts w:ascii="Times New Roman" w:hAnsi="Times New Roman" w:cs="Times New Roman"/>
          <w:color w:val="auto"/>
          <w:lang w:bidi="en-US"/>
        </w:rPr>
      </w:pPr>
      <w:r w:rsidRPr="00351833">
        <w:rPr>
          <w:rFonts w:ascii="Times New Roman" w:hAnsi="Times New Roman" w:cs="Times New Roman"/>
          <w:color w:val="auto"/>
          <w:lang w:bidi="en-US"/>
        </w:rPr>
        <w:t xml:space="preserve">Table S2 Bathurst MAR conceptual scheme components. </w:t>
      </w:r>
    </w:p>
    <w:tbl>
      <w:tblPr>
        <w:tblW w:w="3333" w:type="pct"/>
        <w:tblLook w:val="04A0" w:firstRow="1" w:lastRow="0" w:firstColumn="1" w:lastColumn="0" w:noHBand="0" w:noVBand="1"/>
      </w:tblPr>
      <w:tblGrid>
        <w:gridCol w:w="2108"/>
        <w:gridCol w:w="4303"/>
      </w:tblGrid>
      <w:tr w:rsidR="00351833" w:rsidRPr="00351833" w14:paraId="1CFB3EBE" w14:textId="77777777" w:rsidTr="00A625FD">
        <w:trPr>
          <w:trHeight w:val="180"/>
        </w:trPr>
        <w:tc>
          <w:tcPr>
            <w:tcW w:w="1644" w:type="pct"/>
            <w:tcBorders>
              <w:top w:val="single" w:sz="4" w:space="0" w:color="auto"/>
              <w:left w:val="nil"/>
              <w:bottom w:val="single" w:sz="4" w:space="0" w:color="auto"/>
              <w:right w:val="nil"/>
            </w:tcBorders>
            <w:shd w:val="clear" w:color="auto" w:fill="auto"/>
            <w:noWrap/>
            <w:vAlign w:val="bottom"/>
            <w:hideMark/>
          </w:tcPr>
          <w:p w14:paraId="1A87982A"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MAR scheme component</w:t>
            </w:r>
          </w:p>
        </w:tc>
        <w:tc>
          <w:tcPr>
            <w:tcW w:w="3356" w:type="pct"/>
            <w:tcBorders>
              <w:top w:val="single" w:sz="4" w:space="0" w:color="auto"/>
              <w:left w:val="nil"/>
              <w:bottom w:val="single" w:sz="4" w:space="0" w:color="auto"/>
              <w:right w:val="nil"/>
            </w:tcBorders>
            <w:shd w:val="clear" w:color="auto" w:fill="auto"/>
            <w:noWrap/>
            <w:vAlign w:val="bottom"/>
            <w:hideMark/>
          </w:tcPr>
          <w:p w14:paraId="5EE547AA"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Description</w:t>
            </w:r>
          </w:p>
        </w:tc>
      </w:tr>
      <w:tr w:rsidR="00351833" w:rsidRPr="00351833" w14:paraId="01F9C3BB" w14:textId="77777777" w:rsidTr="00A625FD">
        <w:trPr>
          <w:trHeight w:val="180"/>
        </w:trPr>
        <w:tc>
          <w:tcPr>
            <w:tcW w:w="1644" w:type="pct"/>
            <w:tcBorders>
              <w:top w:val="nil"/>
              <w:left w:val="nil"/>
              <w:bottom w:val="single" w:sz="4" w:space="0" w:color="auto"/>
              <w:right w:val="nil"/>
            </w:tcBorders>
            <w:shd w:val="clear" w:color="auto" w:fill="auto"/>
            <w:vAlign w:val="bottom"/>
            <w:hideMark/>
          </w:tcPr>
          <w:p w14:paraId="6DA2CDC5"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Demand</w:t>
            </w:r>
          </w:p>
        </w:tc>
        <w:tc>
          <w:tcPr>
            <w:tcW w:w="3356" w:type="pct"/>
            <w:tcBorders>
              <w:top w:val="nil"/>
              <w:left w:val="nil"/>
              <w:bottom w:val="single" w:sz="4" w:space="0" w:color="auto"/>
              <w:right w:val="nil"/>
            </w:tcBorders>
            <w:shd w:val="clear" w:color="auto" w:fill="auto"/>
            <w:vAlign w:val="bottom"/>
            <w:hideMark/>
          </w:tcPr>
          <w:p w14:paraId="19BCFB1A"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Average potable water supply 6 MCM/y (2013-20)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DPE&lt;/Author&gt;&lt;Year&gt;2022&lt;/Year&gt;&lt;RecNum&gt;466&lt;/RecNum&gt;&lt;DisplayText&gt;(NSW DPE, 2022)&lt;/DisplayText&gt;&lt;record&gt;&lt;rec-number&gt;466&lt;/rec-number&gt;&lt;foreign-keys&gt;&lt;key app="EN" db-id="wsfap5sa5s5ptyer0t3xrzvwva0wafez2wzt" timestamp="1687159173"&gt;466&lt;/key&gt;&lt;/foreign-keys&gt;&lt;ref-type name="Report"&gt;27&lt;/ref-type&gt;&lt;contributors&gt;&lt;authors&gt;&lt;author&gt;NSW DPE,&lt;/author&gt;&lt;/authors&gt;&lt;tertiary-authors&gt;&lt;author&gt;NSW Department of Planning and Environment&lt;/author&gt;&lt;/tertiary-authors&gt;&lt;/contributors&gt;&lt;titles&gt;&lt;title&gt;Local water utility performance monitoring&lt;/title&gt;&lt;/titles&gt;&lt;dates&gt;&lt;year&gt;2022&lt;/year&gt;&lt;pub-dates&gt;&lt;date&gt;4 March 2022&lt;/date&gt;&lt;/pub-dates&gt;&lt;/dates&gt;&lt;pub-location&gt;Sydney, Australia&lt;/pub-location&gt;&lt;urls&gt;&lt;related-urls&gt;&lt;url&gt;https://www.industry.nsw.gov.au/water/water-utilities/lwu-performance-monitoring-data&lt;/url&gt;&lt;/related-urls&gt;&lt;/urls&gt;&lt;access-date&gt;19 June 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DPE, 2022)</w:t>
            </w:r>
            <w:r w:rsidRPr="00351833">
              <w:rPr>
                <w:rFonts w:ascii="Times New Roman" w:eastAsia="Times New Roman" w:hAnsi="Times New Roman" w:cs="Times New Roman"/>
                <w:sz w:val="14"/>
                <w:szCs w:val="14"/>
                <w:lang w:eastAsia="en-AU"/>
              </w:rPr>
              <w:fldChar w:fldCharType="end"/>
            </w:r>
            <w:r w:rsidRPr="00351833">
              <w:rPr>
                <w:rFonts w:ascii="Times New Roman" w:eastAsia="Times New Roman" w:hAnsi="Times New Roman" w:cs="Times New Roman"/>
                <w:sz w:val="14"/>
                <w:szCs w:val="14"/>
                <w:lang w:eastAsia="en-AU"/>
              </w:rPr>
              <w:t xml:space="preserve">. High security and town water annual allocations reduced by 20-30% during drought, completely reliant on surface water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&lt;EndNote&gt;&lt;Cite&gt;&lt;Author&gt;WaterNSW&lt;/Author&gt;&lt;Year&gt;2022&lt;/Year&gt;&lt;RecNum&gt;435&lt;/RecNum&gt;&lt;DisplayText&gt;(WaterNSW, 2022)&lt;/DisplayText&gt;&lt;record&gt;&lt;rec-number&gt;435&lt;/rec-number&gt;&lt;foreign-keys&gt;&lt;key app="EN" db-id="wsfap5sa5s5ptyer0t3xrzvwva0wafez2wzt" timestamp="1668578676"&gt;435&lt;/key&gt;&lt;/foreign-keys&gt;&lt;ref-type name="Report"&gt;27&lt;/ref-type&gt;&lt;contributors&gt;&lt;authors&gt;&lt;author&gt;WaterNSW&lt;/author&gt;&lt;/authors&gt;&lt;/contributors&gt;&lt;titles&gt;&lt;title&gt;NSW Water Register&lt;/title&gt;&lt;/titles&gt;&lt;dates&gt;&lt;year&gt;2022&lt;/year&gt;&lt;pub-dates&gt;&lt;date&gt;16 Nov 2022&lt;/date&gt;&lt;/pub-dates&gt;&lt;/dates&gt;&lt;urls&gt;&lt;related-urls&gt;&lt;url&gt;https://waterregister.waternsw.com.au/water-register-frame#&lt;/url&gt;&lt;/related-urls&gt;&lt;/urls&gt;&lt;access-date&gt;16 Nov 2022&lt;/access-date&gt;&lt;/record&gt;&lt;/Cite&gt;&lt;/EndNote&gt;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(WaterNSW, 2022)</w:t>
            </w:r>
            <w:r w:rsidRPr="00351833">
              <w:rPr>
                <w:rFonts w:ascii="Times New Roman" w:eastAsia="Times New Roman" w:hAnsi="Times New Roman" w:cs="Times New Roman"/>
                <w:sz w:val="14"/>
                <w:szCs w:val="14"/>
                <w:lang w:eastAsia="en-AU"/>
              </w:rPr>
              <w:fldChar w:fldCharType="end"/>
            </w:r>
          </w:p>
        </w:tc>
      </w:tr>
      <w:tr w:rsidR="00351833" w:rsidRPr="00351833" w14:paraId="23110EDC"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65D681A5"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Source water</w:t>
            </w:r>
          </w:p>
        </w:tc>
        <w:tc>
          <w:tcPr>
            <w:tcW w:w="3356" w:type="pct"/>
            <w:tcBorders>
              <w:top w:val="nil"/>
              <w:left w:val="nil"/>
              <w:bottom w:val="single" w:sz="4" w:space="0" w:color="auto"/>
              <w:right w:val="nil"/>
            </w:tcBorders>
            <w:shd w:val="clear" w:color="auto" w:fill="auto"/>
            <w:vAlign w:val="bottom"/>
            <w:hideMark/>
          </w:tcPr>
          <w:p w14:paraId="7138974B"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Macquarie River via Chifley Dam, </w:t>
            </w:r>
            <w:proofErr w:type="spellStart"/>
            <w:r w:rsidRPr="00351833">
              <w:rPr>
                <w:rFonts w:ascii="Times New Roman" w:eastAsia="Times New Roman" w:hAnsi="Times New Roman" w:cs="Times New Roman"/>
                <w:sz w:val="14"/>
                <w:szCs w:val="14"/>
                <w:lang w:eastAsia="en-AU"/>
              </w:rPr>
              <w:t>Winburndale</w:t>
            </w:r>
            <w:proofErr w:type="spellEnd"/>
            <w:r w:rsidRPr="00351833">
              <w:rPr>
                <w:rFonts w:ascii="Times New Roman" w:eastAsia="Times New Roman" w:hAnsi="Times New Roman" w:cs="Times New Roman"/>
                <w:sz w:val="14"/>
                <w:szCs w:val="14"/>
                <w:lang w:eastAsia="en-AU"/>
              </w:rPr>
              <w:t xml:space="preserve"> Dam, Fish River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&lt;EndNote&gt;&lt;Cite&gt;&lt;Author&gt;BOM&lt;/Author&gt;&lt;Year&gt;2023&lt;/Year&gt;&lt;RecNum&gt;333&lt;/RecNum&gt;&lt;DisplayText&gt;(BOM, 2023b)&lt;/DisplayText&gt;&lt;record&gt;&lt;rec-number&gt;333&lt;/rec-number&gt;&lt;foreign-keys&gt;&lt;key app="EN" db-id="wsfap5sa5s5ptyer0t3xrzvwva0wafez2wzt" timestamp="1617937220"&gt;333&lt;/key&gt;&lt;/foreign-keys&gt;&lt;ref-type name="Report"&gt;27&lt;/ref-type&gt;&lt;contributors&gt;&lt;authors&gt;&lt;author&gt;BOM&lt;/author&gt;&lt;/authors&gt;&lt;tertiary-authors&gt;&lt;author&gt;Australian Government Bureau of Meteorology&lt;/author&gt;&lt;/tertiary-authors&gt;&lt;/contributors&gt;&lt;titles&gt;&lt;title&gt;Water markets dashboard&lt;/title&gt;&lt;/titles&gt;&lt;dates&gt;&lt;year&gt;2023&lt;/year&gt;&lt;/dates&gt;&lt;pub-location&gt;Canberra, Australia&lt;/pub-location&gt;&lt;publisher&gt;Australian Government Bureau of Meteorology&lt;/publisher&gt;&lt;urls&gt;&lt;related-urls&gt;&lt;url&gt;http://www.bom.gov.au/water/dashboards/#/water-markets/map&lt;/url&gt;&lt;/related-urls&gt;&lt;/urls&gt;&lt;access-date&gt;12/09/2023&lt;/access-date&gt;&lt;/record&gt;&lt;/Cite&gt;&lt;/EndNote&gt;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(BOM, 2023b)</w:t>
            </w:r>
            <w:r w:rsidRPr="00351833">
              <w:rPr>
                <w:rFonts w:ascii="Times New Roman" w:eastAsia="Times New Roman" w:hAnsi="Times New Roman" w:cs="Times New Roman"/>
                <w:sz w:val="14"/>
                <w:szCs w:val="14"/>
                <w:lang w:eastAsia="en-AU"/>
              </w:rPr>
              <w:fldChar w:fldCharType="end"/>
            </w:r>
          </w:p>
        </w:tc>
      </w:tr>
      <w:tr w:rsidR="00351833" w:rsidRPr="00351833" w14:paraId="3383DDC9" w14:textId="77777777" w:rsidTr="00A625FD">
        <w:trPr>
          <w:trHeight w:val="180"/>
        </w:trPr>
        <w:tc>
          <w:tcPr>
            <w:tcW w:w="1644" w:type="pct"/>
            <w:tcBorders>
              <w:top w:val="nil"/>
              <w:left w:val="nil"/>
              <w:bottom w:val="single" w:sz="4" w:space="0" w:color="auto"/>
              <w:right w:val="nil"/>
            </w:tcBorders>
            <w:shd w:val="clear" w:color="auto" w:fill="auto"/>
            <w:noWrap/>
            <w:vAlign w:val="bottom"/>
            <w:hideMark/>
          </w:tcPr>
          <w:p w14:paraId="6073D613"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Recharge location </w:t>
            </w:r>
          </w:p>
        </w:tc>
        <w:tc>
          <w:tcPr>
            <w:tcW w:w="3356" w:type="pct"/>
            <w:tcBorders>
              <w:top w:val="nil"/>
              <w:left w:val="nil"/>
              <w:bottom w:val="single" w:sz="4" w:space="0" w:color="auto"/>
              <w:right w:val="nil"/>
            </w:tcBorders>
            <w:shd w:val="clear" w:color="auto" w:fill="auto"/>
            <w:vAlign w:val="bottom"/>
            <w:hideMark/>
          </w:tcPr>
          <w:p w14:paraId="56E89408"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Within 5 km of source and supply points</w:t>
            </w:r>
          </w:p>
        </w:tc>
      </w:tr>
      <w:tr w:rsidR="00351833" w:rsidRPr="00351833" w14:paraId="12210A9D" w14:textId="77777777" w:rsidTr="00A625FD">
        <w:trPr>
          <w:trHeight w:val="360"/>
        </w:trPr>
        <w:tc>
          <w:tcPr>
            <w:tcW w:w="1644" w:type="pct"/>
            <w:tcBorders>
              <w:top w:val="nil"/>
              <w:left w:val="nil"/>
              <w:bottom w:val="single" w:sz="4" w:space="0" w:color="auto"/>
              <w:right w:val="nil"/>
            </w:tcBorders>
            <w:shd w:val="clear" w:color="auto" w:fill="auto"/>
            <w:noWrap/>
            <w:vAlign w:val="bottom"/>
            <w:hideMark/>
          </w:tcPr>
          <w:p w14:paraId="64E02A8E"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Aquifer</w:t>
            </w:r>
          </w:p>
        </w:tc>
        <w:tc>
          <w:tcPr>
            <w:tcW w:w="3356" w:type="pct"/>
            <w:tcBorders>
              <w:top w:val="nil"/>
              <w:left w:val="nil"/>
              <w:bottom w:val="single" w:sz="4" w:space="0" w:color="auto"/>
              <w:right w:val="nil"/>
            </w:tcBorders>
            <w:shd w:val="clear" w:color="auto" w:fill="auto"/>
            <w:vAlign w:val="bottom"/>
            <w:hideMark/>
          </w:tcPr>
          <w:p w14:paraId="06CD6ED1"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Alluvial sediments near Bathurst along Macquarie River, clay layers interbedded with sand and weathered granite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&lt;EndNote&gt;&lt;Cite&gt;&lt;Author&gt;BOM&lt;/Author&gt;&lt;Year&gt;2023&lt;/Year&gt;&lt;RecNum&gt;449&lt;/RecNum&gt;&lt;DisplayText&gt;(BOM, 2023a)&lt;/DisplayText&gt;&lt;record&gt;&lt;rec-number&gt;449&lt;/rec-number&gt;&lt;foreign-keys&gt;&lt;key app="EN" db-id="wsfap5sa5s5ptyer0t3xrzvwva0wafez2wzt" timestamp="1680138013"&gt;449&lt;/key&gt;&lt;/foreign-keys&gt;&lt;ref-type name="Report"&gt;27&lt;/ref-type&gt;&lt;contributors&gt;&lt;authors&gt;&lt;author&gt;BOM&lt;/author&gt;&lt;/authors&gt;&lt;tertiary-authors&gt;&lt;author&gt;Bureau of Meteorology, Commonwealth of Australia&lt;/author&gt;&lt;/tertiary-authors&gt;&lt;/contributors&gt;&lt;titles&gt;&lt;title&gt;Australian Groundwater Explorer&lt;/title&gt;&lt;/titles&gt;&lt;dates&gt;&lt;year&gt;2023&lt;/year&gt;&lt;/dates&gt;&lt;pub-location&gt;Canberra, Australia&lt;/pub-location&gt;&lt;urls&gt;&lt;related-urls&gt;&lt;url&gt;http://www.bom.gov.au/water/groundwater/explorer/map.shtml&lt;/url&gt;&lt;/related-urls&gt;&lt;/urls&gt;&lt;access-date&gt;30 Mar 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(BOM, 2023a)</w:t>
            </w:r>
            <w:r w:rsidRPr="00351833">
              <w:rPr>
                <w:rFonts w:ascii="Times New Roman" w:eastAsia="Times New Roman" w:hAnsi="Times New Roman" w:cs="Times New Roman"/>
                <w:sz w:val="14"/>
                <w:szCs w:val="14"/>
                <w:lang w:eastAsia="en-AU"/>
              </w:rPr>
              <w:fldChar w:fldCharType="end"/>
            </w:r>
          </w:p>
        </w:tc>
      </w:tr>
      <w:tr w:rsidR="00351833" w:rsidRPr="00351833" w14:paraId="1CA335C7"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18A0F5D7"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Recharge type</w:t>
            </w:r>
          </w:p>
        </w:tc>
        <w:tc>
          <w:tcPr>
            <w:tcW w:w="3356" w:type="pct"/>
            <w:tcBorders>
              <w:top w:val="nil"/>
              <w:left w:val="nil"/>
              <w:bottom w:val="single" w:sz="4" w:space="0" w:color="auto"/>
              <w:right w:val="nil"/>
            </w:tcBorders>
            <w:shd w:val="clear" w:color="auto" w:fill="auto"/>
            <w:vAlign w:val="bottom"/>
            <w:hideMark/>
          </w:tcPr>
          <w:p w14:paraId="7203F38C"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Well injection to bypass interbedded clay layers and weathered granite screened to target more productive softer sands</w:t>
            </w:r>
          </w:p>
        </w:tc>
      </w:tr>
      <w:tr w:rsidR="00351833" w:rsidRPr="00351833" w14:paraId="758D0E8C" w14:textId="77777777" w:rsidTr="00A625FD">
        <w:trPr>
          <w:trHeight w:val="360"/>
        </w:trPr>
        <w:tc>
          <w:tcPr>
            <w:tcW w:w="1644" w:type="pct"/>
            <w:tcBorders>
              <w:top w:val="nil"/>
              <w:left w:val="nil"/>
              <w:bottom w:val="single" w:sz="4" w:space="0" w:color="auto"/>
              <w:right w:val="nil"/>
            </w:tcBorders>
            <w:shd w:val="clear" w:color="auto" w:fill="auto"/>
            <w:noWrap/>
            <w:vAlign w:val="bottom"/>
            <w:hideMark/>
          </w:tcPr>
          <w:p w14:paraId="3C52C6C5"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Treatment</w:t>
            </w:r>
          </w:p>
        </w:tc>
        <w:tc>
          <w:tcPr>
            <w:tcW w:w="3356" w:type="pct"/>
            <w:tcBorders>
              <w:top w:val="nil"/>
              <w:left w:val="nil"/>
              <w:bottom w:val="single" w:sz="4" w:space="0" w:color="auto"/>
              <w:right w:val="nil"/>
            </w:tcBorders>
            <w:shd w:val="clear" w:color="auto" w:fill="auto"/>
            <w:vAlign w:val="bottom"/>
            <w:hideMark/>
          </w:tcPr>
          <w:p w14:paraId="4EA0453D" w14:textId="58932CDE"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Coagulation, multimedia filtration, granular activated carbon to reduce clogging risks during well injection </w:t>
            </w:r>
            <w:r w:rsidRPr="00351833">
              <w:rPr>
                <w:rFonts w:ascii="Times New Roman" w:eastAsia="Times New Roman" w:hAnsi="Times New Roman" w:cs="Times New Roman"/>
                <w:sz w:val="14"/>
                <w:szCs w:val="14"/>
                <w:lang w:eastAsia="en-AU"/>
              </w:rPr>
              <w:fldChar w:fldCharType="begin"/>
            </w:r>
            <w:r w:rsidR="00385A52" w:rsidRPr="00351833">
              <w:rPr>
                <w:rFonts w:ascii="Times New Roman" w:eastAsia="Times New Roman" w:hAnsi="Times New Roman" w:cs="Times New Roman"/>
                <w:sz w:val="14"/>
                <w:szCs w:val="14"/>
                <w:lang w:eastAsia="en-AU"/>
              </w:rPr>
              <w:instrText xml:space="preserve"> ADDIN EN.CITE &lt;EndNote&gt;&lt;Cite&gt;&lt;Author&gt;Page&lt;/Author&gt;&lt;Year&gt;2014&lt;/Year&gt;&lt;RecNum&gt;15&lt;/RecNum&gt;&lt;DisplayText&gt;(Page et al., 2014)&lt;/DisplayText&gt;&lt;record&gt;&lt;rec-number&gt;15&lt;/rec-number&gt;&lt;foreign-keys&gt;&lt;key app="EN" db-id="wsfap5sa5s5ptyer0t3xrzvwva0wafez2wzt" timestamp="1600320017"&gt;15&lt;/key&gt;&lt;/foreign-keys&gt;&lt;ref-type name="Journal Article"&gt;17&lt;/ref-type&gt;&lt;contributors&gt;&lt;authors&gt;&lt;author&gt;Page, D.&lt;/author&gt;&lt;author&gt;Vanderzalm, J.&lt;/author&gt;&lt;author&gt;Miotlinski, K.&lt;/author&gt;&lt;author&gt;Barry, K.&lt;/author&gt;&lt;author&gt;Dillon, P.&lt;/author&gt;&lt;author&gt;Lawrie, K.&lt;/author&gt;&lt;author&gt;Brodie, R. S.&lt;/author&gt;&lt;/authors&gt;&lt;/contributors&gt;&lt;auth-address&gt;CSIRO Land and Water Research Flagship, Private Bag No 2, Glen Osmond, SA 5064, Australia. Electronic address: Declan.Page@csiro.au.&amp;#xD;CSIRO Land and Water Research Flagship, Private Bag No 2, Glen Osmond, SA 5064, Australia.&amp;#xD;Geoscience Australia, GPO Box 378, Canberra, ACT 2601, Australia.&lt;/auth-address&gt;&lt;titles&gt;&lt;title&gt;Determining treatment requirements for turbid river water to avoid clogging of aquifer storage and recovery wells in siliceous alluvium&lt;/title&gt;&lt;secondary-title&gt;Water Res&lt;/secondary-title&gt;&lt;/titles&gt;&lt;periodical&gt;&lt;full-title&gt;Water Res&lt;/full-title&gt;&lt;/periodical&gt;&lt;pages&gt;99-110&lt;/pages&gt;&lt;volume&gt;66&lt;/volume&gt;&lt;edition&gt;2014/09/10&lt;/edition&gt;&lt;dates&gt;&lt;year&gt;2014&lt;/year&gt;&lt;pub-dates&gt;&lt;date&gt;Dec 1&lt;/date&gt;&lt;/pub-dates&gt;&lt;/dates&gt;&lt;isbn&gt;1879-2448 (Electronic)&amp;#xD;0043-1354 (Linking)&lt;/isbn&gt;&lt;accession-num&gt;25195029&lt;/accession-num&gt;&lt;urls&gt;&lt;related-urls&gt;&lt;url&gt;https://www.ncbi.nlm.nih.gov/pubmed/25195029&lt;/url&gt;&lt;/related-urls&gt;&lt;/urls&gt;&lt;electronic-resource-num&gt;10.1016/j.watres.2014.08.018&lt;/electronic-resource-num&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(Page et al., 2014)</w:t>
            </w:r>
            <w:r w:rsidRPr="00351833">
              <w:rPr>
                <w:rFonts w:ascii="Times New Roman" w:eastAsia="Times New Roman" w:hAnsi="Times New Roman" w:cs="Times New Roman"/>
                <w:sz w:val="14"/>
                <w:szCs w:val="14"/>
                <w:lang w:eastAsia="en-AU"/>
              </w:rPr>
              <w:fldChar w:fldCharType="end"/>
            </w:r>
          </w:p>
        </w:tc>
      </w:tr>
      <w:tr w:rsidR="00351833" w:rsidRPr="00351833" w14:paraId="1EDCA563"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3F740573"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Storage potential</w:t>
            </w:r>
          </w:p>
        </w:tc>
        <w:tc>
          <w:tcPr>
            <w:tcW w:w="3356" w:type="pct"/>
            <w:tcBorders>
              <w:top w:val="nil"/>
              <w:left w:val="nil"/>
              <w:bottom w:val="single" w:sz="4" w:space="0" w:color="auto"/>
              <w:right w:val="nil"/>
            </w:tcBorders>
            <w:shd w:val="clear" w:color="auto" w:fill="auto"/>
            <w:vAlign w:val="bottom"/>
            <w:hideMark/>
          </w:tcPr>
          <w:p w14:paraId="6101D887"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3 MCM within 5 km of Bathurst (median depth to water &gt;10m, salinity &lt;1500 mg/L)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&lt;EndNote&gt;&lt;Cite&gt;&lt;Author&gt;Gonzalez&lt;/Author&gt;&lt;Year&gt;2020&lt;/Year&gt;&lt;RecNum&gt;283&lt;/RecNum&gt;&lt;DisplayText&gt;(Gonzalez et al., 2020)&lt;/DisplayText&gt;&lt;record&gt;&lt;rec-number&gt;283&lt;/rec-number&gt;&lt;foreign-keys&gt;&lt;key app="EN" db-id="wsfap5sa5s5ptyer0t3xrzvwva0wafez2wzt" timestamp="1604022818"&gt;283&lt;/key&gt;&lt;/foreign-keys&gt;&lt;ref-type name="Journal Article"&gt;17&lt;/ref-type&gt;&lt;contributors&gt;&lt;authors&gt;&lt;author&gt;Gonzalez, Dennis&lt;/author&gt;&lt;author&gt;Dillon, Peter&lt;/author&gt;&lt;author&gt;Page, Declan&lt;/author&gt;&lt;author&gt;Vanderzalm, Joanne&lt;/author&gt;&lt;/authors&gt;&lt;/contributors&gt;&lt;titles&gt;&lt;title&gt;The Potential for Water Banking in Australia’s Murray–Darling Basin to Increase Drought Resilience&lt;/title&gt;&lt;secondary-title&gt;Water&lt;/secondary-title&gt;&lt;/titles&gt;&lt;periodical&gt;&lt;full-title&gt;Water&lt;/full-title&gt;&lt;/periodical&gt;&lt;pages&gt;2936&lt;/pages&gt;&lt;volume&gt;12&lt;/volume&gt;&lt;number&gt;10&lt;/number&gt;&lt;dates&gt;&lt;year&gt;2020&lt;/year&gt;&lt;/dates&gt;&lt;isbn&gt;2073-4441&lt;/isbn&gt;&lt;accession-num&gt;doi:10.3390/w12102936&lt;/accession-num&gt;&lt;urls&gt;&lt;related-urls&gt;&lt;url&gt;https://www.mdpi.com/2073-4441/12/10/2936&lt;/url&gt;&lt;/related-urls&gt;&lt;/urls&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(Gonzalez et al., 2020)</w:t>
            </w:r>
            <w:r w:rsidRPr="00351833">
              <w:rPr>
                <w:rFonts w:ascii="Times New Roman" w:eastAsia="Times New Roman" w:hAnsi="Times New Roman" w:cs="Times New Roman"/>
                <w:sz w:val="14"/>
                <w:szCs w:val="14"/>
                <w:lang w:eastAsia="en-AU"/>
              </w:rPr>
              <w:fldChar w:fldCharType="end"/>
            </w:r>
          </w:p>
        </w:tc>
      </w:tr>
      <w:tr w:rsidR="00351833" w:rsidRPr="00351833" w14:paraId="2B4CFE52" w14:textId="77777777" w:rsidTr="00A625FD">
        <w:trPr>
          <w:trHeight w:val="180"/>
        </w:trPr>
        <w:tc>
          <w:tcPr>
            <w:tcW w:w="1644" w:type="pct"/>
            <w:tcBorders>
              <w:top w:val="nil"/>
              <w:left w:val="nil"/>
              <w:bottom w:val="single" w:sz="4" w:space="0" w:color="auto"/>
              <w:right w:val="nil"/>
            </w:tcBorders>
            <w:shd w:val="clear" w:color="auto" w:fill="auto"/>
            <w:vAlign w:val="bottom"/>
            <w:hideMark/>
          </w:tcPr>
          <w:p w14:paraId="11C1817D"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Design capacity</w:t>
            </w:r>
          </w:p>
        </w:tc>
        <w:tc>
          <w:tcPr>
            <w:tcW w:w="3356" w:type="pct"/>
            <w:tcBorders>
              <w:top w:val="nil"/>
              <w:left w:val="nil"/>
              <w:bottom w:val="single" w:sz="4" w:space="0" w:color="auto"/>
              <w:right w:val="nil"/>
            </w:tcBorders>
            <w:shd w:val="clear" w:color="auto" w:fill="auto"/>
            <w:vAlign w:val="bottom"/>
            <w:hideMark/>
          </w:tcPr>
          <w:p w14:paraId="47914691"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0.75 MCM/y to reach capacity over 4-5 years</w:t>
            </w:r>
          </w:p>
        </w:tc>
      </w:tr>
      <w:tr w:rsidR="00351833" w:rsidRPr="00351833" w14:paraId="62BFDCD2" w14:textId="77777777" w:rsidTr="00A625FD">
        <w:trPr>
          <w:trHeight w:val="180"/>
        </w:trPr>
        <w:tc>
          <w:tcPr>
            <w:tcW w:w="1644" w:type="pct"/>
            <w:tcBorders>
              <w:top w:val="nil"/>
              <w:left w:val="nil"/>
              <w:bottom w:val="single" w:sz="4" w:space="0" w:color="auto"/>
              <w:right w:val="nil"/>
            </w:tcBorders>
            <w:shd w:val="clear" w:color="auto" w:fill="auto"/>
            <w:vAlign w:val="bottom"/>
            <w:hideMark/>
          </w:tcPr>
          <w:p w14:paraId="43C55ADE"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Recharge rate/bore yield</w:t>
            </w:r>
          </w:p>
        </w:tc>
        <w:tc>
          <w:tcPr>
            <w:tcW w:w="3356" w:type="pct"/>
            <w:tcBorders>
              <w:top w:val="nil"/>
              <w:left w:val="nil"/>
              <w:bottom w:val="single" w:sz="4" w:space="0" w:color="auto"/>
              <w:right w:val="nil"/>
            </w:tcBorders>
            <w:shd w:val="clear" w:color="auto" w:fill="auto"/>
            <w:vAlign w:val="bottom"/>
            <w:hideMark/>
          </w:tcPr>
          <w:p w14:paraId="053BD0A4"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Limited data, likely to be in low range due to lithology, numerous stock and domestic water supply bores in area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&lt;EndNote&gt;&lt;Cite&gt;&lt;Author&gt;BOM&lt;/Author&gt;&lt;Year&gt;2023&lt;/Year&gt;&lt;RecNum&gt;449&lt;/RecNum&gt;&lt;DisplayText&gt;(BOM, 2023a)&lt;/DisplayText&gt;&lt;record&gt;&lt;rec-number&gt;449&lt;/rec-number&gt;&lt;foreign-keys&gt;&lt;key app="EN" db-id="wsfap5sa5s5ptyer0t3xrzvwva0wafez2wzt" timestamp="1680138013"&gt;449&lt;/key&gt;&lt;/foreign-keys&gt;&lt;ref-type name="Report"&gt;27&lt;/ref-type&gt;&lt;contributors&gt;&lt;authors&gt;&lt;author&gt;BOM&lt;/author&gt;&lt;/authors&gt;&lt;tertiary-authors&gt;&lt;author&gt;Bureau of Meteorology, Commonwealth of Australia&lt;/author&gt;&lt;/tertiary-authors&gt;&lt;/contributors&gt;&lt;titles&gt;&lt;title&gt;Australian Groundwater Explorer&lt;/title&gt;&lt;/titles&gt;&lt;dates&gt;&lt;year&gt;2023&lt;/year&gt;&lt;/dates&gt;&lt;pub-location&gt;Canberra, Australia&lt;/pub-location&gt;&lt;urls&gt;&lt;related-urls&gt;&lt;url&gt;http://www.bom.gov.au/water/groundwater/explorer/map.shtml&lt;/url&gt;&lt;/related-urls&gt;&lt;/urls&gt;&lt;access-date&gt;30 Mar 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(BOM, 2023a)</w:t>
            </w:r>
            <w:r w:rsidRPr="00351833">
              <w:rPr>
                <w:rFonts w:ascii="Times New Roman" w:eastAsia="Times New Roman" w:hAnsi="Times New Roman" w:cs="Times New Roman"/>
                <w:sz w:val="14"/>
                <w:szCs w:val="14"/>
                <w:lang w:eastAsia="en-AU"/>
              </w:rPr>
              <w:fldChar w:fldCharType="end"/>
            </w:r>
          </w:p>
        </w:tc>
      </w:tr>
      <w:tr w:rsidR="00A67B9D" w:rsidRPr="00351833" w14:paraId="0A6D7EA4"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75875BCC"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Recovery efficiency</w:t>
            </w:r>
          </w:p>
        </w:tc>
        <w:tc>
          <w:tcPr>
            <w:tcW w:w="3356" w:type="pct"/>
            <w:tcBorders>
              <w:top w:val="nil"/>
              <w:left w:val="nil"/>
              <w:bottom w:val="single" w:sz="4" w:space="0" w:color="auto"/>
              <w:right w:val="nil"/>
            </w:tcBorders>
            <w:shd w:val="clear" w:color="auto" w:fill="auto"/>
            <w:vAlign w:val="bottom"/>
            <w:hideMark/>
          </w:tcPr>
          <w:p w14:paraId="64D99672"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Probably high, limited data, salinity of bores in area &lt;1000 mg/L TDS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&lt;EndNote&gt;&lt;Cite&gt;&lt;Author&gt;BOM&lt;/Author&gt;&lt;Year&gt;2023&lt;/Year&gt;&lt;RecNum&gt;449&lt;/RecNum&gt;&lt;DisplayText&gt;(BOM, 2023a)&lt;/DisplayText&gt;&lt;record&gt;&lt;rec-number&gt;449&lt;/rec-number&gt;&lt;foreign-keys&gt;&lt;key app="EN" db-id="wsfap5sa5s5ptyer0t3xrzvwva0wafez2wzt" timestamp="1680138013"&gt;449&lt;/key&gt;&lt;/foreign-keys&gt;&lt;ref-type name="Report"&gt;27&lt;/ref-type&gt;&lt;contributors&gt;&lt;authors&gt;&lt;author&gt;BOM&lt;/author&gt;&lt;/authors&gt;&lt;tertiary-authors&gt;&lt;author&gt;Bureau of Meteorology, Commonwealth of Australia&lt;/author&gt;&lt;/tertiary-authors&gt;&lt;/contributors&gt;&lt;titles&gt;&lt;title&gt;Australian Groundwater Explorer&lt;/title&gt;&lt;/titles&gt;&lt;dates&gt;&lt;year&gt;2023&lt;/year&gt;&lt;/dates&gt;&lt;pub-location&gt;Canberra, Australia&lt;/pub-location&gt;&lt;urls&gt;&lt;related-urls&gt;&lt;url&gt;http://www.bom.gov.au/water/groundwater/explorer/map.shtml&lt;/url&gt;&lt;/related-urls&gt;&lt;/urls&gt;&lt;access-date&gt;30 Mar 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(BOM, 2023a)</w:t>
            </w:r>
            <w:r w:rsidRPr="00351833">
              <w:rPr>
                <w:rFonts w:ascii="Times New Roman" w:eastAsia="Times New Roman" w:hAnsi="Times New Roman" w:cs="Times New Roman"/>
                <w:sz w:val="14"/>
                <w:szCs w:val="14"/>
                <w:lang w:eastAsia="en-AU"/>
              </w:rPr>
              <w:fldChar w:fldCharType="end"/>
            </w:r>
          </w:p>
        </w:tc>
      </w:tr>
    </w:tbl>
    <w:p w14:paraId="25A00A49" w14:textId="77777777" w:rsidR="00A67B9D" w:rsidRPr="00351833" w:rsidRDefault="00A67B9D" w:rsidP="00A67B9D">
      <w:pPr>
        <w:rPr>
          <w:rFonts w:ascii="Times New Roman" w:hAnsi="Times New Roman" w:cs="Times New Roman"/>
          <w:lang w:bidi="en-US"/>
        </w:rPr>
      </w:pPr>
    </w:p>
    <w:p w14:paraId="07B7488C" w14:textId="77777777" w:rsidR="00A67B9D" w:rsidRPr="00351833" w:rsidRDefault="00A67B9D" w:rsidP="00A67B9D">
      <w:pPr>
        <w:pStyle w:val="Heading2"/>
        <w:rPr>
          <w:rFonts w:ascii="Times New Roman" w:hAnsi="Times New Roman" w:cs="Times New Roman"/>
          <w:color w:val="auto"/>
          <w:lang w:bidi="en-US"/>
        </w:rPr>
      </w:pPr>
      <w:r w:rsidRPr="00351833">
        <w:rPr>
          <w:rFonts w:ascii="Times New Roman" w:hAnsi="Times New Roman" w:cs="Times New Roman"/>
          <w:color w:val="auto"/>
          <w:lang w:bidi="en-US"/>
        </w:rPr>
        <w:t>Dubbo, New South Wales</w:t>
      </w:r>
    </w:p>
    <w:p w14:paraId="1D66D4EA" w14:textId="7120A427" w:rsidR="00A67B9D" w:rsidRPr="00351833" w:rsidRDefault="00A67B9D" w:rsidP="00A67B9D">
      <w:pPr>
        <w:pStyle w:val="Caption"/>
        <w:rPr>
          <w:rFonts w:ascii="Times New Roman" w:hAnsi="Times New Roman" w:cs="Times New Roman"/>
          <w:color w:val="auto"/>
          <w:lang w:bidi="en-US"/>
        </w:rPr>
      </w:pPr>
      <w:r w:rsidRPr="00351833">
        <w:rPr>
          <w:rFonts w:ascii="Times New Roman" w:hAnsi="Times New Roman" w:cs="Times New Roman"/>
          <w:color w:val="auto"/>
          <w:lang w:bidi="en-US"/>
        </w:rPr>
        <w:t xml:space="preserve">Table </w:t>
      </w:r>
      <w:r w:rsidR="0009296D">
        <w:rPr>
          <w:rFonts w:ascii="Times New Roman" w:hAnsi="Times New Roman" w:cs="Times New Roman"/>
          <w:color w:val="auto"/>
          <w:lang w:bidi="en-US"/>
        </w:rPr>
        <w:t>S3</w:t>
      </w:r>
      <w:r w:rsidRPr="00351833">
        <w:rPr>
          <w:rFonts w:ascii="Times New Roman" w:hAnsi="Times New Roman" w:cs="Times New Roman"/>
          <w:color w:val="auto"/>
          <w:lang w:bidi="en-US"/>
        </w:rPr>
        <w:t xml:space="preserve"> Dubbo MAR conceptual scheme components. </w:t>
      </w:r>
    </w:p>
    <w:tbl>
      <w:tblPr>
        <w:tblW w:w="3333" w:type="pct"/>
        <w:tblLook w:val="04A0" w:firstRow="1" w:lastRow="0" w:firstColumn="1" w:lastColumn="0" w:noHBand="0" w:noVBand="1"/>
      </w:tblPr>
      <w:tblGrid>
        <w:gridCol w:w="2108"/>
        <w:gridCol w:w="4303"/>
      </w:tblGrid>
      <w:tr w:rsidR="00351833" w:rsidRPr="00351833" w14:paraId="32DAA76E" w14:textId="77777777" w:rsidTr="00A625FD">
        <w:trPr>
          <w:trHeight w:val="180"/>
        </w:trPr>
        <w:tc>
          <w:tcPr>
            <w:tcW w:w="1644" w:type="pct"/>
            <w:tcBorders>
              <w:top w:val="single" w:sz="4" w:space="0" w:color="auto"/>
              <w:left w:val="nil"/>
              <w:bottom w:val="single" w:sz="4" w:space="0" w:color="auto"/>
              <w:right w:val="nil"/>
            </w:tcBorders>
            <w:shd w:val="clear" w:color="auto" w:fill="auto"/>
            <w:noWrap/>
            <w:vAlign w:val="bottom"/>
            <w:hideMark/>
          </w:tcPr>
          <w:p w14:paraId="0D02D560"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MAR scheme component</w:t>
            </w:r>
          </w:p>
        </w:tc>
        <w:tc>
          <w:tcPr>
            <w:tcW w:w="3356" w:type="pct"/>
            <w:tcBorders>
              <w:top w:val="single" w:sz="4" w:space="0" w:color="auto"/>
              <w:left w:val="nil"/>
              <w:bottom w:val="single" w:sz="4" w:space="0" w:color="auto"/>
              <w:right w:val="nil"/>
            </w:tcBorders>
            <w:shd w:val="clear" w:color="auto" w:fill="auto"/>
            <w:noWrap/>
            <w:vAlign w:val="bottom"/>
            <w:hideMark/>
          </w:tcPr>
          <w:p w14:paraId="40C0787A"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Description</w:t>
            </w:r>
          </w:p>
        </w:tc>
      </w:tr>
      <w:tr w:rsidR="00351833" w:rsidRPr="00351833" w14:paraId="592793B5" w14:textId="77777777" w:rsidTr="00A625FD">
        <w:trPr>
          <w:trHeight w:val="180"/>
        </w:trPr>
        <w:tc>
          <w:tcPr>
            <w:tcW w:w="1644" w:type="pct"/>
            <w:tcBorders>
              <w:top w:val="nil"/>
              <w:left w:val="nil"/>
              <w:bottom w:val="single" w:sz="4" w:space="0" w:color="auto"/>
              <w:right w:val="nil"/>
            </w:tcBorders>
            <w:shd w:val="clear" w:color="auto" w:fill="auto"/>
            <w:vAlign w:val="bottom"/>
            <w:hideMark/>
          </w:tcPr>
          <w:p w14:paraId="0955E8E7"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Demand</w:t>
            </w:r>
          </w:p>
        </w:tc>
        <w:tc>
          <w:tcPr>
            <w:tcW w:w="3356" w:type="pct"/>
            <w:tcBorders>
              <w:top w:val="nil"/>
              <w:left w:val="nil"/>
              <w:bottom w:val="single" w:sz="4" w:space="0" w:color="auto"/>
              <w:right w:val="nil"/>
            </w:tcBorders>
            <w:shd w:val="clear" w:color="auto" w:fill="auto"/>
            <w:vAlign w:val="bottom"/>
            <w:hideMark/>
          </w:tcPr>
          <w:p w14:paraId="3FD49366"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Average potable water supply 9.1 MCM/y (2013-20)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DPE&lt;/Author&gt;&lt;Year&gt;2022&lt;/Year&gt;&lt;RecNum&gt;466&lt;/RecNum&gt;&lt;DisplayText&gt;(NSW DPE, 2022)&lt;/DisplayText&gt;&lt;record&gt;&lt;rec-number&gt;466&lt;/rec-number&gt;&lt;foreign-keys&gt;&lt;key app="EN" db-id="wsfap5sa5s5ptyer0t3xrzvwva0wafez2wzt" timestamp="1687159173"&gt;466&lt;/key&gt;&lt;/foreign-keys&gt;&lt;ref-type name="Report"&gt;27&lt;/ref-type&gt;&lt;contributors&gt;&lt;authors&gt;&lt;author&gt;NSW DPE,&lt;/author&gt;&lt;/authors&gt;&lt;tertiary-authors&gt;&lt;author&gt;NSW Department of Planning and Environment&lt;/author&gt;&lt;/tertiary-authors&gt;&lt;/contributors&gt;&lt;titles&gt;&lt;title&gt;Local water utility performance monitoring&lt;/title&gt;&lt;/titles&gt;&lt;dates&gt;&lt;year&gt;2022&lt;/year&gt;&lt;pub-dates&gt;&lt;date&gt;4 March 2022&lt;/date&gt;&lt;/pub-dates&gt;&lt;/dates&gt;&lt;pub-location&gt;Sydney, Australia&lt;/pub-location&gt;&lt;urls&gt;&lt;related-urls&gt;&lt;url&gt;https://www.industry.nsw.gov.au/water/water-utilities/lwu-performance-monitoring-data&lt;/url&gt;&lt;/related-urls&gt;&lt;/urls&gt;&lt;access-date&gt;19 June 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DPE, 2022)</w:t>
            </w:r>
            <w:r w:rsidRPr="00351833">
              <w:rPr>
                <w:rFonts w:ascii="Times New Roman" w:eastAsia="Times New Roman" w:hAnsi="Times New Roman" w:cs="Times New Roman"/>
                <w:sz w:val="14"/>
                <w:szCs w:val="14"/>
                <w:lang w:eastAsia="en-AU"/>
              </w:rPr>
              <w:fldChar w:fldCharType="end"/>
            </w:r>
            <w:r w:rsidRPr="00351833">
              <w:rPr>
                <w:rFonts w:ascii="Times New Roman" w:eastAsia="Times New Roman" w:hAnsi="Times New Roman" w:cs="Times New Roman"/>
                <w:sz w:val="14"/>
                <w:szCs w:val="14"/>
                <w:lang w:eastAsia="en-AU"/>
              </w:rPr>
              <w:t xml:space="preserve">. Town water annual allocations reduced by 30% (by 3.9 MCM/y) </w:t>
            </w:r>
            <w:r w:rsidRPr="00351833">
              <w:rPr>
                <w:rFonts w:ascii="Times New Roman" w:eastAsia="Times New Roman" w:hAnsi="Times New Roman" w:cs="Times New Roman"/>
                <w:sz w:val="14"/>
                <w:szCs w:val="14"/>
                <w:lang w:eastAsia="en-AU"/>
              </w:rPr>
              <w:lastRenderedPageBreak/>
              <w:t xml:space="preserve">during drought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&lt;EndNote&gt;&lt;Cite&gt;&lt;Author&gt;WaterNSW&lt;/Author&gt;&lt;Year&gt;2022&lt;/Year&gt;&lt;RecNum&gt;435&lt;/RecNum&gt;&lt;DisplayText&gt;(WaterNSW, 2022)&lt;/DisplayText&gt;&lt;record&gt;&lt;rec-number&gt;435&lt;/rec-number&gt;&lt;foreign-keys&gt;&lt;key app="EN" db-id="wsfap5sa5s5ptyer0t3xrzvwva0wafez2wzt" timestamp="1668578676"&gt;435&lt;/key&gt;&lt;/foreign-keys&gt;&lt;ref-type name="Report"&gt;27&lt;/ref-type&gt;&lt;contributors&gt;&lt;authors&gt;&lt;author&gt;WaterNSW&lt;/author&gt;&lt;/authors&gt;&lt;/contributors&gt;&lt;titles&gt;&lt;title&gt;NSW Water Register&lt;/title&gt;&lt;/titles&gt;&lt;dates&gt;&lt;year&gt;2022&lt;/year&gt;&lt;pub-dates&gt;&lt;date&gt;16 Nov 2022&lt;/date&gt;&lt;/pub-dates&gt;&lt;/dates&gt;&lt;urls&gt;&lt;related-urls&gt;&lt;url&gt;https://waterregister.waternsw.com.au/water-register-frame#&lt;/url&gt;&lt;/related-urls&gt;&lt;/urls&gt;&lt;access-date&gt;16 Nov 2022&lt;/access-date&gt;&lt;/record&gt;&lt;/Cite&gt;&lt;/EndNote&gt;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(WaterNSW, 2022)</w:t>
            </w:r>
            <w:r w:rsidRPr="00351833">
              <w:rPr>
                <w:rFonts w:ascii="Times New Roman" w:eastAsia="Times New Roman" w:hAnsi="Times New Roman" w:cs="Times New Roman"/>
                <w:sz w:val="14"/>
                <w:szCs w:val="14"/>
                <w:lang w:eastAsia="en-AU"/>
              </w:rPr>
              <w:fldChar w:fldCharType="end"/>
            </w:r>
            <w:r w:rsidRPr="00351833">
              <w:rPr>
                <w:rFonts w:ascii="Times New Roman" w:eastAsia="Times New Roman" w:hAnsi="Times New Roman" w:cs="Times New Roman"/>
                <w:sz w:val="14"/>
                <w:szCs w:val="14"/>
                <w:lang w:eastAsia="en-AU"/>
              </w:rPr>
              <w:t xml:space="preserve">, 30% annual town supply from depleting groundwater supply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&lt;EndNote&gt;&lt;Cite&gt;&lt;Author&gt;Dubbo Regional Council&lt;/Author&gt;&lt;Year&gt;2020&lt;/Year&gt;&lt;RecNum&gt;436&lt;/RecNum&gt;&lt;DisplayText&gt;(Dubbo Regional Council, 2020)&lt;/DisplayText&gt;&lt;record&gt;&lt;rec-number&gt;436&lt;/rec-number&gt;&lt;foreign-keys&gt;&lt;key app="EN" db-id="wsfap5sa5s5ptyer0t3xrzvwva0wafez2wzt" timestamp="1669073596"&gt;436&lt;/key&gt;&lt;/foreign-keys&gt;&lt;ref-type name="Report"&gt;27&lt;/ref-type&gt;&lt;contributors&gt;&lt;authors&gt;&lt;author&gt;Dubbo Regional Council,&lt;/author&gt;&lt;/authors&gt;&lt;/contributors&gt;&lt;titles&gt;&lt;title&gt;Drought contingency and water emergency response plan 2020&lt;/title&gt;&lt;/titles&gt;&lt;dates&gt;&lt;year&gt;2020&lt;/year&gt;&lt;/dates&gt;&lt;pub-location&gt;Dubbo, NSW&lt;/pub-location&gt;&lt;urls&gt;&lt;related-urls&gt;&lt;url&gt;https://www.dubbo.nsw.gov.au/Our-Region-and-Environment/Water--sewerage-and-drainage/water-management-supply&lt;/url&gt;&lt;/related-urls&gt;&lt;/urls&gt;&lt;access-date&gt;11/09/2020&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(Dubbo Regional Council, 2020)</w:t>
            </w:r>
            <w:r w:rsidRPr="00351833">
              <w:rPr>
                <w:rFonts w:ascii="Times New Roman" w:eastAsia="Times New Roman" w:hAnsi="Times New Roman" w:cs="Times New Roman"/>
                <w:sz w:val="14"/>
                <w:szCs w:val="14"/>
                <w:lang w:eastAsia="en-AU"/>
              </w:rPr>
              <w:fldChar w:fldCharType="end"/>
            </w:r>
          </w:p>
        </w:tc>
      </w:tr>
      <w:tr w:rsidR="00351833" w:rsidRPr="00351833" w14:paraId="0B79DFA4"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5E5A76EC"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lastRenderedPageBreak/>
              <w:t>Source water</w:t>
            </w:r>
          </w:p>
        </w:tc>
        <w:tc>
          <w:tcPr>
            <w:tcW w:w="3356" w:type="pct"/>
            <w:tcBorders>
              <w:top w:val="nil"/>
              <w:left w:val="nil"/>
              <w:bottom w:val="single" w:sz="4" w:space="0" w:color="auto"/>
              <w:right w:val="nil"/>
            </w:tcBorders>
            <w:shd w:val="clear" w:color="auto" w:fill="auto"/>
            <w:vAlign w:val="bottom"/>
            <w:hideMark/>
          </w:tcPr>
          <w:p w14:paraId="4F91125A"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Macquarie River via Burrendong Dam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&lt;EndNote&gt;&lt;Cite&gt;&lt;Author&gt;BOM&lt;/Author&gt;&lt;Year&gt;2023&lt;/Year&gt;&lt;RecNum&gt;333&lt;/RecNum&gt;&lt;DisplayText&gt;(BOM, 2023b)&lt;/DisplayText&gt;&lt;record&gt;&lt;rec-number&gt;333&lt;/rec-number&gt;&lt;foreign-keys&gt;&lt;key app="EN" db-id="wsfap5sa5s5ptyer0t3xrzvwva0wafez2wzt" timestamp="1617937220"&gt;333&lt;/key&gt;&lt;/foreign-keys&gt;&lt;ref-type name="Report"&gt;27&lt;/ref-type&gt;&lt;contributors&gt;&lt;authors&gt;&lt;author&gt;BOM&lt;/author&gt;&lt;/authors&gt;&lt;tertiary-authors&gt;&lt;author&gt;Australian Government Bureau of Meteorology&lt;/author&gt;&lt;/tertiary-authors&gt;&lt;/contributors&gt;&lt;titles&gt;&lt;title&gt;Water markets dashboard&lt;/title&gt;&lt;/titles&gt;&lt;dates&gt;&lt;year&gt;2023&lt;/year&gt;&lt;/dates&gt;&lt;pub-location&gt;Canberra, Australia&lt;/pub-location&gt;&lt;publisher&gt;Australian Government Bureau of Meteorology&lt;/publisher&gt;&lt;urls&gt;&lt;related-urls&gt;&lt;url&gt;http://www.bom.gov.au/water/dashboards/#/water-markets/map&lt;/url&gt;&lt;/related-urls&gt;&lt;/urls&gt;&lt;access-date&gt;12/09/2023&lt;/access-date&gt;&lt;/record&gt;&lt;/Cite&gt;&lt;/EndNote&gt;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(BOM, 2023b)</w:t>
            </w:r>
            <w:r w:rsidRPr="00351833">
              <w:rPr>
                <w:rFonts w:ascii="Times New Roman" w:eastAsia="Times New Roman" w:hAnsi="Times New Roman" w:cs="Times New Roman"/>
                <w:sz w:val="14"/>
                <w:szCs w:val="14"/>
                <w:lang w:eastAsia="en-AU"/>
              </w:rPr>
              <w:fldChar w:fldCharType="end"/>
            </w:r>
          </w:p>
        </w:tc>
      </w:tr>
      <w:tr w:rsidR="00351833" w:rsidRPr="00351833" w14:paraId="1C50E3D8" w14:textId="77777777" w:rsidTr="00A625FD">
        <w:trPr>
          <w:trHeight w:val="180"/>
        </w:trPr>
        <w:tc>
          <w:tcPr>
            <w:tcW w:w="1644" w:type="pct"/>
            <w:tcBorders>
              <w:top w:val="nil"/>
              <w:left w:val="nil"/>
              <w:bottom w:val="single" w:sz="4" w:space="0" w:color="auto"/>
              <w:right w:val="nil"/>
            </w:tcBorders>
            <w:shd w:val="clear" w:color="auto" w:fill="auto"/>
            <w:noWrap/>
            <w:vAlign w:val="bottom"/>
            <w:hideMark/>
          </w:tcPr>
          <w:p w14:paraId="5D853AFE"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Recharge location</w:t>
            </w:r>
          </w:p>
        </w:tc>
        <w:tc>
          <w:tcPr>
            <w:tcW w:w="3356" w:type="pct"/>
            <w:tcBorders>
              <w:top w:val="nil"/>
              <w:left w:val="nil"/>
              <w:bottom w:val="single" w:sz="4" w:space="0" w:color="auto"/>
              <w:right w:val="nil"/>
            </w:tcBorders>
            <w:shd w:val="clear" w:color="auto" w:fill="auto"/>
            <w:vAlign w:val="bottom"/>
            <w:hideMark/>
          </w:tcPr>
          <w:p w14:paraId="5B3506C0"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Within 3 km of source and supply points</w:t>
            </w:r>
          </w:p>
        </w:tc>
      </w:tr>
      <w:tr w:rsidR="00351833" w:rsidRPr="00351833" w14:paraId="5F5D43C5" w14:textId="77777777" w:rsidTr="00A625FD">
        <w:trPr>
          <w:trHeight w:val="360"/>
        </w:trPr>
        <w:tc>
          <w:tcPr>
            <w:tcW w:w="1644" w:type="pct"/>
            <w:tcBorders>
              <w:top w:val="nil"/>
              <w:left w:val="nil"/>
              <w:bottom w:val="single" w:sz="4" w:space="0" w:color="auto"/>
              <w:right w:val="nil"/>
            </w:tcBorders>
            <w:shd w:val="clear" w:color="auto" w:fill="auto"/>
            <w:noWrap/>
            <w:vAlign w:val="bottom"/>
            <w:hideMark/>
          </w:tcPr>
          <w:p w14:paraId="6641A51E"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Aquifer</w:t>
            </w:r>
          </w:p>
        </w:tc>
        <w:tc>
          <w:tcPr>
            <w:tcW w:w="3356" w:type="pct"/>
            <w:tcBorders>
              <w:top w:val="nil"/>
              <w:left w:val="nil"/>
              <w:bottom w:val="single" w:sz="4" w:space="0" w:color="auto"/>
              <w:right w:val="nil"/>
            </w:tcBorders>
            <w:shd w:val="clear" w:color="auto" w:fill="auto"/>
            <w:vAlign w:val="bottom"/>
            <w:hideMark/>
          </w:tcPr>
          <w:p w14:paraId="7F684CF5"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Upper Macquarie Alluvium, shallow unconfined aquifer to 25 m, deep semi-confined aquifer 60 m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DI&lt;/Author&gt;&lt;Year&gt;2018&lt;/Year&gt;&lt;RecNum&gt;350&lt;/RecNum&gt;&lt;DisplayText&gt;(NSW DI, 2018b)&lt;/DisplayText&gt;&lt;record&gt;&lt;rec-number&gt;350&lt;/rec-number&gt;&lt;foreign-keys&gt;&lt;key app="EN" db-id="wsfap5sa5s5ptyer0t3xrzvwva0wafez2wzt" timestamp="1622171678"&gt;350&lt;/key&gt;&lt;/foreign-keys&gt;&lt;ref-type name="Report"&gt;27&lt;/ref-type&gt;&lt;contributors&gt;&lt;authors&gt;&lt;author&gt;NSW DI,&lt;/author&gt;&lt;/authors&gt;&lt;tertiary-authors&gt;&lt;author&gt;NSW Department of Industry&lt;/author&gt;&lt;/tertiary-authors&gt;&lt;/contributors&gt;&lt;titles&gt;&lt;title&gt;Macquarie-Castlereagh Alluvium Water Resources Plan. Groundwater Resource Description. NSW Department of Industry&lt;/title&gt;&lt;/titles&gt;&lt;pages&gt;113&lt;/pages&gt;&lt;dates&gt;&lt;year&gt;2018&lt;/year&gt;&lt;/dates&gt;&lt;pub-location&gt;Sydney, Australia&lt;/pub-location&gt;&lt;urls&gt;&lt;related-urls&gt;&lt;url&gt;https://www.industry.nsw.gov.au/__data/assets/pdf_file/0017/192221/macquarie-castlereagh-alluvium-appendix-a-water-resource-description.pdf&lt;/url&gt;&lt;/related-urls&gt;&lt;/urls&gt;&lt;access-date&gt;27 Nov 2020&lt;/access-date&gt;&lt;/record&gt;&lt;/Cite&gt;&lt;/EndNote&gt;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DI, 2018b)</w:t>
            </w:r>
            <w:r w:rsidRPr="00351833">
              <w:rPr>
                <w:rFonts w:ascii="Times New Roman" w:eastAsia="Times New Roman" w:hAnsi="Times New Roman" w:cs="Times New Roman"/>
                <w:sz w:val="14"/>
                <w:szCs w:val="14"/>
                <w:lang w:eastAsia="en-AU"/>
              </w:rPr>
              <w:fldChar w:fldCharType="end"/>
            </w:r>
          </w:p>
        </w:tc>
      </w:tr>
      <w:tr w:rsidR="00351833" w:rsidRPr="00351833" w14:paraId="738E23C1"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17FDC4A5"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Recharge type</w:t>
            </w:r>
          </w:p>
        </w:tc>
        <w:tc>
          <w:tcPr>
            <w:tcW w:w="3356" w:type="pct"/>
            <w:tcBorders>
              <w:top w:val="nil"/>
              <w:left w:val="nil"/>
              <w:bottom w:val="single" w:sz="4" w:space="0" w:color="auto"/>
              <w:right w:val="nil"/>
            </w:tcBorders>
            <w:shd w:val="clear" w:color="auto" w:fill="auto"/>
            <w:vAlign w:val="bottom"/>
            <w:hideMark/>
          </w:tcPr>
          <w:p w14:paraId="7D6DACE1"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Infiltration basin to the unconfined shallow aquifer</w:t>
            </w:r>
          </w:p>
        </w:tc>
      </w:tr>
      <w:tr w:rsidR="00351833" w:rsidRPr="00351833" w14:paraId="72112545" w14:textId="77777777" w:rsidTr="00A625FD">
        <w:trPr>
          <w:trHeight w:val="360"/>
        </w:trPr>
        <w:tc>
          <w:tcPr>
            <w:tcW w:w="1644" w:type="pct"/>
            <w:tcBorders>
              <w:top w:val="nil"/>
              <w:left w:val="nil"/>
              <w:bottom w:val="single" w:sz="4" w:space="0" w:color="auto"/>
              <w:right w:val="nil"/>
            </w:tcBorders>
            <w:shd w:val="clear" w:color="auto" w:fill="auto"/>
            <w:noWrap/>
            <w:vAlign w:val="bottom"/>
            <w:hideMark/>
          </w:tcPr>
          <w:p w14:paraId="2EFE923C"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Treatment</w:t>
            </w:r>
          </w:p>
        </w:tc>
        <w:tc>
          <w:tcPr>
            <w:tcW w:w="3356" w:type="pct"/>
            <w:tcBorders>
              <w:top w:val="nil"/>
              <w:left w:val="nil"/>
              <w:bottom w:val="single" w:sz="4" w:space="0" w:color="auto"/>
              <w:right w:val="nil"/>
            </w:tcBorders>
            <w:shd w:val="clear" w:color="auto" w:fill="auto"/>
            <w:vAlign w:val="bottom"/>
            <w:hideMark/>
          </w:tcPr>
          <w:p w14:paraId="773CC9A8" w14:textId="7BC34018"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Basin maintenance (scraping) </w:t>
            </w:r>
            <w:r w:rsidRPr="00351833">
              <w:rPr>
                <w:rFonts w:ascii="Times New Roman" w:eastAsia="Times New Roman" w:hAnsi="Times New Roman" w:cs="Times New Roman"/>
                <w:sz w:val="14"/>
                <w:szCs w:val="14"/>
                <w:lang w:eastAsia="en-AU"/>
              </w:rPr>
              <w:fldChar w:fldCharType="begin"/>
            </w:r>
            <w:r w:rsidR="00385A52" w:rsidRPr="00351833">
              <w:rPr>
                <w:rFonts w:ascii="Times New Roman" w:eastAsia="Times New Roman" w:hAnsi="Times New Roman" w:cs="Times New Roman"/>
                <w:sz w:val="14"/>
                <w:szCs w:val="14"/>
                <w:lang w:eastAsia="en-AU"/>
              </w:rPr>
              <w:instrText xml:space="preserve"> ADDIN EN.CITE &lt;EndNote&gt;&lt;Cite&gt;&lt;Author&gt;Vanderzalm&lt;/Author&gt;&lt;Year&gt;2022&lt;/Year&gt;&lt;RecNum&gt;382&lt;/RecNum&gt;&lt;DisplayText&gt;(Vanderzalm et al., 2022)&lt;/DisplayText&gt;&lt;record&gt;&lt;rec-number&gt;382&lt;/rec-number&gt;&lt;foreign-keys&gt;&lt;key app="EN" db-id="wsfap5sa5s5ptyer0t3xrzvwva0wafez2wzt" timestamp="1651733160"&gt;382&lt;/key&gt;&lt;/foreign-keys&gt;&lt;ref-type name="Journal Article"&gt;17&lt;/ref-type&gt;&lt;contributors&gt;&lt;authors&gt;&lt;author&gt;Vanderzalm, Joanne&lt;/author&gt;&lt;author&gt;Page, Declan&lt;/author&gt;&lt;author&gt;Dillon, Peter&lt;/author&gt;&lt;author&gt;Gonzalez, Dennis&lt;/author&gt;&lt;author&gt;Petheram, Cuan&lt;/author&gt;&lt;/authors&gt;&lt;/contributors&gt;&lt;titles&gt;&lt;title&gt;Assessing the costs of Managed Aquifer Recharge options to support agricultural development&lt;/title&gt;&lt;secondary-title&gt;Agricultural Water Management&lt;/secondary-title&gt;&lt;/titles&gt;&lt;periodical&gt;&lt;full-title&gt;Agricultural Water Management&lt;/full-title&gt;&lt;/periodical&gt;&lt;volume&gt;263&lt;/volume&gt;&lt;section&gt;107437&lt;/section&gt;&lt;dates&gt;&lt;year&gt;2022&lt;/year&gt;&lt;/dates&gt;&lt;isbn&gt;03783774&lt;/isbn&gt;&lt;urls&gt;&lt;/urls&gt;&lt;electronic-resource-num&gt;10.1016/j.agwat.2021.107437&lt;/electronic-resource-num&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(Vanderzalm et al., 2022)</w:t>
            </w:r>
            <w:r w:rsidRPr="00351833">
              <w:rPr>
                <w:rFonts w:ascii="Times New Roman" w:eastAsia="Times New Roman" w:hAnsi="Times New Roman" w:cs="Times New Roman"/>
                <w:sz w:val="14"/>
                <w:szCs w:val="14"/>
                <w:lang w:eastAsia="en-AU"/>
              </w:rPr>
              <w:fldChar w:fldCharType="end"/>
            </w:r>
          </w:p>
        </w:tc>
      </w:tr>
      <w:tr w:rsidR="00351833" w:rsidRPr="00351833" w14:paraId="59339758"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16CFAFFF"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Storage potential</w:t>
            </w:r>
          </w:p>
        </w:tc>
        <w:tc>
          <w:tcPr>
            <w:tcW w:w="3356" w:type="pct"/>
            <w:tcBorders>
              <w:top w:val="nil"/>
              <w:left w:val="nil"/>
              <w:bottom w:val="single" w:sz="4" w:space="0" w:color="auto"/>
              <w:right w:val="nil"/>
            </w:tcBorders>
            <w:shd w:val="clear" w:color="auto" w:fill="auto"/>
            <w:vAlign w:val="bottom"/>
            <w:hideMark/>
          </w:tcPr>
          <w:p w14:paraId="389F7AB7"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10 MCM, depth to water ~20 m, effective porosity 20-25% across radius of 1 km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DI&lt;/Author&gt;&lt;Year&gt;2018&lt;/Year&gt;&lt;RecNum&gt;350&lt;/RecNum&gt;&lt;DisplayText&gt;(NSW DI, 2018b)&lt;/DisplayText&gt;&lt;record&gt;&lt;rec-number&gt;350&lt;/rec-number&gt;&lt;foreign-keys&gt;&lt;key app="EN" db-id="wsfap5sa5s5ptyer0t3xrzvwva0wafez2wzt" timestamp="1622171678"&gt;350&lt;/key&gt;&lt;/foreign-keys&gt;&lt;ref-type name="Report"&gt;27&lt;/ref-type&gt;&lt;contributors&gt;&lt;authors&gt;&lt;author&gt;NSW DI,&lt;/author&gt;&lt;/authors&gt;&lt;tertiary-authors&gt;&lt;author&gt;NSW Department of Industry&lt;/author&gt;&lt;/tertiary-authors&gt;&lt;/contributors&gt;&lt;titles&gt;&lt;title&gt;Macquarie-Castlereagh Alluvium Water Resources Plan. Groundwater Resource Description. NSW Department of Industry&lt;/title&gt;&lt;/titles&gt;&lt;pages&gt;113&lt;/pages&gt;&lt;dates&gt;&lt;year&gt;2018&lt;/year&gt;&lt;/dates&gt;&lt;pub-location&gt;Sydney, Australia&lt;/pub-location&gt;&lt;urls&gt;&lt;related-urls&gt;&lt;url&gt;https://www.industry.nsw.gov.au/__data/assets/pdf_file/0017/192221/macquarie-castlereagh-alluvium-appendix-a-water-resource-description.pdf&lt;/url&gt;&lt;/related-urls&gt;&lt;/urls&gt;&lt;access-date&gt;27 Nov 2020&lt;/access-date&gt;&lt;/record&gt;&lt;/Cite&gt;&lt;/EndNote&gt;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DI, 2018b)</w:t>
            </w:r>
            <w:r w:rsidRPr="00351833">
              <w:rPr>
                <w:rFonts w:ascii="Times New Roman" w:eastAsia="Times New Roman" w:hAnsi="Times New Roman" w:cs="Times New Roman"/>
                <w:sz w:val="14"/>
                <w:szCs w:val="14"/>
                <w:lang w:eastAsia="en-AU"/>
              </w:rPr>
              <w:fldChar w:fldCharType="end"/>
            </w:r>
          </w:p>
        </w:tc>
      </w:tr>
      <w:tr w:rsidR="00351833" w:rsidRPr="00351833" w14:paraId="1BE53291" w14:textId="77777777" w:rsidTr="00A625FD">
        <w:trPr>
          <w:trHeight w:val="180"/>
        </w:trPr>
        <w:tc>
          <w:tcPr>
            <w:tcW w:w="1644" w:type="pct"/>
            <w:tcBorders>
              <w:top w:val="nil"/>
              <w:left w:val="nil"/>
              <w:bottom w:val="single" w:sz="4" w:space="0" w:color="auto"/>
              <w:right w:val="nil"/>
            </w:tcBorders>
            <w:shd w:val="clear" w:color="auto" w:fill="auto"/>
            <w:vAlign w:val="bottom"/>
            <w:hideMark/>
          </w:tcPr>
          <w:p w14:paraId="2B41F525"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Design capacity</w:t>
            </w:r>
          </w:p>
        </w:tc>
        <w:tc>
          <w:tcPr>
            <w:tcW w:w="3356" w:type="pct"/>
            <w:tcBorders>
              <w:top w:val="nil"/>
              <w:left w:val="nil"/>
              <w:bottom w:val="single" w:sz="4" w:space="0" w:color="auto"/>
              <w:right w:val="nil"/>
            </w:tcBorders>
            <w:shd w:val="clear" w:color="auto" w:fill="auto"/>
            <w:vAlign w:val="bottom"/>
            <w:hideMark/>
          </w:tcPr>
          <w:p w14:paraId="1C664EAE"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2 MCM/y to reach capacity over 4-5 years</w:t>
            </w:r>
          </w:p>
        </w:tc>
      </w:tr>
      <w:tr w:rsidR="00351833" w:rsidRPr="00351833" w14:paraId="082BC640" w14:textId="77777777" w:rsidTr="00A625FD">
        <w:trPr>
          <w:trHeight w:val="180"/>
        </w:trPr>
        <w:tc>
          <w:tcPr>
            <w:tcW w:w="1644" w:type="pct"/>
            <w:tcBorders>
              <w:top w:val="nil"/>
              <w:left w:val="nil"/>
              <w:bottom w:val="single" w:sz="4" w:space="0" w:color="auto"/>
              <w:right w:val="nil"/>
            </w:tcBorders>
            <w:shd w:val="clear" w:color="auto" w:fill="auto"/>
            <w:vAlign w:val="bottom"/>
            <w:hideMark/>
          </w:tcPr>
          <w:p w14:paraId="42D1B7D9"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Recharge rate/bore yield</w:t>
            </w:r>
          </w:p>
        </w:tc>
        <w:tc>
          <w:tcPr>
            <w:tcW w:w="3356" w:type="pct"/>
            <w:tcBorders>
              <w:top w:val="nil"/>
              <w:left w:val="nil"/>
              <w:bottom w:val="single" w:sz="4" w:space="0" w:color="auto"/>
              <w:right w:val="nil"/>
            </w:tcBorders>
            <w:shd w:val="clear" w:color="auto" w:fill="auto"/>
            <w:vAlign w:val="bottom"/>
            <w:hideMark/>
          </w:tcPr>
          <w:p w14:paraId="0286CB24"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Moderate, variable yields 5-120 L/s, average around 15 L/s, South Dubbo field yields 23-90 L/s </w:t>
            </w:r>
            <w:r w:rsidRPr="00351833">
              <w:rPr>
                <w:rFonts w:ascii="Times New Roman" w:hAnsi="Times New Roman" w:cs="Times New Roman"/>
                <w:sz w:val="14"/>
                <w:szCs w:val="14"/>
                <w:lang w:bidi="en-US"/>
              </w:rPr>
              <w:fldChar w:fldCharType="begin"/>
            </w:r>
            <w:r w:rsidRPr="00351833">
              <w:rPr>
                <w:rFonts w:ascii="Times New Roman" w:hAnsi="Times New Roman" w:cs="Times New Roman"/>
                <w:sz w:val="14"/>
                <w:szCs w:val="14"/>
                <w:lang w:bidi="en-US"/>
              </w:rPr>
              <w:instrText xml:space="preserve"> ADDIN EN.CITE &lt;EndNote&gt;&lt;Cite&gt;&lt;Author&gt;Dubbo Regional Council&lt;/Author&gt;&lt;Year&gt;2020&lt;/Year&gt;&lt;RecNum&gt;436&lt;/RecNum&gt;&lt;DisplayText&gt;(Dubbo Regional Council, 2020; NSW DI, 2018b)&lt;/DisplayText&gt;&lt;record&gt;&lt;rec-number&gt;436&lt;/rec-number&gt;&lt;foreign-keys&gt;&lt;key app="EN" db-id="wsfap5sa5s5ptyer0t3xrzvwva0wafez2wzt" timestamp="1669073596"&gt;436&lt;/key&gt;&lt;/foreign-keys&gt;&lt;ref-type name="Report"&gt;27&lt;/ref-type&gt;&lt;contributors&gt;&lt;authors&gt;&lt;author&gt;Dubbo Regional Council,&lt;/author&gt;&lt;/authors&gt;&lt;/contributors&gt;&lt;titles&gt;&lt;title&gt;Drought contingency and water emergency response plan 2020&lt;/title&gt;&lt;/titles&gt;&lt;dates&gt;&lt;year&gt;2020&lt;/year&gt;&lt;/dates&gt;&lt;pub-location&gt;Dubbo, NSW&lt;/pub-location&gt;&lt;urls&gt;&lt;related-urls&gt;&lt;url&gt;https://www.dubbo.nsw.gov.au/Our-Region-and-Environment/Water--sewerage-and-drainage/water-management-supply&lt;/url&gt;&lt;/related-urls&gt;&lt;/urls&gt;&lt;access-date&gt;11/09/2020&lt;/access-date&gt;&lt;/record&gt;&lt;/Cite&gt;&lt;Cite&gt;&lt;Author&gt;NSW DI&lt;/Author&gt;&lt;Year&gt;2018&lt;/Year&gt;&lt;RecNum&gt;350&lt;/RecNum&gt;&lt;record&gt;&lt;rec-number&gt;350&lt;/rec-number&gt;&lt;foreign-keys&gt;&lt;key app="EN" db-id="wsfap5sa5s5ptyer0t3xrzvwva0wafez2wzt" timestamp="1622171678"&gt;350&lt;/key&gt;&lt;/foreign-keys&gt;&lt;ref-type name="Report"&gt;27&lt;/ref-type&gt;&lt;contributors&gt;&lt;authors&gt;&lt;author&gt;NSW DI,&lt;/author&gt;&lt;/authors&gt;&lt;tertiary-authors&gt;&lt;author&gt;NSW Department of Industry&lt;/author&gt;&lt;/tertiary-authors&gt;&lt;/contributors&gt;&lt;titles&gt;&lt;title&gt;Macquarie-Castlereagh Alluvium Water Resources Plan. Groundwater Resource Description. NSW Department of Industry&lt;/title&gt;&lt;/titles&gt;&lt;pages&gt;113&lt;/pages&gt;&lt;dates&gt;&lt;year&gt;2018&lt;/year&gt;&lt;/dates&gt;&lt;pub-location&gt;Sydney, Australia&lt;/pub-location&gt;&lt;urls&gt;&lt;related-urls&gt;&lt;url&gt;https://www.industry.nsw.gov.au/__data/assets/pdf_file/0017/192221/macquarie-castlereagh-alluvium-appendix-a-water-resource-description.pdf&lt;/url&gt;&lt;/related-urls&gt;&lt;/urls&gt;&lt;access-date&gt;27 Nov 2020&lt;/access-date&gt;&lt;/record&gt;&lt;/Cite&gt;&lt;/EndNote&gt;</w:instrText>
            </w:r>
            <w:r w:rsidRPr="00351833">
              <w:rPr>
                <w:rFonts w:ascii="Times New Roman" w:hAnsi="Times New Roman" w:cs="Times New Roman"/>
                <w:sz w:val="14"/>
                <w:szCs w:val="14"/>
                <w:lang w:bidi="en-US"/>
              </w:rPr>
              <w:fldChar w:fldCharType="separate"/>
            </w:r>
            <w:r w:rsidRPr="00351833">
              <w:rPr>
                <w:rFonts w:ascii="Times New Roman" w:hAnsi="Times New Roman" w:cs="Times New Roman"/>
                <w:noProof/>
                <w:sz w:val="14"/>
                <w:szCs w:val="14"/>
                <w:lang w:bidi="en-US"/>
              </w:rPr>
              <w:t>(Dubbo Regional Council, 2020; NSW DI, 2018b)</w:t>
            </w:r>
            <w:r w:rsidRPr="00351833">
              <w:rPr>
                <w:rFonts w:ascii="Times New Roman" w:hAnsi="Times New Roman" w:cs="Times New Roman"/>
                <w:sz w:val="14"/>
                <w:szCs w:val="14"/>
                <w:lang w:bidi="en-US"/>
              </w:rPr>
              <w:fldChar w:fldCharType="end"/>
            </w:r>
          </w:p>
        </w:tc>
      </w:tr>
      <w:tr w:rsidR="00A67B9D" w:rsidRPr="00351833" w14:paraId="1B0F1EDC"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12613223"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Recovery efficiency</w:t>
            </w:r>
          </w:p>
        </w:tc>
        <w:tc>
          <w:tcPr>
            <w:tcW w:w="3356" w:type="pct"/>
            <w:tcBorders>
              <w:top w:val="nil"/>
              <w:left w:val="nil"/>
              <w:bottom w:val="single" w:sz="4" w:space="0" w:color="auto"/>
              <w:right w:val="nil"/>
            </w:tcBorders>
            <w:shd w:val="clear" w:color="auto" w:fill="auto"/>
            <w:vAlign w:val="bottom"/>
            <w:hideMark/>
          </w:tcPr>
          <w:p w14:paraId="35CD2B9E"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Expected to be high (95-100%), groundwater generally fresh (&lt;1000 mg/L)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DI&lt;/Author&gt;&lt;Year&gt;2018&lt;/Year&gt;&lt;RecNum&gt;350&lt;/RecNum&gt;&lt;DisplayText&gt;(NSW DI, 2018b)&lt;/DisplayText&gt;&lt;record&gt;&lt;rec-number&gt;350&lt;/rec-number&gt;&lt;foreign-keys&gt;&lt;key app="EN" db-id="wsfap5sa5s5ptyer0t3xrzvwva0wafez2wzt" timestamp="1622171678"&gt;350&lt;/key&gt;&lt;/foreign-keys&gt;&lt;ref-type name="Report"&gt;27&lt;/ref-type&gt;&lt;contributors&gt;&lt;authors&gt;&lt;author&gt;NSW DI,&lt;/author&gt;&lt;/authors&gt;&lt;tertiary-authors&gt;&lt;author&gt;NSW Department of Industry&lt;/author&gt;&lt;/tertiary-authors&gt;&lt;/contributors&gt;&lt;titles&gt;&lt;title&gt;Macquarie-Castlereagh Alluvium Water Resources Plan. Groundwater Resource Description. NSW Department of Industry&lt;/title&gt;&lt;/titles&gt;&lt;pages&gt;113&lt;/pages&gt;&lt;dates&gt;&lt;year&gt;2018&lt;/year&gt;&lt;/dates&gt;&lt;pub-location&gt;Sydney, Australia&lt;/pub-location&gt;&lt;urls&gt;&lt;related-urls&gt;&lt;url&gt;https://www.industry.nsw.gov.au/__data/assets/pdf_file/0017/192221/macquarie-castlereagh-alluvium-appendix-a-water-resource-description.pdf&lt;/url&gt;&lt;/related-urls&gt;&lt;/urls&gt;&lt;access-date&gt;27 Nov 2020&lt;/access-date&gt;&lt;/record&gt;&lt;/Cite&gt;&lt;/EndNote&gt;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DI, 2018b)</w:t>
            </w:r>
            <w:r w:rsidRPr="00351833">
              <w:rPr>
                <w:rFonts w:ascii="Times New Roman" w:eastAsia="Times New Roman" w:hAnsi="Times New Roman" w:cs="Times New Roman"/>
                <w:sz w:val="14"/>
                <w:szCs w:val="14"/>
                <w:lang w:eastAsia="en-AU"/>
              </w:rPr>
              <w:fldChar w:fldCharType="end"/>
            </w:r>
          </w:p>
        </w:tc>
      </w:tr>
    </w:tbl>
    <w:p w14:paraId="2E1FA09C" w14:textId="77777777" w:rsidR="00A67B9D" w:rsidRPr="00351833" w:rsidRDefault="00A67B9D" w:rsidP="00A67B9D">
      <w:pPr>
        <w:rPr>
          <w:rFonts w:ascii="Times New Roman" w:hAnsi="Times New Roman" w:cs="Times New Roman"/>
          <w:lang w:bidi="en-US"/>
        </w:rPr>
      </w:pPr>
    </w:p>
    <w:p w14:paraId="0E614D7A" w14:textId="77777777" w:rsidR="00A67B9D" w:rsidRPr="00351833" w:rsidRDefault="00A67B9D" w:rsidP="00A67B9D">
      <w:pPr>
        <w:pStyle w:val="Heading2"/>
        <w:rPr>
          <w:rFonts w:ascii="Times New Roman" w:hAnsi="Times New Roman" w:cs="Times New Roman"/>
          <w:color w:val="auto"/>
          <w:lang w:bidi="en-US"/>
        </w:rPr>
      </w:pPr>
      <w:r w:rsidRPr="00351833">
        <w:rPr>
          <w:rFonts w:ascii="Times New Roman" w:hAnsi="Times New Roman" w:cs="Times New Roman"/>
          <w:color w:val="auto"/>
          <w:lang w:bidi="en-US"/>
        </w:rPr>
        <w:t>Moree Plains Shire Council, New South Wales</w:t>
      </w:r>
    </w:p>
    <w:p w14:paraId="45E5FBC4" w14:textId="0C4653F2" w:rsidR="00A67B9D" w:rsidRPr="00351833" w:rsidRDefault="00A67B9D" w:rsidP="00A67B9D">
      <w:pPr>
        <w:pStyle w:val="Caption"/>
        <w:rPr>
          <w:rFonts w:ascii="Times New Roman" w:hAnsi="Times New Roman" w:cs="Times New Roman"/>
          <w:color w:val="auto"/>
          <w:lang w:bidi="en-US"/>
        </w:rPr>
      </w:pPr>
      <w:r w:rsidRPr="00351833">
        <w:rPr>
          <w:rFonts w:ascii="Times New Roman" w:hAnsi="Times New Roman" w:cs="Times New Roman"/>
          <w:color w:val="auto"/>
          <w:lang w:bidi="en-US"/>
        </w:rPr>
        <w:t>Table S</w:t>
      </w:r>
      <w:r w:rsidR="0009296D">
        <w:rPr>
          <w:rFonts w:ascii="Times New Roman" w:hAnsi="Times New Roman" w:cs="Times New Roman"/>
          <w:color w:val="auto"/>
          <w:lang w:bidi="en-US"/>
        </w:rPr>
        <w:t>4</w:t>
      </w:r>
      <w:r w:rsidRPr="00351833">
        <w:rPr>
          <w:rFonts w:ascii="Times New Roman" w:hAnsi="Times New Roman" w:cs="Times New Roman"/>
          <w:color w:val="auto"/>
          <w:lang w:bidi="en-US"/>
        </w:rPr>
        <w:t xml:space="preserve"> </w:t>
      </w:r>
      <w:proofErr w:type="spellStart"/>
      <w:r w:rsidRPr="00351833">
        <w:rPr>
          <w:rFonts w:ascii="Times New Roman" w:hAnsi="Times New Roman" w:cs="Times New Roman"/>
          <w:color w:val="auto"/>
          <w:lang w:bidi="en-US"/>
        </w:rPr>
        <w:t>Moree</w:t>
      </w:r>
      <w:proofErr w:type="spellEnd"/>
      <w:r w:rsidRPr="00351833">
        <w:rPr>
          <w:rFonts w:ascii="Times New Roman" w:hAnsi="Times New Roman" w:cs="Times New Roman"/>
          <w:color w:val="auto"/>
          <w:lang w:bidi="en-US"/>
        </w:rPr>
        <w:t xml:space="preserve"> conceptual scheme components. </w:t>
      </w:r>
    </w:p>
    <w:tbl>
      <w:tblPr>
        <w:tblW w:w="3333" w:type="pct"/>
        <w:tblLook w:val="04A0" w:firstRow="1" w:lastRow="0" w:firstColumn="1" w:lastColumn="0" w:noHBand="0" w:noVBand="1"/>
      </w:tblPr>
      <w:tblGrid>
        <w:gridCol w:w="2108"/>
        <w:gridCol w:w="4303"/>
      </w:tblGrid>
      <w:tr w:rsidR="00351833" w:rsidRPr="00351833" w14:paraId="61C78671" w14:textId="77777777" w:rsidTr="00A625FD">
        <w:trPr>
          <w:trHeight w:val="180"/>
        </w:trPr>
        <w:tc>
          <w:tcPr>
            <w:tcW w:w="1644" w:type="pct"/>
            <w:tcBorders>
              <w:top w:val="single" w:sz="4" w:space="0" w:color="auto"/>
              <w:left w:val="nil"/>
              <w:bottom w:val="single" w:sz="4" w:space="0" w:color="auto"/>
              <w:right w:val="nil"/>
            </w:tcBorders>
            <w:shd w:val="clear" w:color="auto" w:fill="auto"/>
            <w:noWrap/>
            <w:vAlign w:val="bottom"/>
            <w:hideMark/>
          </w:tcPr>
          <w:p w14:paraId="22F85BC2"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MAR scheme component</w:t>
            </w:r>
          </w:p>
        </w:tc>
        <w:tc>
          <w:tcPr>
            <w:tcW w:w="3356" w:type="pct"/>
            <w:tcBorders>
              <w:top w:val="single" w:sz="4" w:space="0" w:color="auto"/>
              <w:left w:val="nil"/>
              <w:bottom w:val="single" w:sz="4" w:space="0" w:color="auto"/>
              <w:right w:val="nil"/>
            </w:tcBorders>
            <w:shd w:val="clear" w:color="auto" w:fill="auto"/>
            <w:noWrap/>
            <w:vAlign w:val="bottom"/>
            <w:hideMark/>
          </w:tcPr>
          <w:p w14:paraId="2CE4D4E1"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Description</w:t>
            </w:r>
          </w:p>
        </w:tc>
      </w:tr>
      <w:tr w:rsidR="00351833" w:rsidRPr="00351833" w14:paraId="4AB37E88" w14:textId="77777777" w:rsidTr="00A625FD">
        <w:trPr>
          <w:trHeight w:val="180"/>
        </w:trPr>
        <w:tc>
          <w:tcPr>
            <w:tcW w:w="1644" w:type="pct"/>
            <w:tcBorders>
              <w:top w:val="nil"/>
              <w:left w:val="nil"/>
              <w:bottom w:val="single" w:sz="4" w:space="0" w:color="auto"/>
              <w:right w:val="nil"/>
            </w:tcBorders>
            <w:shd w:val="clear" w:color="auto" w:fill="auto"/>
            <w:vAlign w:val="bottom"/>
            <w:hideMark/>
          </w:tcPr>
          <w:p w14:paraId="3E7D7A90"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Demand</w:t>
            </w:r>
          </w:p>
        </w:tc>
        <w:tc>
          <w:tcPr>
            <w:tcW w:w="3356" w:type="pct"/>
            <w:tcBorders>
              <w:top w:val="nil"/>
              <w:left w:val="nil"/>
              <w:bottom w:val="single" w:sz="4" w:space="0" w:color="auto"/>
              <w:right w:val="nil"/>
            </w:tcBorders>
            <w:shd w:val="clear" w:color="auto" w:fill="auto"/>
            <w:vAlign w:val="bottom"/>
            <w:hideMark/>
          </w:tcPr>
          <w:p w14:paraId="6ED3B429"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Average potable water supply 3.1 MCM/y (2013-20)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DPE&lt;/Author&gt;&lt;Year&gt;2022&lt;/Year&gt;&lt;RecNum&gt;466&lt;/RecNum&gt;&lt;DisplayText&gt;(NSW DPE, 2022)&lt;/DisplayText&gt;&lt;record&gt;&lt;rec-number&gt;466&lt;/rec-number&gt;&lt;foreign-keys&gt;&lt;key app="EN" db-id="wsfap5sa5s5ptyer0t3xrzvwva0wafez2wzt" timestamp="1687159173"&gt;466&lt;/key&gt;&lt;/foreign-keys&gt;&lt;ref-type name="Report"&gt;27&lt;/ref-type&gt;&lt;contributors&gt;&lt;authors&gt;&lt;author&gt;NSW DPE,&lt;/author&gt;&lt;/authors&gt;&lt;tertiary-authors&gt;&lt;author&gt;NSW Department of Planning and Environment&lt;/author&gt;&lt;/tertiary-authors&gt;&lt;/contributors&gt;&lt;titles&gt;&lt;title&gt;Local water utility performance monitoring&lt;/title&gt;&lt;/titles&gt;&lt;dates&gt;&lt;year&gt;2022&lt;/year&gt;&lt;pub-dates&gt;&lt;date&gt;4 March 2022&lt;/date&gt;&lt;/pub-dates&gt;&lt;/dates&gt;&lt;pub-location&gt;Sydney, Australia&lt;/pub-location&gt;&lt;urls&gt;&lt;related-urls&gt;&lt;url&gt;https://www.industry.nsw.gov.au/water/water-utilities/lwu-performance-monitoring-data&lt;/url&gt;&lt;/related-urls&gt;&lt;/urls&gt;&lt;access-date&gt;19 June 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DPE, 2022)</w:t>
            </w:r>
            <w:r w:rsidRPr="00351833">
              <w:rPr>
                <w:rFonts w:ascii="Times New Roman" w:eastAsia="Times New Roman" w:hAnsi="Times New Roman" w:cs="Times New Roman"/>
                <w:sz w:val="14"/>
                <w:szCs w:val="14"/>
                <w:lang w:eastAsia="en-AU"/>
              </w:rPr>
              <w:fldChar w:fldCharType="end"/>
            </w:r>
            <w:r w:rsidRPr="00351833">
              <w:rPr>
                <w:rFonts w:ascii="Times New Roman" w:eastAsia="Times New Roman" w:hAnsi="Times New Roman" w:cs="Times New Roman"/>
                <w:sz w:val="14"/>
                <w:szCs w:val="14"/>
                <w:lang w:eastAsia="en-AU"/>
              </w:rPr>
              <w:t>. Town water sourced from groundwater.</w:t>
            </w:r>
          </w:p>
        </w:tc>
      </w:tr>
      <w:tr w:rsidR="00351833" w:rsidRPr="00351833" w14:paraId="45EA1848"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630A0823"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Source water</w:t>
            </w:r>
          </w:p>
        </w:tc>
        <w:tc>
          <w:tcPr>
            <w:tcW w:w="3356" w:type="pct"/>
            <w:tcBorders>
              <w:top w:val="nil"/>
              <w:left w:val="nil"/>
              <w:bottom w:val="single" w:sz="4" w:space="0" w:color="auto"/>
              <w:right w:val="nil"/>
            </w:tcBorders>
            <w:shd w:val="clear" w:color="auto" w:fill="auto"/>
            <w:vAlign w:val="bottom"/>
            <w:hideMark/>
          </w:tcPr>
          <w:p w14:paraId="12E713AA"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Gwydir River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&lt;EndNote&gt;&lt;Cite&gt;&lt;Author&gt;BOM&lt;/Author&gt;&lt;Year&gt;2023&lt;/Year&gt;&lt;RecNum&gt;333&lt;/RecNum&gt;&lt;DisplayText&gt;(BOM, 2023b)&lt;/DisplayText&gt;&lt;record&gt;&lt;rec-number&gt;333&lt;/rec-number&gt;&lt;foreign-keys&gt;&lt;key app="EN" db-id="wsfap5sa5s5ptyer0t3xrzvwva0wafez2wzt" timestamp="1617937220"&gt;333&lt;/key&gt;&lt;/foreign-keys&gt;&lt;ref-type name="Report"&gt;27&lt;/ref-type&gt;&lt;contributors&gt;&lt;authors&gt;&lt;author&gt;BOM&lt;/author&gt;&lt;/authors&gt;&lt;tertiary-authors&gt;&lt;author&gt;Australian Government Bureau of Meteorology&lt;/author&gt;&lt;/tertiary-authors&gt;&lt;/contributors&gt;&lt;titles&gt;&lt;title&gt;Water markets dashboard&lt;/title&gt;&lt;/titles&gt;&lt;dates&gt;&lt;year&gt;2023&lt;/year&gt;&lt;/dates&gt;&lt;pub-location&gt;Canberra, Australia&lt;/pub-location&gt;&lt;publisher&gt;Australian Government Bureau of Meteorology&lt;/publisher&gt;&lt;urls&gt;&lt;related-urls&gt;&lt;url&gt;http://www.bom.gov.au/water/dashboards/#/water-markets/map&lt;/url&gt;&lt;/related-urls&gt;&lt;/urls&gt;&lt;access-date&gt;12/09/2023&lt;/access-date&gt;&lt;/record&gt;&lt;/Cite&gt;&lt;/EndNote&gt;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(BOM, 2023b)</w:t>
            </w:r>
            <w:r w:rsidRPr="00351833">
              <w:rPr>
                <w:rFonts w:ascii="Times New Roman" w:eastAsia="Times New Roman" w:hAnsi="Times New Roman" w:cs="Times New Roman"/>
                <w:sz w:val="14"/>
                <w:szCs w:val="14"/>
                <w:lang w:eastAsia="en-AU"/>
              </w:rPr>
              <w:fldChar w:fldCharType="end"/>
            </w:r>
          </w:p>
        </w:tc>
      </w:tr>
      <w:tr w:rsidR="00351833" w:rsidRPr="00351833" w14:paraId="431B6BB9" w14:textId="77777777" w:rsidTr="00A625FD">
        <w:trPr>
          <w:trHeight w:val="180"/>
        </w:trPr>
        <w:tc>
          <w:tcPr>
            <w:tcW w:w="1644" w:type="pct"/>
            <w:tcBorders>
              <w:top w:val="nil"/>
              <w:left w:val="nil"/>
              <w:bottom w:val="single" w:sz="4" w:space="0" w:color="auto"/>
              <w:right w:val="nil"/>
            </w:tcBorders>
            <w:shd w:val="clear" w:color="auto" w:fill="auto"/>
            <w:noWrap/>
            <w:vAlign w:val="bottom"/>
            <w:hideMark/>
          </w:tcPr>
          <w:p w14:paraId="40B24C7C"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Recharge location </w:t>
            </w:r>
          </w:p>
        </w:tc>
        <w:tc>
          <w:tcPr>
            <w:tcW w:w="3356" w:type="pct"/>
            <w:tcBorders>
              <w:top w:val="nil"/>
              <w:left w:val="nil"/>
              <w:bottom w:val="single" w:sz="4" w:space="0" w:color="auto"/>
              <w:right w:val="nil"/>
            </w:tcBorders>
            <w:shd w:val="clear" w:color="auto" w:fill="auto"/>
            <w:vAlign w:val="bottom"/>
            <w:hideMark/>
          </w:tcPr>
          <w:p w14:paraId="132D1215"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Within 5 km of source and supply points</w:t>
            </w:r>
          </w:p>
        </w:tc>
      </w:tr>
      <w:tr w:rsidR="00351833" w:rsidRPr="00351833" w14:paraId="79AC4A71" w14:textId="77777777" w:rsidTr="00A625FD">
        <w:trPr>
          <w:trHeight w:val="360"/>
        </w:trPr>
        <w:tc>
          <w:tcPr>
            <w:tcW w:w="1644" w:type="pct"/>
            <w:tcBorders>
              <w:top w:val="nil"/>
              <w:left w:val="nil"/>
              <w:bottom w:val="single" w:sz="4" w:space="0" w:color="auto"/>
              <w:right w:val="nil"/>
            </w:tcBorders>
            <w:shd w:val="clear" w:color="auto" w:fill="auto"/>
            <w:noWrap/>
            <w:vAlign w:val="bottom"/>
            <w:hideMark/>
          </w:tcPr>
          <w:p w14:paraId="0E00659D"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Aquifer</w:t>
            </w:r>
          </w:p>
        </w:tc>
        <w:tc>
          <w:tcPr>
            <w:tcW w:w="3356" w:type="pct"/>
            <w:tcBorders>
              <w:top w:val="nil"/>
              <w:left w:val="nil"/>
              <w:bottom w:val="single" w:sz="4" w:space="0" w:color="auto"/>
              <w:right w:val="nil"/>
            </w:tcBorders>
            <w:shd w:val="clear" w:color="auto" w:fill="auto"/>
            <w:vAlign w:val="bottom"/>
            <w:hideMark/>
          </w:tcPr>
          <w:p w14:paraId="4046DD80" w14:textId="77777777" w:rsidR="00A67B9D" w:rsidRPr="00351833" w:rsidRDefault="00A67B9D" w:rsidP="00A625FD">
            <w:pPr>
              <w:spacing w:after="0" w:line="240" w:lineRule="auto"/>
              <w:rPr>
                <w:rFonts w:ascii="Times New Roman" w:hAnsi="Times New Roman" w:cs="Times New Roman"/>
              </w:rPr>
            </w:pPr>
            <w:r w:rsidRPr="00351833">
              <w:rPr>
                <w:rFonts w:ascii="Times New Roman" w:eastAsia="Times New Roman" w:hAnsi="Times New Roman" w:cs="Times New Roman"/>
                <w:sz w:val="14"/>
                <w:szCs w:val="14"/>
                <w:lang w:eastAsia="en-AU"/>
              </w:rPr>
              <w:t xml:space="preserve">Lower Gwydir Alluvium, shallow, mainly unconfined Narrabri formation to 30 m, deeper confined/semi confined Gunnedah formation to 90 m deep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DI&lt;/Author&gt;&lt;Year&gt;2018&lt;/Year&gt;&lt;RecNum&gt;450&lt;/RecNum&gt;&lt;DisplayText&gt;(NSW DI, 2018a)&lt;/DisplayText&gt;&lt;record&gt;&lt;rec-number&gt;450&lt;/rec-number&gt;&lt;foreign-keys&gt;&lt;key app="EN" db-id="wsfap5sa5s5ptyer0t3xrzvwva0wafez2wzt" timestamp="1680153025"&gt;450&lt;/key&gt;&lt;/foreign-keys&gt;&lt;ref-type name="Report"&gt;27&lt;/ref-type&gt;&lt;contributors&gt;&lt;authors&gt;&lt;author&gt;NSW DI,&lt;/author&gt;&lt;/authors&gt;&lt;tertiary-authors&gt;&lt;author&gt;NSW Department of Industry&lt;/author&gt;&lt;/tertiary-authors&gt;&lt;/contributors&gt;&lt;titles&gt;&lt;title&gt;Gwydir Alluvium Water Resource Plan – Groundwater Resource Description&lt;/title&gt;&lt;/titles&gt;&lt;dates&gt;&lt;year&gt;2018&lt;/year&gt;&lt;/dates&gt;&lt;pub-location&gt;Sydney, Australia&lt;/pub-location&gt;&lt;urls&gt;&lt;related-urls&gt;&lt;url&gt;https://water.dpie.nsw.gov.au/science-data-and-modelling/groundwater-management-and-science/groundwater-document-library&lt;/url&gt;&lt;/related-urls&gt;&lt;/urls&gt;&lt;access-date&gt;30 Mar 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DI, 2018a)</w:t>
            </w:r>
            <w:r w:rsidRPr="00351833">
              <w:rPr>
                <w:rFonts w:ascii="Times New Roman" w:eastAsia="Times New Roman" w:hAnsi="Times New Roman" w:cs="Times New Roman"/>
                <w:sz w:val="14"/>
                <w:szCs w:val="14"/>
                <w:lang w:eastAsia="en-AU"/>
              </w:rPr>
              <w:fldChar w:fldCharType="end"/>
            </w:r>
          </w:p>
        </w:tc>
      </w:tr>
      <w:tr w:rsidR="00351833" w:rsidRPr="00351833" w14:paraId="4564B763"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61B0D42C"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Recharge type</w:t>
            </w:r>
          </w:p>
        </w:tc>
        <w:tc>
          <w:tcPr>
            <w:tcW w:w="3356" w:type="pct"/>
            <w:tcBorders>
              <w:top w:val="nil"/>
              <w:left w:val="nil"/>
              <w:bottom w:val="single" w:sz="4" w:space="0" w:color="auto"/>
              <w:right w:val="nil"/>
            </w:tcBorders>
            <w:shd w:val="clear" w:color="auto" w:fill="auto"/>
            <w:vAlign w:val="bottom"/>
            <w:hideMark/>
          </w:tcPr>
          <w:p w14:paraId="57C89764"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Infiltration basin to the unconfined Narrabri formation</w:t>
            </w:r>
          </w:p>
        </w:tc>
      </w:tr>
      <w:tr w:rsidR="00351833" w:rsidRPr="00351833" w14:paraId="77BD4A44" w14:textId="77777777" w:rsidTr="00A625FD">
        <w:trPr>
          <w:trHeight w:val="360"/>
        </w:trPr>
        <w:tc>
          <w:tcPr>
            <w:tcW w:w="1644" w:type="pct"/>
            <w:tcBorders>
              <w:top w:val="nil"/>
              <w:left w:val="nil"/>
              <w:bottom w:val="single" w:sz="4" w:space="0" w:color="auto"/>
              <w:right w:val="nil"/>
            </w:tcBorders>
            <w:shd w:val="clear" w:color="auto" w:fill="auto"/>
            <w:noWrap/>
            <w:vAlign w:val="bottom"/>
            <w:hideMark/>
          </w:tcPr>
          <w:p w14:paraId="43DC258F"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Treatment</w:t>
            </w:r>
          </w:p>
        </w:tc>
        <w:tc>
          <w:tcPr>
            <w:tcW w:w="3356" w:type="pct"/>
            <w:tcBorders>
              <w:top w:val="nil"/>
              <w:left w:val="nil"/>
              <w:bottom w:val="single" w:sz="4" w:space="0" w:color="auto"/>
              <w:right w:val="nil"/>
            </w:tcBorders>
            <w:shd w:val="clear" w:color="auto" w:fill="auto"/>
            <w:vAlign w:val="bottom"/>
          </w:tcPr>
          <w:p w14:paraId="6F99BB8F" w14:textId="6F3E7CA6"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Basin maintenance (scraping) </w:t>
            </w:r>
            <w:r w:rsidRPr="00351833">
              <w:rPr>
                <w:rFonts w:ascii="Times New Roman" w:eastAsia="Times New Roman" w:hAnsi="Times New Roman" w:cs="Times New Roman"/>
                <w:sz w:val="14"/>
                <w:szCs w:val="14"/>
                <w:lang w:eastAsia="en-AU"/>
              </w:rPr>
              <w:fldChar w:fldCharType="begin"/>
            </w:r>
            <w:r w:rsidR="00385A52" w:rsidRPr="00351833">
              <w:rPr>
                <w:rFonts w:ascii="Times New Roman" w:eastAsia="Times New Roman" w:hAnsi="Times New Roman" w:cs="Times New Roman"/>
                <w:sz w:val="14"/>
                <w:szCs w:val="14"/>
                <w:lang w:eastAsia="en-AU"/>
              </w:rPr>
              <w:instrText xml:space="preserve"> ADDIN EN.CITE &lt;EndNote&gt;&lt;Cite&gt;&lt;Author&gt;Vanderzalm&lt;/Author&gt;&lt;Year&gt;2022&lt;/Year&gt;&lt;RecNum&gt;382&lt;/RecNum&gt;&lt;DisplayText&gt;(Vanderzalm et al., 2022)&lt;/DisplayText&gt;&lt;record&gt;&lt;rec-number&gt;382&lt;/rec-number&gt;&lt;foreign-keys&gt;&lt;key app="EN" db-id="wsfap5sa5s5ptyer0t3xrzvwva0wafez2wzt" timestamp="1651733160"&gt;382&lt;/key&gt;&lt;/foreign-keys&gt;&lt;ref-type name="Journal Article"&gt;17&lt;/ref-type&gt;&lt;contributors&gt;&lt;authors&gt;&lt;author&gt;Vanderzalm, Joanne&lt;/author&gt;&lt;author&gt;Page, Declan&lt;/author&gt;&lt;author&gt;Dillon, Peter&lt;/author&gt;&lt;author&gt;Gonzalez, Dennis&lt;/author&gt;&lt;author&gt;Petheram, Cuan&lt;/author&gt;&lt;/authors&gt;&lt;/contributors&gt;&lt;titles&gt;&lt;title&gt;Assessing the costs of Managed Aquifer Recharge options to support agricultural development&lt;/title&gt;&lt;secondary-title&gt;Agricultural Water Management&lt;/secondary-title&gt;&lt;/titles&gt;&lt;periodical&gt;&lt;full-title&gt;Agricultural Water Management&lt;/full-title&gt;&lt;/periodical&gt;&lt;volume&gt;263&lt;/volume&gt;&lt;section&gt;107437&lt;/section&gt;&lt;dates&gt;&lt;year&gt;2022&lt;/year&gt;&lt;/dates&gt;&lt;isbn&gt;03783774&lt;/isbn&gt;&lt;urls&gt;&lt;/urls&gt;&lt;electronic-resource-num&gt;10.1016/j.agwat.2021.107437&lt;/electronic-resource-num&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(Vanderzalm et al., 2022)</w:t>
            </w:r>
            <w:r w:rsidRPr="00351833">
              <w:rPr>
                <w:rFonts w:ascii="Times New Roman" w:eastAsia="Times New Roman" w:hAnsi="Times New Roman" w:cs="Times New Roman"/>
                <w:sz w:val="14"/>
                <w:szCs w:val="14"/>
                <w:lang w:eastAsia="en-AU"/>
              </w:rPr>
              <w:fldChar w:fldCharType="end"/>
            </w:r>
          </w:p>
        </w:tc>
      </w:tr>
      <w:tr w:rsidR="00351833" w:rsidRPr="00351833" w14:paraId="67F5DC06"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33D71382"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Storage potential</w:t>
            </w:r>
          </w:p>
        </w:tc>
        <w:tc>
          <w:tcPr>
            <w:tcW w:w="3356" w:type="pct"/>
            <w:tcBorders>
              <w:top w:val="nil"/>
              <w:left w:val="nil"/>
              <w:bottom w:val="single" w:sz="4" w:space="0" w:color="auto"/>
              <w:right w:val="nil"/>
            </w:tcBorders>
            <w:shd w:val="clear" w:color="auto" w:fill="auto"/>
            <w:vAlign w:val="bottom"/>
            <w:hideMark/>
          </w:tcPr>
          <w:p w14:paraId="5D141EFE"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7 MCM,  assuming 1 km radius with depth to water 15-20 m near Moree, alluvium effective porosity 0.2-0.25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DI&lt;/Author&gt;&lt;Year&gt;2018&lt;/Year&gt;&lt;RecNum&gt;450&lt;/RecNum&gt;&lt;DisplayText&gt;(Heath, 1983; NSW DI, 2018a)&lt;/DisplayText&gt;&lt;record&gt;&lt;rec-number&gt;450&lt;/rec-number&gt;&lt;foreign-keys&gt;&lt;key app="EN" db-id="wsfap5sa5s5ptyer0t3xrzvwva0wafez2wzt" timestamp="1680153025"&gt;450&lt;/key&gt;&lt;/foreign-keys&gt;&lt;ref-type name="Report"&gt;27&lt;/ref-type&gt;&lt;contributors&gt;&lt;authors&gt;&lt;author&gt;NSW DI,&lt;/author&gt;&lt;/authors&gt;&lt;tertiary-authors&gt;&lt;author&gt;NSW Department of Industry&lt;/author&gt;&lt;/tertiary-authors&gt;&lt;/contributors&gt;&lt;titles&gt;&lt;title&gt;Gwydir Alluvium Water Resource Plan – Groundwater Resource Description&lt;/title&gt;&lt;/titles&gt;&lt;dates&gt;&lt;year&gt;2018&lt;/year&gt;&lt;/dates&gt;&lt;pub-location&gt;Sydney, Australia&lt;/pub-location&gt;&lt;urls&gt;&lt;related-urls&gt;&lt;url&gt;https://water.dpie.nsw.gov.au/science-data-and-modelling/groundwater-management-and-science/groundwater-document-library&lt;/url&gt;&lt;/related-urls&gt;&lt;/urls&gt;&lt;access-date&gt;30 Mar 2023&lt;/access-date&gt;&lt;/record&gt;&lt;/Cite&gt;&lt;Cite&gt;&lt;Author&gt;Heath&lt;/Author&gt;&lt;Year&gt;1983&lt;/Year&gt;&lt;RecNum&gt;246&lt;/RecNum&gt;&lt;record&gt;&lt;rec-number&gt;246&lt;/rec-number&gt;&lt;foreign-keys&gt;&lt;key app="EN" db-id="wsfap5sa5s5ptyer0t3xrzvwva0wafez2wzt" timestamp="1601446403"&gt;246&lt;/key&gt;&lt;/foreign-keys&gt;&lt;ref-type name="Book"&gt;6&lt;/ref-type&gt;&lt;contributors&gt;&lt;authors&gt;&lt;author&gt;Heath, Ralph C&lt;/author&gt;&lt;/authors&gt;&lt;/contributors&gt;&lt;titles&gt;&lt;title&gt;Basic ground-water hydrology&lt;/title&gt;&lt;/titles&gt;&lt;volume&gt;2220&lt;/volume&gt;&lt;dates&gt;&lt;year&gt;1983&lt;/year&gt;&lt;/dates&gt;&lt;publisher&gt;US Department of the Interior, US Geological Survey&lt;/publisher&gt;&lt;urls&gt;&lt;related-urls&gt;&lt;url&gt;https://pubs.usgs.gov/wsp/2220/report.pdf&lt;/url&gt;&lt;/related-urls&gt;&lt;/urls&gt;&lt;access-date&gt;22 Nov 2022&lt;/access-date&gt;&lt;/record&gt;&lt;/Cite&gt;&lt;/EndNote&gt;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(Heath, 1983; NSW DI, 2018a)</w:t>
            </w:r>
            <w:r w:rsidRPr="00351833">
              <w:rPr>
                <w:rFonts w:ascii="Times New Roman" w:eastAsia="Times New Roman" w:hAnsi="Times New Roman" w:cs="Times New Roman"/>
                <w:sz w:val="14"/>
                <w:szCs w:val="14"/>
                <w:lang w:eastAsia="en-AU"/>
              </w:rPr>
              <w:fldChar w:fldCharType="end"/>
            </w:r>
          </w:p>
        </w:tc>
      </w:tr>
      <w:tr w:rsidR="00351833" w:rsidRPr="00351833" w14:paraId="58DDC468" w14:textId="77777777" w:rsidTr="00A625FD">
        <w:trPr>
          <w:trHeight w:val="180"/>
        </w:trPr>
        <w:tc>
          <w:tcPr>
            <w:tcW w:w="1644" w:type="pct"/>
            <w:tcBorders>
              <w:top w:val="nil"/>
              <w:left w:val="nil"/>
              <w:bottom w:val="single" w:sz="4" w:space="0" w:color="auto"/>
              <w:right w:val="nil"/>
            </w:tcBorders>
            <w:shd w:val="clear" w:color="auto" w:fill="auto"/>
            <w:vAlign w:val="bottom"/>
            <w:hideMark/>
          </w:tcPr>
          <w:p w14:paraId="5E06C5A5"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Design capacity</w:t>
            </w:r>
          </w:p>
        </w:tc>
        <w:tc>
          <w:tcPr>
            <w:tcW w:w="3356" w:type="pct"/>
            <w:tcBorders>
              <w:top w:val="nil"/>
              <w:left w:val="nil"/>
              <w:bottom w:val="single" w:sz="4" w:space="0" w:color="auto"/>
              <w:right w:val="nil"/>
            </w:tcBorders>
            <w:shd w:val="clear" w:color="auto" w:fill="auto"/>
            <w:vAlign w:val="bottom"/>
            <w:hideMark/>
          </w:tcPr>
          <w:p w14:paraId="44D92142"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1.5 MCM/y to reach capacity over 4-5 years</w:t>
            </w:r>
          </w:p>
        </w:tc>
      </w:tr>
      <w:tr w:rsidR="00351833" w:rsidRPr="00351833" w14:paraId="38E043A3" w14:textId="77777777" w:rsidTr="00A625FD">
        <w:trPr>
          <w:trHeight w:val="180"/>
        </w:trPr>
        <w:tc>
          <w:tcPr>
            <w:tcW w:w="1644" w:type="pct"/>
            <w:tcBorders>
              <w:top w:val="nil"/>
              <w:left w:val="nil"/>
              <w:bottom w:val="single" w:sz="4" w:space="0" w:color="auto"/>
              <w:right w:val="nil"/>
            </w:tcBorders>
            <w:shd w:val="clear" w:color="auto" w:fill="auto"/>
            <w:vAlign w:val="bottom"/>
            <w:hideMark/>
          </w:tcPr>
          <w:p w14:paraId="4EC4A50B"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Recharge rate/bore yield</w:t>
            </w:r>
          </w:p>
        </w:tc>
        <w:tc>
          <w:tcPr>
            <w:tcW w:w="3356" w:type="pct"/>
            <w:tcBorders>
              <w:top w:val="nil"/>
              <w:left w:val="nil"/>
              <w:bottom w:val="single" w:sz="4" w:space="0" w:color="auto"/>
              <w:right w:val="nil"/>
            </w:tcBorders>
            <w:shd w:val="clear" w:color="auto" w:fill="auto"/>
            <w:vAlign w:val="bottom"/>
            <w:hideMark/>
          </w:tcPr>
          <w:p w14:paraId="68FC79F9"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High, generally high yielding bores 0.5-1 MCM/y (15-30 L/s) around Moree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DI&lt;/Author&gt;&lt;Year&gt;2018&lt;/Year&gt;&lt;RecNum&gt;450&lt;/RecNum&gt;&lt;DisplayText&gt;(NSW DI, 2018a)&lt;/DisplayText&gt;&lt;record&gt;&lt;rec-number&gt;450&lt;/rec-number&gt;&lt;foreign-keys&gt;&lt;key app="EN" db-id="wsfap5sa5s5ptyer0t3xrzvwva0wafez2wzt" timestamp="1680153025"&gt;450&lt;/key&gt;&lt;/foreign-keys&gt;&lt;ref-type name="Report"&gt;27&lt;/ref-type&gt;&lt;contributors&gt;&lt;authors&gt;&lt;author&gt;NSW DI,&lt;/author&gt;&lt;/authors&gt;&lt;tertiary-authors&gt;&lt;author&gt;NSW Department of Industry&lt;/author&gt;&lt;/tertiary-authors&gt;&lt;/contributors&gt;&lt;titles&gt;&lt;title&gt;Gwydir Alluvium Water Resource Plan – Groundwater Resource Description&lt;/title&gt;&lt;/titles&gt;&lt;dates&gt;&lt;year&gt;2018&lt;/year&gt;&lt;/dates&gt;&lt;pub-location&gt;Sydney, Australia&lt;/pub-location&gt;&lt;urls&gt;&lt;related-urls&gt;&lt;url&gt;https://water.dpie.nsw.gov.au/science-data-and-modelling/groundwater-management-and-science/groundwater-document-library&lt;/url&gt;&lt;/related-urls&gt;&lt;/urls&gt;&lt;access-date&gt;30 Mar 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DI, 2018a)</w:t>
            </w:r>
            <w:r w:rsidRPr="00351833">
              <w:rPr>
                <w:rFonts w:ascii="Times New Roman" w:eastAsia="Times New Roman" w:hAnsi="Times New Roman" w:cs="Times New Roman"/>
                <w:sz w:val="14"/>
                <w:szCs w:val="14"/>
                <w:lang w:eastAsia="en-AU"/>
              </w:rPr>
              <w:fldChar w:fldCharType="end"/>
            </w:r>
          </w:p>
        </w:tc>
      </w:tr>
      <w:tr w:rsidR="00A67B9D" w:rsidRPr="00351833" w14:paraId="26392A6E"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0E8F9990"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Recovery efficiency</w:t>
            </w:r>
          </w:p>
        </w:tc>
        <w:tc>
          <w:tcPr>
            <w:tcW w:w="3356" w:type="pct"/>
            <w:tcBorders>
              <w:top w:val="nil"/>
              <w:left w:val="nil"/>
              <w:bottom w:val="single" w:sz="4" w:space="0" w:color="auto"/>
              <w:right w:val="nil"/>
            </w:tcBorders>
            <w:shd w:val="clear" w:color="auto" w:fill="auto"/>
            <w:vAlign w:val="bottom"/>
            <w:hideMark/>
          </w:tcPr>
          <w:p w14:paraId="3602D885"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Expected to be high, groundwater salinity is generally &lt;1000 mg/L in area around Moree and used for drinking water supply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DI&lt;/Author&gt;&lt;Year&gt;2018&lt;/Year&gt;&lt;RecNum&gt;450&lt;/RecNum&gt;&lt;DisplayText&gt;(NSW DI, 2018a)&lt;/DisplayText&gt;&lt;record&gt;&lt;rec-number&gt;450&lt;/rec-number&gt;&lt;foreign-keys&gt;&lt;key app="EN" db-id="wsfap5sa5s5ptyer0t3xrzvwva0wafez2wzt" timestamp="1680153025"&gt;450&lt;/key&gt;&lt;/foreign-keys&gt;&lt;ref-type name="Report"&gt;27&lt;/ref-type&gt;&lt;contributors&gt;&lt;authors&gt;&lt;author&gt;NSW DI,&lt;/author&gt;&lt;/authors&gt;&lt;tertiary-authors&gt;&lt;author&gt;NSW Department of Industry&lt;/author&gt;&lt;/tertiary-authors&gt;&lt;/contributors&gt;&lt;titles&gt;&lt;title&gt;Gwydir Alluvium Water Resource Plan – Groundwater Resource Description&lt;/title&gt;&lt;/titles&gt;&lt;dates&gt;&lt;year&gt;2018&lt;/year&gt;&lt;/dates&gt;&lt;pub-location&gt;Sydney, Australia&lt;/pub-location&gt;&lt;urls&gt;&lt;related-urls&gt;&lt;url&gt;https://water.dpie.nsw.gov.au/science-data-and-modelling/groundwater-management-and-science/groundwater-document-library&lt;/url&gt;&lt;/related-urls&gt;&lt;/urls&gt;&lt;access-date&gt;30 Mar 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DI, 2018a)</w:t>
            </w:r>
            <w:r w:rsidRPr="00351833">
              <w:rPr>
                <w:rFonts w:ascii="Times New Roman" w:eastAsia="Times New Roman" w:hAnsi="Times New Roman" w:cs="Times New Roman"/>
                <w:sz w:val="14"/>
                <w:szCs w:val="14"/>
                <w:lang w:eastAsia="en-AU"/>
              </w:rPr>
              <w:fldChar w:fldCharType="end"/>
            </w:r>
          </w:p>
        </w:tc>
      </w:tr>
    </w:tbl>
    <w:p w14:paraId="7A1D75B4" w14:textId="77777777" w:rsidR="00A67B9D" w:rsidRPr="00351833" w:rsidRDefault="00A67B9D" w:rsidP="00A67B9D">
      <w:pPr>
        <w:rPr>
          <w:rFonts w:ascii="Times New Roman" w:hAnsi="Times New Roman" w:cs="Times New Roman"/>
          <w:lang w:bidi="en-US"/>
        </w:rPr>
      </w:pPr>
    </w:p>
    <w:p w14:paraId="57397FFD" w14:textId="77777777" w:rsidR="00A67B9D" w:rsidRPr="00351833" w:rsidRDefault="00A67B9D" w:rsidP="00A67B9D">
      <w:pPr>
        <w:pStyle w:val="Heading2"/>
        <w:rPr>
          <w:rFonts w:ascii="Times New Roman" w:hAnsi="Times New Roman" w:cs="Times New Roman"/>
          <w:color w:val="auto"/>
          <w:lang w:bidi="en-US"/>
        </w:rPr>
      </w:pPr>
      <w:r w:rsidRPr="00351833">
        <w:rPr>
          <w:rFonts w:ascii="Times New Roman" w:hAnsi="Times New Roman" w:cs="Times New Roman"/>
          <w:color w:val="auto"/>
          <w:lang w:bidi="en-US"/>
        </w:rPr>
        <w:t>Narromine Shire Council, New South Wales</w:t>
      </w:r>
    </w:p>
    <w:p w14:paraId="53EFE1A7" w14:textId="010F346C" w:rsidR="00A67B9D" w:rsidRPr="00351833" w:rsidRDefault="00A67B9D" w:rsidP="00A67B9D">
      <w:pPr>
        <w:pStyle w:val="Caption"/>
        <w:rPr>
          <w:rFonts w:ascii="Times New Roman" w:hAnsi="Times New Roman" w:cs="Times New Roman"/>
          <w:color w:val="auto"/>
          <w:lang w:bidi="en-US"/>
        </w:rPr>
      </w:pPr>
      <w:r w:rsidRPr="00351833">
        <w:rPr>
          <w:rFonts w:ascii="Times New Roman" w:hAnsi="Times New Roman" w:cs="Times New Roman"/>
          <w:color w:val="auto"/>
          <w:lang w:bidi="en-US"/>
        </w:rPr>
        <w:t xml:space="preserve">Table </w:t>
      </w:r>
      <w:r w:rsidR="0009296D">
        <w:rPr>
          <w:rFonts w:ascii="Times New Roman" w:hAnsi="Times New Roman" w:cs="Times New Roman"/>
          <w:color w:val="auto"/>
          <w:lang w:bidi="en-US"/>
        </w:rPr>
        <w:t>S5</w:t>
      </w:r>
      <w:r w:rsidRPr="00351833">
        <w:rPr>
          <w:rFonts w:ascii="Times New Roman" w:hAnsi="Times New Roman" w:cs="Times New Roman"/>
          <w:color w:val="auto"/>
          <w:lang w:bidi="en-US"/>
        </w:rPr>
        <w:t xml:space="preserve"> Narromine MAR conceptual scheme components. </w:t>
      </w:r>
    </w:p>
    <w:tbl>
      <w:tblPr>
        <w:tblW w:w="3333" w:type="pct"/>
        <w:tblLook w:val="04A0" w:firstRow="1" w:lastRow="0" w:firstColumn="1" w:lastColumn="0" w:noHBand="0" w:noVBand="1"/>
      </w:tblPr>
      <w:tblGrid>
        <w:gridCol w:w="2108"/>
        <w:gridCol w:w="4303"/>
      </w:tblGrid>
      <w:tr w:rsidR="00351833" w:rsidRPr="00351833" w14:paraId="361D6F90" w14:textId="77777777" w:rsidTr="00A625FD">
        <w:trPr>
          <w:trHeight w:val="180"/>
        </w:trPr>
        <w:tc>
          <w:tcPr>
            <w:tcW w:w="1644" w:type="pct"/>
            <w:tcBorders>
              <w:top w:val="single" w:sz="4" w:space="0" w:color="auto"/>
              <w:left w:val="nil"/>
              <w:bottom w:val="single" w:sz="4" w:space="0" w:color="auto"/>
              <w:right w:val="nil"/>
            </w:tcBorders>
            <w:shd w:val="clear" w:color="auto" w:fill="auto"/>
            <w:noWrap/>
            <w:vAlign w:val="bottom"/>
            <w:hideMark/>
          </w:tcPr>
          <w:p w14:paraId="34B0AE38"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MAR scheme component</w:t>
            </w:r>
          </w:p>
        </w:tc>
        <w:tc>
          <w:tcPr>
            <w:tcW w:w="3356" w:type="pct"/>
            <w:tcBorders>
              <w:top w:val="single" w:sz="4" w:space="0" w:color="auto"/>
              <w:left w:val="nil"/>
              <w:bottom w:val="single" w:sz="4" w:space="0" w:color="auto"/>
              <w:right w:val="nil"/>
            </w:tcBorders>
            <w:shd w:val="clear" w:color="auto" w:fill="auto"/>
            <w:noWrap/>
            <w:vAlign w:val="bottom"/>
            <w:hideMark/>
          </w:tcPr>
          <w:p w14:paraId="7918590E"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Description</w:t>
            </w:r>
          </w:p>
        </w:tc>
      </w:tr>
      <w:tr w:rsidR="00351833" w:rsidRPr="00351833" w14:paraId="79F9867D" w14:textId="77777777" w:rsidTr="00A625FD">
        <w:trPr>
          <w:trHeight w:val="180"/>
        </w:trPr>
        <w:tc>
          <w:tcPr>
            <w:tcW w:w="1644" w:type="pct"/>
            <w:tcBorders>
              <w:top w:val="nil"/>
              <w:left w:val="nil"/>
              <w:bottom w:val="single" w:sz="4" w:space="0" w:color="auto"/>
              <w:right w:val="nil"/>
            </w:tcBorders>
            <w:shd w:val="clear" w:color="auto" w:fill="auto"/>
            <w:vAlign w:val="bottom"/>
            <w:hideMark/>
          </w:tcPr>
          <w:p w14:paraId="224DBC5C"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Demand</w:t>
            </w:r>
          </w:p>
        </w:tc>
        <w:tc>
          <w:tcPr>
            <w:tcW w:w="3356" w:type="pct"/>
            <w:tcBorders>
              <w:top w:val="nil"/>
              <w:left w:val="nil"/>
              <w:bottom w:val="single" w:sz="4" w:space="0" w:color="auto"/>
              <w:right w:val="nil"/>
            </w:tcBorders>
            <w:shd w:val="clear" w:color="auto" w:fill="auto"/>
            <w:vAlign w:val="bottom"/>
            <w:hideMark/>
          </w:tcPr>
          <w:p w14:paraId="1B3FCF1F" w14:textId="2D77E472"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Average potable water supply 1.3 MCM/y (2013-20)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DPE&lt;/Author&gt;&lt;Year&gt;2022&lt;/Year&gt;&lt;RecNum&gt;466&lt;/RecNum&gt;&lt;DisplayText&gt;(NSW DPE, 2022)&lt;/DisplayText&gt;&lt;record&gt;&lt;rec-number&gt;466&lt;/rec-number&gt;&lt;foreign-keys&gt;&lt;key app="EN" db-id="wsfap5sa5s5ptyer0t3xrzvwva0wafez2wzt" timestamp="1687159173"&gt;466&lt;/key&gt;&lt;/foreign-keys&gt;&lt;ref-type name="Report"&gt;27&lt;/ref-type&gt;&lt;contributors&gt;&lt;authors&gt;&lt;author&gt;NSW DPE,&lt;/author&gt;&lt;/authors&gt;&lt;tertiary-authors&gt;&lt;author&gt;NSW Department of Planning and Environment&lt;/author&gt;&lt;/tertiary-authors&gt;&lt;/contributors&gt;&lt;titles&gt;&lt;title&gt;Local water utility performance monitoring&lt;/title&gt;&lt;/titles&gt;&lt;dates&gt;&lt;year&gt;2022&lt;/year&gt;&lt;pub-dates&gt;&lt;date&gt;4 March 2022&lt;/date&gt;&lt;/pub-dates&gt;&lt;/dates&gt;&lt;pub-location&gt;Sydney, Australia&lt;/pub-location&gt;&lt;urls&gt;&lt;related-urls&gt;&lt;url&gt;https://www.industry.nsw.gov.au/water/water-utilities/lwu-performance-monitoring-data&lt;/url&gt;&lt;/related-urls&gt;&lt;/urls&gt;&lt;access-date&gt;19 June 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DPE, 2022)</w:t>
            </w:r>
            <w:r w:rsidRPr="00351833">
              <w:rPr>
                <w:rFonts w:ascii="Times New Roman" w:eastAsia="Times New Roman" w:hAnsi="Times New Roman" w:cs="Times New Roman"/>
                <w:sz w:val="14"/>
                <w:szCs w:val="14"/>
                <w:lang w:eastAsia="en-AU"/>
              </w:rPr>
              <w:fldChar w:fldCharType="end"/>
            </w:r>
            <w:r w:rsidRPr="00351833">
              <w:rPr>
                <w:rFonts w:ascii="Times New Roman" w:eastAsia="Times New Roman" w:hAnsi="Times New Roman" w:cs="Times New Roman"/>
                <w:sz w:val="14"/>
                <w:szCs w:val="14"/>
                <w:lang w:eastAsia="en-AU"/>
              </w:rPr>
              <w:t xml:space="preserve">. Groundwater is main drinking water supply source </w:t>
            </w:r>
            <w:r w:rsidRPr="00351833">
              <w:rPr>
                <w:rFonts w:ascii="Times New Roman" w:eastAsia="Times New Roman" w:hAnsi="Times New Roman" w:cs="Times New Roman"/>
                <w:sz w:val="14"/>
                <w:szCs w:val="14"/>
                <w:lang w:eastAsia="en-AU"/>
              </w:rPr>
              <w:fldChar w:fldCharType="begin"/>
            </w:r>
            <w:r w:rsidR="00385A52" w:rsidRPr="00351833">
              <w:rPr>
                <w:rFonts w:ascii="Times New Roman" w:eastAsia="Times New Roman" w:hAnsi="Times New Roman" w:cs="Times New Roman"/>
                <w:sz w:val="14"/>
                <w:szCs w:val="14"/>
                <w:lang w:eastAsia="en-AU"/>
              </w:rPr>
              <w:instrText xml:space="preserve"> ADDIN EN.CITE &lt;EndNote&gt;&lt;Cite&gt;&lt;Author&gt;Narromine Shire Council&lt;/Author&gt;&lt;Year&gt;2020&lt;/Year&gt;&lt;RecNum&gt;260&lt;/RecNum&gt;&lt;DisplayText&gt;(Narromine Shire Council, 2020)&lt;/DisplayText&gt;&lt;record&gt;&lt;rec-number&gt;260&lt;/rec-number&gt;&lt;foreign-keys&gt;&lt;key app="EN" db-id="wsfap5sa5s5ptyer0t3xrzvwva0wafez2wzt" timestamp="1608251028"&gt;260&lt;/key&gt;&lt;/foreign-keys&gt;&lt;ref-type name="Web Page"&gt;12&lt;/ref-type&gt;&lt;contributors&gt;&lt;authors&gt;&lt;author&gt;Narromine Shire Council,&lt;/author&gt;&lt;/authors&gt;&lt;/contributors&gt;&lt;titles&gt;&lt;title&gt;Water supply networks. Narromine Shire Council &lt;/title&gt;&lt;/titles&gt;&lt;number&gt;11/09/2020&lt;/number&gt;&lt;dates&gt;&lt;year&gt;2020&lt;/year&gt;&lt;/dates&gt;&lt;urls&gt;&lt;related-urls&gt;&lt;url&gt;https://www.narromine.nsw.gov.au/environment/water &lt;/url&gt;&lt;/related-urls&gt;&lt;/urls&gt;&lt;/record&gt;&lt;/Cite&gt;&lt;/EndNote&gt;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(Narromine Shire Council, 2020)</w:t>
            </w:r>
            <w:r w:rsidRPr="00351833">
              <w:rPr>
                <w:rFonts w:ascii="Times New Roman" w:eastAsia="Times New Roman" w:hAnsi="Times New Roman" w:cs="Times New Roman"/>
                <w:sz w:val="14"/>
                <w:szCs w:val="14"/>
                <w:lang w:eastAsia="en-AU"/>
              </w:rPr>
              <w:fldChar w:fldCharType="end"/>
            </w:r>
          </w:p>
        </w:tc>
      </w:tr>
      <w:tr w:rsidR="00351833" w:rsidRPr="00351833" w14:paraId="4F21B02C"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74A96C62"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Source water</w:t>
            </w:r>
          </w:p>
        </w:tc>
        <w:tc>
          <w:tcPr>
            <w:tcW w:w="3356" w:type="pct"/>
            <w:tcBorders>
              <w:top w:val="nil"/>
              <w:left w:val="nil"/>
              <w:bottom w:val="single" w:sz="4" w:space="0" w:color="auto"/>
              <w:right w:val="nil"/>
            </w:tcBorders>
            <w:shd w:val="clear" w:color="auto" w:fill="auto"/>
            <w:vAlign w:val="bottom"/>
            <w:hideMark/>
          </w:tcPr>
          <w:p w14:paraId="22AFD8ED"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Macquarie River via Burrendong Dam</w:t>
            </w:r>
          </w:p>
        </w:tc>
      </w:tr>
      <w:tr w:rsidR="00351833" w:rsidRPr="00351833" w14:paraId="678C0317" w14:textId="77777777" w:rsidTr="00A625FD">
        <w:trPr>
          <w:trHeight w:val="180"/>
        </w:trPr>
        <w:tc>
          <w:tcPr>
            <w:tcW w:w="1644" w:type="pct"/>
            <w:tcBorders>
              <w:top w:val="nil"/>
              <w:left w:val="nil"/>
              <w:bottom w:val="single" w:sz="4" w:space="0" w:color="auto"/>
              <w:right w:val="nil"/>
            </w:tcBorders>
            <w:shd w:val="clear" w:color="auto" w:fill="auto"/>
            <w:noWrap/>
            <w:vAlign w:val="bottom"/>
            <w:hideMark/>
          </w:tcPr>
          <w:p w14:paraId="5A706B0A"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Recharge location</w:t>
            </w:r>
          </w:p>
        </w:tc>
        <w:tc>
          <w:tcPr>
            <w:tcW w:w="3356" w:type="pct"/>
            <w:tcBorders>
              <w:top w:val="nil"/>
              <w:left w:val="nil"/>
              <w:bottom w:val="single" w:sz="4" w:space="0" w:color="auto"/>
              <w:right w:val="nil"/>
            </w:tcBorders>
            <w:shd w:val="clear" w:color="auto" w:fill="auto"/>
            <w:vAlign w:val="bottom"/>
            <w:hideMark/>
          </w:tcPr>
          <w:p w14:paraId="25C73D6B"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Within 5 km of source and supply points</w:t>
            </w:r>
          </w:p>
        </w:tc>
      </w:tr>
      <w:tr w:rsidR="00351833" w:rsidRPr="00351833" w14:paraId="78C99ED6" w14:textId="77777777" w:rsidTr="00A625FD">
        <w:trPr>
          <w:trHeight w:val="360"/>
        </w:trPr>
        <w:tc>
          <w:tcPr>
            <w:tcW w:w="1644" w:type="pct"/>
            <w:tcBorders>
              <w:top w:val="nil"/>
              <w:left w:val="nil"/>
              <w:bottom w:val="single" w:sz="4" w:space="0" w:color="auto"/>
              <w:right w:val="nil"/>
            </w:tcBorders>
            <w:shd w:val="clear" w:color="auto" w:fill="auto"/>
            <w:noWrap/>
            <w:vAlign w:val="bottom"/>
            <w:hideMark/>
          </w:tcPr>
          <w:p w14:paraId="015F85AA"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Aquifer</w:t>
            </w:r>
          </w:p>
        </w:tc>
        <w:tc>
          <w:tcPr>
            <w:tcW w:w="3356" w:type="pct"/>
            <w:tcBorders>
              <w:top w:val="nil"/>
              <w:left w:val="nil"/>
              <w:bottom w:val="single" w:sz="4" w:space="0" w:color="auto"/>
              <w:right w:val="nil"/>
            </w:tcBorders>
            <w:shd w:val="clear" w:color="auto" w:fill="auto"/>
            <w:vAlign w:val="bottom"/>
            <w:hideMark/>
          </w:tcPr>
          <w:p w14:paraId="48978B59"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Lower Macquarie Alluvium, shallow unconfined to semiconfined aquifer 20-60 m depth overlying deep alluvium to 120 m depth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DI&lt;/Author&gt;&lt;Year&gt;2018&lt;/Year&gt;&lt;RecNum&gt;350&lt;/RecNum&gt;&lt;DisplayText&gt;(NSW DI, 2018b)&lt;/DisplayText&gt;&lt;record&gt;&lt;rec-number&gt;350&lt;/rec-number&gt;&lt;foreign-keys&gt;&lt;key app="EN" db-id="wsfap5sa5s5ptyer0t3xrzvwva0wafez2wzt" timestamp="1622171678"&gt;350&lt;/key&gt;&lt;/foreign-keys&gt;&lt;ref-type name="Report"&gt;27&lt;/ref-type&gt;&lt;contributors&gt;&lt;authors&gt;&lt;author&gt;NSW DI,&lt;/author&gt;&lt;/authors&gt;&lt;tertiary-authors&gt;&lt;author&gt;NSW Department of Industry&lt;/author&gt;&lt;/tertiary-authors&gt;&lt;/contributors&gt;&lt;titles&gt;&lt;title&gt;Macquarie-Castlereagh Alluvium Water Resources Plan. Groundwater Resource Description. NSW Department of Industry&lt;/title&gt;&lt;/titles&gt;&lt;pages&gt;113&lt;/pages&gt;&lt;dates&gt;&lt;year&gt;2018&lt;/year&gt;&lt;/dates&gt;&lt;pub-location&gt;Sydney, Australia&lt;/pub-location&gt;&lt;urls&gt;&lt;related-urls&gt;&lt;url&gt;https://www.industry.nsw.gov.au/__data/assets/pdf_file/0017/192221/macquarie-castlereagh-alluvium-appendix-a-water-resource-description.pdf&lt;/url&gt;&lt;/related-urls&gt;&lt;/urls&gt;&lt;access-date&gt;27 Nov 2020&lt;/access-date&gt;&lt;/record&gt;&lt;/Cite&gt;&lt;/EndNote&gt;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DI, 2018b)</w:t>
            </w:r>
            <w:r w:rsidRPr="00351833">
              <w:rPr>
                <w:rFonts w:ascii="Times New Roman" w:eastAsia="Times New Roman" w:hAnsi="Times New Roman" w:cs="Times New Roman"/>
                <w:sz w:val="14"/>
                <w:szCs w:val="14"/>
                <w:lang w:eastAsia="en-AU"/>
              </w:rPr>
              <w:fldChar w:fldCharType="end"/>
            </w:r>
          </w:p>
        </w:tc>
      </w:tr>
      <w:tr w:rsidR="00351833" w:rsidRPr="00351833" w14:paraId="4D57E466"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69DF6450"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Recharge type</w:t>
            </w:r>
          </w:p>
        </w:tc>
        <w:tc>
          <w:tcPr>
            <w:tcW w:w="3356" w:type="pct"/>
            <w:tcBorders>
              <w:top w:val="nil"/>
              <w:left w:val="nil"/>
              <w:bottom w:val="single" w:sz="4" w:space="0" w:color="auto"/>
              <w:right w:val="nil"/>
            </w:tcBorders>
            <w:shd w:val="clear" w:color="auto" w:fill="auto"/>
            <w:vAlign w:val="bottom"/>
            <w:hideMark/>
          </w:tcPr>
          <w:p w14:paraId="3A18328B"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Infiltration basin to unconfined shallow formation</w:t>
            </w:r>
          </w:p>
        </w:tc>
      </w:tr>
      <w:tr w:rsidR="00351833" w:rsidRPr="00351833" w14:paraId="63C815EC" w14:textId="77777777" w:rsidTr="00A625FD">
        <w:trPr>
          <w:trHeight w:val="360"/>
        </w:trPr>
        <w:tc>
          <w:tcPr>
            <w:tcW w:w="1644" w:type="pct"/>
            <w:tcBorders>
              <w:top w:val="nil"/>
              <w:left w:val="nil"/>
              <w:bottom w:val="single" w:sz="4" w:space="0" w:color="auto"/>
              <w:right w:val="nil"/>
            </w:tcBorders>
            <w:shd w:val="clear" w:color="auto" w:fill="auto"/>
            <w:noWrap/>
            <w:vAlign w:val="bottom"/>
            <w:hideMark/>
          </w:tcPr>
          <w:p w14:paraId="3FE1F818"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Treatment</w:t>
            </w:r>
          </w:p>
        </w:tc>
        <w:tc>
          <w:tcPr>
            <w:tcW w:w="3356" w:type="pct"/>
            <w:tcBorders>
              <w:top w:val="nil"/>
              <w:left w:val="nil"/>
              <w:bottom w:val="single" w:sz="4" w:space="0" w:color="auto"/>
              <w:right w:val="nil"/>
            </w:tcBorders>
            <w:shd w:val="clear" w:color="auto" w:fill="auto"/>
            <w:vAlign w:val="bottom"/>
            <w:hideMark/>
          </w:tcPr>
          <w:p w14:paraId="5AF77ECB" w14:textId="7CC2D97C"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Basin maintenance (scraping) </w:t>
            </w:r>
            <w:r w:rsidRPr="00351833">
              <w:rPr>
                <w:rFonts w:ascii="Times New Roman" w:eastAsia="Times New Roman" w:hAnsi="Times New Roman" w:cs="Times New Roman"/>
                <w:sz w:val="14"/>
                <w:szCs w:val="14"/>
                <w:lang w:eastAsia="en-AU"/>
              </w:rPr>
              <w:fldChar w:fldCharType="begin"/>
            </w:r>
            <w:r w:rsidR="00385A52" w:rsidRPr="00351833">
              <w:rPr>
                <w:rFonts w:ascii="Times New Roman" w:eastAsia="Times New Roman" w:hAnsi="Times New Roman" w:cs="Times New Roman"/>
                <w:sz w:val="14"/>
                <w:szCs w:val="14"/>
                <w:lang w:eastAsia="en-AU"/>
              </w:rPr>
              <w:instrText xml:space="preserve"> ADDIN EN.CITE &lt;EndNote&gt;&lt;Cite&gt;&lt;Author&gt;Vanderzalm&lt;/Author&gt;&lt;Year&gt;2022&lt;/Year&gt;&lt;RecNum&gt;382&lt;/RecNum&gt;&lt;DisplayText&gt;(Vanderzalm et al., 2022)&lt;/DisplayText&gt;&lt;record&gt;&lt;rec-number&gt;382&lt;/rec-number&gt;&lt;foreign-keys&gt;&lt;key app="EN" db-id="wsfap5sa5s5ptyer0t3xrzvwva0wafez2wzt" timestamp="1651733160"&gt;382&lt;/key&gt;&lt;/foreign-keys&gt;&lt;ref-type name="Journal Article"&gt;17&lt;/ref-type&gt;&lt;contributors&gt;&lt;authors&gt;&lt;author&gt;Vanderzalm, Joanne&lt;/author&gt;&lt;author&gt;Page, Declan&lt;/author&gt;&lt;author&gt;Dillon, Peter&lt;/author&gt;&lt;author&gt;Gonzalez, Dennis&lt;/author&gt;&lt;author&gt;Petheram, Cuan&lt;/author&gt;&lt;/authors&gt;&lt;/contributors&gt;&lt;titles&gt;&lt;title&gt;Assessing the costs of Managed Aquifer Recharge options to support agricultural development&lt;/title&gt;&lt;secondary-title&gt;Agricultural Water Management&lt;/secondary-title&gt;&lt;/titles&gt;&lt;periodical&gt;&lt;full-title&gt;Agricultural Water Management&lt;/full-title&gt;&lt;/periodical&gt;&lt;volume&gt;263&lt;/volume&gt;&lt;section&gt;107437&lt;/section&gt;&lt;dates&gt;&lt;year&gt;2022&lt;/year&gt;&lt;/dates&gt;&lt;isbn&gt;03783774&lt;/isbn&gt;&lt;urls&gt;&lt;/urls&gt;&lt;electronic-resource-num&gt;10.1016/j.agwat.2021.107437&lt;/electronic-resource-num&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(Vanderzalm et al., 2022)</w:t>
            </w:r>
            <w:r w:rsidRPr="00351833">
              <w:rPr>
                <w:rFonts w:ascii="Times New Roman" w:eastAsia="Times New Roman" w:hAnsi="Times New Roman" w:cs="Times New Roman"/>
                <w:sz w:val="14"/>
                <w:szCs w:val="14"/>
                <w:lang w:eastAsia="en-AU"/>
              </w:rPr>
              <w:fldChar w:fldCharType="end"/>
            </w:r>
          </w:p>
        </w:tc>
      </w:tr>
      <w:tr w:rsidR="00351833" w:rsidRPr="00351833" w14:paraId="6DE7E182"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0DFDF952"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Storage potential</w:t>
            </w:r>
          </w:p>
        </w:tc>
        <w:tc>
          <w:tcPr>
            <w:tcW w:w="3356" w:type="pct"/>
            <w:tcBorders>
              <w:top w:val="nil"/>
              <w:left w:val="nil"/>
              <w:bottom w:val="single" w:sz="4" w:space="0" w:color="auto"/>
              <w:right w:val="nil"/>
            </w:tcBorders>
            <w:shd w:val="clear" w:color="auto" w:fill="auto"/>
            <w:vAlign w:val="bottom"/>
            <w:hideMark/>
          </w:tcPr>
          <w:p w14:paraId="6352788F"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20 MCM, depth to water ~35 m, effective porosity 20-25% across radius of 1 km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DI&lt;/Author&gt;&lt;Year&gt;2018&lt;/Year&gt;&lt;RecNum&gt;350&lt;/RecNum&gt;&lt;DisplayText&gt;(NSW DI, 2018b)&lt;/DisplayText&gt;&lt;record&gt;&lt;rec-number&gt;350&lt;/rec-number&gt;&lt;foreign-keys&gt;&lt;key app="EN" db-id="wsfap5sa5s5ptyer0t3xrzvwva0wafez2wzt" timestamp="1622171678"&gt;350&lt;/key&gt;&lt;/foreign-keys&gt;&lt;ref-type name="Report"&gt;27&lt;/ref-type&gt;&lt;contributors&gt;&lt;authors&gt;&lt;author&gt;NSW DI,&lt;/author&gt;&lt;/authors&gt;&lt;tertiary-authors&gt;&lt;author&gt;NSW Department of Industry&lt;/author&gt;&lt;/tertiary-authors&gt;&lt;/contributors&gt;&lt;titles&gt;&lt;title&gt;Macquarie-Castlereagh Alluvium Water Resources Plan. Groundwater Resource Description. NSW Department of Industry&lt;/title&gt;&lt;/titles&gt;&lt;pages&gt;113&lt;/pages&gt;&lt;dates&gt;&lt;year&gt;2018&lt;/year&gt;&lt;/dates&gt;&lt;pub-location&gt;Sydney, Australia&lt;/pub-location&gt;&lt;urls&gt;&lt;related-urls&gt;&lt;url&gt;https://www.industry.nsw.gov.au/__data/assets/pdf_file/0017/192221/macquarie-castlereagh-alluvium-appendix-a-water-resource-description.pdf&lt;/url&gt;&lt;/related-urls&gt;&lt;/urls&gt;&lt;access-date&gt;27 Nov 2020&lt;/access-date&gt;&lt;/record&gt;&lt;/Cite&gt;&lt;/EndNote&gt;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DI, 2018b)</w:t>
            </w:r>
            <w:r w:rsidRPr="00351833">
              <w:rPr>
                <w:rFonts w:ascii="Times New Roman" w:eastAsia="Times New Roman" w:hAnsi="Times New Roman" w:cs="Times New Roman"/>
                <w:sz w:val="14"/>
                <w:szCs w:val="14"/>
                <w:lang w:eastAsia="en-AU"/>
              </w:rPr>
              <w:fldChar w:fldCharType="end"/>
            </w:r>
          </w:p>
        </w:tc>
      </w:tr>
      <w:tr w:rsidR="00351833" w:rsidRPr="00351833" w14:paraId="59E67F27" w14:textId="77777777" w:rsidTr="00A625FD">
        <w:trPr>
          <w:trHeight w:val="180"/>
        </w:trPr>
        <w:tc>
          <w:tcPr>
            <w:tcW w:w="1644" w:type="pct"/>
            <w:tcBorders>
              <w:top w:val="nil"/>
              <w:left w:val="nil"/>
              <w:bottom w:val="single" w:sz="4" w:space="0" w:color="auto"/>
              <w:right w:val="nil"/>
            </w:tcBorders>
            <w:shd w:val="clear" w:color="auto" w:fill="auto"/>
            <w:vAlign w:val="bottom"/>
            <w:hideMark/>
          </w:tcPr>
          <w:p w14:paraId="73C33714"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Design capacity</w:t>
            </w:r>
          </w:p>
        </w:tc>
        <w:tc>
          <w:tcPr>
            <w:tcW w:w="3356" w:type="pct"/>
            <w:tcBorders>
              <w:top w:val="nil"/>
              <w:left w:val="nil"/>
              <w:bottom w:val="single" w:sz="4" w:space="0" w:color="auto"/>
              <w:right w:val="nil"/>
            </w:tcBorders>
            <w:shd w:val="clear" w:color="auto" w:fill="auto"/>
            <w:vAlign w:val="bottom"/>
            <w:hideMark/>
          </w:tcPr>
          <w:p w14:paraId="2324E80A"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5 MCM/y to reach capacity over 4-5 years</w:t>
            </w:r>
          </w:p>
        </w:tc>
      </w:tr>
      <w:tr w:rsidR="00351833" w:rsidRPr="00351833" w14:paraId="22086E2C" w14:textId="77777777" w:rsidTr="00A625FD">
        <w:trPr>
          <w:trHeight w:val="180"/>
        </w:trPr>
        <w:tc>
          <w:tcPr>
            <w:tcW w:w="1644" w:type="pct"/>
            <w:tcBorders>
              <w:top w:val="nil"/>
              <w:left w:val="nil"/>
              <w:bottom w:val="single" w:sz="4" w:space="0" w:color="auto"/>
              <w:right w:val="nil"/>
            </w:tcBorders>
            <w:shd w:val="clear" w:color="auto" w:fill="auto"/>
            <w:vAlign w:val="bottom"/>
            <w:hideMark/>
          </w:tcPr>
          <w:p w14:paraId="7AA8EBDB"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Recharge rate/bore yield</w:t>
            </w:r>
          </w:p>
        </w:tc>
        <w:tc>
          <w:tcPr>
            <w:tcW w:w="3356" w:type="pct"/>
            <w:tcBorders>
              <w:top w:val="nil"/>
              <w:left w:val="nil"/>
              <w:bottom w:val="single" w:sz="4" w:space="0" w:color="auto"/>
              <w:right w:val="nil"/>
            </w:tcBorders>
            <w:shd w:val="clear" w:color="auto" w:fill="auto"/>
            <w:vAlign w:val="bottom"/>
            <w:hideMark/>
          </w:tcPr>
          <w:p w14:paraId="3D6D37F4"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High, bores yield up to 200 L/s in area, infiltration rate likely to be high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DI&lt;/Author&gt;&lt;Year&gt;2018&lt;/Year&gt;&lt;RecNum&gt;350&lt;/RecNum&gt;&lt;DisplayText&gt;(NSW DI, 2018b)&lt;/DisplayText&gt;&lt;record&gt;&lt;rec-number&gt;350&lt;/rec-number&gt;&lt;foreign-keys&gt;&lt;key app="EN" db-id="wsfap5sa5s5ptyer0t3xrzvwva0wafez2wzt" timestamp="1622171678"&gt;350&lt;/key&gt;&lt;/foreign-keys&gt;&lt;ref-type name="Report"&gt;27&lt;/ref-type&gt;&lt;contributors&gt;&lt;authors&gt;&lt;author&gt;NSW DI,&lt;/author&gt;&lt;/authors&gt;&lt;tertiary-authors&gt;&lt;author&gt;NSW Department of Industry&lt;/author&gt;&lt;/tertiary-authors&gt;&lt;/contributors&gt;&lt;titles&gt;&lt;title&gt;Macquarie-Castlereagh Alluvium Water Resources Plan. Groundwater Resource Description. NSW Department of Industry&lt;/title&gt;&lt;/titles&gt;&lt;pages&gt;113&lt;/pages&gt;&lt;dates&gt;&lt;year&gt;2018&lt;/year&gt;&lt;/dates&gt;&lt;pub-location&gt;Sydney, Australia&lt;/pub-location&gt;&lt;urls&gt;&lt;related-urls&gt;&lt;url&gt;https://www.industry.nsw.gov.au/__data/assets/pdf_file/0017/192221/macquarie-castlereagh-alluvium-appendix-a-water-resource-description.pdf&lt;/url&gt;&lt;/related-urls&gt;&lt;/urls&gt;&lt;access-date&gt;27 Nov 2020&lt;/access-date&gt;&lt;/record&gt;&lt;/Cite&gt;&lt;/EndNote&gt;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DI, 2018b)</w:t>
            </w:r>
            <w:r w:rsidRPr="00351833">
              <w:rPr>
                <w:rFonts w:ascii="Times New Roman" w:eastAsia="Times New Roman" w:hAnsi="Times New Roman" w:cs="Times New Roman"/>
                <w:sz w:val="14"/>
                <w:szCs w:val="14"/>
                <w:lang w:eastAsia="en-AU"/>
              </w:rPr>
              <w:fldChar w:fldCharType="end"/>
            </w:r>
          </w:p>
        </w:tc>
      </w:tr>
      <w:tr w:rsidR="00351833" w:rsidRPr="00351833" w14:paraId="7694A685"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3877625B"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Recovery efficiency</w:t>
            </w:r>
          </w:p>
        </w:tc>
        <w:tc>
          <w:tcPr>
            <w:tcW w:w="3356" w:type="pct"/>
            <w:tcBorders>
              <w:top w:val="nil"/>
              <w:left w:val="nil"/>
              <w:bottom w:val="single" w:sz="4" w:space="0" w:color="auto"/>
              <w:right w:val="nil"/>
            </w:tcBorders>
            <w:shd w:val="clear" w:color="auto" w:fill="auto"/>
            <w:vAlign w:val="bottom"/>
            <w:hideMark/>
          </w:tcPr>
          <w:p w14:paraId="570504C4"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Moderate to high, fresh to brackish in shallow formation but mainly fresh in deep alluvium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DI&lt;/Author&gt;&lt;Year&gt;2018&lt;/Year&gt;&lt;RecNum&gt;350&lt;/RecNum&gt;&lt;DisplayText&gt;(NSW DI, 2018b)&lt;/DisplayText&gt;&lt;record&gt;&lt;rec-number&gt;350&lt;/rec-number&gt;&lt;foreign-keys&gt;&lt;key app="EN" db-id="wsfap5sa5s5ptyer0t3xrzvwva0wafez2wzt" timestamp="1622171678"&gt;350&lt;/key&gt;&lt;/foreign-keys&gt;&lt;ref-type name="Report"&gt;27&lt;/ref-type&gt;&lt;contributors&gt;&lt;authors&gt;&lt;author&gt;NSW DI,&lt;/author&gt;&lt;/authors&gt;&lt;tertiary-authors&gt;&lt;author&gt;NSW Department of Industry&lt;/author&gt;&lt;/tertiary-authors&gt;&lt;/contributors&gt;&lt;titles&gt;&lt;title&gt;Macquarie-Castlereagh Alluvium Water Resources Plan. Groundwater Resource Description. NSW Department of Industry&lt;/title&gt;&lt;/titles&gt;&lt;pages&gt;113&lt;/pages&gt;&lt;dates&gt;&lt;year&gt;2018&lt;/year&gt;&lt;/dates&gt;&lt;pub-location&gt;Sydney, Australia&lt;/pub-location&gt;&lt;urls&gt;&lt;related-urls&gt;&lt;url&gt;https://www.industry.nsw.gov.au/__data/assets/pdf_file/0017/192221/macquarie-castlereagh-alluvium-appendix-a-water-resource-description.pdf&lt;/url&gt;&lt;/related-urls&gt;&lt;/urls&gt;&lt;access-date&gt;27 Nov 2020&lt;/access-date&gt;&lt;/record&gt;&lt;/Cite&gt;&lt;/EndNote&gt;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DI, 2018b)</w:t>
            </w:r>
            <w:r w:rsidRPr="00351833">
              <w:rPr>
                <w:rFonts w:ascii="Times New Roman" w:eastAsia="Times New Roman" w:hAnsi="Times New Roman" w:cs="Times New Roman"/>
                <w:sz w:val="14"/>
                <w:szCs w:val="14"/>
                <w:lang w:eastAsia="en-AU"/>
              </w:rPr>
              <w:fldChar w:fldCharType="end"/>
            </w:r>
          </w:p>
        </w:tc>
      </w:tr>
    </w:tbl>
    <w:p w14:paraId="3FC53BEB" w14:textId="77777777" w:rsidR="00A67B9D" w:rsidRPr="00351833" w:rsidRDefault="00A67B9D" w:rsidP="00A67B9D">
      <w:pPr>
        <w:pStyle w:val="Heading2"/>
        <w:rPr>
          <w:rFonts w:ascii="Times New Roman" w:hAnsi="Times New Roman" w:cs="Times New Roman"/>
          <w:color w:val="auto"/>
          <w:lang w:bidi="en-US"/>
        </w:rPr>
      </w:pPr>
      <w:r w:rsidRPr="00351833">
        <w:rPr>
          <w:rFonts w:ascii="Times New Roman" w:hAnsi="Times New Roman" w:cs="Times New Roman"/>
          <w:color w:val="auto"/>
          <w:lang w:bidi="en-US"/>
        </w:rPr>
        <w:lastRenderedPageBreak/>
        <w:t>Gunnedah Shire Council, New South Wales</w:t>
      </w:r>
    </w:p>
    <w:p w14:paraId="0C988D1A" w14:textId="3F5ACDFB" w:rsidR="00A67B9D" w:rsidRPr="00351833" w:rsidRDefault="00A67B9D" w:rsidP="00A67B9D">
      <w:pPr>
        <w:pStyle w:val="Caption"/>
        <w:rPr>
          <w:rFonts w:ascii="Times New Roman" w:hAnsi="Times New Roman" w:cs="Times New Roman"/>
          <w:color w:val="auto"/>
          <w:lang w:bidi="en-US"/>
        </w:rPr>
      </w:pPr>
      <w:r w:rsidRPr="00351833">
        <w:rPr>
          <w:rFonts w:ascii="Times New Roman" w:hAnsi="Times New Roman" w:cs="Times New Roman"/>
          <w:color w:val="auto"/>
          <w:lang w:bidi="en-US"/>
        </w:rPr>
        <w:t xml:space="preserve">Table </w:t>
      </w:r>
      <w:r w:rsidR="0009296D">
        <w:rPr>
          <w:rFonts w:ascii="Times New Roman" w:hAnsi="Times New Roman" w:cs="Times New Roman"/>
          <w:color w:val="auto"/>
          <w:lang w:bidi="en-US"/>
        </w:rPr>
        <w:t>S6</w:t>
      </w:r>
      <w:r w:rsidRPr="00351833">
        <w:rPr>
          <w:rFonts w:ascii="Times New Roman" w:hAnsi="Times New Roman" w:cs="Times New Roman"/>
          <w:color w:val="auto"/>
          <w:lang w:bidi="en-US"/>
        </w:rPr>
        <w:t xml:space="preserve"> Gunnedah MAR conceptual scheme components. </w:t>
      </w:r>
    </w:p>
    <w:tbl>
      <w:tblPr>
        <w:tblW w:w="3333" w:type="pct"/>
        <w:tblLook w:val="04A0" w:firstRow="1" w:lastRow="0" w:firstColumn="1" w:lastColumn="0" w:noHBand="0" w:noVBand="1"/>
      </w:tblPr>
      <w:tblGrid>
        <w:gridCol w:w="2108"/>
        <w:gridCol w:w="4303"/>
      </w:tblGrid>
      <w:tr w:rsidR="00351833" w:rsidRPr="00351833" w14:paraId="2519CF88" w14:textId="77777777" w:rsidTr="00A625FD">
        <w:trPr>
          <w:trHeight w:val="180"/>
        </w:trPr>
        <w:tc>
          <w:tcPr>
            <w:tcW w:w="1644" w:type="pct"/>
            <w:tcBorders>
              <w:top w:val="single" w:sz="4" w:space="0" w:color="auto"/>
              <w:left w:val="nil"/>
              <w:bottom w:val="single" w:sz="4" w:space="0" w:color="auto"/>
              <w:right w:val="nil"/>
            </w:tcBorders>
            <w:shd w:val="clear" w:color="auto" w:fill="auto"/>
            <w:noWrap/>
            <w:vAlign w:val="bottom"/>
            <w:hideMark/>
          </w:tcPr>
          <w:p w14:paraId="5369D30B"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MAR scheme component</w:t>
            </w:r>
          </w:p>
        </w:tc>
        <w:tc>
          <w:tcPr>
            <w:tcW w:w="3356" w:type="pct"/>
            <w:tcBorders>
              <w:top w:val="single" w:sz="4" w:space="0" w:color="auto"/>
              <w:left w:val="nil"/>
              <w:bottom w:val="single" w:sz="4" w:space="0" w:color="auto"/>
              <w:right w:val="nil"/>
            </w:tcBorders>
            <w:shd w:val="clear" w:color="auto" w:fill="auto"/>
            <w:noWrap/>
            <w:vAlign w:val="bottom"/>
            <w:hideMark/>
          </w:tcPr>
          <w:p w14:paraId="1DD23A78"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Description</w:t>
            </w:r>
          </w:p>
        </w:tc>
      </w:tr>
      <w:tr w:rsidR="00351833" w:rsidRPr="00351833" w14:paraId="24E28816" w14:textId="77777777" w:rsidTr="00A625FD">
        <w:trPr>
          <w:trHeight w:val="180"/>
        </w:trPr>
        <w:tc>
          <w:tcPr>
            <w:tcW w:w="1644" w:type="pct"/>
            <w:tcBorders>
              <w:top w:val="nil"/>
              <w:left w:val="nil"/>
              <w:bottom w:val="single" w:sz="4" w:space="0" w:color="auto"/>
              <w:right w:val="nil"/>
            </w:tcBorders>
            <w:shd w:val="clear" w:color="auto" w:fill="auto"/>
            <w:vAlign w:val="bottom"/>
            <w:hideMark/>
          </w:tcPr>
          <w:p w14:paraId="6A3B6840"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Demand</w:t>
            </w:r>
          </w:p>
        </w:tc>
        <w:tc>
          <w:tcPr>
            <w:tcW w:w="3356" w:type="pct"/>
            <w:tcBorders>
              <w:top w:val="nil"/>
              <w:left w:val="nil"/>
              <w:bottom w:val="single" w:sz="4" w:space="0" w:color="auto"/>
              <w:right w:val="nil"/>
            </w:tcBorders>
            <w:shd w:val="clear" w:color="auto" w:fill="auto"/>
            <w:vAlign w:val="bottom"/>
          </w:tcPr>
          <w:p w14:paraId="041B42E9"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Average potable water supply 2.9 MCM/y (2013-20)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DPE&lt;/Author&gt;&lt;Year&gt;2022&lt;/Year&gt;&lt;RecNum&gt;466&lt;/RecNum&gt;&lt;DisplayText&gt;(NSW DPE, 2022)&lt;/DisplayText&gt;&lt;record&gt;&lt;rec-number&gt;466&lt;/rec-number&gt;&lt;foreign-keys&gt;&lt;key app="EN" db-id="wsfap5sa5s5ptyer0t3xrzvwva0wafez2wzt" timestamp="1687159173"&gt;466&lt;/key&gt;&lt;/foreign-keys&gt;&lt;ref-type name="Report"&gt;27&lt;/ref-type&gt;&lt;contributors&gt;&lt;authors&gt;&lt;author&gt;NSW DPE,&lt;/author&gt;&lt;/authors&gt;&lt;tertiary-authors&gt;&lt;author&gt;NSW Department of Planning and Environment&lt;/author&gt;&lt;/tertiary-authors&gt;&lt;/contributors&gt;&lt;titles&gt;&lt;title&gt;Local water utility performance monitoring&lt;/title&gt;&lt;/titles&gt;&lt;dates&gt;&lt;year&gt;2022&lt;/year&gt;&lt;pub-dates&gt;&lt;date&gt;4 March 2022&lt;/date&gt;&lt;/pub-dates&gt;&lt;/dates&gt;&lt;pub-location&gt;Sydney, Australia&lt;/pub-location&gt;&lt;urls&gt;&lt;related-urls&gt;&lt;url&gt;https://www.industry.nsw.gov.au/water/water-utilities/lwu-performance-monitoring-data&lt;/url&gt;&lt;/related-urls&gt;&lt;/urls&gt;&lt;access-date&gt;19 June 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DPE, 2022)</w:t>
            </w:r>
            <w:r w:rsidRPr="00351833">
              <w:rPr>
                <w:rFonts w:ascii="Times New Roman" w:eastAsia="Times New Roman" w:hAnsi="Times New Roman" w:cs="Times New Roman"/>
                <w:sz w:val="14"/>
                <w:szCs w:val="14"/>
                <w:lang w:eastAsia="en-AU"/>
              </w:rPr>
              <w:fldChar w:fldCharType="end"/>
            </w:r>
            <w:r w:rsidRPr="00351833">
              <w:rPr>
                <w:rFonts w:ascii="Times New Roman" w:eastAsia="Times New Roman" w:hAnsi="Times New Roman" w:cs="Times New Roman"/>
                <w:sz w:val="14"/>
                <w:szCs w:val="14"/>
                <w:lang w:eastAsia="en-AU"/>
              </w:rPr>
              <w:t xml:space="preserve">. </w:t>
            </w:r>
          </w:p>
        </w:tc>
      </w:tr>
      <w:tr w:rsidR="00351833" w:rsidRPr="00351833" w14:paraId="293460D1"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218B8A9D"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Source water</w:t>
            </w:r>
          </w:p>
        </w:tc>
        <w:tc>
          <w:tcPr>
            <w:tcW w:w="3356" w:type="pct"/>
            <w:tcBorders>
              <w:top w:val="nil"/>
              <w:left w:val="nil"/>
              <w:bottom w:val="single" w:sz="4" w:space="0" w:color="auto"/>
              <w:right w:val="nil"/>
            </w:tcBorders>
            <w:shd w:val="clear" w:color="auto" w:fill="auto"/>
            <w:vAlign w:val="bottom"/>
          </w:tcPr>
          <w:p w14:paraId="01515B9E"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Groundwater from the Upper Namoi Alluvium</w:t>
            </w:r>
          </w:p>
        </w:tc>
      </w:tr>
      <w:tr w:rsidR="00351833" w:rsidRPr="00351833" w14:paraId="3C08AE55" w14:textId="77777777" w:rsidTr="00A625FD">
        <w:trPr>
          <w:trHeight w:val="180"/>
        </w:trPr>
        <w:tc>
          <w:tcPr>
            <w:tcW w:w="1644" w:type="pct"/>
            <w:tcBorders>
              <w:top w:val="nil"/>
              <w:left w:val="nil"/>
              <w:bottom w:val="single" w:sz="4" w:space="0" w:color="auto"/>
              <w:right w:val="nil"/>
            </w:tcBorders>
            <w:shd w:val="clear" w:color="auto" w:fill="auto"/>
            <w:noWrap/>
            <w:vAlign w:val="bottom"/>
            <w:hideMark/>
          </w:tcPr>
          <w:p w14:paraId="5972F00B"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Recharge location </w:t>
            </w:r>
          </w:p>
        </w:tc>
        <w:tc>
          <w:tcPr>
            <w:tcW w:w="3356" w:type="pct"/>
            <w:tcBorders>
              <w:top w:val="nil"/>
              <w:left w:val="nil"/>
              <w:bottom w:val="single" w:sz="4" w:space="0" w:color="auto"/>
              <w:right w:val="nil"/>
            </w:tcBorders>
            <w:shd w:val="clear" w:color="auto" w:fill="auto"/>
            <w:vAlign w:val="bottom"/>
          </w:tcPr>
          <w:p w14:paraId="296FAB3B"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Within 5 km of source and supply points</w:t>
            </w:r>
          </w:p>
        </w:tc>
      </w:tr>
      <w:tr w:rsidR="00351833" w:rsidRPr="00351833" w14:paraId="00B8111E" w14:textId="77777777" w:rsidTr="00A625FD">
        <w:trPr>
          <w:trHeight w:val="360"/>
        </w:trPr>
        <w:tc>
          <w:tcPr>
            <w:tcW w:w="1644" w:type="pct"/>
            <w:tcBorders>
              <w:top w:val="nil"/>
              <w:left w:val="nil"/>
              <w:bottom w:val="single" w:sz="4" w:space="0" w:color="auto"/>
              <w:right w:val="nil"/>
            </w:tcBorders>
            <w:shd w:val="clear" w:color="auto" w:fill="auto"/>
            <w:noWrap/>
            <w:vAlign w:val="bottom"/>
            <w:hideMark/>
          </w:tcPr>
          <w:p w14:paraId="3414B9B0"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Aquifer</w:t>
            </w:r>
          </w:p>
        </w:tc>
        <w:tc>
          <w:tcPr>
            <w:tcW w:w="3356" w:type="pct"/>
            <w:tcBorders>
              <w:top w:val="nil"/>
              <w:left w:val="nil"/>
              <w:bottom w:val="single" w:sz="4" w:space="0" w:color="auto"/>
              <w:right w:val="nil"/>
            </w:tcBorders>
            <w:shd w:val="clear" w:color="auto" w:fill="auto"/>
            <w:vAlign w:val="bottom"/>
          </w:tcPr>
          <w:p w14:paraId="1A24615E"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Upper Namoi Alluvium, shallow mainly unconfined Narrabri formation to about 40 m, deeper semi-confined to confined Gunnedah formation to around 140 m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DI&lt;/Author&gt;&lt;Year&gt;2018&lt;/Year&gt;&lt;RecNum&gt;444&lt;/RecNum&gt;&lt;DisplayText&gt;(NSW DI, 2018c)&lt;/DisplayText&gt;&lt;record&gt;&lt;rec-number&gt;444&lt;/rec-number&gt;&lt;foreign-keys&gt;&lt;key app="EN" db-id="wsfap5sa5s5ptyer0t3xrzvwva0wafez2wzt" timestamp="1676873484"&gt;444&lt;/key&gt;&lt;/foreign-keys&gt;&lt;ref-type name="Government Document"&gt;46&lt;/ref-type&gt;&lt;contributors&gt;&lt;authors&gt;&lt;author&gt;NSW DI,&lt;/author&gt;&lt;/authors&gt;&lt;/contributors&gt;&lt;titles&gt;&lt;title&gt;Namoi Alluvium Water Resource Plan - Groundwater Resource Description&lt;/title&gt;&lt;/titles&gt;&lt;pages&gt;95&lt;/pages&gt;&lt;dates&gt;&lt;year&gt;2018&lt;/year&gt;&lt;/dates&gt;&lt;pub-location&gt;Sydney, Australia&lt;/pub-location&gt;&lt;publisher&gt;NSW Department of Industry&lt;/publisher&gt;&lt;urls&gt;&lt;related-urls&gt;&lt;url&gt;https://www.industry.nsw.gov.au/__data/assets/pdf_file/0017/230804/Namoi-Alluvium-WRP-resource-description.pdf&lt;/url&gt;&lt;/related-urls&gt;&lt;/urls&gt;&lt;access-date&gt;20 Feb 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DI, 2018c)</w:t>
            </w:r>
            <w:r w:rsidRPr="00351833">
              <w:rPr>
                <w:rFonts w:ascii="Times New Roman" w:eastAsia="Times New Roman" w:hAnsi="Times New Roman" w:cs="Times New Roman"/>
                <w:sz w:val="14"/>
                <w:szCs w:val="14"/>
                <w:lang w:eastAsia="en-AU"/>
              </w:rPr>
              <w:fldChar w:fldCharType="end"/>
            </w:r>
          </w:p>
        </w:tc>
      </w:tr>
      <w:tr w:rsidR="00351833" w:rsidRPr="00351833" w14:paraId="628E449D"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307567B1"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Recharge type</w:t>
            </w:r>
          </w:p>
        </w:tc>
        <w:tc>
          <w:tcPr>
            <w:tcW w:w="3356" w:type="pct"/>
            <w:tcBorders>
              <w:top w:val="nil"/>
              <w:left w:val="nil"/>
              <w:bottom w:val="single" w:sz="4" w:space="0" w:color="auto"/>
              <w:right w:val="nil"/>
            </w:tcBorders>
            <w:shd w:val="clear" w:color="auto" w:fill="auto"/>
            <w:vAlign w:val="bottom"/>
          </w:tcPr>
          <w:p w14:paraId="2317C932" w14:textId="77777777" w:rsidR="00A67B9D" w:rsidRPr="00351833" w:rsidRDefault="00A67B9D" w:rsidP="00A625FD">
            <w:pPr>
              <w:spacing w:after="0" w:line="240" w:lineRule="auto"/>
              <w:rPr>
                <w:rFonts w:ascii="Times New Roman" w:eastAsia="Times New Roman" w:hAnsi="Times New Roman" w:cs="Times New Roman"/>
                <w:sz w:val="14"/>
                <w:szCs w:val="14"/>
                <w:highlight w:val="yellow"/>
                <w:lang w:eastAsia="en-AU"/>
              </w:rPr>
            </w:pPr>
            <w:r w:rsidRPr="00351833">
              <w:rPr>
                <w:rFonts w:ascii="Times New Roman" w:eastAsia="Times New Roman" w:hAnsi="Times New Roman" w:cs="Times New Roman"/>
                <w:sz w:val="14"/>
                <w:szCs w:val="14"/>
                <w:lang w:eastAsia="en-AU"/>
              </w:rPr>
              <w:t>Infiltration basin to unconfined shallow Narrabri formation</w:t>
            </w:r>
          </w:p>
        </w:tc>
      </w:tr>
      <w:tr w:rsidR="00351833" w:rsidRPr="00351833" w14:paraId="3DEA4A8E" w14:textId="77777777" w:rsidTr="00A625FD">
        <w:trPr>
          <w:trHeight w:val="360"/>
        </w:trPr>
        <w:tc>
          <w:tcPr>
            <w:tcW w:w="1644" w:type="pct"/>
            <w:tcBorders>
              <w:top w:val="nil"/>
              <w:left w:val="nil"/>
              <w:bottom w:val="single" w:sz="4" w:space="0" w:color="auto"/>
              <w:right w:val="nil"/>
            </w:tcBorders>
            <w:shd w:val="clear" w:color="auto" w:fill="auto"/>
            <w:noWrap/>
            <w:vAlign w:val="bottom"/>
            <w:hideMark/>
          </w:tcPr>
          <w:p w14:paraId="06EB1B22"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Treatment</w:t>
            </w:r>
          </w:p>
        </w:tc>
        <w:tc>
          <w:tcPr>
            <w:tcW w:w="3356" w:type="pct"/>
            <w:tcBorders>
              <w:top w:val="nil"/>
              <w:left w:val="nil"/>
              <w:bottom w:val="single" w:sz="4" w:space="0" w:color="auto"/>
              <w:right w:val="nil"/>
            </w:tcBorders>
            <w:shd w:val="clear" w:color="auto" w:fill="auto"/>
            <w:vAlign w:val="bottom"/>
          </w:tcPr>
          <w:p w14:paraId="047CAC4A" w14:textId="33051313" w:rsidR="00A67B9D" w:rsidRPr="00351833" w:rsidRDefault="00A67B9D" w:rsidP="00A625FD">
            <w:pPr>
              <w:spacing w:after="0" w:line="240" w:lineRule="auto"/>
              <w:rPr>
                <w:rFonts w:ascii="Times New Roman" w:eastAsia="Times New Roman" w:hAnsi="Times New Roman" w:cs="Times New Roman"/>
                <w:sz w:val="14"/>
                <w:szCs w:val="14"/>
                <w:highlight w:val="yellow"/>
                <w:lang w:eastAsia="en-AU"/>
              </w:rPr>
            </w:pPr>
            <w:r w:rsidRPr="00351833">
              <w:rPr>
                <w:rFonts w:ascii="Times New Roman" w:eastAsia="Times New Roman" w:hAnsi="Times New Roman" w:cs="Times New Roman"/>
                <w:sz w:val="14"/>
                <w:szCs w:val="14"/>
                <w:lang w:eastAsia="en-AU"/>
              </w:rPr>
              <w:t xml:space="preserve">Basin maintenance (scraping) </w:t>
            </w:r>
            <w:r w:rsidRPr="00351833">
              <w:rPr>
                <w:rFonts w:ascii="Times New Roman" w:eastAsia="Times New Roman" w:hAnsi="Times New Roman" w:cs="Times New Roman"/>
                <w:sz w:val="14"/>
                <w:szCs w:val="14"/>
                <w:lang w:eastAsia="en-AU"/>
              </w:rPr>
              <w:fldChar w:fldCharType="begin"/>
            </w:r>
            <w:r w:rsidR="00385A52" w:rsidRPr="00351833">
              <w:rPr>
                <w:rFonts w:ascii="Times New Roman" w:eastAsia="Times New Roman" w:hAnsi="Times New Roman" w:cs="Times New Roman"/>
                <w:sz w:val="14"/>
                <w:szCs w:val="14"/>
                <w:lang w:eastAsia="en-AU"/>
              </w:rPr>
              <w:instrText xml:space="preserve"> ADDIN EN.CITE &lt;EndNote&gt;&lt;Cite&gt;&lt;Author&gt;Vanderzalm&lt;/Author&gt;&lt;Year&gt;2022&lt;/Year&gt;&lt;RecNum&gt;382&lt;/RecNum&gt;&lt;DisplayText&gt;(Vanderzalm et al., 2022)&lt;/DisplayText&gt;&lt;record&gt;&lt;rec-number&gt;382&lt;/rec-number&gt;&lt;foreign-keys&gt;&lt;key app="EN" db-id="wsfap5sa5s5ptyer0t3xrzvwva0wafez2wzt" timestamp="1651733160"&gt;382&lt;/key&gt;&lt;/foreign-keys&gt;&lt;ref-type name="Journal Article"&gt;17&lt;/ref-type&gt;&lt;contributors&gt;&lt;authors&gt;&lt;author&gt;Vanderzalm, Joanne&lt;/author&gt;&lt;author&gt;Page, Declan&lt;/author&gt;&lt;author&gt;Dillon, Peter&lt;/author&gt;&lt;author&gt;Gonzalez, Dennis&lt;/author&gt;&lt;author&gt;Petheram, Cuan&lt;/author&gt;&lt;/authors&gt;&lt;/contributors&gt;&lt;titles&gt;&lt;title&gt;Assessing the costs of Managed Aquifer Recharge options to support agricultural development&lt;/title&gt;&lt;secondary-title&gt;Agricultural Water Management&lt;/secondary-title&gt;&lt;/titles&gt;&lt;periodical&gt;&lt;full-title&gt;Agricultural Water Management&lt;/full-title&gt;&lt;/periodical&gt;&lt;volume&gt;263&lt;/volume&gt;&lt;section&gt;107437&lt;/section&gt;&lt;dates&gt;&lt;year&gt;2022&lt;/year&gt;&lt;/dates&gt;&lt;isbn&gt;03783774&lt;/isbn&gt;&lt;urls&gt;&lt;/urls&gt;&lt;electronic-resource-num&gt;10.1016/j.agwat.2021.107437&lt;/electronic-resource-num&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(Vanderzalm et al., 2022)</w:t>
            </w:r>
            <w:r w:rsidRPr="00351833">
              <w:rPr>
                <w:rFonts w:ascii="Times New Roman" w:eastAsia="Times New Roman" w:hAnsi="Times New Roman" w:cs="Times New Roman"/>
                <w:sz w:val="14"/>
                <w:szCs w:val="14"/>
                <w:lang w:eastAsia="en-AU"/>
              </w:rPr>
              <w:fldChar w:fldCharType="end"/>
            </w:r>
          </w:p>
        </w:tc>
      </w:tr>
      <w:tr w:rsidR="00351833" w:rsidRPr="00351833" w14:paraId="193E06C1"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603B01DA"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Storage potential</w:t>
            </w:r>
          </w:p>
        </w:tc>
        <w:tc>
          <w:tcPr>
            <w:tcW w:w="3356" w:type="pct"/>
            <w:tcBorders>
              <w:top w:val="nil"/>
              <w:left w:val="nil"/>
              <w:bottom w:val="single" w:sz="4" w:space="0" w:color="auto"/>
              <w:right w:val="nil"/>
            </w:tcBorders>
            <w:shd w:val="clear" w:color="auto" w:fill="auto"/>
            <w:vAlign w:val="bottom"/>
          </w:tcPr>
          <w:p w14:paraId="52C2E0FC" w14:textId="77777777" w:rsidR="00A67B9D" w:rsidRPr="00351833" w:rsidRDefault="00A67B9D" w:rsidP="00A625FD">
            <w:pPr>
              <w:spacing w:after="0" w:line="240" w:lineRule="auto"/>
              <w:rPr>
                <w:rFonts w:ascii="Times New Roman" w:eastAsia="Times New Roman" w:hAnsi="Times New Roman" w:cs="Times New Roman"/>
                <w:sz w:val="14"/>
                <w:szCs w:val="14"/>
                <w:highlight w:val="yellow"/>
                <w:lang w:eastAsia="en-AU"/>
              </w:rPr>
            </w:pPr>
            <w:r w:rsidRPr="00351833">
              <w:rPr>
                <w:rFonts w:ascii="Times New Roman" w:eastAsia="Times New Roman" w:hAnsi="Times New Roman" w:cs="Times New Roman"/>
                <w:sz w:val="14"/>
                <w:szCs w:val="14"/>
                <w:lang w:eastAsia="en-AU"/>
              </w:rPr>
              <w:t xml:space="preserve">4 MCM, depth to water ~10 m in region near Gunnedah, effective porosity 20-25% across radius of 1 km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DI&lt;/Author&gt;&lt;Year&gt;2018&lt;/Year&gt;&lt;RecNum&gt;444&lt;/RecNum&gt;&lt;DisplayText&gt;(Heath, 1983; NSW DI, 2018c)&lt;/DisplayText&gt;&lt;record&gt;&lt;rec-number&gt;444&lt;/rec-number&gt;&lt;foreign-keys&gt;&lt;key app="EN" db-id="wsfap5sa5s5ptyer0t3xrzvwva0wafez2wzt" timestamp="1676873484"&gt;444&lt;/key&gt;&lt;/foreign-keys&gt;&lt;ref-type name="Government Document"&gt;46&lt;/ref-type&gt;&lt;contributors&gt;&lt;authors&gt;&lt;author&gt;NSW DI,&lt;/author&gt;&lt;/authors&gt;&lt;/contributors&gt;&lt;titles&gt;&lt;title&gt;Namoi Alluvium Water Resource Plan - Groundwater Resource Description&lt;/title&gt;&lt;/titles&gt;&lt;pages&gt;95&lt;/pages&gt;&lt;dates&gt;&lt;year&gt;2018&lt;/year&gt;&lt;/dates&gt;&lt;pub-location&gt;Sydney, Australia&lt;/pub-location&gt;&lt;publisher&gt;NSW Department of Industry&lt;/publisher&gt;&lt;urls&gt;&lt;related-urls&gt;&lt;url&gt;https://www.industry.nsw.gov.au/__data/assets/pdf_file/0017/230804/Namoi-Alluvium-WRP-resource-description.pdf&lt;/url&gt;&lt;/related-urls&gt;&lt;/urls&gt;&lt;access-date&gt;20 Feb 2023&lt;/access-date&gt;&lt;/record&gt;&lt;/Cite&gt;&lt;Cite&gt;&lt;Author&gt;Heath&lt;/Author&gt;&lt;Year&gt;1983&lt;/Year&gt;&lt;RecNum&gt;246&lt;/RecNum&gt;&lt;record&gt;&lt;rec-number&gt;246&lt;/rec-number&gt;&lt;foreign-keys&gt;&lt;key app="EN" db-id="wsfap5sa5s5ptyer0t3xrzvwva0wafez2wzt" timestamp="1601446403"&gt;246&lt;/key&gt;&lt;/foreign-keys&gt;&lt;ref-type name="Book"&gt;6&lt;/ref-type&gt;&lt;contributors&gt;&lt;authors&gt;&lt;author&gt;Heath, Ralph C&lt;/author&gt;&lt;/authors&gt;&lt;/contributors&gt;&lt;titles&gt;&lt;title&gt;Basic ground-water hydrology&lt;/title&gt;&lt;/titles&gt;&lt;volume&gt;2220&lt;/volume&gt;&lt;dates&gt;&lt;year&gt;1983&lt;/year&gt;&lt;/dates&gt;&lt;publisher&gt;US Department of the Interior, US Geological Survey&lt;/publisher&gt;&lt;urls&gt;&lt;related-urls&gt;&lt;url&gt;https://pubs.usgs.gov/wsp/2220/report.pdf&lt;/url&gt;&lt;/related-urls&gt;&lt;/urls&gt;&lt;access-date&gt;22 Nov 2022&lt;/access-date&gt;&lt;/record&gt;&lt;/Cite&gt;&lt;/EndNote&gt;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(Heath, 1983; NSW DI, 2018c)</w:t>
            </w:r>
            <w:r w:rsidRPr="00351833">
              <w:rPr>
                <w:rFonts w:ascii="Times New Roman" w:eastAsia="Times New Roman" w:hAnsi="Times New Roman" w:cs="Times New Roman"/>
                <w:sz w:val="14"/>
                <w:szCs w:val="14"/>
                <w:lang w:eastAsia="en-AU"/>
              </w:rPr>
              <w:fldChar w:fldCharType="end"/>
            </w:r>
          </w:p>
        </w:tc>
      </w:tr>
      <w:tr w:rsidR="00351833" w:rsidRPr="00351833" w14:paraId="5B34B007" w14:textId="77777777" w:rsidTr="00A625FD">
        <w:trPr>
          <w:trHeight w:val="180"/>
        </w:trPr>
        <w:tc>
          <w:tcPr>
            <w:tcW w:w="1644" w:type="pct"/>
            <w:tcBorders>
              <w:top w:val="nil"/>
              <w:left w:val="nil"/>
              <w:bottom w:val="single" w:sz="4" w:space="0" w:color="auto"/>
              <w:right w:val="nil"/>
            </w:tcBorders>
            <w:shd w:val="clear" w:color="auto" w:fill="auto"/>
            <w:vAlign w:val="bottom"/>
            <w:hideMark/>
          </w:tcPr>
          <w:p w14:paraId="7B95E078"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Design capacity</w:t>
            </w:r>
          </w:p>
        </w:tc>
        <w:tc>
          <w:tcPr>
            <w:tcW w:w="3356" w:type="pct"/>
            <w:tcBorders>
              <w:top w:val="nil"/>
              <w:left w:val="nil"/>
              <w:bottom w:val="single" w:sz="4" w:space="0" w:color="auto"/>
              <w:right w:val="nil"/>
            </w:tcBorders>
            <w:shd w:val="clear" w:color="auto" w:fill="auto"/>
            <w:vAlign w:val="bottom"/>
          </w:tcPr>
          <w:p w14:paraId="3FD14AF0" w14:textId="77777777" w:rsidR="00A67B9D" w:rsidRPr="00351833" w:rsidRDefault="00A67B9D" w:rsidP="00A625FD">
            <w:pPr>
              <w:spacing w:after="0" w:line="240" w:lineRule="auto"/>
              <w:rPr>
                <w:rFonts w:ascii="Times New Roman" w:eastAsia="Times New Roman" w:hAnsi="Times New Roman" w:cs="Times New Roman"/>
                <w:sz w:val="14"/>
                <w:szCs w:val="14"/>
                <w:highlight w:val="yellow"/>
                <w:lang w:eastAsia="en-AU"/>
              </w:rPr>
            </w:pPr>
            <w:r w:rsidRPr="00351833">
              <w:rPr>
                <w:rFonts w:ascii="Times New Roman" w:eastAsia="Times New Roman" w:hAnsi="Times New Roman" w:cs="Times New Roman"/>
                <w:sz w:val="14"/>
                <w:szCs w:val="14"/>
                <w:lang w:eastAsia="en-AU"/>
              </w:rPr>
              <w:t>1 MCM/y to reach capacity over 4-5 years</w:t>
            </w:r>
          </w:p>
        </w:tc>
      </w:tr>
      <w:tr w:rsidR="00351833" w:rsidRPr="00351833" w14:paraId="28EAAAA1" w14:textId="77777777" w:rsidTr="00A625FD">
        <w:trPr>
          <w:trHeight w:val="180"/>
        </w:trPr>
        <w:tc>
          <w:tcPr>
            <w:tcW w:w="1644" w:type="pct"/>
            <w:tcBorders>
              <w:top w:val="nil"/>
              <w:left w:val="nil"/>
              <w:bottom w:val="single" w:sz="4" w:space="0" w:color="auto"/>
              <w:right w:val="nil"/>
            </w:tcBorders>
            <w:shd w:val="clear" w:color="auto" w:fill="auto"/>
            <w:vAlign w:val="bottom"/>
            <w:hideMark/>
          </w:tcPr>
          <w:p w14:paraId="0F51EA64"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Recharge rate/bore yield</w:t>
            </w:r>
          </w:p>
        </w:tc>
        <w:tc>
          <w:tcPr>
            <w:tcW w:w="3356" w:type="pct"/>
            <w:tcBorders>
              <w:top w:val="nil"/>
              <w:left w:val="nil"/>
              <w:bottom w:val="single" w:sz="4" w:space="0" w:color="auto"/>
              <w:right w:val="nil"/>
            </w:tcBorders>
            <w:shd w:val="clear" w:color="auto" w:fill="auto"/>
            <w:vAlign w:val="bottom"/>
          </w:tcPr>
          <w:p w14:paraId="5499BCBE"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Moderate-high, bore yields up to 1500 ML/y (47 L/s) , average around 200 ML/y (6 L/s), mainly stock and domestic bores in area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DI&lt;/Author&gt;&lt;Year&gt;2018&lt;/Year&gt;&lt;RecNum&gt;444&lt;/RecNum&gt;&lt;DisplayText&gt;(NSW DI, 2018c)&lt;/DisplayText&gt;&lt;record&gt;&lt;rec-number&gt;444&lt;/rec-number&gt;&lt;foreign-keys&gt;&lt;key app="EN" db-id="wsfap5sa5s5ptyer0t3xrzvwva0wafez2wzt" timestamp="1676873484"&gt;444&lt;/key&gt;&lt;/foreign-keys&gt;&lt;ref-type name="Government Document"&gt;46&lt;/ref-type&gt;&lt;contributors&gt;&lt;authors&gt;&lt;author&gt;NSW DI,&lt;/author&gt;&lt;/authors&gt;&lt;/contributors&gt;&lt;titles&gt;&lt;title&gt;Namoi Alluvium Water Resource Plan - Groundwater Resource Description&lt;/title&gt;&lt;/titles&gt;&lt;pages&gt;95&lt;/pages&gt;&lt;dates&gt;&lt;year&gt;2018&lt;/year&gt;&lt;/dates&gt;&lt;pub-location&gt;Sydney, Australia&lt;/pub-location&gt;&lt;publisher&gt;NSW Department of Industry&lt;/publisher&gt;&lt;urls&gt;&lt;related-urls&gt;&lt;url&gt;https://www.industry.nsw.gov.au/__data/assets/pdf_file/0017/230804/Namoi-Alluvium-WRP-resource-description.pdf&lt;/url&gt;&lt;/related-urls&gt;&lt;/urls&gt;&lt;access-date&gt;20 Feb 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DI, 2018c)</w:t>
            </w:r>
            <w:r w:rsidRPr="00351833">
              <w:rPr>
                <w:rFonts w:ascii="Times New Roman" w:eastAsia="Times New Roman" w:hAnsi="Times New Roman" w:cs="Times New Roman"/>
                <w:sz w:val="14"/>
                <w:szCs w:val="14"/>
                <w:lang w:eastAsia="en-AU"/>
              </w:rPr>
              <w:fldChar w:fldCharType="end"/>
            </w:r>
          </w:p>
        </w:tc>
      </w:tr>
      <w:tr w:rsidR="00A67B9D" w:rsidRPr="00351833" w14:paraId="40D32DC0" w14:textId="77777777" w:rsidTr="00A625FD">
        <w:trPr>
          <w:trHeight w:val="360"/>
        </w:trPr>
        <w:tc>
          <w:tcPr>
            <w:tcW w:w="1644" w:type="pct"/>
            <w:tcBorders>
              <w:top w:val="nil"/>
              <w:left w:val="nil"/>
              <w:bottom w:val="single" w:sz="4" w:space="0" w:color="auto"/>
              <w:right w:val="nil"/>
            </w:tcBorders>
            <w:shd w:val="clear" w:color="auto" w:fill="auto"/>
            <w:vAlign w:val="bottom"/>
            <w:hideMark/>
          </w:tcPr>
          <w:p w14:paraId="4DA0A1A7"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Recovery efficiency</w:t>
            </w:r>
          </w:p>
        </w:tc>
        <w:tc>
          <w:tcPr>
            <w:tcW w:w="3356" w:type="pct"/>
            <w:tcBorders>
              <w:top w:val="nil"/>
              <w:left w:val="nil"/>
              <w:bottom w:val="single" w:sz="4" w:space="0" w:color="auto"/>
              <w:right w:val="nil"/>
            </w:tcBorders>
            <w:shd w:val="clear" w:color="auto" w:fill="auto"/>
            <w:vAlign w:val="bottom"/>
          </w:tcPr>
          <w:p w14:paraId="2666623B" w14:textId="77777777" w:rsidR="00A67B9D" w:rsidRPr="00351833" w:rsidRDefault="00A67B9D" w:rsidP="00A625FD">
            <w:pPr>
              <w:spacing w:after="0" w:line="240" w:lineRule="auto"/>
              <w:rPr>
                <w:rFonts w:ascii="Times New Roman" w:eastAsia="Times New Roman" w:hAnsi="Times New Roman" w:cs="Times New Roman"/>
                <w:sz w:val="14"/>
                <w:szCs w:val="14"/>
                <w:lang w:eastAsia="en-AU"/>
              </w:rPr>
            </w:pPr>
            <w:r w:rsidRPr="00351833">
              <w:rPr>
                <w:rFonts w:ascii="Times New Roman" w:eastAsia="Times New Roman" w:hAnsi="Times New Roman" w:cs="Times New Roman"/>
                <w:sz w:val="14"/>
                <w:szCs w:val="14"/>
                <w:lang w:eastAsia="en-AU"/>
              </w:rPr>
              <w:t xml:space="preserve">Moderate to high, mainly fresh groundwater, areas of brackish and saline water </w:t>
            </w:r>
            <w:r w:rsidRPr="00351833">
              <w:rPr>
                <w:rFonts w:ascii="Times New Roman" w:eastAsia="Times New Roman" w:hAnsi="Times New Roman" w:cs="Times New Roman"/>
                <w:sz w:val="14"/>
                <w:szCs w:val="14"/>
                <w:lang w:eastAsia="en-AU"/>
              </w:rPr>
              <w:fldChar w:fldCharType="begin"/>
            </w:r>
            <w:r w:rsidRPr="00351833">
              <w:rPr>
                <w:rFonts w:ascii="Times New Roman" w:eastAsia="Times New Roman" w:hAnsi="Times New Roman" w:cs="Times New Roman"/>
                <w:sz w:val="14"/>
                <w:szCs w:val="14"/>
                <w:lang w:eastAsia="en-AU"/>
              </w:rPr>
              <w:instrText xml:space="preserve"> ADDIN EN.CITE &lt;EndNote&gt;&lt;Cite&gt;&lt;Author&gt;NSW DI&lt;/Author&gt;&lt;Year&gt;2018&lt;/Year&gt;&lt;RecNum&gt;444&lt;/RecNum&gt;&lt;DisplayText&gt;(NSW DI, 2018c)&lt;/DisplayText&gt;&lt;record&gt;&lt;rec-number&gt;444&lt;/rec-number&gt;&lt;foreign-keys&gt;&lt;key app="EN" db-id="wsfap5sa5s5ptyer0t3xrzvwva0wafez2wzt" timestamp="1676873484"&gt;444&lt;/key&gt;&lt;/foreign-keys&gt;&lt;ref-type name="Government Document"&gt;46&lt;/ref-type&gt;&lt;contributors&gt;&lt;authors&gt;&lt;author&gt;NSW DI,&lt;/author&gt;&lt;/authors&gt;&lt;/contributors&gt;&lt;titles&gt;&lt;title&gt;Namoi Alluvium Water Resource Plan - Groundwater Resource Description&lt;/title&gt;&lt;/titles&gt;&lt;pages&gt;95&lt;/pages&gt;&lt;dates&gt;&lt;year&gt;2018&lt;/year&gt;&lt;/dates&gt;&lt;pub-location&gt;Sydney, Australia&lt;/pub-location&gt;&lt;publisher&gt;NSW Department of Industry&lt;/publisher&gt;&lt;urls&gt;&lt;related-urls&gt;&lt;url&gt;https://www.industry.nsw.gov.au/__data/assets/pdf_file/0017/230804/Namoi-Alluvium-WRP-resource-description.pdf&lt;/url&gt;&lt;/related-urls&gt;&lt;/urls&gt;&lt;access-date&gt;20 Feb 2023&lt;/access-date&gt;&lt;/record&gt;&lt;/Cite&gt;&lt;/EndNote&gt;</w:instrText>
            </w:r>
            <w:r w:rsidRPr="00351833">
              <w:rPr>
                <w:rFonts w:ascii="Times New Roman" w:eastAsia="Times New Roman" w:hAnsi="Times New Roman" w:cs="Times New Roman"/>
                <w:sz w:val="14"/>
                <w:szCs w:val="14"/>
                <w:lang w:eastAsia="en-AU"/>
              </w:rPr>
              <w:fldChar w:fldCharType="separate"/>
            </w:r>
            <w:r w:rsidRPr="00351833">
              <w:rPr>
                <w:rFonts w:ascii="Times New Roman" w:eastAsia="Times New Roman" w:hAnsi="Times New Roman" w:cs="Times New Roman"/>
                <w:noProof/>
                <w:sz w:val="14"/>
                <w:szCs w:val="14"/>
                <w:lang w:eastAsia="en-AU"/>
              </w:rPr>
              <w:t>(NSW DI, 2018c)</w:t>
            </w:r>
            <w:r w:rsidRPr="00351833">
              <w:rPr>
                <w:rFonts w:ascii="Times New Roman" w:eastAsia="Times New Roman" w:hAnsi="Times New Roman" w:cs="Times New Roman"/>
                <w:sz w:val="14"/>
                <w:szCs w:val="14"/>
                <w:lang w:eastAsia="en-AU"/>
              </w:rPr>
              <w:fldChar w:fldCharType="end"/>
            </w:r>
          </w:p>
        </w:tc>
      </w:tr>
    </w:tbl>
    <w:p w14:paraId="008F010F" w14:textId="77777777" w:rsidR="00A67B9D" w:rsidRPr="00351833" w:rsidRDefault="00A67B9D" w:rsidP="00A67B9D">
      <w:pPr>
        <w:rPr>
          <w:rFonts w:ascii="Times New Roman" w:hAnsi="Times New Roman" w:cs="Times New Roman"/>
          <w:lang w:val="en-US"/>
        </w:rPr>
      </w:pPr>
    </w:p>
    <w:p w14:paraId="68152437" w14:textId="77777777" w:rsidR="002357FD" w:rsidRPr="00351833" w:rsidRDefault="002357FD">
      <w:pPr>
        <w:rPr>
          <w:rFonts w:ascii="Times New Roman" w:eastAsiaTheme="majorEastAsia" w:hAnsi="Times New Roman" w:cs="Times New Roman"/>
          <w:sz w:val="32"/>
          <w:szCs w:val="32"/>
        </w:rPr>
      </w:pPr>
      <w:r w:rsidRPr="00351833">
        <w:rPr>
          <w:rFonts w:ascii="Times New Roman" w:hAnsi="Times New Roman" w:cs="Times New Roman"/>
        </w:rPr>
        <w:br w:type="page"/>
      </w:r>
    </w:p>
    <w:p w14:paraId="2187D2F4" w14:textId="455B4713" w:rsidR="00E1540E" w:rsidRPr="00E1540E" w:rsidRDefault="00E1540E" w:rsidP="00E1540E">
      <w:pPr>
        <w:pStyle w:val="Heading2"/>
        <w:rPr>
          <w:rFonts w:ascii="Times New Roman" w:hAnsi="Times New Roman" w:cs="Times New Roman"/>
          <w:color w:val="auto"/>
          <w:lang w:bidi="en-US"/>
        </w:rPr>
      </w:pPr>
      <w:r>
        <w:rPr>
          <w:rFonts w:ascii="Times New Roman" w:hAnsi="Times New Roman" w:cs="Times New Roman"/>
          <w:color w:val="auto"/>
          <w:lang w:bidi="en-US"/>
        </w:rPr>
        <w:lastRenderedPageBreak/>
        <w:t>Model equations</w:t>
      </w:r>
    </w:p>
    <w:p w14:paraId="2F98DBEF" w14:textId="05E947CD"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Recharge volume time series (</w:t>
      </w:r>
      <w:proofErr w:type="spellStart"/>
      <w:proofErr w:type="gramStart"/>
      <w:r w:rsidRPr="00351833">
        <w:rPr>
          <w:rFonts w:ascii="Times New Roman" w:hAnsi="Times New Roman" w:cs="Times New Roman"/>
          <w:i/>
          <w:iCs/>
          <w:sz w:val="20"/>
          <w:lang w:bidi="en-US"/>
        </w:rPr>
        <w:t>Rech</w:t>
      </w:r>
      <w:r w:rsidRPr="00351833">
        <w:rPr>
          <w:rFonts w:ascii="Times New Roman" w:hAnsi="Times New Roman" w:cs="Times New Roman"/>
          <w:i/>
          <w:iCs/>
          <w:sz w:val="20"/>
          <w:vertAlign w:val="subscript"/>
          <w:lang w:bidi="en-US"/>
        </w:rPr>
        <w:t>i</w:t>
      </w:r>
      <w:r w:rsidR="00351833">
        <w:rPr>
          <w:rFonts w:ascii="Times New Roman" w:hAnsi="Times New Roman" w:cs="Times New Roman"/>
          <w:i/>
          <w:iCs/>
          <w:sz w:val="20"/>
          <w:vertAlign w:val="subscript"/>
          <w:lang w:bidi="en-US"/>
        </w:rPr>
        <w:t>,t</w:t>
      </w:r>
      <w:proofErr w:type="spellEnd"/>
      <w:proofErr w:type="gramEnd"/>
      <w:r w:rsidRPr="00351833">
        <w:rPr>
          <w:rFonts w:ascii="Times New Roman" w:hAnsi="Times New Roman" w:cs="Times New Roman"/>
          <w:sz w:val="20"/>
          <w:lang w:bidi="en-US"/>
        </w:rPr>
        <w:t>) were calculated for each iteration as:</w:t>
      </w:r>
    </w:p>
    <w:p w14:paraId="163A1D1E" w14:textId="5CAAA35D" w:rsidR="002357FD" w:rsidRPr="00351833" w:rsidRDefault="00F57D29" w:rsidP="002357FD">
      <w:pPr>
        <w:rPr>
          <w:rFonts w:ascii="Times New Roman" w:hAnsi="Times New Roman" w:cs="Times New Roman"/>
          <w:sz w:val="20"/>
          <w:lang w:bidi="en-US"/>
        </w:rPr>
      </w:pPr>
      <m:oMathPara>
        <m:oMathParaPr>
          <m:jc m:val="center"/>
        </m:oMathParaPr>
        <m:oMath>
          <m:sSub>
            <m:sSubPr>
              <m:ctrlPr>
                <w:rPr>
                  <w:rFonts w:ascii="Cambria Math" w:hAnsi="Cambria Math" w:cs="Times New Roman"/>
                  <w:i/>
                  <w:sz w:val="20"/>
                  <w:lang w:bidi="en-US"/>
                </w:rPr>
              </m:ctrlPr>
            </m:sSubPr>
            <m:e>
              <m:r>
                <w:rPr>
                  <w:rFonts w:ascii="Cambria Math" w:hAnsi="Cambria Math" w:cs="Times New Roman"/>
                  <w:sz w:val="20"/>
                  <w:lang w:bidi="en-US"/>
                </w:rPr>
                <m:t>Rech</m:t>
              </m:r>
            </m:e>
            <m:sub>
              <m:r>
                <w:rPr>
                  <w:rFonts w:ascii="Cambria Math" w:hAnsi="Cambria Math" w:cs="Times New Roman"/>
                  <w:sz w:val="20"/>
                  <w:lang w:bidi="en-US"/>
                </w:rPr>
                <m:t>i,t</m:t>
              </m:r>
            </m:sub>
          </m:sSub>
          <m:r>
            <w:rPr>
              <w:rFonts w:ascii="Cambria Math" w:hAnsi="Cambria Math" w:cs="Times New Roman"/>
              <w:sz w:val="20"/>
              <w:lang w:bidi="en-US"/>
            </w:rPr>
            <m:t>=</m:t>
          </m:r>
          <m:d>
            <m:dPr>
              <m:begChr m:val="{"/>
              <m:endChr m:val=""/>
              <m:ctrlPr>
                <w:rPr>
                  <w:rFonts w:ascii="Cambria Math" w:hAnsi="Cambria Math" w:cs="Times New Roman"/>
                  <w:i/>
                  <w:sz w:val="20"/>
                  <w:lang w:bidi="en-US"/>
                </w:rPr>
              </m:ctrlPr>
            </m:dPr>
            <m:e>
              <m:eqArr>
                <m:eqArrPr>
                  <m:ctrlPr>
                    <w:rPr>
                      <w:rFonts w:ascii="Cambria Math" w:hAnsi="Cambria Math" w:cs="Times New Roman"/>
                      <w:i/>
                      <w:sz w:val="20"/>
                      <w:lang w:bidi="en-US"/>
                    </w:rPr>
                  </m:ctrlPr>
                </m:eqArrPr>
                <m:e>
                  <m:r>
                    <m:rPr>
                      <m:sty m:val="p"/>
                    </m:rPr>
                    <w:rPr>
                      <w:rFonts w:ascii="Cambria Math" w:hAnsi="Cambria Math" w:cs="Times New Roman"/>
                      <w:sz w:val="20"/>
                      <w:lang w:bidi="en-US"/>
                    </w:rPr>
                    <m:t>C</m:t>
                  </m:r>
                  <m:r>
                    <w:rPr>
                      <w:rFonts w:ascii="Cambria Math" w:hAnsi="Cambria Math" w:cs="Times New Roman"/>
                      <w:sz w:val="20"/>
                      <w:lang w:bidi="en-US"/>
                    </w:rPr>
                    <m:t xml:space="preserve"> if </m:t>
                  </m:r>
                  <m:sSub>
                    <m:sSubPr>
                      <m:ctrlPr>
                        <w:rPr>
                          <w:rFonts w:ascii="Cambria Math" w:hAnsi="Cambria Math" w:cs="Times New Roman"/>
                          <w:sz w:val="20"/>
                          <w:lang w:bidi="en-US"/>
                        </w:rPr>
                      </m:ctrlPr>
                    </m:sSubPr>
                    <m:e>
                      <m:r>
                        <m:rPr>
                          <m:sty m:val="p"/>
                        </m:rPr>
                        <w:rPr>
                          <w:rFonts w:ascii="Cambria Math" w:hAnsi="Cambria Math" w:cs="Times New Roman"/>
                          <w:sz w:val="20"/>
                          <w:lang w:bidi="en-US"/>
                        </w:rPr>
                        <m:t>D</m:t>
                      </m:r>
                    </m:e>
                    <m:sub>
                      <m:r>
                        <w:rPr>
                          <w:rFonts w:ascii="Cambria Math" w:hAnsi="Cambria Math" w:cs="Times New Roman"/>
                          <w:sz w:val="20"/>
                          <w:lang w:bidi="en-US"/>
                        </w:rPr>
                        <m:t>t</m:t>
                      </m:r>
                    </m:sub>
                  </m:sSub>
                  <m:r>
                    <m:rPr>
                      <m:sty m:val="p"/>
                    </m:rPr>
                    <w:rPr>
                      <w:rFonts w:ascii="Cambria Math" w:hAnsi="Cambria Math" w:cs="Times New Roman"/>
                      <w:sz w:val="20"/>
                      <w:lang w:bidi="en-US"/>
                    </w:rPr>
                    <m:t xml:space="preserve">≥ </m:t>
                  </m:r>
                  <m:sSub>
                    <m:sSubPr>
                      <m:ctrlPr>
                        <w:rPr>
                          <w:rFonts w:ascii="Cambria Math" w:hAnsi="Cambria Math" w:cs="Times New Roman"/>
                          <w:sz w:val="20"/>
                          <w:lang w:bidi="en-US"/>
                        </w:rPr>
                      </m:ctrlPr>
                    </m:sSubPr>
                    <m:e>
                      <m:r>
                        <m:rPr>
                          <m:sty m:val="p"/>
                        </m:rPr>
                        <w:rPr>
                          <w:rFonts w:ascii="Cambria Math" w:hAnsi="Cambria Math" w:cs="Times New Roman"/>
                          <w:sz w:val="20"/>
                          <w:lang w:bidi="en-US"/>
                        </w:rPr>
                        <m:t>T</m:t>
                      </m:r>
                    </m:e>
                    <m:sub>
                      <m:r>
                        <w:rPr>
                          <w:rFonts w:ascii="Cambria Math" w:hAnsi="Cambria Math" w:cs="Times New Roman"/>
                          <w:sz w:val="20"/>
                          <w:lang w:bidi="en-US"/>
                        </w:rPr>
                        <m:t>i</m:t>
                      </m:r>
                    </m:sub>
                  </m:sSub>
                  <m:r>
                    <m:rPr>
                      <m:sty m:val="p"/>
                    </m:rPr>
                    <w:rPr>
                      <w:rFonts w:ascii="Cambria Math" w:hAnsi="Cambria Math" w:cs="Times New Roman"/>
                      <w:sz w:val="20"/>
                      <w:lang w:bidi="en-US"/>
                    </w:rPr>
                    <m:t>,</m:t>
                  </m:r>
                </m:e>
                <m:e>
                  <m:sSub>
                    <m:sSubPr>
                      <m:ctrlPr>
                        <w:rPr>
                          <w:rFonts w:ascii="Cambria Math" w:hAnsi="Cambria Math" w:cs="Times New Roman"/>
                          <w:i/>
                          <w:sz w:val="20"/>
                          <w:lang w:bidi="en-US"/>
                        </w:rPr>
                      </m:ctrlPr>
                    </m:sSubPr>
                    <m:e>
                      <m:r>
                        <w:rPr>
                          <w:rFonts w:ascii="Cambria Math" w:hAnsi="Cambria Math" w:cs="Times New Roman"/>
                          <w:sz w:val="20"/>
                          <w:lang w:bidi="en-US"/>
                        </w:rPr>
                        <m:t>0</m:t>
                      </m:r>
                    </m:e>
                    <m:sub>
                      <m:r>
                        <w:rPr>
                          <w:rFonts w:ascii="Cambria Math" w:hAnsi="Cambria Math" w:cs="Times New Roman"/>
                          <w:sz w:val="20"/>
                          <w:lang w:bidi="en-US"/>
                        </w:rPr>
                        <m:t>t</m:t>
                      </m:r>
                    </m:sub>
                  </m:sSub>
                  <m:r>
                    <w:rPr>
                      <w:rFonts w:ascii="Cambria Math" w:hAnsi="Cambria Math" w:cs="Times New Roman"/>
                      <w:sz w:val="20"/>
                      <w:lang w:bidi="en-US"/>
                    </w:rPr>
                    <m:t xml:space="preserve"> otherwise</m:t>
                  </m:r>
                </m:e>
              </m:eqArr>
            </m:e>
          </m:d>
        </m:oMath>
      </m:oMathPara>
    </w:p>
    <w:p w14:paraId="4E7BD1B4" w14:textId="77777777" w:rsidR="002357FD" w:rsidRPr="00351833" w:rsidRDefault="002357FD" w:rsidP="002357FD">
      <w:pPr>
        <w:jc w:val="right"/>
        <w:rPr>
          <w:rFonts w:ascii="Times New Roman" w:hAnsi="Times New Roman" w:cs="Times New Roman"/>
          <w:sz w:val="20"/>
          <w:lang w:bidi="en-US"/>
        </w:rPr>
      </w:pPr>
      <w:r w:rsidRPr="00351833">
        <w:rPr>
          <w:rFonts w:ascii="Times New Roman" w:hAnsi="Times New Roman" w:cs="Times New Roman"/>
          <w:sz w:val="20"/>
          <w:lang w:bidi="en-US"/>
        </w:rPr>
        <w:t>(1)</w:t>
      </w:r>
    </w:p>
    <w:p w14:paraId="7F28BD01" w14:textId="653A8D55"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Where C is scheme capacity, D is river discharge in year </w:t>
      </w:r>
      <w:r w:rsidRPr="00351833">
        <w:rPr>
          <w:rFonts w:ascii="Times New Roman" w:hAnsi="Times New Roman" w:cs="Times New Roman"/>
          <w:i/>
          <w:iCs/>
          <w:sz w:val="20"/>
          <w:lang w:bidi="en-US"/>
        </w:rPr>
        <w:t>t</w:t>
      </w:r>
      <w:r w:rsidRPr="00351833">
        <w:rPr>
          <w:rFonts w:ascii="Times New Roman" w:hAnsi="Times New Roman" w:cs="Times New Roman"/>
          <w:sz w:val="20"/>
          <w:lang w:bidi="en-US"/>
        </w:rPr>
        <w:t xml:space="preserve">, and T is the operational trigger variable for iteration </w:t>
      </w:r>
      <w:proofErr w:type="spellStart"/>
      <w:r w:rsidRPr="00351833">
        <w:rPr>
          <w:rFonts w:ascii="Times New Roman" w:hAnsi="Times New Roman" w:cs="Times New Roman"/>
          <w:i/>
          <w:iCs/>
          <w:sz w:val="20"/>
          <w:lang w:bidi="en-US"/>
        </w:rPr>
        <w:t>i</w:t>
      </w:r>
      <w:proofErr w:type="spellEnd"/>
      <w:r w:rsidRPr="00351833">
        <w:rPr>
          <w:rFonts w:ascii="Times New Roman" w:hAnsi="Times New Roman" w:cs="Times New Roman"/>
          <w:sz w:val="20"/>
          <w:lang w:bidi="en-US"/>
        </w:rPr>
        <w:t>. A Boolean time series of recharge years (</w:t>
      </w:r>
      <w:proofErr w:type="spellStart"/>
      <w:r w:rsidRPr="00351833">
        <w:rPr>
          <w:rFonts w:ascii="Times New Roman" w:hAnsi="Times New Roman" w:cs="Times New Roman"/>
          <w:i/>
          <w:iCs/>
          <w:sz w:val="20"/>
          <w:lang w:bidi="en-US"/>
        </w:rPr>
        <w:t>Rech_</w:t>
      </w:r>
      <w:proofErr w:type="gramStart"/>
      <w:r w:rsidRPr="00351833">
        <w:rPr>
          <w:rFonts w:ascii="Times New Roman" w:hAnsi="Times New Roman" w:cs="Times New Roman"/>
          <w:i/>
          <w:iCs/>
          <w:sz w:val="20"/>
          <w:lang w:bidi="en-US"/>
        </w:rPr>
        <w:t>y</w:t>
      </w:r>
      <w:r w:rsidRPr="00351833">
        <w:rPr>
          <w:rFonts w:ascii="Times New Roman" w:hAnsi="Times New Roman" w:cs="Times New Roman"/>
          <w:i/>
          <w:iCs/>
          <w:sz w:val="20"/>
          <w:vertAlign w:val="subscript"/>
          <w:lang w:bidi="en-US"/>
        </w:rPr>
        <w:t>i</w:t>
      </w:r>
      <w:r w:rsidR="00351833">
        <w:rPr>
          <w:rFonts w:ascii="Times New Roman" w:hAnsi="Times New Roman" w:cs="Times New Roman"/>
          <w:i/>
          <w:iCs/>
          <w:sz w:val="20"/>
          <w:vertAlign w:val="subscript"/>
          <w:lang w:bidi="en-US"/>
        </w:rPr>
        <w:t>,</w:t>
      </w:r>
      <w:r w:rsidRPr="00351833">
        <w:rPr>
          <w:rFonts w:ascii="Times New Roman" w:hAnsi="Times New Roman" w:cs="Times New Roman"/>
          <w:i/>
          <w:iCs/>
          <w:sz w:val="20"/>
          <w:vertAlign w:val="subscript"/>
          <w:lang w:bidi="en-US"/>
        </w:rPr>
        <w:t>t</w:t>
      </w:r>
      <w:proofErr w:type="spellEnd"/>
      <w:proofErr w:type="gramEnd"/>
      <w:r w:rsidRPr="00351833">
        <w:rPr>
          <w:rFonts w:ascii="Times New Roman" w:hAnsi="Times New Roman" w:cs="Times New Roman"/>
          <w:sz w:val="20"/>
          <w:lang w:bidi="en-US"/>
        </w:rPr>
        <w:t xml:space="preserve">) was calculated where </w:t>
      </w:r>
      <w:proofErr w:type="spellStart"/>
      <w:r w:rsidRPr="00351833">
        <w:rPr>
          <w:rFonts w:ascii="Times New Roman" w:hAnsi="Times New Roman" w:cs="Times New Roman"/>
          <w:i/>
          <w:iCs/>
          <w:sz w:val="20"/>
          <w:lang w:bidi="en-US"/>
        </w:rPr>
        <w:t>Rech</w:t>
      </w:r>
      <w:r w:rsidRPr="00351833">
        <w:rPr>
          <w:rFonts w:ascii="Times New Roman" w:hAnsi="Times New Roman" w:cs="Times New Roman"/>
          <w:i/>
          <w:iCs/>
          <w:sz w:val="20"/>
          <w:vertAlign w:val="subscript"/>
          <w:lang w:bidi="en-US"/>
        </w:rPr>
        <w:t>i</w:t>
      </w:r>
      <w:r w:rsidR="00351833">
        <w:rPr>
          <w:rFonts w:ascii="Times New Roman" w:hAnsi="Times New Roman" w:cs="Times New Roman"/>
          <w:i/>
          <w:iCs/>
          <w:sz w:val="20"/>
          <w:vertAlign w:val="subscript"/>
          <w:lang w:bidi="en-US"/>
        </w:rPr>
        <w:t>,</w:t>
      </w:r>
      <w:r w:rsidRPr="00351833">
        <w:rPr>
          <w:rFonts w:ascii="Times New Roman" w:hAnsi="Times New Roman" w:cs="Times New Roman"/>
          <w:i/>
          <w:iCs/>
          <w:sz w:val="20"/>
          <w:vertAlign w:val="subscript"/>
          <w:lang w:bidi="en-US"/>
        </w:rPr>
        <w:t>t</w:t>
      </w:r>
      <w:proofErr w:type="spellEnd"/>
      <w:r w:rsidRPr="00351833">
        <w:rPr>
          <w:rFonts w:ascii="Times New Roman" w:hAnsi="Times New Roman" w:cs="Times New Roman"/>
          <w:sz w:val="20"/>
          <w:lang w:bidi="en-US"/>
        </w:rPr>
        <w:t xml:space="preserve"> &gt; 0. </w:t>
      </w:r>
    </w:p>
    <w:p w14:paraId="58E7CEAA" w14:textId="77777777"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Recovered volume time series (</w:t>
      </w:r>
      <w:r w:rsidRPr="00351833">
        <w:rPr>
          <w:rFonts w:ascii="Times New Roman" w:hAnsi="Times New Roman" w:cs="Times New Roman"/>
          <w:i/>
          <w:iCs/>
          <w:sz w:val="20"/>
          <w:lang w:bidi="en-US"/>
        </w:rPr>
        <w:t>Recov</w:t>
      </w:r>
      <w:r w:rsidRPr="00351833">
        <w:rPr>
          <w:rFonts w:ascii="Times New Roman" w:hAnsi="Times New Roman" w:cs="Times New Roman"/>
          <w:i/>
          <w:iCs/>
          <w:sz w:val="20"/>
          <w:vertAlign w:val="subscript"/>
          <w:lang w:bidi="en-US"/>
        </w:rPr>
        <w:t>i(t</w:t>
      </w:r>
      <w:proofErr w:type="gramStart"/>
      <w:r w:rsidRPr="00351833">
        <w:rPr>
          <w:rFonts w:ascii="Times New Roman" w:hAnsi="Times New Roman" w:cs="Times New Roman"/>
          <w:i/>
          <w:iCs/>
          <w:sz w:val="20"/>
          <w:vertAlign w:val="subscript"/>
          <w:lang w:bidi="en-US"/>
        </w:rPr>
        <w:t>1,t</w:t>
      </w:r>
      <w:proofErr w:type="gramEnd"/>
      <w:r w:rsidRPr="00351833">
        <w:rPr>
          <w:rFonts w:ascii="Times New Roman" w:hAnsi="Times New Roman" w:cs="Times New Roman"/>
          <w:i/>
          <w:iCs/>
          <w:sz w:val="20"/>
          <w:vertAlign w:val="subscript"/>
          <w:lang w:bidi="en-US"/>
        </w:rPr>
        <w:t>2,…)</w:t>
      </w:r>
      <w:r w:rsidRPr="00351833">
        <w:rPr>
          <w:rFonts w:ascii="Times New Roman" w:hAnsi="Times New Roman" w:cs="Times New Roman"/>
          <w:sz w:val="20"/>
          <w:lang w:bidi="en-US"/>
        </w:rPr>
        <w:t>) were calculated for each iteration as:</w:t>
      </w:r>
    </w:p>
    <w:p w14:paraId="4FF040F9" w14:textId="28391DEE" w:rsidR="002357FD" w:rsidRPr="00351833" w:rsidRDefault="00F57D29" w:rsidP="002357FD">
      <w:pPr>
        <w:rPr>
          <w:rFonts w:ascii="Times New Roman" w:hAnsi="Times New Roman" w:cs="Times New Roman"/>
          <w:sz w:val="20"/>
          <w:lang w:bidi="en-US"/>
        </w:rPr>
      </w:pPr>
      <m:oMathPara>
        <m:oMathParaPr>
          <m:jc m:val="center"/>
        </m:oMathParaPr>
        <m:oMath>
          <m:sSub>
            <m:sSubPr>
              <m:ctrlPr>
                <w:rPr>
                  <w:rFonts w:ascii="Cambria Math" w:hAnsi="Cambria Math" w:cs="Times New Roman"/>
                  <w:i/>
                  <w:sz w:val="20"/>
                  <w:lang w:bidi="en-US"/>
                </w:rPr>
              </m:ctrlPr>
            </m:sSubPr>
            <m:e>
              <m:r>
                <w:rPr>
                  <w:rFonts w:ascii="Cambria Math" w:hAnsi="Cambria Math" w:cs="Times New Roman"/>
                  <w:sz w:val="20"/>
                  <w:lang w:bidi="en-US"/>
                </w:rPr>
                <m:t>Recov</m:t>
              </m:r>
            </m:e>
            <m:sub>
              <m:r>
                <w:rPr>
                  <w:rFonts w:ascii="Cambria Math" w:hAnsi="Cambria Math" w:cs="Times New Roman"/>
                  <w:sz w:val="20"/>
                  <w:lang w:bidi="en-US"/>
                </w:rPr>
                <m:t>i,t</m:t>
              </m:r>
            </m:sub>
          </m:sSub>
          <m:r>
            <w:rPr>
              <w:rFonts w:ascii="Cambria Math" w:hAnsi="Cambria Math" w:cs="Times New Roman"/>
              <w:sz w:val="20"/>
              <w:lang w:bidi="en-US"/>
            </w:rPr>
            <m:t>=</m:t>
          </m:r>
          <m:d>
            <m:dPr>
              <m:begChr m:val="{"/>
              <m:endChr m:val=""/>
              <m:ctrlPr>
                <w:rPr>
                  <w:rFonts w:ascii="Cambria Math" w:hAnsi="Cambria Math" w:cs="Times New Roman"/>
                  <w:i/>
                  <w:sz w:val="20"/>
                  <w:lang w:bidi="en-US"/>
                </w:rPr>
              </m:ctrlPr>
            </m:dPr>
            <m:e>
              <m:eqArr>
                <m:eqArrPr>
                  <m:ctrlPr>
                    <w:rPr>
                      <w:rFonts w:ascii="Cambria Math" w:hAnsi="Cambria Math" w:cs="Times New Roman"/>
                      <w:i/>
                      <w:sz w:val="20"/>
                      <w:lang w:bidi="en-US"/>
                    </w:rPr>
                  </m:ctrlPr>
                </m:eqArrPr>
                <m:e>
                  <m:r>
                    <m:rPr>
                      <m:sty m:val="p"/>
                    </m:rPr>
                    <w:rPr>
                      <w:rFonts w:ascii="Cambria Math" w:hAnsi="Cambria Math" w:cs="Times New Roman"/>
                      <w:sz w:val="20"/>
                      <w:lang w:bidi="en-US"/>
                    </w:rPr>
                    <m:t>C</m:t>
                  </m:r>
                  <m:r>
                    <w:rPr>
                      <w:rFonts w:ascii="Cambria Math" w:hAnsi="Cambria Math" w:cs="Times New Roman"/>
                      <w:sz w:val="20"/>
                      <w:lang w:bidi="en-US"/>
                    </w:rPr>
                    <m:t xml:space="preserve"> if </m:t>
                  </m:r>
                  <m:sSub>
                    <m:sSubPr>
                      <m:ctrlPr>
                        <w:rPr>
                          <w:rFonts w:ascii="Cambria Math" w:hAnsi="Cambria Math" w:cs="Times New Roman"/>
                          <w:sz w:val="20"/>
                          <w:lang w:bidi="en-US"/>
                        </w:rPr>
                      </m:ctrlPr>
                    </m:sSubPr>
                    <m:e>
                      <m:r>
                        <m:rPr>
                          <m:sty m:val="p"/>
                        </m:rPr>
                        <w:rPr>
                          <w:rFonts w:ascii="Cambria Math" w:hAnsi="Cambria Math" w:cs="Times New Roman"/>
                          <w:sz w:val="20"/>
                          <w:lang w:bidi="en-US"/>
                        </w:rPr>
                        <m:t>D</m:t>
                      </m:r>
                    </m:e>
                    <m:sub>
                      <m:r>
                        <w:rPr>
                          <w:rFonts w:ascii="Cambria Math" w:hAnsi="Cambria Math" w:cs="Times New Roman"/>
                          <w:sz w:val="20"/>
                          <w:lang w:bidi="en-US"/>
                        </w:rPr>
                        <m:t>t</m:t>
                      </m:r>
                    </m:sub>
                  </m:sSub>
                  <m:r>
                    <m:rPr>
                      <m:sty m:val="p"/>
                    </m:rPr>
                    <w:rPr>
                      <w:rFonts w:ascii="Cambria Math" w:hAnsi="Cambria Math" w:cs="Times New Roman"/>
                      <w:sz w:val="20"/>
                      <w:lang w:bidi="en-US"/>
                    </w:rPr>
                    <m:t xml:space="preserve">&lt; </m:t>
                  </m:r>
                  <m:sSub>
                    <m:sSubPr>
                      <m:ctrlPr>
                        <w:rPr>
                          <w:rFonts w:ascii="Cambria Math" w:hAnsi="Cambria Math" w:cs="Times New Roman"/>
                          <w:sz w:val="20"/>
                          <w:lang w:bidi="en-US"/>
                        </w:rPr>
                      </m:ctrlPr>
                    </m:sSubPr>
                    <m:e>
                      <m:r>
                        <m:rPr>
                          <m:sty m:val="p"/>
                        </m:rPr>
                        <w:rPr>
                          <w:rFonts w:ascii="Cambria Math" w:hAnsi="Cambria Math" w:cs="Times New Roman"/>
                          <w:sz w:val="20"/>
                          <w:lang w:bidi="en-US"/>
                        </w:rPr>
                        <m:t>T</m:t>
                      </m:r>
                    </m:e>
                    <m:sub>
                      <m:r>
                        <w:rPr>
                          <w:rFonts w:ascii="Cambria Math" w:hAnsi="Cambria Math" w:cs="Times New Roman"/>
                          <w:sz w:val="20"/>
                          <w:lang w:bidi="en-US"/>
                        </w:rPr>
                        <m:t>i</m:t>
                      </m:r>
                    </m:sub>
                  </m:sSub>
                  <m:r>
                    <w:rPr>
                      <w:rFonts w:ascii="Cambria Math" w:hAnsi="Cambria Math" w:cs="Times New Roman"/>
                      <w:sz w:val="20"/>
                      <w:lang w:bidi="en-US"/>
                    </w:rPr>
                    <m:t xml:space="preserve"> and</m:t>
                  </m:r>
                  <m:r>
                    <m:rPr>
                      <m:sty m:val="p"/>
                    </m:rPr>
                    <w:rPr>
                      <w:rFonts w:ascii="Cambria Math" w:hAnsi="Cambria Math" w:cs="Times New Roman"/>
                      <w:sz w:val="20"/>
                      <w:lang w:bidi="en-US"/>
                    </w:rPr>
                    <m:t xml:space="preserve"> C≤</m:t>
                  </m:r>
                  <m:sSub>
                    <m:sSubPr>
                      <m:ctrlPr>
                        <w:rPr>
                          <w:rFonts w:ascii="Cambria Math" w:hAnsi="Cambria Math" w:cs="Times New Roman"/>
                          <w:sz w:val="20"/>
                          <w:lang w:bidi="en-US"/>
                        </w:rPr>
                      </m:ctrlPr>
                    </m:sSubPr>
                    <m:e>
                      <m:r>
                        <m:rPr>
                          <m:sty m:val="p"/>
                        </m:rPr>
                        <w:rPr>
                          <w:rFonts w:ascii="Cambria Math" w:hAnsi="Cambria Math" w:cs="Times New Roman"/>
                          <w:sz w:val="20"/>
                          <w:lang w:bidi="en-US"/>
                        </w:rPr>
                        <m:t>S</m:t>
                      </m:r>
                    </m:e>
                    <m:sub>
                      <m:r>
                        <w:rPr>
                          <w:rFonts w:ascii="Cambria Math" w:hAnsi="Cambria Math" w:cs="Times New Roman"/>
                          <w:sz w:val="20"/>
                          <w:lang w:bidi="en-US"/>
                        </w:rPr>
                        <m:t>i,t-1</m:t>
                      </m:r>
                    </m:sub>
                  </m:sSub>
                  <m:r>
                    <m:rPr>
                      <m:sty m:val="p"/>
                    </m:rPr>
                    <w:rPr>
                      <w:rFonts w:ascii="Cambria Math" w:hAnsi="Cambria Math" w:cs="Times New Roman"/>
                      <w:sz w:val="20"/>
                      <w:lang w:bidi="en-US"/>
                    </w:rPr>
                    <m:t>,</m:t>
                  </m:r>
                </m:e>
                <m:e>
                  <m:sSub>
                    <m:sSubPr>
                      <m:ctrlPr>
                        <w:rPr>
                          <w:rFonts w:ascii="Cambria Math" w:hAnsi="Cambria Math" w:cs="Times New Roman"/>
                          <w:iCs/>
                          <w:sz w:val="20"/>
                          <w:lang w:bidi="en-US"/>
                        </w:rPr>
                      </m:ctrlPr>
                    </m:sSubPr>
                    <m:e>
                      <m:r>
                        <m:rPr>
                          <m:sty m:val="p"/>
                        </m:rPr>
                        <w:rPr>
                          <w:rFonts w:ascii="Cambria Math" w:hAnsi="Cambria Math" w:cs="Times New Roman"/>
                          <w:sz w:val="20"/>
                          <w:lang w:bidi="en-US"/>
                        </w:rPr>
                        <m:t>S</m:t>
                      </m:r>
                    </m:e>
                    <m:sub>
                      <m:r>
                        <w:rPr>
                          <w:rFonts w:ascii="Cambria Math" w:hAnsi="Cambria Math" w:cs="Times New Roman"/>
                          <w:sz w:val="20"/>
                          <w:lang w:bidi="en-US"/>
                        </w:rPr>
                        <m:t>i,t-1</m:t>
                      </m:r>
                    </m:sub>
                  </m:sSub>
                  <m:r>
                    <w:rPr>
                      <w:rFonts w:ascii="Cambria Math" w:hAnsi="Cambria Math" w:cs="Times New Roman"/>
                      <w:sz w:val="20"/>
                      <w:lang w:bidi="en-US"/>
                    </w:rPr>
                    <m:t xml:space="preserve"> if </m:t>
                  </m:r>
                  <m:sSub>
                    <m:sSubPr>
                      <m:ctrlPr>
                        <w:rPr>
                          <w:rFonts w:ascii="Cambria Math" w:hAnsi="Cambria Math" w:cs="Times New Roman"/>
                          <w:sz w:val="20"/>
                          <w:lang w:bidi="en-US"/>
                        </w:rPr>
                      </m:ctrlPr>
                    </m:sSubPr>
                    <m:e>
                      <m:r>
                        <m:rPr>
                          <m:sty m:val="p"/>
                        </m:rPr>
                        <w:rPr>
                          <w:rFonts w:ascii="Cambria Math" w:hAnsi="Cambria Math" w:cs="Times New Roman"/>
                          <w:sz w:val="20"/>
                          <w:lang w:bidi="en-US"/>
                        </w:rPr>
                        <m:t>D</m:t>
                      </m:r>
                    </m:e>
                    <m:sub>
                      <m:r>
                        <w:rPr>
                          <w:rFonts w:ascii="Cambria Math" w:hAnsi="Cambria Math" w:cs="Times New Roman"/>
                          <w:sz w:val="20"/>
                          <w:lang w:bidi="en-US"/>
                        </w:rPr>
                        <m:t>t</m:t>
                      </m:r>
                    </m:sub>
                  </m:sSub>
                  <m:r>
                    <m:rPr>
                      <m:sty m:val="p"/>
                    </m:rPr>
                    <w:rPr>
                      <w:rFonts w:ascii="Cambria Math" w:hAnsi="Cambria Math" w:cs="Times New Roman"/>
                      <w:sz w:val="20"/>
                      <w:lang w:bidi="en-US"/>
                    </w:rPr>
                    <m:t xml:space="preserve">&lt; </m:t>
                  </m:r>
                  <m:sSub>
                    <m:sSubPr>
                      <m:ctrlPr>
                        <w:rPr>
                          <w:rFonts w:ascii="Cambria Math" w:hAnsi="Cambria Math" w:cs="Times New Roman"/>
                          <w:sz w:val="20"/>
                          <w:lang w:bidi="en-US"/>
                        </w:rPr>
                      </m:ctrlPr>
                    </m:sSubPr>
                    <m:e>
                      <m:r>
                        <m:rPr>
                          <m:sty m:val="p"/>
                        </m:rPr>
                        <w:rPr>
                          <w:rFonts w:ascii="Cambria Math" w:hAnsi="Cambria Math" w:cs="Times New Roman"/>
                          <w:sz w:val="20"/>
                          <w:lang w:bidi="en-US"/>
                        </w:rPr>
                        <m:t>T</m:t>
                      </m:r>
                    </m:e>
                    <m:sub>
                      <m:r>
                        <w:rPr>
                          <w:rFonts w:ascii="Cambria Math" w:hAnsi="Cambria Math" w:cs="Times New Roman"/>
                          <w:sz w:val="20"/>
                          <w:lang w:bidi="en-US"/>
                        </w:rPr>
                        <m:t>i</m:t>
                      </m:r>
                    </m:sub>
                  </m:sSub>
                  <m:r>
                    <w:rPr>
                      <w:rFonts w:ascii="Cambria Math" w:hAnsi="Cambria Math" w:cs="Times New Roman"/>
                      <w:sz w:val="20"/>
                      <w:lang w:bidi="en-US"/>
                    </w:rPr>
                    <m:t xml:space="preserve"> and</m:t>
                  </m:r>
                  <m:r>
                    <m:rPr>
                      <m:sty m:val="p"/>
                    </m:rPr>
                    <w:rPr>
                      <w:rFonts w:ascii="Cambria Math" w:hAnsi="Cambria Math" w:cs="Times New Roman"/>
                      <w:sz w:val="20"/>
                      <w:lang w:bidi="en-US"/>
                    </w:rPr>
                    <m:t xml:space="preserve"> C&gt;</m:t>
                  </m:r>
                  <m:sSub>
                    <m:sSubPr>
                      <m:ctrlPr>
                        <w:rPr>
                          <w:rFonts w:ascii="Cambria Math" w:hAnsi="Cambria Math" w:cs="Times New Roman"/>
                          <w:sz w:val="20"/>
                          <w:lang w:bidi="en-US"/>
                        </w:rPr>
                      </m:ctrlPr>
                    </m:sSubPr>
                    <m:e>
                      <m:r>
                        <m:rPr>
                          <m:sty m:val="p"/>
                        </m:rPr>
                        <w:rPr>
                          <w:rFonts w:ascii="Cambria Math" w:hAnsi="Cambria Math" w:cs="Times New Roman"/>
                          <w:sz w:val="20"/>
                          <w:lang w:bidi="en-US"/>
                        </w:rPr>
                        <m:t>S</m:t>
                      </m:r>
                    </m:e>
                    <m:sub>
                      <m:r>
                        <w:rPr>
                          <w:rFonts w:ascii="Cambria Math" w:hAnsi="Cambria Math" w:cs="Times New Roman"/>
                          <w:sz w:val="20"/>
                          <w:lang w:bidi="en-US"/>
                        </w:rPr>
                        <m:t>i,t-1</m:t>
                      </m:r>
                    </m:sub>
                  </m:sSub>
                  <m:ctrlPr>
                    <w:rPr>
                      <w:rFonts w:ascii="Cambria Math" w:eastAsia="Cambria Math" w:hAnsi="Cambria Math" w:cs="Times New Roman"/>
                      <w:i/>
                      <w:sz w:val="20"/>
                      <w:lang w:bidi="en-US"/>
                    </w:rPr>
                  </m:ctrlPr>
                </m:e>
                <m:e>
                  <m:sSub>
                    <m:sSubPr>
                      <m:ctrlPr>
                        <w:rPr>
                          <w:rFonts w:ascii="Cambria Math" w:hAnsi="Cambria Math" w:cs="Times New Roman"/>
                          <w:i/>
                          <w:sz w:val="20"/>
                          <w:lang w:bidi="en-US"/>
                        </w:rPr>
                      </m:ctrlPr>
                    </m:sSubPr>
                    <m:e>
                      <m:r>
                        <w:rPr>
                          <w:rFonts w:ascii="Cambria Math" w:hAnsi="Cambria Math" w:cs="Times New Roman"/>
                          <w:sz w:val="20"/>
                          <w:lang w:bidi="en-US"/>
                        </w:rPr>
                        <m:t>0</m:t>
                      </m:r>
                    </m:e>
                    <m:sub>
                      <m:r>
                        <w:rPr>
                          <w:rFonts w:ascii="Cambria Math" w:hAnsi="Cambria Math" w:cs="Times New Roman"/>
                          <w:sz w:val="20"/>
                          <w:lang w:bidi="en-US"/>
                        </w:rPr>
                        <m:t>t</m:t>
                      </m:r>
                    </m:sub>
                  </m:sSub>
                  <m:r>
                    <w:rPr>
                      <w:rFonts w:ascii="Cambria Math" w:hAnsi="Cambria Math" w:cs="Times New Roman"/>
                      <w:sz w:val="20"/>
                      <w:lang w:bidi="en-US"/>
                    </w:rPr>
                    <m:t xml:space="preserve"> otherwise</m:t>
                  </m:r>
                </m:e>
              </m:eqArr>
            </m:e>
          </m:d>
          <m:r>
            <w:rPr>
              <w:rFonts w:ascii="Cambria Math" w:hAnsi="Cambria Math" w:cs="Times New Roman"/>
              <w:sz w:val="20"/>
              <w:lang w:bidi="en-US"/>
            </w:rPr>
            <m:t>,</m:t>
          </m:r>
        </m:oMath>
      </m:oMathPara>
    </w:p>
    <w:p w14:paraId="4EF97BE7" w14:textId="77777777" w:rsidR="002357FD" w:rsidRPr="00351833" w:rsidRDefault="002357FD" w:rsidP="002357FD">
      <w:pPr>
        <w:jc w:val="right"/>
        <w:rPr>
          <w:rFonts w:ascii="Times New Roman" w:hAnsi="Times New Roman" w:cs="Times New Roman"/>
          <w:sz w:val="20"/>
          <w:lang w:bidi="en-US"/>
        </w:rPr>
      </w:pPr>
      <w:r w:rsidRPr="00351833">
        <w:rPr>
          <w:rFonts w:ascii="Times New Roman" w:hAnsi="Times New Roman" w:cs="Times New Roman"/>
          <w:sz w:val="20"/>
          <w:lang w:bidi="en-US"/>
        </w:rPr>
        <w:t>(2)</w:t>
      </w:r>
    </w:p>
    <w:p w14:paraId="541338E4" w14:textId="086B202C"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Where </w:t>
      </w:r>
      <w:proofErr w:type="gramStart"/>
      <w:r w:rsidRPr="00351833">
        <w:rPr>
          <w:rFonts w:ascii="Times New Roman" w:hAnsi="Times New Roman" w:cs="Times New Roman"/>
          <w:sz w:val="20"/>
          <w:lang w:bidi="en-US"/>
        </w:rPr>
        <w:t>S</w:t>
      </w:r>
      <w:r w:rsidR="00351833" w:rsidRPr="00351833">
        <w:rPr>
          <w:rFonts w:ascii="Times New Roman" w:hAnsi="Times New Roman" w:cs="Times New Roman"/>
          <w:i/>
          <w:iCs/>
          <w:sz w:val="20"/>
          <w:vertAlign w:val="subscript"/>
          <w:lang w:bidi="en-US"/>
        </w:rPr>
        <w:t>i,t</w:t>
      </w:r>
      <w:proofErr w:type="gramEnd"/>
      <w:r w:rsidR="00351833">
        <w:rPr>
          <w:rFonts w:ascii="Times New Roman" w:hAnsi="Times New Roman" w:cs="Times New Roman"/>
          <w:i/>
          <w:iCs/>
          <w:sz w:val="20"/>
          <w:vertAlign w:val="subscript"/>
          <w:lang w:bidi="en-US"/>
        </w:rPr>
        <w:t>-1</w:t>
      </w:r>
      <w:r w:rsidRPr="00351833">
        <w:rPr>
          <w:rFonts w:ascii="Times New Roman" w:hAnsi="Times New Roman" w:cs="Times New Roman"/>
          <w:sz w:val="20"/>
          <w:lang w:bidi="en-US"/>
        </w:rPr>
        <w:t xml:space="preserve"> is storage volume in the previous year (</w:t>
      </w:r>
      <w:r w:rsidRPr="00351833">
        <w:rPr>
          <w:rFonts w:ascii="Times New Roman" w:hAnsi="Times New Roman" w:cs="Times New Roman"/>
          <w:i/>
          <w:iCs/>
          <w:sz w:val="20"/>
          <w:lang w:bidi="en-US"/>
        </w:rPr>
        <w:t>t</w:t>
      </w:r>
      <w:r w:rsidRPr="00351833">
        <w:rPr>
          <w:rFonts w:ascii="Times New Roman" w:hAnsi="Times New Roman" w:cs="Times New Roman"/>
          <w:sz w:val="20"/>
          <w:lang w:bidi="en-US"/>
        </w:rPr>
        <w:t>-1</w:t>
      </w:r>
      <w:r w:rsidRPr="00351833">
        <w:rPr>
          <w:rFonts w:ascii="Times New Roman" w:hAnsi="Times New Roman" w:cs="Times New Roman"/>
          <w:i/>
          <w:iCs/>
          <w:sz w:val="20"/>
          <w:lang w:bidi="en-US"/>
        </w:rPr>
        <w:t>)</w:t>
      </w:r>
      <w:r w:rsidRPr="00351833">
        <w:rPr>
          <w:rFonts w:ascii="Times New Roman" w:hAnsi="Times New Roman" w:cs="Times New Roman"/>
          <w:sz w:val="20"/>
          <w:lang w:bidi="en-US"/>
        </w:rPr>
        <w:t xml:space="preserve"> calculated as the cumulative sum of previous recharge minus recovery after applying the annual depreciation factor (recovery efficiency) for iteration </w:t>
      </w:r>
      <w:proofErr w:type="spellStart"/>
      <w:r w:rsidRPr="00351833">
        <w:rPr>
          <w:rFonts w:ascii="Times New Roman" w:hAnsi="Times New Roman" w:cs="Times New Roman"/>
          <w:i/>
          <w:iCs/>
          <w:sz w:val="20"/>
          <w:lang w:bidi="en-US"/>
        </w:rPr>
        <w:t>i</w:t>
      </w:r>
      <w:proofErr w:type="spellEnd"/>
      <w:r w:rsidRPr="00351833">
        <w:rPr>
          <w:rFonts w:ascii="Times New Roman" w:hAnsi="Times New Roman" w:cs="Times New Roman"/>
          <w:sz w:val="20"/>
          <w:lang w:bidi="en-US"/>
        </w:rPr>
        <w:t xml:space="preserve"> to the balance in preceding years.</w:t>
      </w:r>
    </w:p>
    <w:p w14:paraId="007A52DB" w14:textId="77777777"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Initial capital costs incurred in the first year were not discounted and were added to the net present value (NPV) of future expenses. Future capital and operating costs were calculated using the general NPV equation:</w:t>
      </w:r>
    </w:p>
    <w:p w14:paraId="6FC94EBB" w14:textId="1FC76C14" w:rsidR="002357FD" w:rsidRPr="00351833" w:rsidRDefault="00F57D29" w:rsidP="002357FD">
      <w:pPr>
        <w:rPr>
          <w:rFonts w:ascii="Times New Roman" w:hAnsi="Times New Roman" w:cs="Times New Roman"/>
          <w:sz w:val="20"/>
          <w:lang w:bidi="en-US"/>
        </w:rPr>
      </w:pPr>
      <m:oMathPara>
        <m:oMath>
          <m:sSub>
            <m:sSubPr>
              <m:ctrlPr>
                <w:rPr>
                  <w:rFonts w:ascii="Cambria Math" w:hAnsi="Cambria Math" w:cs="Times New Roman"/>
                  <w:i/>
                  <w:sz w:val="20"/>
                  <w:lang w:bidi="en-US"/>
                </w:rPr>
              </m:ctrlPr>
            </m:sSubPr>
            <m:e>
              <m:r>
                <w:rPr>
                  <w:rFonts w:ascii="Cambria Math" w:hAnsi="Cambria Math" w:cs="Times New Roman"/>
                  <w:sz w:val="20"/>
                  <w:lang w:bidi="en-US"/>
                </w:rPr>
                <m:t>NPV</m:t>
              </m:r>
            </m:e>
            <m:sub>
              <m:r>
                <w:rPr>
                  <w:rFonts w:ascii="Cambria Math" w:hAnsi="Cambria Math" w:cs="Times New Roman"/>
                  <w:sz w:val="20"/>
                  <w:lang w:bidi="en-US"/>
                </w:rPr>
                <m:t>i</m:t>
              </m:r>
            </m:sub>
          </m:sSub>
          <m:r>
            <w:rPr>
              <w:rFonts w:ascii="Cambria Math" w:hAnsi="Cambria Math" w:cs="Times New Roman"/>
              <w:sz w:val="20"/>
              <w:lang w:bidi="en-US"/>
            </w:rPr>
            <m:t>=</m:t>
          </m:r>
          <m:nary>
            <m:naryPr>
              <m:chr m:val="∑"/>
              <m:grow m:val="1"/>
              <m:ctrlPr>
                <w:rPr>
                  <w:rFonts w:ascii="Cambria Math" w:hAnsi="Cambria Math" w:cs="Times New Roman"/>
                  <w:sz w:val="20"/>
                  <w:lang w:bidi="en-US"/>
                </w:rPr>
              </m:ctrlPr>
            </m:naryPr>
            <m:sub>
              <m:r>
                <w:rPr>
                  <w:rFonts w:ascii="Cambria Math" w:eastAsia="Cambria Math" w:hAnsi="Cambria Math" w:cs="Times New Roman"/>
                  <w:sz w:val="20"/>
                  <w:lang w:bidi="en-US"/>
                </w:rPr>
                <m:t>t=0</m:t>
              </m:r>
            </m:sub>
            <m:sup>
              <m:r>
                <w:rPr>
                  <w:rFonts w:ascii="Cambria Math" w:eastAsia="Cambria Math" w:hAnsi="Cambria Math" w:cs="Times New Roman"/>
                  <w:sz w:val="20"/>
                  <w:lang w:bidi="en-US"/>
                </w:rPr>
                <m:t>n</m:t>
              </m:r>
            </m:sup>
            <m:e>
              <m:f>
                <m:fPr>
                  <m:ctrlPr>
                    <w:rPr>
                      <w:rFonts w:ascii="Cambria Math" w:hAnsi="Cambria Math" w:cs="Times New Roman"/>
                      <w:i/>
                      <w:sz w:val="20"/>
                      <w:lang w:bidi="en-US"/>
                    </w:rPr>
                  </m:ctrlPr>
                </m:fPr>
                <m:num>
                  <m:sSub>
                    <m:sSubPr>
                      <m:ctrlPr>
                        <w:rPr>
                          <w:rFonts w:ascii="Cambria Math" w:hAnsi="Cambria Math" w:cs="Times New Roman"/>
                          <w:i/>
                          <w:sz w:val="20"/>
                          <w:lang w:bidi="en-US"/>
                        </w:rPr>
                      </m:ctrlPr>
                    </m:sSubPr>
                    <m:e>
                      <m:r>
                        <w:rPr>
                          <w:rFonts w:ascii="Cambria Math" w:hAnsi="Cambria Math" w:cs="Times New Roman"/>
                          <w:sz w:val="20"/>
                          <w:lang w:bidi="en-US"/>
                        </w:rPr>
                        <m:t>cost</m:t>
                      </m:r>
                    </m:e>
                    <m:sub>
                      <m:r>
                        <w:rPr>
                          <w:rFonts w:ascii="Cambria Math" w:hAnsi="Cambria Math" w:cs="Times New Roman"/>
                          <w:sz w:val="20"/>
                          <w:lang w:bidi="en-US"/>
                        </w:rPr>
                        <m:t>i,t</m:t>
                      </m:r>
                    </m:sub>
                  </m:sSub>
                </m:num>
                <m:den>
                  <m:sSup>
                    <m:sSupPr>
                      <m:ctrlPr>
                        <w:rPr>
                          <w:rFonts w:ascii="Cambria Math" w:hAnsi="Cambria Math" w:cs="Times New Roman"/>
                          <w:i/>
                          <w:sz w:val="20"/>
                          <w:lang w:bidi="en-US"/>
                        </w:rPr>
                      </m:ctrlPr>
                    </m:sSupPr>
                    <m:e>
                      <m:r>
                        <w:rPr>
                          <w:rFonts w:ascii="Cambria Math" w:hAnsi="Cambria Math" w:cs="Times New Roman"/>
                          <w:sz w:val="20"/>
                          <w:lang w:bidi="en-US"/>
                        </w:rPr>
                        <m:t>(1+</m:t>
                      </m:r>
                      <m:sSub>
                        <m:sSubPr>
                          <m:ctrlPr>
                            <w:rPr>
                              <w:rFonts w:ascii="Cambria Math" w:hAnsi="Cambria Math" w:cs="Times New Roman"/>
                              <w:i/>
                              <w:sz w:val="20"/>
                              <w:lang w:bidi="en-US"/>
                            </w:rPr>
                          </m:ctrlPr>
                        </m:sSubPr>
                        <m:e>
                          <m:r>
                            <w:rPr>
                              <w:rFonts w:ascii="Cambria Math" w:hAnsi="Cambria Math" w:cs="Times New Roman"/>
                              <w:sz w:val="20"/>
                              <w:lang w:bidi="en-US"/>
                            </w:rPr>
                            <m:t>rate</m:t>
                          </m:r>
                        </m:e>
                        <m:sub>
                          <m:r>
                            <w:rPr>
                              <w:rFonts w:ascii="Cambria Math" w:hAnsi="Cambria Math" w:cs="Times New Roman"/>
                              <w:sz w:val="20"/>
                              <w:lang w:bidi="en-US"/>
                            </w:rPr>
                            <m:t>i</m:t>
                          </m:r>
                        </m:sub>
                      </m:sSub>
                      <m:r>
                        <w:rPr>
                          <w:rFonts w:ascii="Cambria Math" w:hAnsi="Cambria Math" w:cs="Times New Roman"/>
                          <w:sz w:val="20"/>
                          <w:lang w:bidi="en-US"/>
                        </w:rPr>
                        <m:t>)</m:t>
                      </m:r>
                    </m:e>
                    <m:sup>
                      <m:r>
                        <w:rPr>
                          <w:rFonts w:ascii="Cambria Math" w:hAnsi="Cambria Math" w:cs="Times New Roman"/>
                          <w:sz w:val="20"/>
                          <w:lang w:bidi="en-US"/>
                        </w:rPr>
                        <m:t>t</m:t>
                      </m:r>
                    </m:sup>
                  </m:sSup>
                </m:den>
              </m:f>
            </m:e>
          </m:nary>
        </m:oMath>
      </m:oMathPara>
    </w:p>
    <w:p w14:paraId="18DE5E76" w14:textId="77777777" w:rsidR="002357FD" w:rsidRPr="00351833" w:rsidRDefault="002357FD" w:rsidP="002357FD">
      <w:pPr>
        <w:jc w:val="right"/>
        <w:rPr>
          <w:rFonts w:ascii="Times New Roman" w:hAnsi="Times New Roman" w:cs="Times New Roman"/>
          <w:sz w:val="20"/>
          <w:lang w:bidi="en-US"/>
        </w:rPr>
      </w:pPr>
      <w:r w:rsidRPr="00351833">
        <w:rPr>
          <w:rFonts w:ascii="Times New Roman" w:hAnsi="Times New Roman" w:cs="Times New Roman"/>
          <w:sz w:val="20"/>
          <w:lang w:bidi="en-US"/>
        </w:rPr>
        <w:t>(3)</w:t>
      </w:r>
    </w:p>
    <w:p w14:paraId="25DAA3EB" w14:textId="7839A831"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Where </w:t>
      </w:r>
      <w:r w:rsidRPr="00351833">
        <w:rPr>
          <w:rFonts w:ascii="Times New Roman" w:hAnsi="Times New Roman" w:cs="Times New Roman"/>
          <w:i/>
          <w:iCs/>
          <w:sz w:val="20"/>
          <w:lang w:bidi="en-US"/>
        </w:rPr>
        <w:t>cost</w:t>
      </w:r>
      <w:r w:rsidRPr="00351833">
        <w:rPr>
          <w:rFonts w:ascii="Times New Roman" w:hAnsi="Times New Roman" w:cs="Times New Roman"/>
          <w:sz w:val="20"/>
          <w:lang w:bidi="en-US"/>
        </w:rPr>
        <w:t xml:space="preserve"> is the capital or operating expense at time </w:t>
      </w:r>
      <w:r w:rsidRPr="00351833">
        <w:rPr>
          <w:rFonts w:ascii="Times New Roman" w:hAnsi="Times New Roman" w:cs="Times New Roman"/>
          <w:i/>
          <w:iCs/>
          <w:sz w:val="20"/>
          <w:lang w:bidi="en-US"/>
        </w:rPr>
        <w:t>t</w:t>
      </w:r>
      <w:r w:rsidRPr="00351833">
        <w:rPr>
          <w:rFonts w:ascii="Times New Roman" w:hAnsi="Times New Roman" w:cs="Times New Roman"/>
          <w:sz w:val="20"/>
          <w:lang w:bidi="en-US"/>
        </w:rPr>
        <w:t xml:space="preserve">, </w:t>
      </w:r>
      <w:r w:rsidRPr="00351833">
        <w:rPr>
          <w:rFonts w:ascii="Times New Roman" w:hAnsi="Times New Roman" w:cs="Times New Roman"/>
          <w:i/>
          <w:iCs/>
          <w:sz w:val="20"/>
          <w:lang w:bidi="en-US"/>
        </w:rPr>
        <w:t>rate</w:t>
      </w:r>
      <w:r w:rsidRPr="00351833">
        <w:rPr>
          <w:rFonts w:ascii="Times New Roman" w:hAnsi="Times New Roman" w:cs="Times New Roman"/>
          <w:sz w:val="20"/>
          <w:lang w:bidi="en-US"/>
        </w:rPr>
        <w:t xml:space="preserve"> is the effective annual discount rate, and </w:t>
      </w:r>
      <w:r w:rsidRPr="00351833">
        <w:rPr>
          <w:rFonts w:ascii="Times New Roman" w:hAnsi="Times New Roman" w:cs="Times New Roman"/>
          <w:i/>
          <w:iCs/>
          <w:sz w:val="20"/>
          <w:lang w:bidi="en-US"/>
        </w:rPr>
        <w:t>n</w:t>
      </w:r>
      <w:r w:rsidRPr="00351833">
        <w:rPr>
          <w:rFonts w:ascii="Times New Roman" w:hAnsi="Times New Roman" w:cs="Times New Roman"/>
          <w:sz w:val="20"/>
          <w:lang w:bidi="en-US"/>
        </w:rPr>
        <w:t xml:space="preserve"> is the total number of evaluation periods. The Python NumPy NPV function applies this formula (3) taking </w:t>
      </w:r>
      <w:r w:rsidR="00351833">
        <w:rPr>
          <w:rFonts w:ascii="Times New Roman" w:hAnsi="Times New Roman" w:cs="Times New Roman"/>
          <w:i/>
          <w:iCs/>
          <w:sz w:val="20"/>
          <w:lang w:bidi="en-US"/>
        </w:rPr>
        <w:t>cost</w:t>
      </w:r>
      <w:r w:rsidRPr="00351833">
        <w:rPr>
          <w:rFonts w:ascii="Times New Roman" w:hAnsi="Times New Roman" w:cs="Times New Roman"/>
          <w:sz w:val="20"/>
          <w:lang w:bidi="en-US"/>
        </w:rPr>
        <w:t xml:space="preserve"> </w:t>
      </w:r>
      <w:r w:rsidR="00351833">
        <w:rPr>
          <w:rFonts w:ascii="Times New Roman" w:hAnsi="Times New Roman" w:cs="Times New Roman"/>
          <w:sz w:val="20"/>
          <w:lang w:bidi="en-US"/>
        </w:rPr>
        <w:t xml:space="preserve">variables </w:t>
      </w:r>
      <w:r w:rsidRPr="00351833">
        <w:rPr>
          <w:rFonts w:ascii="Times New Roman" w:hAnsi="Times New Roman" w:cs="Times New Roman"/>
          <w:sz w:val="20"/>
          <w:lang w:bidi="en-US"/>
        </w:rPr>
        <w:t xml:space="preserve">as an array of </w:t>
      </w:r>
      <w:r w:rsidRPr="00351833">
        <w:rPr>
          <w:rFonts w:ascii="Times New Roman" w:hAnsi="Times New Roman" w:cs="Times New Roman"/>
          <w:i/>
          <w:iCs/>
          <w:sz w:val="20"/>
          <w:lang w:bidi="en-US"/>
        </w:rPr>
        <w:t>n</w:t>
      </w:r>
      <w:r w:rsidRPr="00351833">
        <w:rPr>
          <w:rFonts w:ascii="Times New Roman" w:hAnsi="Times New Roman" w:cs="Times New Roman"/>
          <w:sz w:val="20"/>
          <w:lang w:bidi="en-US"/>
        </w:rPr>
        <w:t xml:space="preserve"> length and </w:t>
      </w:r>
      <w:r w:rsidRPr="00351833">
        <w:rPr>
          <w:rFonts w:ascii="Times New Roman" w:hAnsi="Times New Roman" w:cs="Times New Roman"/>
          <w:i/>
          <w:iCs/>
          <w:sz w:val="20"/>
          <w:lang w:bidi="en-US"/>
        </w:rPr>
        <w:t>rate</w:t>
      </w:r>
      <w:r w:rsidRPr="00351833">
        <w:rPr>
          <w:rFonts w:ascii="Times New Roman" w:hAnsi="Times New Roman" w:cs="Times New Roman"/>
          <w:sz w:val="20"/>
          <w:lang w:bidi="en-US"/>
        </w:rPr>
        <w:t xml:space="preserve"> as a scalar.</w:t>
      </w:r>
    </w:p>
    <w:p w14:paraId="4FCF3A0C" w14:textId="77777777"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Capital costs:</w:t>
      </w:r>
    </w:p>
    <w:p w14:paraId="5BF2C9BB" w14:textId="255E76B4"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Initial capital costs included observation bore construction, transfer pumps, </w:t>
      </w:r>
      <w:r w:rsidR="002A5B62" w:rsidRPr="00351833">
        <w:rPr>
          <w:rFonts w:ascii="Times New Roman" w:hAnsi="Times New Roman" w:cs="Times New Roman"/>
          <w:sz w:val="20"/>
          <w:lang w:bidi="en-US"/>
        </w:rPr>
        <w:t>pipework,</w:t>
      </w:r>
      <w:r w:rsidRPr="00351833">
        <w:rPr>
          <w:rFonts w:ascii="Times New Roman" w:hAnsi="Times New Roman" w:cs="Times New Roman"/>
          <w:sz w:val="20"/>
          <w:lang w:bidi="en-US"/>
        </w:rPr>
        <w:t xml:space="preserve"> and feasibility assessments. Observation bore capital cost was a function of the unit cost of drilling one bore per MCM of </w:t>
      </w:r>
      <w:r w:rsidRPr="00351833">
        <w:rPr>
          <w:rFonts w:ascii="Times New Roman" w:hAnsi="Times New Roman" w:cs="Times New Roman"/>
          <w:i/>
          <w:iCs/>
          <w:sz w:val="20"/>
          <w:lang w:bidi="en-US"/>
        </w:rPr>
        <w:t>C</w:t>
      </w:r>
      <w:r w:rsidRPr="00351833">
        <w:rPr>
          <w:rFonts w:ascii="Times New Roman" w:hAnsi="Times New Roman" w:cs="Times New Roman"/>
          <w:sz w:val="20"/>
          <w:lang w:bidi="en-US"/>
        </w:rPr>
        <w:t xml:space="preserve"> (Table 2) rounded up to the nearest integer. Transfer pump capital cost was </w:t>
      </w:r>
      <w:r w:rsidRPr="00351833">
        <w:rPr>
          <w:rFonts w:ascii="Times New Roman" w:hAnsi="Times New Roman" w:cs="Times New Roman"/>
          <w:i/>
          <w:iCs/>
          <w:sz w:val="20"/>
          <w:lang w:bidi="en-US"/>
        </w:rPr>
        <w:t>C</w:t>
      </w:r>
      <w:r w:rsidRPr="00351833">
        <w:rPr>
          <w:rFonts w:ascii="Times New Roman" w:hAnsi="Times New Roman" w:cs="Times New Roman"/>
          <w:sz w:val="20"/>
          <w:lang w:bidi="en-US"/>
        </w:rPr>
        <w:t xml:space="preserve"> divided by the product of days per year of operation and pump capacity round up to the nearest integer and multiplied by transfer pump unit cost (Table 2). Pipework capital cost was </w:t>
      </w:r>
      <w:r w:rsidRPr="00351833">
        <w:rPr>
          <w:rFonts w:ascii="Times New Roman" w:hAnsi="Times New Roman" w:cs="Times New Roman"/>
          <w:i/>
          <w:iCs/>
          <w:sz w:val="20"/>
          <w:lang w:bidi="en-US"/>
        </w:rPr>
        <w:t>C</w:t>
      </w:r>
      <w:r w:rsidRPr="00351833">
        <w:rPr>
          <w:rFonts w:ascii="Times New Roman" w:hAnsi="Times New Roman" w:cs="Times New Roman"/>
          <w:sz w:val="20"/>
          <w:lang w:bidi="en-US"/>
        </w:rPr>
        <w:t xml:space="preserve"> multiplied by pipe unit cost. Feasibility assessments were </w:t>
      </w:r>
      <w:r w:rsidR="00093E30">
        <w:rPr>
          <w:rFonts w:ascii="Times New Roman" w:hAnsi="Times New Roman" w:cs="Times New Roman"/>
          <w:sz w:val="20"/>
          <w:lang w:bidi="en-US"/>
        </w:rPr>
        <w:t xml:space="preserve">assumed </w:t>
      </w:r>
      <w:r w:rsidRPr="00351833">
        <w:rPr>
          <w:rFonts w:ascii="Times New Roman" w:hAnsi="Times New Roman" w:cs="Times New Roman"/>
          <w:sz w:val="20"/>
          <w:lang w:bidi="en-US"/>
        </w:rPr>
        <w:t>independent of scheme size or recharged or recovered volumes.</w:t>
      </w:r>
    </w:p>
    <w:p w14:paraId="0C31EFF1" w14:textId="45F943AC"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Injection bore construction and instrumentation capital costs were calculated </w:t>
      </w:r>
      <w:r w:rsidR="006A2789">
        <w:rPr>
          <w:rFonts w:ascii="Times New Roman" w:hAnsi="Times New Roman" w:cs="Times New Roman"/>
          <w:sz w:val="20"/>
          <w:lang w:bidi="en-US"/>
        </w:rPr>
        <w:t>based on</w:t>
      </w:r>
      <w:r w:rsidRPr="00351833">
        <w:rPr>
          <w:rFonts w:ascii="Times New Roman" w:hAnsi="Times New Roman" w:cs="Times New Roman"/>
          <w:sz w:val="20"/>
          <w:lang w:bidi="en-US"/>
        </w:rPr>
        <w:t xml:space="preserve"> the number of bores (</w:t>
      </w:r>
      <w:proofErr w:type="spellStart"/>
      <w:r w:rsidRPr="00351833">
        <w:rPr>
          <w:rFonts w:ascii="Times New Roman" w:hAnsi="Times New Roman" w:cs="Times New Roman"/>
          <w:i/>
          <w:iCs/>
          <w:sz w:val="20"/>
          <w:lang w:bidi="en-US"/>
        </w:rPr>
        <w:t>Nbores</w:t>
      </w:r>
      <w:proofErr w:type="spellEnd"/>
      <w:r w:rsidRPr="00351833">
        <w:rPr>
          <w:rFonts w:ascii="Times New Roman" w:hAnsi="Times New Roman" w:cs="Times New Roman"/>
          <w:sz w:val="20"/>
          <w:lang w:bidi="en-US"/>
        </w:rPr>
        <w:t xml:space="preserve">) required to achieve </w:t>
      </w:r>
      <w:r w:rsidRPr="00351833">
        <w:rPr>
          <w:rFonts w:ascii="Times New Roman" w:hAnsi="Times New Roman" w:cs="Times New Roman"/>
          <w:i/>
          <w:iCs/>
          <w:sz w:val="20"/>
          <w:lang w:bidi="en-US"/>
        </w:rPr>
        <w:t>C</w:t>
      </w:r>
      <w:r w:rsidRPr="00351833">
        <w:rPr>
          <w:rFonts w:ascii="Times New Roman" w:hAnsi="Times New Roman" w:cs="Times New Roman"/>
          <w:sz w:val="20"/>
          <w:lang w:bidi="en-US"/>
        </w:rPr>
        <w:t>:</w:t>
      </w:r>
    </w:p>
    <w:p w14:paraId="72CE9E54" w14:textId="30C92352" w:rsidR="002357FD" w:rsidRPr="00351833" w:rsidRDefault="00F57D29" w:rsidP="002357FD">
      <w:pPr>
        <w:rPr>
          <w:rFonts w:ascii="Times New Roman" w:eastAsiaTheme="minorEastAsia" w:hAnsi="Times New Roman" w:cs="Times New Roman"/>
          <w:sz w:val="20"/>
          <w:lang w:bidi="en-US"/>
        </w:rPr>
      </w:pPr>
      <m:oMathPara>
        <m:oMath>
          <m:sSub>
            <m:sSubPr>
              <m:ctrlPr>
                <w:rPr>
                  <w:rFonts w:ascii="Cambria Math" w:hAnsi="Cambria Math" w:cs="Times New Roman"/>
                  <w:i/>
                  <w:sz w:val="20"/>
                  <w:lang w:bidi="en-US"/>
                </w:rPr>
              </m:ctrlPr>
            </m:sSubPr>
            <m:e>
              <m:r>
                <w:rPr>
                  <w:rFonts w:ascii="Cambria Math" w:hAnsi="Cambria Math" w:cs="Times New Roman"/>
                  <w:sz w:val="20"/>
                  <w:lang w:bidi="en-US"/>
                </w:rPr>
                <m:t>Nbores</m:t>
              </m:r>
            </m:e>
            <m:sub>
              <m:r>
                <w:rPr>
                  <w:rFonts w:ascii="Cambria Math" w:hAnsi="Cambria Math" w:cs="Times New Roman"/>
                  <w:sz w:val="20"/>
                  <w:lang w:bidi="en-US"/>
                </w:rPr>
                <m:t>i</m:t>
              </m:r>
            </m:sub>
          </m:sSub>
          <m:r>
            <w:rPr>
              <w:rFonts w:ascii="Cambria Math" w:hAnsi="Cambria Math" w:cs="Times New Roman"/>
              <w:sz w:val="20"/>
              <w:lang w:bidi="en-US"/>
            </w:rPr>
            <m:t>=round</m:t>
          </m:r>
          <m:f>
            <m:fPr>
              <m:ctrlPr>
                <w:rPr>
                  <w:rFonts w:ascii="Cambria Math" w:hAnsi="Cambria Math" w:cs="Times New Roman"/>
                  <w:i/>
                  <w:sz w:val="20"/>
                  <w:lang w:bidi="en-US"/>
                </w:rPr>
              </m:ctrlPr>
            </m:fPr>
            <m:num>
              <m:r>
                <w:rPr>
                  <w:rFonts w:ascii="Cambria Math" w:hAnsi="Cambria Math" w:cs="Times New Roman"/>
                  <w:sz w:val="20"/>
                  <w:lang w:bidi="en-US"/>
                </w:rPr>
                <m:t>C</m:t>
              </m:r>
            </m:num>
            <m:den>
              <m:sSub>
                <m:sSubPr>
                  <m:ctrlPr>
                    <w:rPr>
                      <w:rFonts w:ascii="Cambria Math" w:hAnsi="Cambria Math" w:cs="Times New Roman"/>
                      <w:i/>
                      <w:sz w:val="20"/>
                      <w:lang w:bidi="en-US"/>
                    </w:rPr>
                  </m:ctrlPr>
                </m:sSubPr>
                <m:e>
                  <m:r>
                    <w:rPr>
                      <w:rFonts w:ascii="Cambria Math" w:hAnsi="Cambria Math" w:cs="Times New Roman"/>
                      <w:sz w:val="20"/>
                      <w:lang w:bidi="en-US"/>
                    </w:rPr>
                    <m:t>Inj</m:t>
                  </m:r>
                </m:e>
                <m:sub>
                  <m:r>
                    <w:rPr>
                      <w:rFonts w:ascii="Cambria Math" w:hAnsi="Cambria Math" w:cs="Times New Roman"/>
                      <w:sz w:val="20"/>
                      <w:lang w:bidi="en-US"/>
                    </w:rPr>
                    <m:t>i</m:t>
                  </m:r>
                </m:sub>
              </m:sSub>
              <m:r>
                <w:rPr>
                  <w:rFonts w:ascii="Cambria Math" w:hAnsi="Cambria Math" w:cs="Times New Roman"/>
                  <w:sz w:val="20"/>
                  <w:lang w:bidi="en-US"/>
                </w:rPr>
                <m:t>∙</m:t>
              </m:r>
              <m:sSub>
                <m:sSubPr>
                  <m:ctrlPr>
                    <w:rPr>
                      <w:rFonts w:ascii="Cambria Math" w:hAnsi="Cambria Math" w:cs="Times New Roman"/>
                      <w:i/>
                      <w:sz w:val="20"/>
                      <w:lang w:bidi="en-US"/>
                    </w:rPr>
                  </m:ctrlPr>
                </m:sSubPr>
                <m:e>
                  <m:r>
                    <w:rPr>
                      <w:rFonts w:ascii="Cambria Math" w:hAnsi="Cambria Math" w:cs="Times New Roman"/>
                      <w:sz w:val="20"/>
                      <w:lang w:bidi="en-US"/>
                    </w:rPr>
                    <m:t>DY</m:t>
                  </m:r>
                </m:e>
                <m:sub>
                  <m:r>
                    <w:rPr>
                      <w:rFonts w:ascii="Cambria Math" w:hAnsi="Cambria Math" w:cs="Times New Roman"/>
                      <w:sz w:val="20"/>
                      <w:lang w:bidi="en-US"/>
                    </w:rPr>
                    <m:t>i</m:t>
                  </m:r>
                </m:sub>
              </m:sSub>
            </m:den>
          </m:f>
        </m:oMath>
      </m:oMathPara>
    </w:p>
    <w:p w14:paraId="7B9CFC0A" w14:textId="77777777" w:rsidR="002357FD" w:rsidRPr="00351833" w:rsidRDefault="002357FD" w:rsidP="002357FD">
      <w:pPr>
        <w:jc w:val="right"/>
        <w:rPr>
          <w:rFonts w:ascii="Times New Roman" w:hAnsi="Times New Roman" w:cs="Times New Roman"/>
          <w:sz w:val="20"/>
          <w:lang w:bidi="en-US"/>
        </w:rPr>
      </w:pPr>
      <w:r w:rsidRPr="00351833">
        <w:rPr>
          <w:rFonts w:ascii="Times New Roman" w:hAnsi="Times New Roman" w:cs="Times New Roman"/>
          <w:sz w:val="20"/>
          <w:lang w:bidi="en-US"/>
        </w:rPr>
        <w:t>(4)</w:t>
      </w:r>
    </w:p>
    <w:p w14:paraId="507E11D4" w14:textId="27BB6D63"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Where </w:t>
      </w:r>
      <w:r w:rsidRPr="00351833">
        <w:rPr>
          <w:rFonts w:ascii="Times New Roman" w:hAnsi="Times New Roman" w:cs="Times New Roman"/>
          <w:i/>
          <w:iCs/>
          <w:sz w:val="20"/>
          <w:lang w:bidi="en-US"/>
        </w:rPr>
        <w:t>Inj</w:t>
      </w:r>
      <w:r w:rsidR="00FF37FD" w:rsidRPr="00FF37FD">
        <w:rPr>
          <w:rFonts w:ascii="Times New Roman" w:eastAsiaTheme="minorEastAsia" w:hAnsi="Times New Roman" w:cs="Times New Roman"/>
          <w:i/>
          <w:iCs/>
          <w:sz w:val="20"/>
          <w:vertAlign w:val="subscript"/>
          <w:lang w:bidi="en-US"/>
        </w:rPr>
        <w:t>i</w:t>
      </w:r>
      <w:r w:rsidRPr="00351833">
        <w:rPr>
          <w:rFonts w:ascii="Times New Roman" w:hAnsi="Times New Roman" w:cs="Times New Roman"/>
          <w:sz w:val="20"/>
          <w:lang w:bidi="en-US"/>
        </w:rPr>
        <w:t xml:space="preserve"> is injection rate and </w:t>
      </w:r>
      <w:proofErr w:type="spellStart"/>
      <w:r w:rsidRPr="00351833">
        <w:rPr>
          <w:rFonts w:ascii="Times New Roman" w:hAnsi="Times New Roman" w:cs="Times New Roman"/>
          <w:i/>
          <w:iCs/>
          <w:sz w:val="20"/>
          <w:lang w:bidi="en-US"/>
        </w:rPr>
        <w:t>DY</w:t>
      </w:r>
      <w:r w:rsidR="00FF37FD" w:rsidRPr="00FF37FD">
        <w:rPr>
          <w:rFonts w:ascii="Times New Roman" w:eastAsiaTheme="minorEastAsia" w:hAnsi="Times New Roman" w:cs="Times New Roman"/>
          <w:i/>
          <w:iCs/>
          <w:sz w:val="20"/>
          <w:vertAlign w:val="subscript"/>
          <w:lang w:bidi="en-US"/>
        </w:rPr>
        <w:t>i</w:t>
      </w:r>
      <w:proofErr w:type="spellEnd"/>
      <w:r w:rsidRPr="00351833">
        <w:rPr>
          <w:rFonts w:ascii="Times New Roman" w:hAnsi="Times New Roman" w:cs="Times New Roman"/>
          <w:sz w:val="20"/>
          <w:lang w:bidi="en-US"/>
        </w:rPr>
        <w:t xml:space="preserve"> is days per year of operation rounded up to the nearest integer.</w:t>
      </w:r>
    </w:p>
    <w:p w14:paraId="0F7ED825" w14:textId="74B639ED"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Injection well construction cost was then a product of </w:t>
      </w:r>
      <w:proofErr w:type="spellStart"/>
      <w:r w:rsidRPr="00351833">
        <w:rPr>
          <w:rFonts w:ascii="Times New Roman" w:hAnsi="Times New Roman" w:cs="Times New Roman"/>
          <w:i/>
          <w:iCs/>
          <w:sz w:val="20"/>
          <w:lang w:bidi="en-US"/>
        </w:rPr>
        <w:t>Nbores</w:t>
      </w:r>
      <w:r w:rsidR="00FF37FD" w:rsidRPr="00FF37FD">
        <w:rPr>
          <w:rFonts w:ascii="Times New Roman" w:eastAsiaTheme="minorEastAsia" w:hAnsi="Times New Roman" w:cs="Times New Roman"/>
          <w:i/>
          <w:iCs/>
          <w:sz w:val="20"/>
          <w:vertAlign w:val="subscript"/>
          <w:lang w:bidi="en-US"/>
        </w:rPr>
        <w:t>i</w:t>
      </w:r>
      <w:proofErr w:type="spellEnd"/>
      <w:r w:rsidRPr="00351833">
        <w:rPr>
          <w:rFonts w:ascii="Times New Roman" w:hAnsi="Times New Roman" w:cs="Times New Roman"/>
          <w:sz w:val="20"/>
          <w:lang w:bidi="en-US"/>
        </w:rPr>
        <w:t xml:space="preserve"> and unit cost (Table 2). Injection pump and instrumentation cost was a product of unit cost (Table 2) and </w:t>
      </w:r>
      <w:proofErr w:type="spellStart"/>
      <w:r w:rsidRPr="00351833">
        <w:rPr>
          <w:rFonts w:ascii="Times New Roman" w:hAnsi="Times New Roman" w:cs="Times New Roman"/>
          <w:i/>
          <w:iCs/>
          <w:sz w:val="20"/>
          <w:lang w:bidi="en-US"/>
        </w:rPr>
        <w:t>Nbores</w:t>
      </w:r>
      <w:r w:rsidR="00FF37FD" w:rsidRPr="00FF37FD">
        <w:rPr>
          <w:rFonts w:ascii="Times New Roman" w:eastAsiaTheme="minorEastAsia" w:hAnsi="Times New Roman" w:cs="Times New Roman"/>
          <w:i/>
          <w:iCs/>
          <w:sz w:val="20"/>
          <w:vertAlign w:val="subscript"/>
          <w:lang w:bidi="en-US"/>
        </w:rPr>
        <w:t>i</w:t>
      </w:r>
      <w:proofErr w:type="spellEnd"/>
      <w:r w:rsidRPr="00351833">
        <w:rPr>
          <w:rFonts w:ascii="Times New Roman" w:hAnsi="Times New Roman" w:cs="Times New Roman"/>
          <w:i/>
          <w:iCs/>
          <w:sz w:val="20"/>
          <w:lang w:bidi="en-US"/>
        </w:rPr>
        <w:t xml:space="preserve"> </w:t>
      </w:r>
      <w:r w:rsidRPr="00351833">
        <w:rPr>
          <w:rFonts w:ascii="Times New Roman" w:hAnsi="Times New Roman" w:cs="Times New Roman"/>
          <w:sz w:val="20"/>
          <w:lang w:bidi="en-US"/>
        </w:rPr>
        <w:t>and were replaced after 25 years at present value (3).</w:t>
      </w:r>
    </w:p>
    <w:p w14:paraId="1036CD06" w14:textId="322CE70B"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Pre-injection treatment capital costs (</w:t>
      </w:r>
      <w:proofErr w:type="spellStart"/>
      <w:r w:rsidRPr="00351833">
        <w:rPr>
          <w:rFonts w:ascii="Times New Roman" w:hAnsi="Times New Roman" w:cs="Times New Roman"/>
          <w:i/>
          <w:iCs/>
          <w:sz w:val="20"/>
          <w:lang w:bidi="en-US"/>
        </w:rPr>
        <w:t>Treat_cap</w:t>
      </w:r>
      <w:r w:rsidR="00FF37FD" w:rsidRPr="00FF37FD">
        <w:rPr>
          <w:rFonts w:ascii="Times New Roman" w:eastAsiaTheme="minorEastAsia" w:hAnsi="Times New Roman" w:cs="Times New Roman"/>
          <w:i/>
          <w:iCs/>
          <w:sz w:val="20"/>
          <w:vertAlign w:val="subscript"/>
          <w:lang w:bidi="en-US"/>
        </w:rPr>
        <w:t>i</w:t>
      </w:r>
      <w:proofErr w:type="spellEnd"/>
      <w:r w:rsidRPr="00351833">
        <w:rPr>
          <w:rFonts w:ascii="Times New Roman" w:hAnsi="Times New Roman" w:cs="Times New Roman"/>
          <w:sz w:val="20"/>
          <w:lang w:bidi="en-US"/>
        </w:rPr>
        <w:t>) were based on scheme capacity and the composite capital cost curve (Supplementary 3):</w:t>
      </w:r>
      <w:r w:rsidRPr="00351833">
        <w:rPr>
          <w:rFonts w:ascii="Times New Roman" w:hAnsi="Times New Roman" w:cs="Times New Roman"/>
          <w:i/>
          <w:sz w:val="20"/>
          <w:lang w:bidi="en-US"/>
        </w:rPr>
        <w:br/>
      </w:r>
      <m:oMathPara>
        <m:oMath>
          <m:sSub>
            <m:sSubPr>
              <m:ctrlPr>
                <w:rPr>
                  <w:rFonts w:ascii="Cambria Math" w:hAnsi="Cambria Math" w:cs="Times New Roman"/>
                  <w:i/>
                  <w:sz w:val="20"/>
                  <w:lang w:bidi="en-US"/>
                </w:rPr>
              </m:ctrlPr>
            </m:sSubPr>
            <m:e>
              <m:r>
                <w:rPr>
                  <w:rFonts w:ascii="Cambria Math" w:hAnsi="Cambria Math" w:cs="Times New Roman"/>
                  <w:sz w:val="20"/>
                  <w:lang w:bidi="en-US"/>
                </w:rPr>
                <m:t>Treat_cap</m:t>
              </m:r>
            </m:e>
            <m:sub>
              <m:r>
                <w:rPr>
                  <w:rFonts w:ascii="Cambria Math" w:hAnsi="Cambria Math" w:cs="Times New Roman"/>
                  <w:sz w:val="20"/>
                  <w:lang w:bidi="en-US"/>
                </w:rPr>
                <m:t>i</m:t>
              </m:r>
            </m:sub>
          </m:sSub>
          <m:r>
            <w:rPr>
              <w:rFonts w:ascii="Cambria Math" w:hAnsi="Cambria Math" w:cs="Times New Roman"/>
              <w:sz w:val="20"/>
              <w:lang w:bidi="en-US"/>
            </w:rPr>
            <m:t>=(-588.8∙</m:t>
          </m:r>
          <m:func>
            <m:funcPr>
              <m:ctrlPr>
                <w:rPr>
                  <w:rFonts w:ascii="Cambria Math" w:hAnsi="Cambria Math" w:cs="Times New Roman"/>
                  <w:i/>
                  <w:sz w:val="20"/>
                  <w:lang w:bidi="en-US"/>
                </w:rPr>
              </m:ctrlPr>
            </m:funcPr>
            <m:fName>
              <m:r>
                <m:rPr>
                  <m:sty m:val="p"/>
                </m:rPr>
                <w:rPr>
                  <w:rFonts w:ascii="Cambria Math" w:hAnsi="Cambria Math" w:cs="Times New Roman"/>
                  <w:sz w:val="20"/>
                  <w:lang w:bidi="en-US"/>
                </w:rPr>
                <m:t>log</m:t>
              </m:r>
            </m:fName>
            <m:e>
              <m:r>
                <w:rPr>
                  <w:rFonts w:ascii="Cambria Math" w:hAnsi="Cambria Math" w:cs="Times New Roman"/>
                  <w:sz w:val="20"/>
                  <w:lang w:bidi="en-US"/>
                </w:rPr>
                <m:t>C</m:t>
              </m:r>
            </m:e>
          </m:func>
          <m:r>
            <w:rPr>
              <w:rFonts w:ascii="Cambria Math" w:hAnsi="Cambria Math" w:cs="Times New Roman"/>
              <w:sz w:val="20"/>
              <w:lang w:bidi="en-US"/>
            </w:rPr>
            <m:t>+6528.6)∙rf∙C</m:t>
          </m:r>
        </m:oMath>
      </m:oMathPara>
    </w:p>
    <w:p w14:paraId="216420E5" w14:textId="77777777" w:rsidR="002357FD" w:rsidRPr="00351833" w:rsidRDefault="002357FD" w:rsidP="002357FD">
      <w:pPr>
        <w:jc w:val="right"/>
        <w:rPr>
          <w:rFonts w:ascii="Times New Roman" w:hAnsi="Times New Roman" w:cs="Times New Roman"/>
          <w:sz w:val="20"/>
          <w:lang w:bidi="en-US"/>
        </w:rPr>
      </w:pPr>
      <w:r w:rsidRPr="00351833">
        <w:rPr>
          <w:rFonts w:ascii="Times New Roman" w:hAnsi="Times New Roman" w:cs="Times New Roman"/>
          <w:sz w:val="20"/>
          <w:lang w:bidi="en-US"/>
        </w:rPr>
        <w:t>(5)</w:t>
      </w:r>
    </w:p>
    <w:p w14:paraId="194EB022" w14:textId="77777777"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Where </w:t>
      </w:r>
      <w:r w:rsidRPr="00351833">
        <w:rPr>
          <w:rFonts w:ascii="Times New Roman" w:hAnsi="Times New Roman" w:cs="Times New Roman"/>
          <w:i/>
          <w:iCs/>
          <w:sz w:val="20"/>
          <w:lang w:bidi="en-US"/>
        </w:rPr>
        <w:t>rf</w:t>
      </w:r>
      <w:r w:rsidRPr="00351833">
        <w:rPr>
          <w:rFonts w:ascii="Times New Roman" w:hAnsi="Times New Roman" w:cs="Times New Roman"/>
          <w:sz w:val="20"/>
          <w:lang w:bidi="en-US"/>
        </w:rPr>
        <w:t xml:space="preserve"> is a random factor of ± 20% applied to represent variability around the capital cost curve.</w:t>
      </w:r>
    </w:p>
    <w:p w14:paraId="7AC7D201" w14:textId="7FA85314"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Infiltration basin construction and instrumentation capital costs were proportional to basin area (</w:t>
      </w:r>
      <w:proofErr w:type="spellStart"/>
      <w:r w:rsidRPr="00351833">
        <w:rPr>
          <w:rFonts w:ascii="Times New Roman" w:hAnsi="Times New Roman" w:cs="Times New Roman"/>
          <w:i/>
          <w:iCs/>
          <w:sz w:val="20"/>
          <w:lang w:bidi="en-US"/>
        </w:rPr>
        <w:t>Basin_area</w:t>
      </w:r>
      <w:r w:rsidR="00FF37FD" w:rsidRPr="00FF37FD">
        <w:rPr>
          <w:rFonts w:ascii="Times New Roman" w:eastAsiaTheme="minorEastAsia" w:hAnsi="Times New Roman" w:cs="Times New Roman"/>
          <w:i/>
          <w:iCs/>
          <w:sz w:val="20"/>
          <w:vertAlign w:val="subscript"/>
          <w:lang w:bidi="en-US"/>
        </w:rPr>
        <w:t>i</w:t>
      </w:r>
      <w:proofErr w:type="spellEnd"/>
      <w:r w:rsidRPr="00351833">
        <w:rPr>
          <w:rFonts w:ascii="Times New Roman" w:hAnsi="Times New Roman" w:cs="Times New Roman"/>
          <w:sz w:val="20"/>
          <w:lang w:bidi="en-US"/>
        </w:rPr>
        <w:t>):</w:t>
      </w:r>
    </w:p>
    <w:p w14:paraId="5ED05F68" w14:textId="77777777" w:rsidR="002357FD" w:rsidRPr="00351833" w:rsidRDefault="00F57D29" w:rsidP="002357FD">
      <w:pPr>
        <w:rPr>
          <w:rFonts w:ascii="Times New Roman" w:hAnsi="Times New Roman" w:cs="Times New Roman"/>
          <w:sz w:val="20"/>
          <w:lang w:bidi="en-US"/>
        </w:rPr>
      </w:pPr>
      <m:oMathPara>
        <m:oMath>
          <m:sSub>
            <m:sSubPr>
              <m:ctrlPr>
                <w:rPr>
                  <w:rFonts w:ascii="Cambria Math" w:hAnsi="Cambria Math" w:cs="Times New Roman"/>
                  <w:i/>
                  <w:sz w:val="20"/>
                  <w:lang w:bidi="en-US"/>
                </w:rPr>
              </m:ctrlPr>
            </m:sSubPr>
            <m:e>
              <m:r>
                <w:rPr>
                  <w:rFonts w:ascii="Cambria Math" w:hAnsi="Cambria Math" w:cs="Times New Roman"/>
                  <w:sz w:val="20"/>
                  <w:lang w:bidi="en-US"/>
                </w:rPr>
                <m:t>Basin_area</m:t>
              </m:r>
            </m:e>
            <m:sub>
              <m:r>
                <w:rPr>
                  <w:rFonts w:ascii="Cambria Math" w:hAnsi="Cambria Math" w:cs="Times New Roman"/>
                  <w:sz w:val="20"/>
                  <w:lang w:bidi="en-US"/>
                </w:rPr>
                <m:t>i</m:t>
              </m:r>
            </m:sub>
          </m:sSub>
          <m:r>
            <w:rPr>
              <w:rFonts w:ascii="Cambria Math" w:hAnsi="Cambria Math" w:cs="Times New Roman"/>
              <w:sz w:val="20"/>
              <w:lang w:bidi="en-US"/>
            </w:rPr>
            <m:t>=</m:t>
          </m:r>
          <m:f>
            <m:fPr>
              <m:ctrlPr>
                <w:rPr>
                  <w:rFonts w:ascii="Cambria Math" w:hAnsi="Cambria Math" w:cs="Times New Roman"/>
                  <w:i/>
                  <w:sz w:val="20"/>
                  <w:lang w:bidi="en-US"/>
                </w:rPr>
              </m:ctrlPr>
            </m:fPr>
            <m:num>
              <m:r>
                <w:rPr>
                  <w:rFonts w:ascii="Cambria Math" w:hAnsi="Cambria Math" w:cs="Times New Roman"/>
                  <w:sz w:val="20"/>
                  <w:lang w:bidi="en-US"/>
                </w:rPr>
                <m:t>C</m:t>
              </m:r>
            </m:num>
            <m:den>
              <m:sSub>
                <m:sSubPr>
                  <m:ctrlPr>
                    <w:rPr>
                      <w:rFonts w:ascii="Cambria Math" w:hAnsi="Cambria Math" w:cs="Times New Roman"/>
                      <w:i/>
                      <w:sz w:val="20"/>
                      <w:lang w:bidi="en-US"/>
                    </w:rPr>
                  </m:ctrlPr>
                </m:sSubPr>
                <m:e>
                  <m:r>
                    <w:rPr>
                      <w:rFonts w:ascii="Cambria Math" w:hAnsi="Cambria Math" w:cs="Times New Roman"/>
                      <w:sz w:val="20"/>
                      <w:lang w:bidi="en-US"/>
                    </w:rPr>
                    <m:t>Infilt</m:t>
                  </m:r>
                </m:e>
                <m:sub>
                  <m:r>
                    <w:rPr>
                      <w:rFonts w:ascii="Cambria Math" w:hAnsi="Cambria Math" w:cs="Times New Roman"/>
                      <w:sz w:val="20"/>
                      <w:lang w:bidi="en-US"/>
                    </w:rPr>
                    <m:t>i</m:t>
                  </m:r>
                </m:sub>
              </m:sSub>
              <m:r>
                <w:rPr>
                  <w:rFonts w:ascii="Cambria Math" w:hAnsi="Cambria Math" w:cs="Times New Roman"/>
                  <w:sz w:val="20"/>
                  <w:lang w:bidi="en-US"/>
                </w:rPr>
                <m:t>∙</m:t>
              </m:r>
              <m:sSub>
                <m:sSubPr>
                  <m:ctrlPr>
                    <w:rPr>
                      <w:rFonts w:ascii="Cambria Math" w:hAnsi="Cambria Math" w:cs="Times New Roman"/>
                      <w:i/>
                      <w:sz w:val="20"/>
                      <w:lang w:bidi="en-US"/>
                    </w:rPr>
                  </m:ctrlPr>
                </m:sSubPr>
                <m:e>
                  <m:r>
                    <w:rPr>
                      <w:rFonts w:ascii="Cambria Math" w:hAnsi="Cambria Math" w:cs="Times New Roman"/>
                      <w:sz w:val="20"/>
                      <w:lang w:bidi="en-US"/>
                    </w:rPr>
                    <m:t>DY</m:t>
                  </m:r>
                </m:e>
                <m:sub>
                  <m:r>
                    <w:rPr>
                      <w:rFonts w:ascii="Cambria Math" w:hAnsi="Cambria Math" w:cs="Times New Roman"/>
                      <w:sz w:val="20"/>
                      <w:lang w:bidi="en-US"/>
                    </w:rPr>
                    <m:t>i</m:t>
                  </m:r>
                </m:sub>
              </m:sSub>
            </m:den>
          </m:f>
        </m:oMath>
      </m:oMathPara>
    </w:p>
    <w:p w14:paraId="7AE8FA1C" w14:textId="77777777" w:rsidR="002357FD" w:rsidRPr="00351833" w:rsidRDefault="002357FD" w:rsidP="002357FD">
      <w:pPr>
        <w:jc w:val="right"/>
        <w:rPr>
          <w:rFonts w:ascii="Times New Roman" w:hAnsi="Times New Roman" w:cs="Times New Roman"/>
          <w:sz w:val="20"/>
          <w:lang w:bidi="en-US"/>
        </w:rPr>
      </w:pPr>
      <w:r w:rsidRPr="00351833">
        <w:rPr>
          <w:rFonts w:ascii="Times New Roman" w:hAnsi="Times New Roman" w:cs="Times New Roman"/>
          <w:sz w:val="20"/>
          <w:lang w:bidi="en-US"/>
        </w:rPr>
        <w:t>(6)</w:t>
      </w:r>
    </w:p>
    <w:p w14:paraId="56D00280" w14:textId="13ACC6DE"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Where </w:t>
      </w:r>
      <w:proofErr w:type="spellStart"/>
      <w:r w:rsidRPr="00351833">
        <w:rPr>
          <w:rFonts w:ascii="Times New Roman" w:hAnsi="Times New Roman" w:cs="Times New Roman"/>
          <w:i/>
          <w:iCs/>
          <w:sz w:val="20"/>
          <w:lang w:bidi="en-US"/>
        </w:rPr>
        <w:t>Infilt</w:t>
      </w:r>
      <w:r w:rsidR="00FF37FD" w:rsidRPr="00FF37FD">
        <w:rPr>
          <w:rFonts w:ascii="Times New Roman" w:eastAsiaTheme="minorEastAsia" w:hAnsi="Times New Roman" w:cs="Times New Roman"/>
          <w:i/>
          <w:iCs/>
          <w:sz w:val="20"/>
          <w:vertAlign w:val="subscript"/>
          <w:lang w:bidi="en-US"/>
        </w:rPr>
        <w:t>i</w:t>
      </w:r>
      <w:proofErr w:type="spellEnd"/>
      <w:r w:rsidRPr="00351833">
        <w:rPr>
          <w:rFonts w:ascii="Times New Roman" w:hAnsi="Times New Roman" w:cs="Times New Roman"/>
          <w:sz w:val="20"/>
          <w:lang w:bidi="en-US"/>
        </w:rPr>
        <w:t xml:space="preserve"> is infiltration rate</w:t>
      </w:r>
      <w:r w:rsidR="00526326">
        <w:rPr>
          <w:rFonts w:ascii="Times New Roman" w:hAnsi="Times New Roman" w:cs="Times New Roman"/>
          <w:sz w:val="20"/>
          <w:lang w:bidi="en-US"/>
        </w:rPr>
        <w:t xml:space="preserve"> (m/d)</w:t>
      </w:r>
      <w:r w:rsidRPr="00351833">
        <w:rPr>
          <w:rFonts w:ascii="Times New Roman" w:hAnsi="Times New Roman" w:cs="Times New Roman"/>
          <w:sz w:val="20"/>
          <w:lang w:bidi="en-US"/>
        </w:rPr>
        <w:t>.</w:t>
      </w:r>
    </w:p>
    <w:p w14:paraId="04FCCBEF" w14:textId="77777777"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Basin construction capital cost was then basin area multiplied by a depth of 2 m and the unit cost of earthworks using a scraper. Basin instrumentation capital cost was calculated as the cost of one level logger and three soil moisture sensors per hectare of basin area plus the cost of a telemetered weather station (Table 2). Instrumentation was replaced after 25 years at present value (3).</w:t>
      </w:r>
    </w:p>
    <w:p w14:paraId="712844B9" w14:textId="77777777"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Operating costs:</w:t>
      </w:r>
    </w:p>
    <w:p w14:paraId="30E15030" w14:textId="21D799D9" w:rsidR="002357FD" w:rsidRPr="00351833" w:rsidRDefault="002357FD" w:rsidP="002357FD">
      <w:pPr>
        <w:rPr>
          <w:rFonts w:ascii="Times New Roman" w:eastAsiaTheme="minorEastAsia" w:hAnsi="Times New Roman" w:cs="Times New Roman"/>
          <w:sz w:val="20"/>
          <w:lang w:bidi="en-US"/>
        </w:rPr>
      </w:pPr>
      <w:r w:rsidRPr="00351833">
        <w:rPr>
          <w:rFonts w:ascii="Times New Roman" w:eastAsiaTheme="minorEastAsia" w:hAnsi="Times New Roman" w:cs="Times New Roman"/>
          <w:sz w:val="20"/>
          <w:lang w:bidi="en-US"/>
        </w:rPr>
        <w:t>The NPV of injection pump operating costs (</w:t>
      </w:r>
      <w:proofErr w:type="spellStart"/>
      <w:r w:rsidRPr="00351833">
        <w:rPr>
          <w:rFonts w:ascii="Times New Roman" w:eastAsiaTheme="minorEastAsia" w:hAnsi="Times New Roman" w:cs="Times New Roman"/>
          <w:i/>
          <w:iCs/>
          <w:sz w:val="20"/>
          <w:lang w:bidi="en-US"/>
        </w:rPr>
        <w:t>Inj_op</w:t>
      </w:r>
      <w:r w:rsidR="00526326" w:rsidRPr="00526326">
        <w:rPr>
          <w:rFonts w:ascii="Times New Roman" w:eastAsiaTheme="minorEastAsia" w:hAnsi="Times New Roman" w:cs="Times New Roman"/>
          <w:i/>
          <w:iCs/>
          <w:sz w:val="20"/>
          <w:vertAlign w:val="subscript"/>
          <w:lang w:bidi="en-US"/>
        </w:rPr>
        <w:t>i</w:t>
      </w:r>
      <w:proofErr w:type="spellEnd"/>
      <w:r w:rsidRPr="00351833">
        <w:rPr>
          <w:rFonts w:ascii="Times New Roman" w:eastAsiaTheme="minorEastAsia" w:hAnsi="Times New Roman" w:cs="Times New Roman"/>
          <w:sz w:val="20"/>
          <w:lang w:bidi="en-US"/>
        </w:rPr>
        <w:t xml:space="preserve">) was calculated as:  </w:t>
      </w:r>
    </w:p>
    <w:p w14:paraId="4ECE1954" w14:textId="0E35F38C"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 </w:t>
      </w:r>
      <w:r w:rsidRPr="00351833">
        <w:rPr>
          <w:rFonts w:ascii="Times New Roman" w:hAnsi="Times New Roman" w:cs="Times New Roman"/>
          <w:i/>
          <w:sz w:val="20"/>
          <w:lang w:bidi="en-US"/>
        </w:rPr>
        <w:br/>
      </w:r>
      <m:oMathPara>
        <m:oMath>
          <m:sSub>
            <m:sSubPr>
              <m:ctrlPr>
                <w:rPr>
                  <w:rFonts w:ascii="Cambria Math" w:hAnsi="Cambria Math" w:cs="Times New Roman"/>
                  <w:i/>
                  <w:sz w:val="20"/>
                  <w:lang w:bidi="en-US"/>
                </w:rPr>
              </m:ctrlPr>
            </m:sSubPr>
            <m:e>
              <m:r>
                <w:rPr>
                  <w:rFonts w:ascii="Cambria Math" w:hAnsi="Cambria Math" w:cs="Times New Roman"/>
                  <w:sz w:val="20"/>
                  <w:lang w:bidi="en-US"/>
                </w:rPr>
                <m:t>Inj_op</m:t>
              </m:r>
            </m:e>
            <m:sub>
              <m:r>
                <w:rPr>
                  <w:rFonts w:ascii="Cambria Math" w:hAnsi="Cambria Math" w:cs="Times New Roman"/>
                  <w:sz w:val="20"/>
                  <w:lang w:bidi="en-US"/>
                </w:rPr>
                <m:t>i</m:t>
              </m:r>
            </m:sub>
          </m:sSub>
          <m:r>
            <w:rPr>
              <w:rFonts w:ascii="Cambria Math" w:hAnsi="Cambria Math" w:cs="Times New Roman"/>
              <w:sz w:val="20"/>
              <w:lang w:bidi="en-US"/>
            </w:rPr>
            <m:t>=</m:t>
          </m:r>
          <m:nary>
            <m:naryPr>
              <m:chr m:val="∑"/>
              <m:grow m:val="1"/>
              <m:ctrlPr>
                <w:rPr>
                  <w:rFonts w:ascii="Cambria Math" w:hAnsi="Cambria Math" w:cs="Times New Roman"/>
                  <w:sz w:val="20"/>
                  <w:lang w:bidi="en-US"/>
                </w:rPr>
              </m:ctrlPr>
            </m:naryPr>
            <m:sub>
              <m:r>
                <w:rPr>
                  <w:rFonts w:ascii="Cambria Math" w:eastAsia="Cambria Math" w:hAnsi="Cambria Math" w:cs="Times New Roman"/>
                  <w:sz w:val="20"/>
                  <w:lang w:bidi="en-US"/>
                </w:rPr>
                <m:t>t=0</m:t>
              </m:r>
            </m:sub>
            <m:sup>
              <m:r>
                <w:rPr>
                  <w:rFonts w:ascii="Cambria Math" w:eastAsia="Cambria Math" w:hAnsi="Cambria Math" w:cs="Times New Roman"/>
                  <w:sz w:val="20"/>
                  <w:lang w:bidi="en-US"/>
                </w:rPr>
                <m:t>n</m:t>
              </m:r>
            </m:sup>
            <m:e>
              <m:f>
                <m:fPr>
                  <m:ctrlPr>
                    <w:rPr>
                      <w:rFonts w:ascii="Cambria Math" w:hAnsi="Cambria Math" w:cs="Times New Roman"/>
                      <w:i/>
                      <w:sz w:val="20"/>
                      <w:lang w:bidi="en-US"/>
                    </w:rPr>
                  </m:ctrlPr>
                </m:fPr>
                <m:num>
                  <m:sSub>
                    <m:sSubPr>
                      <m:ctrlPr>
                        <w:rPr>
                          <w:rFonts w:ascii="Cambria Math" w:hAnsi="Cambria Math" w:cs="Times New Roman"/>
                          <w:i/>
                          <w:sz w:val="20"/>
                          <w:lang w:bidi="en-US"/>
                        </w:rPr>
                      </m:ctrlPr>
                    </m:sSubPr>
                    <m:e>
                      <m:r>
                        <w:rPr>
                          <w:rFonts w:ascii="Cambria Math" w:hAnsi="Cambria Math" w:cs="Times New Roman"/>
                          <w:sz w:val="20"/>
                          <w:lang w:bidi="en-US"/>
                        </w:rPr>
                        <m:t>Rech</m:t>
                      </m:r>
                    </m:e>
                    <m:sub>
                      <m:r>
                        <w:rPr>
                          <w:rFonts w:ascii="Cambria Math" w:hAnsi="Cambria Math" w:cs="Times New Roman"/>
                          <w:sz w:val="20"/>
                          <w:lang w:bidi="en-US"/>
                        </w:rPr>
                        <m:t>i,t</m:t>
                      </m:r>
                    </m:sub>
                  </m:sSub>
                  <m:r>
                    <w:rPr>
                      <w:rFonts w:ascii="Cambria Math" w:hAnsi="Cambria Math" w:cs="Times New Roman"/>
                      <w:sz w:val="20"/>
                      <w:lang w:bidi="en-US"/>
                    </w:rPr>
                    <m:t>∙</m:t>
                  </m:r>
                  <m:sSub>
                    <m:sSubPr>
                      <m:ctrlPr>
                        <w:rPr>
                          <w:rFonts w:ascii="Cambria Math" w:hAnsi="Cambria Math" w:cs="Times New Roman"/>
                          <w:i/>
                          <w:sz w:val="20"/>
                          <w:lang w:bidi="en-US"/>
                        </w:rPr>
                      </m:ctrlPr>
                    </m:sSubPr>
                    <m:e>
                      <m:r>
                        <w:rPr>
                          <w:rFonts w:ascii="Cambria Math" w:hAnsi="Cambria Math" w:cs="Times New Roman"/>
                          <w:sz w:val="20"/>
                          <w:lang w:bidi="en-US"/>
                        </w:rPr>
                        <m:t>Pump_op</m:t>
                      </m:r>
                    </m:e>
                    <m:sub>
                      <m:r>
                        <w:rPr>
                          <w:rFonts w:ascii="Cambria Math" w:hAnsi="Cambria Math" w:cs="Times New Roman"/>
                          <w:sz w:val="20"/>
                          <w:lang w:bidi="en-US"/>
                        </w:rPr>
                        <m:t>i</m:t>
                      </m:r>
                    </m:sub>
                  </m:sSub>
                  <m:r>
                    <w:rPr>
                      <w:rFonts w:ascii="Cambria Math" w:hAnsi="Cambria Math" w:cs="Times New Roman"/>
                      <w:sz w:val="20"/>
                      <w:lang w:bidi="en-US"/>
                    </w:rPr>
                    <m:t>∙head</m:t>
                  </m:r>
                </m:num>
                <m:den>
                  <m:sSup>
                    <m:sSupPr>
                      <m:ctrlPr>
                        <w:rPr>
                          <w:rFonts w:ascii="Cambria Math" w:hAnsi="Cambria Math" w:cs="Times New Roman"/>
                          <w:i/>
                          <w:sz w:val="20"/>
                          <w:lang w:bidi="en-US"/>
                        </w:rPr>
                      </m:ctrlPr>
                    </m:sSupPr>
                    <m:e>
                      <m:r>
                        <w:rPr>
                          <w:rFonts w:ascii="Cambria Math" w:hAnsi="Cambria Math" w:cs="Times New Roman"/>
                          <w:sz w:val="20"/>
                          <w:lang w:bidi="en-US"/>
                        </w:rPr>
                        <m:t>(1+</m:t>
                      </m:r>
                      <m:sSub>
                        <m:sSubPr>
                          <m:ctrlPr>
                            <w:rPr>
                              <w:rFonts w:ascii="Cambria Math" w:hAnsi="Cambria Math" w:cs="Times New Roman"/>
                              <w:i/>
                              <w:sz w:val="20"/>
                              <w:lang w:bidi="en-US"/>
                            </w:rPr>
                          </m:ctrlPr>
                        </m:sSubPr>
                        <m:e>
                          <m:r>
                            <w:rPr>
                              <w:rFonts w:ascii="Cambria Math" w:hAnsi="Cambria Math" w:cs="Times New Roman"/>
                              <w:sz w:val="20"/>
                              <w:lang w:bidi="en-US"/>
                            </w:rPr>
                            <m:t>rate</m:t>
                          </m:r>
                        </m:e>
                        <m:sub>
                          <m:r>
                            <w:rPr>
                              <w:rFonts w:ascii="Cambria Math" w:hAnsi="Cambria Math" w:cs="Times New Roman"/>
                              <w:sz w:val="20"/>
                              <w:lang w:bidi="en-US"/>
                            </w:rPr>
                            <m:t>i</m:t>
                          </m:r>
                        </m:sub>
                      </m:sSub>
                      <m:r>
                        <w:rPr>
                          <w:rFonts w:ascii="Cambria Math" w:hAnsi="Cambria Math" w:cs="Times New Roman"/>
                          <w:sz w:val="20"/>
                          <w:lang w:bidi="en-US"/>
                        </w:rPr>
                        <m:t>)</m:t>
                      </m:r>
                    </m:e>
                    <m:sup>
                      <m:r>
                        <w:rPr>
                          <w:rFonts w:ascii="Cambria Math" w:hAnsi="Cambria Math" w:cs="Times New Roman"/>
                          <w:sz w:val="20"/>
                          <w:lang w:bidi="en-US"/>
                        </w:rPr>
                        <m:t>t</m:t>
                      </m:r>
                    </m:sup>
                  </m:sSup>
                </m:den>
              </m:f>
            </m:e>
          </m:nary>
        </m:oMath>
      </m:oMathPara>
    </w:p>
    <w:p w14:paraId="53AE87D4" w14:textId="77777777" w:rsidR="002357FD" w:rsidRPr="00351833" w:rsidRDefault="002357FD" w:rsidP="002357FD">
      <w:pPr>
        <w:jc w:val="right"/>
        <w:rPr>
          <w:rFonts w:ascii="Times New Roman" w:hAnsi="Times New Roman" w:cs="Times New Roman"/>
          <w:sz w:val="20"/>
          <w:lang w:bidi="en-US"/>
        </w:rPr>
      </w:pPr>
      <w:r w:rsidRPr="00351833">
        <w:rPr>
          <w:rFonts w:ascii="Times New Roman" w:hAnsi="Times New Roman" w:cs="Times New Roman"/>
          <w:sz w:val="20"/>
          <w:lang w:bidi="en-US"/>
        </w:rPr>
        <w:t>(7)</w:t>
      </w:r>
    </w:p>
    <w:p w14:paraId="699DA176" w14:textId="7CEF82EC"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Where </w:t>
      </w:r>
      <w:proofErr w:type="spellStart"/>
      <w:r w:rsidRPr="00351833">
        <w:rPr>
          <w:rFonts w:ascii="Times New Roman" w:hAnsi="Times New Roman" w:cs="Times New Roman"/>
          <w:i/>
          <w:iCs/>
          <w:sz w:val="20"/>
          <w:lang w:bidi="en-US"/>
        </w:rPr>
        <w:t>Pump_op</w:t>
      </w:r>
      <w:r w:rsidR="00FF37FD" w:rsidRPr="00FF37FD">
        <w:rPr>
          <w:rFonts w:ascii="Times New Roman" w:eastAsiaTheme="minorEastAsia" w:hAnsi="Times New Roman" w:cs="Times New Roman"/>
          <w:i/>
          <w:iCs/>
          <w:sz w:val="20"/>
          <w:vertAlign w:val="subscript"/>
          <w:lang w:bidi="en-US"/>
        </w:rPr>
        <w:t>i</w:t>
      </w:r>
      <w:proofErr w:type="spellEnd"/>
      <w:r w:rsidRPr="00351833">
        <w:rPr>
          <w:rFonts w:ascii="Times New Roman" w:hAnsi="Times New Roman" w:cs="Times New Roman"/>
          <w:sz w:val="20"/>
          <w:lang w:bidi="en-US"/>
        </w:rPr>
        <w:t xml:space="preserve"> is the unit cost of pumping ($/m</w:t>
      </w:r>
      <w:r w:rsidRPr="00351833">
        <w:rPr>
          <w:rFonts w:ascii="Times New Roman" w:hAnsi="Times New Roman" w:cs="Times New Roman"/>
          <w:sz w:val="20"/>
          <w:vertAlign w:val="superscript"/>
          <w:lang w:bidi="en-US"/>
        </w:rPr>
        <w:t>3</w:t>
      </w:r>
      <w:r w:rsidRPr="00351833">
        <w:rPr>
          <w:rFonts w:ascii="Times New Roman" w:hAnsi="Times New Roman" w:cs="Times New Roman"/>
          <w:sz w:val="20"/>
          <w:lang w:bidi="en-US"/>
        </w:rPr>
        <w:t xml:space="preserve">/m injection or extraction) the recharged volume in each recharge year assuming a 50 m pressure head </w:t>
      </w:r>
      <w:r w:rsidR="00526326">
        <w:rPr>
          <w:rFonts w:ascii="Times New Roman" w:hAnsi="Times New Roman" w:cs="Times New Roman"/>
          <w:sz w:val="20"/>
          <w:lang w:bidi="en-US"/>
        </w:rPr>
        <w:t>(</w:t>
      </w:r>
      <w:r w:rsidR="00526326" w:rsidRPr="00526326">
        <w:rPr>
          <w:rFonts w:ascii="Times New Roman" w:hAnsi="Times New Roman" w:cs="Times New Roman"/>
          <w:i/>
          <w:iCs/>
          <w:sz w:val="20"/>
          <w:lang w:bidi="en-US"/>
        </w:rPr>
        <w:t>head</w:t>
      </w:r>
      <w:r w:rsidR="00526326">
        <w:rPr>
          <w:rFonts w:ascii="Times New Roman" w:hAnsi="Times New Roman" w:cs="Times New Roman"/>
          <w:sz w:val="20"/>
          <w:lang w:bidi="en-US"/>
        </w:rPr>
        <w:t xml:space="preserve">) </w:t>
      </w:r>
      <w:r w:rsidRPr="00351833">
        <w:rPr>
          <w:rFonts w:ascii="Times New Roman" w:hAnsi="Times New Roman" w:cs="Times New Roman"/>
          <w:sz w:val="20"/>
          <w:lang w:bidi="en-US"/>
        </w:rPr>
        <w:t>requirement (</w:t>
      </w:r>
      <w:r w:rsidR="00FF37FD">
        <w:rPr>
          <w:rFonts w:ascii="Times New Roman" w:hAnsi="Times New Roman" w:cs="Times New Roman"/>
          <w:sz w:val="20"/>
          <w:lang w:bidi="en-US"/>
        </w:rPr>
        <w:t xml:space="preserve">or </w:t>
      </w:r>
      <w:r w:rsidRPr="00351833">
        <w:rPr>
          <w:rFonts w:ascii="Times New Roman" w:hAnsi="Times New Roman" w:cs="Times New Roman"/>
          <w:sz w:val="20"/>
          <w:lang w:bidi="en-US"/>
        </w:rPr>
        <w:t>490 kPa).</w:t>
      </w:r>
    </w:p>
    <w:p w14:paraId="5F4816B7" w14:textId="1FA919C5" w:rsidR="002357FD" w:rsidRPr="00351833" w:rsidRDefault="002357FD" w:rsidP="002357FD">
      <w:pPr>
        <w:rPr>
          <w:rFonts w:ascii="Times New Roman" w:eastAsiaTheme="minorEastAsia" w:hAnsi="Times New Roman" w:cs="Times New Roman"/>
          <w:sz w:val="20"/>
          <w:lang w:bidi="en-US"/>
        </w:rPr>
      </w:pPr>
      <w:r w:rsidRPr="00351833">
        <w:rPr>
          <w:rFonts w:ascii="Times New Roman" w:eastAsiaTheme="minorEastAsia" w:hAnsi="Times New Roman" w:cs="Times New Roman"/>
          <w:sz w:val="20"/>
          <w:lang w:bidi="en-US"/>
        </w:rPr>
        <w:t>The NPV of injection well redevelopment costs (</w:t>
      </w:r>
      <w:proofErr w:type="spellStart"/>
      <w:r w:rsidRPr="00351833">
        <w:rPr>
          <w:rFonts w:ascii="Times New Roman" w:eastAsiaTheme="minorEastAsia" w:hAnsi="Times New Roman" w:cs="Times New Roman"/>
          <w:i/>
          <w:iCs/>
          <w:sz w:val="20"/>
          <w:lang w:bidi="en-US"/>
        </w:rPr>
        <w:t>Well_redev</w:t>
      </w:r>
      <w:r w:rsidR="00FF37FD" w:rsidRPr="00FF37FD">
        <w:rPr>
          <w:rFonts w:ascii="Times New Roman" w:eastAsiaTheme="minorEastAsia" w:hAnsi="Times New Roman" w:cs="Times New Roman"/>
          <w:i/>
          <w:iCs/>
          <w:sz w:val="20"/>
          <w:vertAlign w:val="subscript"/>
          <w:lang w:bidi="en-US"/>
        </w:rPr>
        <w:t>i</w:t>
      </w:r>
      <w:proofErr w:type="spellEnd"/>
      <w:r w:rsidRPr="00351833">
        <w:rPr>
          <w:rFonts w:ascii="Times New Roman" w:eastAsiaTheme="minorEastAsia" w:hAnsi="Times New Roman" w:cs="Times New Roman"/>
          <w:sz w:val="20"/>
          <w:lang w:bidi="en-US"/>
        </w:rPr>
        <w:t xml:space="preserve">) was calculated as:  </w:t>
      </w:r>
    </w:p>
    <w:p w14:paraId="6B9C4511" w14:textId="71022010"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 </w:t>
      </w:r>
      <w:r w:rsidRPr="00351833">
        <w:rPr>
          <w:rFonts w:ascii="Times New Roman" w:hAnsi="Times New Roman" w:cs="Times New Roman"/>
          <w:i/>
          <w:sz w:val="20"/>
          <w:lang w:bidi="en-US"/>
        </w:rPr>
        <w:br/>
      </w:r>
      <m:oMathPara>
        <m:oMath>
          <m:sSub>
            <m:sSubPr>
              <m:ctrlPr>
                <w:rPr>
                  <w:rFonts w:ascii="Cambria Math" w:hAnsi="Cambria Math" w:cs="Times New Roman"/>
                  <w:i/>
                  <w:sz w:val="20"/>
                  <w:lang w:bidi="en-US"/>
                </w:rPr>
              </m:ctrlPr>
            </m:sSubPr>
            <m:e>
              <m:r>
                <w:rPr>
                  <w:rFonts w:ascii="Cambria Math" w:hAnsi="Cambria Math" w:cs="Times New Roman"/>
                  <w:sz w:val="20"/>
                  <w:lang w:bidi="en-US"/>
                </w:rPr>
                <m:t>Well_redev</m:t>
              </m:r>
            </m:e>
            <m:sub>
              <m:r>
                <w:rPr>
                  <w:rFonts w:ascii="Cambria Math" w:hAnsi="Cambria Math" w:cs="Times New Roman"/>
                  <w:sz w:val="20"/>
                  <w:lang w:bidi="en-US"/>
                </w:rPr>
                <m:t>i</m:t>
              </m:r>
            </m:sub>
          </m:sSub>
          <m:r>
            <w:rPr>
              <w:rFonts w:ascii="Cambria Math" w:hAnsi="Cambria Math" w:cs="Times New Roman"/>
              <w:sz w:val="20"/>
              <w:lang w:bidi="en-US"/>
            </w:rPr>
            <m:t>=</m:t>
          </m:r>
          <m:nary>
            <m:naryPr>
              <m:chr m:val="∑"/>
              <m:grow m:val="1"/>
              <m:ctrlPr>
                <w:rPr>
                  <w:rFonts w:ascii="Cambria Math" w:hAnsi="Cambria Math" w:cs="Times New Roman"/>
                  <w:sz w:val="20"/>
                  <w:lang w:bidi="en-US"/>
                </w:rPr>
              </m:ctrlPr>
            </m:naryPr>
            <m:sub>
              <m:r>
                <w:rPr>
                  <w:rFonts w:ascii="Cambria Math" w:eastAsia="Cambria Math" w:hAnsi="Cambria Math" w:cs="Times New Roman"/>
                  <w:sz w:val="20"/>
                  <w:lang w:bidi="en-US"/>
                </w:rPr>
                <m:t>t5=0</m:t>
              </m:r>
            </m:sub>
            <m:sup>
              <m:r>
                <w:rPr>
                  <w:rFonts w:ascii="Cambria Math" w:eastAsia="Cambria Math" w:hAnsi="Cambria Math" w:cs="Times New Roman"/>
                  <w:sz w:val="20"/>
                  <w:lang w:bidi="en-US"/>
                </w:rPr>
                <m:t>n/5</m:t>
              </m:r>
            </m:sup>
            <m:e>
              <m:f>
                <m:fPr>
                  <m:ctrlPr>
                    <w:rPr>
                      <w:rFonts w:ascii="Cambria Math" w:hAnsi="Cambria Math" w:cs="Times New Roman"/>
                      <w:i/>
                      <w:sz w:val="20"/>
                      <w:lang w:bidi="en-US"/>
                    </w:rPr>
                  </m:ctrlPr>
                </m:fPr>
                <m:num>
                  <m:sSub>
                    <m:sSubPr>
                      <m:ctrlPr>
                        <w:rPr>
                          <w:rFonts w:ascii="Cambria Math" w:hAnsi="Cambria Math" w:cs="Times New Roman"/>
                          <w:i/>
                          <w:sz w:val="20"/>
                          <w:lang w:bidi="en-US"/>
                        </w:rPr>
                      </m:ctrlPr>
                    </m:sSubPr>
                    <m:e>
                      <m:r>
                        <w:rPr>
                          <w:rFonts w:ascii="Cambria Math" w:hAnsi="Cambria Math" w:cs="Times New Roman"/>
                          <w:sz w:val="20"/>
                          <w:lang w:bidi="en-US"/>
                        </w:rPr>
                        <m:t>Well_constr</m:t>
                      </m:r>
                    </m:e>
                    <m:sub>
                      <m:r>
                        <w:rPr>
                          <w:rFonts w:ascii="Cambria Math" w:hAnsi="Cambria Math" w:cs="Times New Roman"/>
                          <w:sz w:val="20"/>
                          <w:lang w:bidi="en-US"/>
                        </w:rPr>
                        <m:t>i</m:t>
                      </m:r>
                    </m:sub>
                  </m:sSub>
                  <m:r>
                    <w:rPr>
                      <w:rFonts w:ascii="Cambria Math" w:hAnsi="Cambria Math" w:cs="Times New Roman"/>
                      <w:sz w:val="20"/>
                      <w:lang w:bidi="en-US"/>
                    </w:rPr>
                    <m:t>∙</m:t>
                  </m:r>
                  <m:sSub>
                    <m:sSubPr>
                      <m:ctrlPr>
                        <w:rPr>
                          <w:rFonts w:ascii="Cambria Math" w:hAnsi="Cambria Math" w:cs="Times New Roman"/>
                          <w:i/>
                          <w:sz w:val="20"/>
                          <w:lang w:bidi="en-US"/>
                        </w:rPr>
                      </m:ctrlPr>
                    </m:sSubPr>
                    <m:e>
                      <m:r>
                        <w:rPr>
                          <w:rFonts w:ascii="Cambria Math" w:hAnsi="Cambria Math" w:cs="Times New Roman"/>
                          <w:sz w:val="20"/>
                          <w:lang w:bidi="en-US"/>
                        </w:rPr>
                        <m:t>Redev</m:t>
                      </m:r>
                    </m:e>
                    <m:sub>
                      <m:r>
                        <w:rPr>
                          <w:rFonts w:ascii="Cambria Math" w:hAnsi="Cambria Math" w:cs="Times New Roman"/>
                          <w:sz w:val="20"/>
                          <w:lang w:bidi="en-US"/>
                        </w:rPr>
                        <m:t>i,t5</m:t>
                      </m:r>
                    </m:sub>
                  </m:sSub>
                </m:num>
                <m:den>
                  <m:sSup>
                    <m:sSupPr>
                      <m:ctrlPr>
                        <w:rPr>
                          <w:rFonts w:ascii="Cambria Math" w:hAnsi="Cambria Math" w:cs="Times New Roman"/>
                          <w:i/>
                          <w:sz w:val="20"/>
                          <w:lang w:bidi="en-US"/>
                        </w:rPr>
                      </m:ctrlPr>
                    </m:sSupPr>
                    <m:e>
                      <m:r>
                        <w:rPr>
                          <w:rFonts w:ascii="Cambria Math" w:hAnsi="Cambria Math" w:cs="Times New Roman"/>
                          <w:sz w:val="20"/>
                          <w:lang w:bidi="en-US"/>
                        </w:rPr>
                        <m:t>(1+</m:t>
                      </m:r>
                      <m:sSub>
                        <m:sSubPr>
                          <m:ctrlPr>
                            <w:rPr>
                              <w:rFonts w:ascii="Cambria Math" w:hAnsi="Cambria Math" w:cs="Times New Roman"/>
                              <w:i/>
                              <w:sz w:val="20"/>
                              <w:lang w:bidi="en-US"/>
                            </w:rPr>
                          </m:ctrlPr>
                        </m:sSubPr>
                        <m:e>
                          <m:r>
                            <w:rPr>
                              <w:rFonts w:ascii="Cambria Math" w:hAnsi="Cambria Math" w:cs="Times New Roman"/>
                              <w:sz w:val="20"/>
                              <w:lang w:bidi="en-US"/>
                            </w:rPr>
                            <m:t>rate</m:t>
                          </m:r>
                        </m:e>
                        <m:sub>
                          <m:r>
                            <w:rPr>
                              <w:rFonts w:ascii="Cambria Math" w:hAnsi="Cambria Math" w:cs="Times New Roman"/>
                              <w:sz w:val="20"/>
                              <w:lang w:bidi="en-US"/>
                            </w:rPr>
                            <m:t>i</m:t>
                          </m:r>
                        </m:sub>
                      </m:sSub>
                      <m:r>
                        <w:rPr>
                          <w:rFonts w:ascii="Cambria Math" w:hAnsi="Cambria Math" w:cs="Times New Roman"/>
                          <w:sz w:val="20"/>
                          <w:lang w:bidi="en-US"/>
                        </w:rPr>
                        <m:t>)</m:t>
                      </m:r>
                    </m:e>
                    <m:sup>
                      <m:r>
                        <w:rPr>
                          <w:rFonts w:ascii="Cambria Math" w:hAnsi="Cambria Math" w:cs="Times New Roman"/>
                          <w:sz w:val="20"/>
                          <w:lang w:bidi="en-US"/>
                        </w:rPr>
                        <m:t>t</m:t>
                      </m:r>
                    </m:sup>
                  </m:sSup>
                </m:den>
              </m:f>
            </m:e>
          </m:nary>
        </m:oMath>
      </m:oMathPara>
    </w:p>
    <w:p w14:paraId="65128E2A" w14:textId="77777777" w:rsidR="002357FD" w:rsidRPr="00351833" w:rsidRDefault="002357FD" w:rsidP="002357FD">
      <w:pPr>
        <w:jc w:val="right"/>
        <w:rPr>
          <w:rFonts w:ascii="Times New Roman" w:hAnsi="Times New Roman" w:cs="Times New Roman"/>
          <w:sz w:val="20"/>
          <w:lang w:bidi="en-US"/>
        </w:rPr>
      </w:pPr>
      <w:r w:rsidRPr="00351833">
        <w:rPr>
          <w:rFonts w:ascii="Times New Roman" w:hAnsi="Times New Roman" w:cs="Times New Roman"/>
          <w:sz w:val="20"/>
          <w:lang w:bidi="en-US"/>
        </w:rPr>
        <w:t>(8)</w:t>
      </w:r>
    </w:p>
    <w:p w14:paraId="13E4DE2B" w14:textId="2547547E"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Where </w:t>
      </w:r>
      <w:proofErr w:type="gramStart"/>
      <w:r w:rsidRPr="00351833">
        <w:rPr>
          <w:rFonts w:ascii="Times New Roman" w:hAnsi="Times New Roman" w:cs="Times New Roman"/>
          <w:i/>
          <w:iCs/>
          <w:sz w:val="20"/>
          <w:lang w:bidi="en-US"/>
        </w:rPr>
        <w:t>Redev</w:t>
      </w:r>
      <w:r w:rsidR="00526326" w:rsidRPr="00526326">
        <w:rPr>
          <w:rFonts w:ascii="Times New Roman" w:hAnsi="Times New Roman" w:cs="Times New Roman"/>
          <w:i/>
          <w:iCs/>
          <w:sz w:val="20"/>
          <w:vertAlign w:val="subscript"/>
          <w:lang w:bidi="en-US"/>
        </w:rPr>
        <w:t>i,t</w:t>
      </w:r>
      <w:proofErr w:type="gramEnd"/>
      <w:r w:rsidR="00526326" w:rsidRPr="00526326">
        <w:rPr>
          <w:rFonts w:ascii="Times New Roman" w:hAnsi="Times New Roman" w:cs="Times New Roman"/>
          <w:i/>
          <w:iCs/>
          <w:sz w:val="20"/>
          <w:vertAlign w:val="subscript"/>
          <w:lang w:bidi="en-US"/>
        </w:rPr>
        <w:t>5</w:t>
      </w:r>
      <w:r w:rsidRPr="00351833">
        <w:rPr>
          <w:rFonts w:ascii="Times New Roman" w:hAnsi="Times New Roman" w:cs="Times New Roman"/>
          <w:sz w:val="20"/>
          <w:lang w:bidi="en-US"/>
        </w:rPr>
        <w:t xml:space="preserve"> is the percentage of injection well capital cost</w:t>
      </w:r>
      <w:r w:rsidRPr="00351833">
        <w:rPr>
          <w:rFonts w:ascii="Times New Roman" w:hAnsi="Times New Roman" w:cs="Times New Roman"/>
          <w:i/>
          <w:iCs/>
          <w:sz w:val="20"/>
          <w:lang w:bidi="en-US"/>
        </w:rPr>
        <w:t xml:space="preserve"> </w:t>
      </w:r>
      <w:proofErr w:type="spellStart"/>
      <w:r w:rsidRPr="00351833">
        <w:rPr>
          <w:rFonts w:ascii="Times New Roman" w:hAnsi="Times New Roman" w:cs="Times New Roman"/>
          <w:i/>
          <w:iCs/>
          <w:sz w:val="20"/>
          <w:lang w:bidi="en-US"/>
        </w:rPr>
        <w:t>Well_constr</w:t>
      </w:r>
      <w:r w:rsidR="00526326" w:rsidRPr="00526326">
        <w:rPr>
          <w:rFonts w:ascii="Times New Roman" w:hAnsi="Times New Roman" w:cs="Times New Roman"/>
          <w:i/>
          <w:iCs/>
          <w:sz w:val="20"/>
          <w:vertAlign w:val="subscript"/>
          <w:lang w:bidi="en-US"/>
        </w:rPr>
        <w:t>i</w:t>
      </w:r>
      <w:proofErr w:type="spellEnd"/>
      <w:r w:rsidRPr="00351833">
        <w:rPr>
          <w:rFonts w:ascii="Times New Roman" w:hAnsi="Times New Roman" w:cs="Times New Roman"/>
          <w:sz w:val="20"/>
          <w:lang w:bidi="en-US"/>
        </w:rPr>
        <w:t>, repeated at five-year intervals across the 50-year time series.</w:t>
      </w:r>
    </w:p>
    <w:p w14:paraId="4E2BC33B" w14:textId="4BEBB106" w:rsidR="002357FD" w:rsidRPr="00351833" w:rsidRDefault="002357FD" w:rsidP="002357FD">
      <w:pPr>
        <w:rPr>
          <w:rFonts w:ascii="Times New Roman" w:eastAsiaTheme="minorEastAsia" w:hAnsi="Times New Roman" w:cs="Times New Roman"/>
          <w:sz w:val="20"/>
          <w:lang w:bidi="en-US"/>
        </w:rPr>
      </w:pPr>
      <w:r w:rsidRPr="00351833">
        <w:rPr>
          <w:rFonts w:ascii="Times New Roman" w:eastAsiaTheme="minorEastAsia" w:hAnsi="Times New Roman" w:cs="Times New Roman"/>
          <w:sz w:val="20"/>
          <w:lang w:bidi="en-US"/>
        </w:rPr>
        <w:t>The NPV of injection pretreatment operating costs (</w:t>
      </w:r>
      <w:proofErr w:type="spellStart"/>
      <w:r w:rsidRPr="00351833">
        <w:rPr>
          <w:rFonts w:ascii="Times New Roman" w:eastAsiaTheme="minorEastAsia" w:hAnsi="Times New Roman" w:cs="Times New Roman"/>
          <w:i/>
          <w:iCs/>
          <w:sz w:val="20"/>
          <w:lang w:bidi="en-US"/>
        </w:rPr>
        <w:t>Treat_op</w:t>
      </w:r>
      <w:r w:rsidR="00526326" w:rsidRPr="00526326">
        <w:rPr>
          <w:rFonts w:ascii="Times New Roman" w:eastAsiaTheme="minorEastAsia" w:hAnsi="Times New Roman" w:cs="Times New Roman"/>
          <w:i/>
          <w:iCs/>
          <w:sz w:val="20"/>
          <w:vertAlign w:val="subscript"/>
          <w:lang w:bidi="en-US"/>
        </w:rPr>
        <w:t>i</w:t>
      </w:r>
      <w:proofErr w:type="spellEnd"/>
      <w:r w:rsidRPr="00351833">
        <w:rPr>
          <w:rFonts w:ascii="Times New Roman" w:eastAsiaTheme="minorEastAsia" w:hAnsi="Times New Roman" w:cs="Times New Roman"/>
          <w:sz w:val="20"/>
          <w:lang w:bidi="en-US"/>
        </w:rPr>
        <w:t xml:space="preserve">) was calculated </w:t>
      </w:r>
      <w:r w:rsidRPr="00351833">
        <w:rPr>
          <w:rFonts w:ascii="Times New Roman" w:hAnsi="Times New Roman" w:cs="Times New Roman"/>
          <w:sz w:val="20"/>
          <w:lang w:bidi="en-US"/>
        </w:rPr>
        <w:t>based on scheme capacity and recharged volume time series and the composite operating cost curve with 20% random variability (Supplementary 3) as</w:t>
      </w:r>
      <w:r w:rsidRPr="00351833">
        <w:rPr>
          <w:rFonts w:ascii="Times New Roman" w:eastAsiaTheme="minorEastAsia" w:hAnsi="Times New Roman" w:cs="Times New Roman"/>
          <w:sz w:val="20"/>
          <w:lang w:bidi="en-US"/>
        </w:rPr>
        <w:t xml:space="preserve">:  </w:t>
      </w:r>
    </w:p>
    <w:p w14:paraId="7FED7D54" w14:textId="3717B6EC"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 </w:t>
      </w:r>
      <w:r w:rsidRPr="00351833">
        <w:rPr>
          <w:rFonts w:ascii="Times New Roman" w:hAnsi="Times New Roman" w:cs="Times New Roman"/>
          <w:i/>
          <w:sz w:val="20"/>
          <w:lang w:bidi="en-US"/>
        </w:rPr>
        <w:br/>
      </w:r>
      <m:oMathPara>
        <m:oMath>
          <m:sSub>
            <m:sSubPr>
              <m:ctrlPr>
                <w:rPr>
                  <w:rFonts w:ascii="Cambria Math" w:hAnsi="Cambria Math" w:cs="Times New Roman"/>
                  <w:i/>
                  <w:sz w:val="20"/>
                  <w:lang w:bidi="en-US"/>
                </w:rPr>
              </m:ctrlPr>
            </m:sSubPr>
            <m:e>
              <m:r>
                <w:rPr>
                  <w:rFonts w:ascii="Cambria Math" w:hAnsi="Cambria Math" w:cs="Times New Roman"/>
                  <w:sz w:val="20"/>
                  <w:lang w:bidi="en-US"/>
                </w:rPr>
                <m:t>Treat_op</m:t>
              </m:r>
            </m:e>
            <m:sub>
              <m:r>
                <w:rPr>
                  <w:rFonts w:ascii="Cambria Math" w:hAnsi="Cambria Math" w:cs="Times New Roman"/>
                  <w:sz w:val="20"/>
                  <w:lang w:bidi="en-US"/>
                </w:rPr>
                <m:t>i</m:t>
              </m:r>
            </m:sub>
          </m:sSub>
          <m:r>
            <w:rPr>
              <w:rFonts w:ascii="Cambria Math" w:hAnsi="Cambria Math" w:cs="Times New Roman"/>
              <w:sz w:val="20"/>
              <w:lang w:bidi="en-US"/>
            </w:rPr>
            <m:t>=</m:t>
          </m:r>
          <m:nary>
            <m:naryPr>
              <m:chr m:val="∑"/>
              <m:grow m:val="1"/>
              <m:ctrlPr>
                <w:rPr>
                  <w:rFonts w:ascii="Cambria Math" w:hAnsi="Cambria Math" w:cs="Times New Roman"/>
                  <w:sz w:val="20"/>
                  <w:lang w:bidi="en-US"/>
                </w:rPr>
              </m:ctrlPr>
            </m:naryPr>
            <m:sub>
              <m:r>
                <w:rPr>
                  <w:rFonts w:ascii="Cambria Math" w:eastAsia="Cambria Math" w:hAnsi="Cambria Math" w:cs="Times New Roman"/>
                  <w:sz w:val="20"/>
                  <w:lang w:bidi="en-US"/>
                </w:rPr>
                <m:t>t=0</m:t>
              </m:r>
            </m:sub>
            <m:sup>
              <m:r>
                <w:rPr>
                  <w:rFonts w:ascii="Cambria Math" w:eastAsia="Cambria Math" w:hAnsi="Cambria Math" w:cs="Times New Roman"/>
                  <w:sz w:val="20"/>
                  <w:lang w:bidi="en-US"/>
                </w:rPr>
                <m:t>n</m:t>
              </m:r>
            </m:sup>
            <m:e>
              <m:f>
                <m:fPr>
                  <m:ctrlPr>
                    <w:rPr>
                      <w:rFonts w:ascii="Cambria Math" w:hAnsi="Cambria Math" w:cs="Times New Roman"/>
                      <w:i/>
                      <w:sz w:val="20"/>
                      <w:lang w:bidi="en-US"/>
                    </w:rPr>
                  </m:ctrlPr>
                </m:fPr>
                <m:num>
                  <m:r>
                    <w:rPr>
                      <w:rFonts w:ascii="Cambria Math" w:hAnsi="Cambria Math" w:cs="Times New Roman"/>
                      <w:sz w:val="20"/>
                      <w:lang w:bidi="en-US"/>
                    </w:rPr>
                    <m:t>(-465.3∙</m:t>
                  </m:r>
                  <m:func>
                    <m:funcPr>
                      <m:ctrlPr>
                        <w:rPr>
                          <w:rFonts w:ascii="Cambria Math" w:hAnsi="Cambria Math" w:cs="Times New Roman"/>
                          <w:i/>
                          <w:sz w:val="20"/>
                          <w:lang w:bidi="en-US"/>
                        </w:rPr>
                      </m:ctrlPr>
                    </m:funcPr>
                    <m:fName>
                      <m:r>
                        <m:rPr>
                          <m:sty m:val="p"/>
                        </m:rPr>
                        <w:rPr>
                          <w:rFonts w:ascii="Cambria Math" w:hAnsi="Cambria Math" w:cs="Times New Roman"/>
                          <w:sz w:val="20"/>
                          <w:lang w:bidi="en-US"/>
                        </w:rPr>
                        <m:t>log</m:t>
                      </m:r>
                    </m:fName>
                    <m:e>
                      <m:r>
                        <w:rPr>
                          <w:rFonts w:ascii="Cambria Math" w:hAnsi="Cambria Math" w:cs="Times New Roman"/>
                          <w:sz w:val="20"/>
                          <w:lang w:bidi="en-US"/>
                        </w:rPr>
                        <m:t>C</m:t>
                      </m:r>
                    </m:e>
                  </m:func>
                  <m:r>
                    <w:rPr>
                      <w:rFonts w:ascii="Cambria Math" w:hAnsi="Cambria Math" w:cs="Times New Roman"/>
                      <w:sz w:val="20"/>
                      <w:lang w:bidi="en-US"/>
                    </w:rPr>
                    <m:t>+6528.6)∙C∙rf∙</m:t>
                  </m:r>
                  <m:sSub>
                    <m:sSubPr>
                      <m:ctrlPr>
                        <w:rPr>
                          <w:rFonts w:ascii="Cambria Math" w:hAnsi="Cambria Math" w:cs="Times New Roman"/>
                          <w:i/>
                          <w:sz w:val="20"/>
                          <w:lang w:bidi="en-US"/>
                        </w:rPr>
                      </m:ctrlPr>
                    </m:sSubPr>
                    <m:e>
                      <m:r>
                        <w:rPr>
                          <w:rFonts w:ascii="Cambria Math" w:hAnsi="Cambria Math" w:cs="Times New Roman"/>
                          <w:sz w:val="20"/>
                          <w:lang w:bidi="en-US"/>
                        </w:rPr>
                        <m:t>Rech</m:t>
                      </m:r>
                    </m:e>
                    <m:sub>
                      <m:r>
                        <w:rPr>
                          <w:rFonts w:ascii="Cambria Math" w:hAnsi="Cambria Math" w:cs="Times New Roman"/>
                          <w:sz w:val="20"/>
                          <w:lang w:bidi="en-US"/>
                        </w:rPr>
                        <m:t>i,t</m:t>
                      </m:r>
                    </m:sub>
                  </m:sSub>
                </m:num>
                <m:den>
                  <m:sSup>
                    <m:sSupPr>
                      <m:ctrlPr>
                        <w:rPr>
                          <w:rFonts w:ascii="Cambria Math" w:hAnsi="Cambria Math" w:cs="Times New Roman"/>
                          <w:i/>
                          <w:sz w:val="20"/>
                          <w:lang w:bidi="en-US"/>
                        </w:rPr>
                      </m:ctrlPr>
                    </m:sSupPr>
                    <m:e>
                      <m:r>
                        <w:rPr>
                          <w:rFonts w:ascii="Cambria Math" w:hAnsi="Cambria Math" w:cs="Times New Roman"/>
                          <w:sz w:val="20"/>
                          <w:lang w:bidi="en-US"/>
                        </w:rPr>
                        <m:t>(1+</m:t>
                      </m:r>
                      <m:sSub>
                        <m:sSubPr>
                          <m:ctrlPr>
                            <w:rPr>
                              <w:rFonts w:ascii="Cambria Math" w:hAnsi="Cambria Math" w:cs="Times New Roman"/>
                              <w:i/>
                              <w:sz w:val="20"/>
                              <w:lang w:bidi="en-US"/>
                            </w:rPr>
                          </m:ctrlPr>
                        </m:sSubPr>
                        <m:e>
                          <m:r>
                            <w:rPr>
                              <w:rFonts w:ascii="Cambria Math" w:hAnsi="Cambria Math" w:cs="Times New Roman"/>
                              <w:sz w:val="20"/>
                              <w:lang w:bidi="en-US"/>
                            </w:rPr>
                            <m:t>rate</m:t>
                          </m:r>
                        </m:e>
                        <m:sub>
                          <m:r>
                            <w:rPr>
                              <w:rFonts w:ascii="Cambria Math" w:hAnsi="Cambria Math" w:cs="Times New Roman"/>
                              <w:sz w:val="20"/>
                              <w:lang w:bidi="en-US"/>
                            </w:rPr>
                            <m:t>i</m:t>
                          </m:r>
                        </m:sub>
                      </m:sSub>
                      <m:r>
                        <w:rPr>
                          <w:rFonts w:ascii="Cambria Math" w:hAnsi="Cambria Math" w:cs="Times New Roman"/>
                          <w:sz w:val="20"/>
                          <w:lang w:bidi="en-US"/>
                        </w:rPr>
                        <m:t>)</m:t>
                      </m:r>
                    </m:e>
                    <m:sup>
                      <m:r>
                        <w:rPr>
                          <w:rFonts w:ascii="Cambria Math" w:hAnsi="Cambria Math" w:cs="Times New Roman"/>
                          <w:sz w:val="20"/>
                          <w:lang w:bidi="en-US"/>
                        </w:rPr>
                        <m:t>t</m:t>
                      </m:r>
                    </m:sup>
                  </m:sSup>
                </m:den>
              </m:f>
            </m:e>
          </m:nary>
        </m:oMath>
      </m:oMathPara>
    </w:p>
    <w:p w14:paraId="54EE09FB" w14:textId="77777777" w:rsidR="002357FD" w:rsidRPr="00351833" w:rsidRDefault="002357FD" w:rsidP="002357FD">
      <w:pPr>
        <w:jc w:val="right"/>
        <w:rPr>
          <w:rFonts w:ascii="Times New Roman" w:hAnsi="Times New Roman" w:cs="Times New Roman"/>
          <w:sz w:val="20"/>
          <w:lang w:bidi="en-US"/>
        </w:rPr>
      </w:pPr>
      <w:r w:rsidRPr="00351833">
        <w:rPr>
          <w:rFonts w:ascii="Times New Roman" w:hAnsi="Times New Roman" w:cs="Times New Roman"/>
          <w:sz w:val="20"/>
          <w:lang w:bidi="en-US"/>
        </w:rPr>
        <w:t>(9)</w:t>
      </w:r>
    </w:p>
    <w:p w14:paraId="4B01D5CC" w14:textId="23D14DA2"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Infiltration basin maintenance operating cost (</w:t>
      </w:r>
      <w:proofErr w:type="spellStart"/>
      <w:r w:rsidRPr="00351833">
        <w:rPr>
          <w:rFonts w:ascii="Times New Roman" w:hAnsi="Times New Roman" w:cs="Times New Roman"/>
          <w:i/>
          <w:iCs/>
          <w:sz w:val="20"/>
          <w:lang w:bidi="en-US"/>
        </w:rPr>
        <w:t>Basin_maint</w:t>
      </w:r>
      <w:r w:rsidR="00526326" w:rsidRPr="00526326">
        <w:rPr>
          <w:rFonts w:ascii="Times New Roman" w:hAnsi="Times New Roman" w:cs="Times New Roman"/>
          <w:i/>
          <w:iCs/>
          <w:sz w:val="20"/>
          <w:vertAlign w:val="subscript"/>
          <w:lang w:bidi="en-US"/>
        </w:rPr>
        <w:t>i</w:t>
      </w:r>
      <w:proofErr w:type="spellEnd"/>
      <w:r w:rsidRPr="00351833">
        <w:rPr>
          <w:rFonts w:ascii="Times New Roman" w:hAnsi="Times New Roman" w:cs="Times New Roman"/>
          <w:sz w:val="20"/>
          <w:lang w:bidi="en-US"/>
        </w:rPr>
        <w:t>) was calculated as:</w:t>
      </w:r>
    </w:p>
    <w:p w14:paraId="2073D75E" w14:textId="5CEC84C9" w:rsidR="002357FD" w:rsidRPr="00351833" w:rsidRDefault="00F57D29" w:rsidP="002357FD">
      <w:pPr>
        <w:rPr>
          <w:rFonts w:ascii="Times New Roman" w:hAnsi="Times New Roman" w:cs="Times New Roman"/>
          <w:sz w:val="20"/>
          <w:lang w:bidi="en-US"/>
        </w:rPr>
      </w:pPr>
      <m:oMathPara>
        <m:oMath>
          <m:sSub>
            <m:sSubPr>
              <m:ctrlPr>
                <w:rPr>
                  <w:rFonts w:ascii="Cambria Math" w:hAnsi="Cambria Math" w:cs="Times New Roman"/>
                  <w:i/>
                  <w:sz w:val="20"/>
                  <w:lang w:bidi="en-US"/>
                </w:rPr>
              </m:ctrlPr>
            </m:sSubPr>
            <m:e>
              <m:r>
                <w:rPr>
                  <w:rFonts w:ascii="Cambria Math" w:hAnsi="Cambria Math" w:cs="Times New Roman"/>
                  <w:sz w:val="20"/>
                  <w:lang w:bidi="en-US"/>
                </w:rPr>
                <m:t>Basin_maint</m:t>
              </m:r>
            </m:e>
            <m:sub>
              <m:r>
                <w:rPr>
                  <w:rFonts w:ascii="Cambria Math" w:hAnsi="Cambria Math" w:cs="Times New Roman"/>
                  <w:sz w:val="20"/>
                  <w:lang w:bidi="en-US"/>
                </w:rPr>
                <m:t>i</m:t>
              </m:r>
            </m:sub>
          </m:sSub>
          <m:r>
            <w:rPr>
              <w:rFonts w:ascii="Cambria Math" w:hAnsi="Cambria Math" w:cs="Times New Roman"/>
              <w:sz w:val="20"/>
              <w:lang w:bidi="en-US"/>
            </w:rPr>
            <m:t>=</m:t>
          </m:r>
          <m:nary>
            <m:naryPr>
              <m:chr m:val="∑"/>
              <m:grow m:val="1"/>
              <m:ctrlPr>
                <w:rPr>
                  <w:rFonts w:ascii="Cambria Math" w:hAnsi="Cambria Math" w:cs="Times New Roman"/>
                  <w:sz w:val="20"/>
                  <w:lang w:bidi="en-US"/>
                </w:rPr>
              </m:ctrlPr>
            </m:naryPr>
            <m:sub>
              <m:r>
                <w:rPr>
                  <w:rFonts w:ascii="Cambria Math" w:eastAsia="Cambria Math" w:hAnsi="Cambria Math" w:cs="Times New Roman"/>
                  <w:sz w:val="20"/>
                  <w:lang w:bidi="en-US"/>
                </w:rPr>
                <m:t>t=0</m:t>
              </m:r>
            </m:sub>
            <m:sup>
              <m:r>
                <w:rPr>
                  <w:rFonts w:ascii="Cambria Math" w:eastAsia="Cambria Math" w:hAnsi="Cambria Math" w:cs="Times New Roman"/>
                  <w:sz w:val="20"/>
                  <w:lang w:bidi="en-US"/>
                </w:rPr>
                <m:t>n</m:t>
              </m:r>
            </m:sup>
            <m:e>
              <m:f>
                <m:fPr>
                  <m:ctrlPr>
                    <w:rPr>
                      <w:rFonts w:ascii="Cambria Math" w:hAnsi="Cambria Math" w:cs="Times New Roman"/>
                      <w:i/>
                      <w:sz w:val="20"/>
                      <w:lang w:bidi="en-US"/>
                    </w:rPr>
                  </m:ctrlPr>
                </m:fPr>
                <m:num>
                  <m:sSub>
                    <m:sSubPr>
                      <m:ctrlPr>
                        <w:rPr>
                          <w:rFonts w:ascii="Cambria Math" w:hAnsi="Cambria Math" w:cs="Times New Roman"/>
                          <w:i/>
                          <w:sz w:val="20"/>
                          <w:lang w:bidi="en-US"/>
                        </w:rPr>
                      </m:ctrlPr>
                    </m:sSubPr>
                    <m:e>
                      <m:r>
                        <w:rPr>
                          <w:rFonts w:ascii="Cambria Math" w:hAnsi="Cambria Math" w:cs="Times New Roman"/>
                          <w:sz w:val="20"/>
                          <w:lang w:bidi="en-US"/>
                        </w:rPr>
                        <m:t>Basin_area</m:t>
                      </m:r>
                    </m:e>
                    <m:sub>
                      <m:r>
                        <w:rPr>
                          <w:rFonts w:ascii="Cambria Math" w:hAnsi="Cambria Math" w:cs="Times New Roman"/>
                          <w:sz w:val="20"/>
                          <w:lang w:bidi="en-US"/>
                        </w:rPr>
                        <m:t>i</m:t>
                      </m:r>
                    </m:sub>
                  </m:sSub>
                  <m:r>
                    <w:rPr>
                      <w:rFonts w:ascii="Cambria Math" w:hAnsi="Cambria Math" w:cs="Times New Roman"/>
                      <w:sz w:val="20"/>
                      <w:lang w:bidi="en-US"/>
                    </w:rPr>
                    <m:t>∙0.1∙</m:t>
                  </m:r>
                  <m:sSub>
                    <m:sSubPr>
                      <m:ctrlPr>
                        <w:rPr>
                          <w:rFonts w:ascii="Cambria Math" w:hAnsi="Cambria Math" w:cs="Times New Roman"/>
                          <w:i/>
                          <w:sz w:val="20"/>
                          <w:lang w:bidi="en-US"/>
                        </w:rPr>
                      </m:ctrlPr>
                    </m:sSubPr>
                    <m:e>
                      <m:r>
                        <w:rPr>
                          <w:rFonts w:ascii="Cambria Math" w:hAnsi="Cambria Math" w:cs="Times New Roman"/>
                          <w:sz w:val="20"/>
                          <w:lang w:bidi="en-US"/>
                        </w:rPr>
                        <m:t>Scrape</m:t>
                      </m:r>
                    </m:e>
                    <m:sub>
                      <m:r>
                        <w:rPr>
                          <w:rFonts w:ascii="Cambria Math" w:hAnsi="Cambria Math" w:cs="Times New Roman"/>
                          <w:sz w:val="20"/>
                          <w:lang w:bidi="en-US"/>
                        </w:rPr>
                        <m:t>i</m:t>
                      </m:r>
                    </m:sub>
                  </m:sSub>
                  <m:r>
                    <w:rPr>
                      <w:rFonts w:ascii="Cambria Math" w:hAnsi="Cambria Math" w:cs="Times New Roman"/>
                      <w:sz w:val="20"/>
                      <w:lang w:bidi="en-US"/>
                    </w:rPr>
                    <m:t>∙</m:t>
                  </m:r>
                  <m:sSub>
                    <m:sSubPr>
                      <m:ctrlPr>
                        <w:rPr>
                          <w:rFonts w:ascii="Cambria Math" w:hAnsi="Cambria Math" w:cs="Times New Roman"/>
                          <w:i/>
                          <w:sz w:val="20"/>
                          <w:lang w:bidi="en-US"/>
                        </w:rPr>
                      </m:ctrlPr>
                    </m:sSubPr>
                    <m:e>
                      <m:r>
                        <w:rPr>
                          <w:rFonts w:ascii="Cambria Math" w:hAnsi="Cambria Math" w:cs="Times New Roman"/>
                          <w:sz w:val="20"/>
                          <w:lang w:bidi="en-US"/>
                        </w:rPr>
                        <m:t>Rech_y</m:t>
                      </m:r>
                    </m:e>
                    <m:sub>
                      <m:r>
                        <w:rPr>
                          <w:rFonts w:ascii="Cambria Math" w:hAnsi="Cambria Math" w:cs="Times New Roman"/>
                          <w:sz w:val="20"/>
                          <w:lang w:bidi="en-US"/>
                        </w:rPr>
                        <m:t>i,t</m:t>
                      </m:r>
                    </m:sub>
                  </m:sSub>
                </m:num>
                <m:den>
                  <m:sSup>
                    <m:sSupPr>
                      <m:ctrlPr>
                        <w:rPr>
                          <w:rFonts w:ascii="Cambria Math" w:hAnsi="Cambria Math" w:cs="Times New Roman"/>
                          <w:i/>
                          <w:sz w:val="20"/>
                          <w:lang w:bidi="en-US"/>
                        </w:rPr>
                      </m:ctrlPr>
                    </m:sSupPr>
                    <m:e>
                      <m:r>
                        <w:rPr>
                          <w:rFonts w:ascii="Cambria Math" w:hAnsi="Cambria Math" w:cs="Times New Roman"/>
                          <w:sz w:val="20"/>
                          <w:lang w:bidi="en-US"/>
                        </w:rPr>
                        <m:t>(1+</m:t>
                      </m:r>
                      <m:sSub>
                        <m:sSubPr>
                          <m:ctrlPr>
                            <w:rPr>
                              <w:rFonts w:ascii="Cambria Math" w:hAnsi="Cambria Math" w:cs="Times New Roman"/>
                              <w:i/>
                              <w:sz w:val="20"/>
                              <w:lang w:bidi="en-US"/>
                            </w:rPr>
                          </m:ctrlPr>
                        </m:sSubPr>
                        <m:e>
                          <m:r>
                            <w:rPr>
                              <w:rFonts w:ascii="Cambria Math" w:hAnsi="Cambria Math" w:cs="Times New Roman"/>
                              <w:sz w:val="20"/>
                              <w:lang w:bidi="en-US"/>
                            </w:rPr>
                            <m:t>rate</m:t>
                          </m:r>
                        </m:e>
                        <m:sub>
                          <m:r>
                            <w:rPr>
                              <w:rFonts w:ascii="Cambria Math" w:hAnsi="Cambria Math" w:cs="Times New Roman"/>
                              <w:sz w:val="20"/>
                              <w:lang w:bidi="en-US"/>
                            </w:rPr>
                            <m:t>i</m:t>
                          </m:r>
                        </m:sub>
                      </m:sSub>
                      <m:r>
                        <w:rPr>
                          <w:rFonts w:ascii="Cambria Math" w:hAnsi="Cambria Math" w:cs="Times New Roman"/>
                          <w:sz w:val="20"/>
                          <w:lang w:bidi="en-US"/>
                        </w:rPr>
                        <m:t>)</m:t>
                      </m:r>
                    </m:e>
                    <m:sup>
                      <m:r>
                        <w:rPr>
                          <w:rFonts w:ascii="Cambria Math" w:hAnsi="Cambria Math" w:cs="Times New Roman"/>
                          <w:sz w:val="20"/>
                          <w:lang w:bidi="en-US"/>
                        </w:rPr>
                        <m:t>t</m:t>
                      </m:r>
                    </m:sup>
                  </m:sSup>
                </m:den>
              </m:f>
            </m:e>
          </m:nary>
        </m:oMath>
      </m:oMathPara>
    </w:p>
    <w:p w14:paraId="1719E5FA" w14:textId="77777777" w:rsidR="002357FD" w:rsidRPr="00351833" w:rsidRDefault="002357FD" w:rsidP="002357FD">
      <w:pPr>
        <w:jc w:val="right"/>
        <w:rPr>
          <w:rFonts w:ascii="Times New Roman" w:hAnsi="Times New Roman" w:cs="Times New Roman"/>
          <w:sz w:val="20"/>
          <w:lang w:bidi="en-US"/>
        </w:rPr>
      </w:pPr>
      <w:r w:rsidRPr="00351833">
        <w:rPr>
          <w:rFonts w:ascii="Times New Roman" w:hAnsi="Times New Roman" w:cs="Times New Roman"/>
          <w:sz w:val="20"/>
          <w:lang w:bidi="en-US"/>
        </w:rPr>
        <w:lastRenderedPageBreak/>
        <w:t>(10)</w:t>
      </w:r>
    </w:p>
    <w:p w14:paraId="57985D78" w14:textId="78AF0C7A"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Where </w:t>
      </w:r>
      <w:proofErr w:type="spellStart"/>
      <w:r w:rsidRPr="00351833">
        <w:rPr>
          <w:rFonts w:ascii="Times New Roman" w:hAnsi="Times New Roman" w:cs="Times New Roman"/>
          <w:i/>
          <w:iCs/>
          <w:sz w:val="20"/>
          <w:lang w:bidi="en-US"/>
        </w:rPr>
        <w:t>Scrape</w:t>
      </w:r>
      <w:r w:rsidR="00916392" w:rsidRPr="00916392">
        <w:rPr>
          <w:rFonts w:ascii="Times New Roman" w:hAnsi="Times New Roman" w:cs="Times New Roman"/>
          <w:i/>
          <w:iCs/>
          <w:sz w:val="20"/>
          <w:vertAlign w:val="subscript"/>
          <w:lang w:bidi="en-US"/>
        </w:rPr>
        <w:t>i</w:t>
      </w:r>
      <w:proofErr w:type="spellEnd"/>
      <w:r w:rsidRPr="00351833">
        <w:rPr>
          <w:rFonts w:ascii="Times New Roman" w:hAnsi="Times New Roman" w:cs="Times New Roman"/>
          <w:sz w:val="20"/>
          <w:lang w:bidi="en-US"/>
        </w:rPr>
        <w:t xml:space="preserve"> is the unit cost of scraping 0.1 m off the basin floor in every recharge year. </w:t>
      </w:r>
    </w:p>
    <w:p w14:paraId="0B46A089" w14:textId="6E7E8F04"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A series of other operating costs were applied to both well injection and infiltration basin sub-model. Opportunity cost of water (</w:t>
      </w:r>
      <w:proofErr w:type="spellStart"/>
      <w:r w:rsidRPr="00351833">
        <w:rPr>
          <w:rFonts w:ascii="Times New Roman" w:hAnsi="Times New Roman" w:cs="Times New Roman"/>
          <w:i/>
          <w:iCs/>
          <w:sz w:val="20"/>
          <w:lang w:bidi="en-US"/>
        </w:rPr>
        <w:t>Water_op</w:t>
      </w:r>
      <w:r w:rsidR="00916392" w:rsidRPr="00916392">
        <w:rPr>
          <w:rFonts w:ascii="Times New Roman" w:hAnsi="Times New Roman" w:cs="Times New Roman"/>
          <w:i/>
          <w:iCs/>
          <w:sz w:val="20"/>
          <w:vertAlign w:val="subscript"/>
          <w:lang w:bidi="en-US"/>
        </w:rPr>
        <w:t>i</w:t>
      </w:r>
      <w:proofErr w:type="spellEnd"/>
      <w:r w:rsidRPr="00351833">
        <w:rPr>
          <w:rFonts w:ascii="Times New Roman" w:hAnsi="Times New Roman" w:cs="Times New Roman"/>
          <w:sz w:val="20"/>
          <w:lang w:bidi="en-US"/>
        </w:rPr>
        <w:t>) was calculated as:</w:t>
      </w:r>
    </w:p>
    <w:p w14:paraId="2F895660" w14:textId="378BAA96" w:rsidR="002357FD" w:rsidRPr="00351833" w:rsidRDefault="00F57D29" w:rsidP="002357FD">
      <w:pPr>
        <w:rPr>
          <w:rFonts w:ascii="Times New Roman" w:hAnsi="Times New Roman" w:cs="Times New Roman"/>
          <w:sz w:val="20"/>
          <w:lang w:bidi="en-US"/>
        </w:rPr>
      </w:pPr>
      <m:oMathPara>
        <m:oMath>
          <m:sSub>
            <m:sSubPr>
              <m:ctrlPr>
                <w:rPr>
                  <w:rFonts w:ascii="Cambria Math" w:hAnsi="Cambria Math" w:cs="Times New Roman"/>
                  <w:i/>
                  <w:sz w:val="20"/>
                  <w:lang w:bidi="en-US"/>
                </w:rPr>
              </m:ctrlPr>
            </m:sSubPr>
            <m:e>
              <m:r>
                <w:rPr>
                  <w:rFonts w:ascii="Cambria Math" w:hAnsi="Cambria Math" w:cs="Times New Roman"/>
                  <w:sz w:val="20"/>
                  <w:lang w:bidi="en-US"/>
                </w:rPr>
                <m:t>Water_op</m:t>
              </m:r>
            </m:e>
            <m:sub>
              <m:r>
                <w:rPr>
                  <w:rFonts w:ascii="Cambria Math" w:hAnsi="Cambria Math" w:cs="Times New Roman"/>
                  <w:sz w:val="20"/>
                  <w:lang w:bidi="en-US"/>
                </w:rPr>
                <m:t>i</m:t>
              </m:r>
            </m:sub>
          </m:sSub>
          <m:r>
            <w:rPr>
              <w:rFonts w:ascii="Cambria Math" w:hAnsi="Cambria Math" w:cs="Times New Roman"/>
              <w:sz w:val="20"/>
              <w:lang w:bidi="en-US"/>
            </w:rPr>
            <m:t>=</m:t>
          </m:r>
          <m:nary>
            <m:naryPr>
              <m:chr m:val="∑"/>
              <m:grow m:val="1"/>
              <m:ctrlPr>
                <w:rPr>
                  <w:rFonts w:ascii="Cambria Math" w:hAnsi="Cambria Math" w:cs="Times New Roman"/>
                  <w:sz w:val="20"/>
                  <w:lang w:bidi="en-US"/>
                </w:rPr>
              </m:ctrlPr>
            </m:naryPr>
            <m:sub>
              <m:r>
                <w:rPr>
                  <w:rFonts w:ascii="Cambria Math" w:eastAsia="Cambria Math" w:hAnsi="Cambria Math" w:cs="Times New Roman"/>
                  <w:sz w:val="20"/>
                  <w:lang w:bidi="en-US"/>
                </w:rPr>
                <m:t>t=0</m:t>
              </m:r>
            </m:sub>
            <m:sup>
              <m:r>
                <w:rPr>
                  <w:rFonts w:ascii="Cambria Math" w:eastAsia="Cambria Math" w:hAnsi="Cambria Math" w:cs="Times New Roman"/>
                  <w:sz w:val="20"/>
                  <w:lang w:bidi="en-US"/>
                </w:rPr>
                <m:t>n</m:t>
              </m:r>
            </m:sup>
            <m:e>
              <m:f>
                <m:fPr>
                  <m:ctrlPr>
                    <w:rPr>
                      <w:rFonts w:ascii="Cambria Math" w:hAnsi="Cambria Math" w:cs="Times New Roman"/>
                      <w:i/>
                      <w:sz w:val="20"/>
                      <w:lang w:bidi="en-US"/>
                    </w:rPr>
                  </m:ctrlPr>
                </m:fPr>
                <m:num>
                  <m:sSub>
                    <m:sSubPr>
                      <m:ctrlPr>
                        <w:rPr>
                          <w:rFonts w:ascii="Cambria Math" w:hAnsi="Cambria Math" w:cs="Times New Roman"/>
                          <w:i/>
                          <w:sz w:val="20"/>
                          <w:lang w:bidi="en-US"/>
                        </w:rPr>
                      </m:ctrlPr>
                    </m:sSubPr>
                    <m:e>
                      <m:r>
                        <w:rPr>
                          <w:rFonts w:ascii="Cambria Math" w:hAnsi="Cambria Math" w:cs="Times New Roman"/>
                          <w:sz w:val="20"/>
                          <w:lang w:bidi="en-US"/>
                        </w:rPr>
                        <m:t>Alloc</m:t>
                      </m:r>
                    </m:e>
                    <m:sub>
                      <m:r>
                        <w:rPr>
                          <w:rFonts w:ascii="Cambria Math" w:hAnsi="Cambria Math" w:cs="Times New Roman"/>
                          <w:sz w:val="20"/>
                          <w:lang w:bidi="en-US"/>
                        </w:rPr>
                        <m:t>i</m:t>
                      </m:r>
                    </m:sub>
                  </m:sSub>
                  <m:r>
                    <w:rPr>
                      <w:rFonts w:ascii="Cambria Math" w:hAnsi="Cambria Math" w:cs="Times New Roman"/>
                      <w:sz w:val="20"/>
                      <w:lang w:bidi="en-US"/>
                    </w:rPr>
                    <m:t>∙</m:t>
                  </m:r>
                  <m:sSub>
                    <m:sSubPr>
                      <m:ctrlPr>
                        <w:rPr>
                          <w:rFonts w:ascii="Cambria Math" w:hAnsi="Cambria Math" w:cs="Times New Roman"/>
                          <w:i/>
                          <w:sz w:val="20"/>
                          <w:lang w:bidi="en-US"/>
                        </w:rPr>
                      </m:ctrlPr>
                    </m:sSubPr>
                    <m:e>
                      <m:r>
                        <w:rPr>
                          <w:rFonts w:ascii="Cambria Math" w:hAnsi="Cambria Math" w:cs="Times New Roman"/>
                          <w:sz w:val="20"/>
                          <w:lang w:bidi="en-US"/>
                        </w:rPr>
                        <m:t>Rech</m:t>
                      </m:r>
                    </m:e>
                    <m:sub>
                      <m:r>
                        <w:rPr>
                          <w:rFonts w:ascii="Cambria Math" w:hAnsi="Cambria Math" w:cs="Times New Roman"/>
                          <w:sz w:val="20"/>
                          <w:lang w:bidi="en-US"/>
                        </w:rPr>
                        <m:t>i,t</m:t>
                      </m:r>
                    </m:sub>
                  </m:sSub>
                </m:num>
                <m:den>
                  <m:sSup>
                    <m:sSupPr>
                      <m:ctrlPr>
                        <w:rPr>
                          <w:rFonts w:ascii="Cambria Math" w:hAnsi="Cambria Math" w:cs="Times New Roman"/>
                          <w:i/>
                          <w:sz w:val="20"/>
                          <w:lang w:bidi="en-US"/>
                        </w:rPr>
                      </m:ctrlPr>
                    </m:sSupPr>
                    <m:e>
                      <m:r>
                        <w:rPr>
                          <w:rFonts w:ascii="Cambria Math" w:hAnsi="Cambria Math" w:cs="Times New Roman"/>
                          <w:sz w:val="20"/>
                          <w:lang w:bidi="en-US"/>
                        </w:rPr>
                        <m:t>(1+</m:t>
                      </m:r>
                      <m:sSub>
                        <m:sSubPr>
                          <m:ctrlPr>
                            <w:rPr>
                              <w:rFonts w:ascii="Cambria Math" w:hAnsi="Cambria Math" w:cs="Times New Roman"/>
                              <w:i/>
                              <w:sz w:val="20"/>
                              <w:lang w:bidi="en-US"/>
                            </w:rPr>
                          </m:ctrlPr>
                        </m:sSubPr>
                        <m:e>
                          <m:r>
                            <w:rPr>
                              <w:rFonts w:ascii="Cambria Math" w:hAnsi="Cambria Math" w:cs="Times New Roman"/>
                              <w:sz w:val="20"/>
                              <w:lang w:bidi="en-US"/>
                            </w:rPr>
                            <m:t>rate</m:t>
                          </m:r>
                        </m:e>
                        <m:sub>
                          <m:r>
                            <w:rPr>
                              <w:rFonts w:ascii="Cambria Math" w:hAnsi="Cambria Math" w:cs="Times New Roman"/>
                              <w:sz w:val="20"/>
                              <w:lang w:bidi="en-US"/>
                            </w:rPr>
                            <m:t>i</m:t>
                          </m:r>
                        </m:sub>
                      </m:sSub>
                      <m:r>
                        <w:rPr>
                          <w:rFonts w:ascii="Cambria Math" w:hAnsi="Cambria Math" w:cs="Times New Roman"/>
                          <w:sz w:val="20"/>
                          <w:lang w:bidi="en-US"/>
                        </w:rPr>
                        <m:t>)</m:t>
                      </m:r>
                    </m:e>
                    <m:sup>
                      <m:r>
                        <w:rPr>
                          <w:rFonts w:ascii="Cambria Math" w:hAnsi="Cambria Math" w:cs="Times New Roman"/>
                          <w:sz w:val="20"/>
                          <w:lang w:bidi="en-US"/>
                        </w:rPr>
                        <m:t>t</m:t>
                      </m:r>
                    </m:sup>
                  </m:sSup>
                </m:den>
              </m:f>
            </m:e>
          </m:nary>
        </m:oMath>
      </m:oMathPara>
    </w:p>
    <w:p w14:paraId="42C379F7" w14:textId="5C504608" w:rsidR="002357FD" w:rsidRPr="00351833" w:rsidRDefault="002357FD" w:rsidP="002357FD">
      <w:pPr>
        <w:jc w:val="right"/>
        <w:rPr>
          <w:rFonts w:ascii="Times New Roman" w:hAnsi="Times New Roman" w:cs="Times New Roman"/>
          <w:sz w:val="20"/>
          <w:lang w:bidi="en-US"/>
        </w:rPr>
      </w:pPr>
      <w:r w:rsidRPr="00351833">
        <w:rPr>
          <w:rFonts w:ascii="Times New Roman" w:hAnsi="Times New Roman" w:cs="Times New Roman"/>
          <w:sz w:val="20"/>
          <w:lang w:bidi="en-US"/>
        </w:rPr>
        <w:t>(11)</w:t>
      </w:r>
    </w:p>
    <w:p w14:paraId="602AD172" w14:textId="69101480"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Where </w:t>
      </w:r>
      <w:proofErr w:type="spellStart"/>
      <w:r w:rsidRPr="00351833">
        <w:rPr>
          <w:rFonts w:ascii="Times New Roman" w:hAnsi="Times New Roman" w:cs="Times New Roman"/>
          <w:i/>
          <w:iCs/>
          <w:sz w:val="20"/>
          <w:lang w:bidi="en-US"/>
        </w:rPr>
        <w:t>Alloc</w:t>
      </w:r>
      <w:r w:rsidR="00916392" w:rsidRPr="00916392">
        <w:rPr>
          <w:rFonts w:ascii="Times New Roman" w:hAnsi="Times New Roman" w:cs="Times New Roman"/>
          <w:i/>
          <w:iCs/>
          <w:sz w:val="20"/>
          <w:vertAlign w:val="subscript"/>
          <w:lang w:bidi="en-US"/>
        </w:rPr>
        <w:t>i</w:t>
      </w:r>
      <w:proofErr w:type="spellEnd"/>
      <w:r w:rsidRPr="00351833">
        <w:rPr>
          <w:rFonts w:ascii="Times New Roman" w:hAnsi="Times New Roman" w:cs="Times New Roman"/>
          <w:sz w:val="20"/>
          <w:lang w:bidi="en-US"/>
        </w:rPr>
        <w:t xml:space="preserve"> is the unit opportunity cost of water.</w:t>
      </w:r>
    </w:p>
    <w:p w14:paraId="65B1DEA6" w14:textId="7392AED5"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Cost of pumping water from the river to the point of recharge (</w:t>
      </w:r>
      <w:proofErr w:type="spellStart"/>
      <w:r w:rsidRPr="00351833">
        <w:rPr>
          <w:rFonts w:ascii="Times New Roman" w:hAnsi="Times New Roman" w:cs="Times New Roman"/>
          <w:i/>
          <w:iCs/>
          <w:sz w:val="20"/>
          <w:lang w:bidi="en-US"/>
        </w:rPr>
        <w:t>River_pump_op</w:t>
      </w:r>
      <w:r w:rsidR="00916392" w:rsidRPr="00916392">
        <w:rPr>
          <w:rFonts w:ascii="Times New Roman" w:hAnsi="Times New Roman" w:cs="Times New Roman"/>
          <w:i/>
          <w:iCs/>
          <w:sz w:val="20"/>
          <w:vertAlign w:val="subscript"/>
          <w:lang w:bidi="en-US"/>
        </w:rPr>
        <w:t>i</w:t>
      </w:r>
      <w:proofErr w:type="spellEnd"/>
      <w:r w:rsidRPr="00351833">
        <w:rPr>
          <w:rFonts w:ascii="Times New Roman" w:hAnsi="Times New Roman" w:cs="Times New Roman"/>
          <w:sz w:val="20"/>
          <w:lang w:bidi="en-US"/>
        </w:rPr>
        <w:t>) was calculated as:</w:t>
      </w:r>
    </w:p>
    <w:p w14:paraId="73B77725" w14:textId="60BEDB89" w:rsidR="002357FD" w:rsidRPr="00351833" w:rsidRDefault="00F57D29" w:rsidP="002357FD">
      <w:pPr>
        <w:rPr>
          <w:rFonts w:ascii="Times New Roman" w:hAnsi="Times New Roman" w:cs="Times New Roman"/>
          <w:sz w:val="20"/>
          <w:lang w:bidi="en-US"/>
        </w:rPr>
      </w:pPr>
      <m:oMathPara>
        <m:oMath>
          <m:sSub>
            <m:sSubPr>
              <m:ctrlPr>
                <w:rPr>
                  <w:rFonts w:ascii="Cambria Math" w:hAnsi="Cambria Math" w:cs="Times New Roman"/>
                  <w:i/>
                  <w:sz w:val="20"/>
                  <w:lang w:bidi="en-US"/>
                </w:rPr>
              </m:ctrlPr>
            </m:sSubPr>
            <m:e>
              <m:r>
                <w:rPr>
                  <w:rFonts w:ascii="Cambria Math" w:hAnsi="Cambria Math" w:cs="Times New Roman"/>
                  <w:sz w:val="20"/>
                  <w:lang w:bidi="en-US"/>
                </w:rPr>
                <m:t>River_pump_op</m:t>
              </m:r>
            </m:e>
            <m:sub>
              <m:r>
                <w:rPr>
                  <w:rFonts w:ascii="Cambria Math" w:hAnsi="Cambria Math" w:cs="Times New Roman"/>
                  <w:sz w:val="20"/>
                  <w:lang w:bidi="en-US"/>
                </w:rPr>
                <m:t>i</m:t>
              </m:r>
            </m:sub>
          </m:sSub>
          <m:r>
            <w:rPr>
              <w:rFonts w:ascii="Cambria Math" w:hAnsi="Cambria Math" w:cs="Times New Roman"/>
              <w:sz w:val="20"/>
              <w:lang w:bidi="en-US"/>
            </w:rPr>
            <m:t>=</m:t>
          </m:r>
          <m:nary>
            <m:naryPr>
              <m:chr m:val="∑"/>
              <m:grow m:val="1"/>
              <m:ctrlPr>
                <w:rPr>
                  <w:rFonts w:ascii="Cambria Math" w:hAnsi="Cambria Math" w:cs="Times New Roman"/>
                  <w:sz w:val="20"/>
                  <w:lang w:bidi="en-US"/>
                </w:rPr>
              </m:ctrlPr>
            </m:naryPr>
            <m:sub>
              <m:r>
                <w:rPr>
                  <w:rFonts w:ascii="Cambria Math" w:eastAsia="Cambria Math" w:hAnsi="Cambria Math" w:cs="Times New Roman"/>
                  <w:sz w:val="20"/>
                  <w:lang w:bidi="en-US"/>
                </w:rPr>
                <m:t>t=0</m:t>
              </m:r>
            </m:sub>
            <m:sup>
              <m:r>
                <w:rPr>
                  <w:rFonts w:ascii="Cambria Math" w:eastAsia="Cambria Math" w:hAnsi="Cambria Math" w:cs="Times New Roman"/>
                  <w:sz w:val="20"/>
                  <w:lang w:bidi="en-US"/>
                </w:rPr>
                <m:t>n</m:t>
              </m:r>
            </m:sup>
            <m:e>
              <m:f>
                <m:fPr>
                  <m:ctrlPr>
                    <w:rPr>
                      <w:rFonts w:ascii="Cambria Math" w:hAnsi="Cambria Math" w:cs="Times New Roman"/>
                      <w:i/>
                      <w:sz w:val="20"/>
                      <w:lang w:bidi="en-US"/>
                    </w:rPr>
                  </m:ctrlPr>
                </m:fPr>
                <m:num>
                  <m:sSub>
                    <m:sSubPr>
                      <m:ctrlPr>
                        <w:rPr>
                          <w:rFonts w:ascii="Cambria Math" w:hAnsi="Cambria Math" w:cs="Times New Roman"/>
                          <w:i/>
                          <w:sz w:val="20"/>
                          <w:lang w:bidi="en-US"/>
                        </w:rPr>
                      </m:ctrlPr>
                    </m:sSubPr>
                    <m:e>
                      <m:r>
                        <w:rPr>
                          <w:rFonts w:ascii="Cambria Math" w:hAnsi="Cambria Math" w:cs="Times New Roman"/>
                          <w:sz w:val="20"/>
                          <w:lang w:bidi="en-US"/>
                        </w:rPr>
                        <m:t>Pump_op</m:t>
                      </m:r>
                    </m:e>
                    <m:sub>
                      <m:r>
                        <w:rPr>
                          <w:rFonts w:ascii="Cambria Math" w:hAnsi="Cambria Math" w:cs="Times New Roman"/>
                          <w:sz w:val="20"/>
                          <w:lang w:bidi="en-US"/>
                        </w:rPr>
                        <m:t>i</m:t>
                      </m:r>
                    </m:sub>
                  </m:sSub>
                  <m:r>
                    <w:rPr>
                      <w:rFonts w:ascii="Cambria Math" w:hAnsi="Cambria Math" w:cs="Times New Roman"/>
                      <w:sz w:val="20"/>
                      <w:lang w:bidi="en-US"/>
                    </w:rPr>
                    <m:t>∙</m:t>
                  </m:r>
                  <m:sSub>
                    <m:sSubPr>
                      <m:ctrlPr>
                        <w:rPr>
                          <w:rFonts w:ascii="Cambria Math" w:hAnsi="Cambria Math" w:cs="Times New Roman"/>
                          <w:i/>
                          <w:sz w:val="20"/>
                          <w:lang w:bidi="en-US"/>
                        </w:rPr>
                      </m:ctrlPr>
                    </m:sSubPr>
                    <m:e>
                      <m:sSub>
                        <m:sSubPr>
                          <m:ctrlPr>
                            <w:rPr>
                              <w:rFonts w:ascii="Cambria Math" w:hAnsi="Cambria Math" w:cs="Times New Roman"/>
                              <w:i/>
                              <w:sz w:val="20"/>
                              <w:lang w:bidi="en-US"/>
                            </w:rPr>
                          </m:ctrlPr>
                        </m:sSubPr>
                        <m:e>
                          <m:r>
                            <w:rPr>
                              <w:rFonts w:ascii="Cambria Math" w:hAnsi="Cambria Math" w:cs="Times New Roman"/>
                              <w:sz w:val="20"/>
                              <w:lang w:bidi="en-US"/>
                            </w:rPr>
                            <m:t>Lift</m:t>
                          </m:r>
                        </m:e>
                        <m:sub>
                          <m:r>
                            <w:rPr>
                              <w:rFonts w:ascii="Cambria Math" w:hAnsi="Cambria Math" w:cs="Times New Roman"/>
                              <w:sz w:val="20"/>
                              <w:lang w:bidi="en-US"/>
                            </w:rPr>
                            <m:t>i</m:t>
                          </m:r>
                        </m:sub>
                      </m:sSub>
                      <m:r>
                        <w:rPr>
                          <w:rFonts w:ascii="Cambria Math" w:hAnsi="Cambria Math" w:cs="Times New Roman"/>
                          <w:sz w:val="20"/>
                          <w:lang w:bidi="en-US"/>
                        </w:rPr>
                        <m:t>∙Rech</m:t>
                      </m:r>
                    </m:e>
                    <m:sub>
                      <m:r>
                        <w:rPr>
                          <w:rFonts w:ascii="Cambria Math" w:hAnsi="Cambria Math" w:cs="Times New Roman"/>
                          <w:sz w:val="20"/>
                          <w:lang w:bidi="en-US"/>
                        </w:rPr>
                        <m:t>i,t</m:t>
                      </m:r>
                    </m:sub>
                  </m:sSub>
                </m:num>
                <m:den>
                  <m:sSup>
                    <m:sSupPr>
                      <m:ctrlPr>
                        <w:rPr>
                          <w:rFonts w:ascii="Cambria Math" w:hAnsi="Cambria Math" w:cs="Times New Roman"/>
                          <w:i/>
                          <w:sz w:val="20"/>
                          <w:lang w:bidi="en-US"/>
                        </w:rPr>
                      </m:ctrlPr>
                    </m:sSupPr>
                    <m:e>
                      <m:r>
                        <w:rPr>
                          <w:rFonts w:ascii="Cambria Math" w:hAnsi="Cambria Math" w:cs="Times New Roman"/>
                          <w:sz w:val="20"/>
                          <w:lang w:bidi="en-US"/>
                        </w:rPr>
                        <m:t>(1+</m:t>
                      </m:r>
                      <m:sSub>
                        <m:sSubPr>
                          <m:ctrlPr>
                            <w:rPr>
                              <w:rFonts w:ascii="Cambria Math" w:hAnsi="Cambria Math" w:cs="Times New Roman"/>
                              <w:i/>
                              <w:sz w:val="20"/>
                              <w:lang w:bidi="en-US"/>
                            </w:rPr>
                          </m:ctrlPr>
                        </m:sSubPr>
                        <m:e>
                          <m:r>
                            <w:rPr>
                              <w:rFonts w:ascii="Cambria Math" w:hAnsi="Cambria Math" w:cs="Times New Roman"/>
                              <w:sz w:val="20"/>
                              <w:lang w:bidi="en-US"/>
                            </w:rPr>
                            <m:t>rate</m:t>
                          </m:r>
                        </m:e>
                        <m:sub>
                          <m:r>
                            <w:rPr>
                              <w:rFonts w:ascii="Cambria Math" w:hAnsi="Cambria Math" w:cs="Times New Roman"/>
                              <w:sz w:val="20"/>
                              <w:lang w:bidi="en-US"/>
                            </w:rPr>
                            <m:t>i</m:t>
                          </m:r>
                        </m:sub>
                      </m:sSub>
                      <m:r>
                        <w:rPr>
                          <w:rFonts w:ascii="Cambria Math" w:hAnsi="Cambria Math" w:cs="Times New Roman"/>
                          <w:sz w:val="20"/>
                          <w:lang w:bidi="en-US"/>
                        </w:rPr>
                        <m:t>)</m:t>
                      </m:r>
                    </m:e>
                    <m:sup>
                      <m:r>
                        <w:rPr>
                          <w:rFonts w:ascii="Cambria Math" w:hAnsi="Cambria Math" w:cs="Times New Roman"/>
                          <w:sz w:val="20"/>
                          <w:lang w:bidi="en-US"/>
                        </w:rPr>
                        <m:t>t</m:t>
                      </m:r>
                    </m:sup>
                  </m:sSup>
                </m:den>
              </m:f>
            </m:e>
          </m:nary>
        </m:oMath>
      </m:oMathPara>
    </w:p>
    <w:p w14:paraId="6062B569" w14:textId="7FEE69F7" w:rsidR="002357FD" w:rsidRPr="00351833" w:rsidRDefault="002357FD" w:rsidP="002357FD">
      <w:pPr>
        <w:jc w:val="right"/>
        <w:rPr>
          <w:rFonts w:ascii="Times New Roman" w:hAnsi="Times New Roman" w:cs="Times New Roman"/>
          <w:sz w:val="20"/>
          <w:lang w:bidi="en-US"/>
        </w:rPr>
      </w:pPr>
      <w:r w:rsidRPr="00351833">
        <w:rPr>
          <w:rFonts w:ascii="Times New Roman" w:hAnsi="Times New Roman" w:cs="Times New Roman"/>
          <w:sz w:val="20"/>
          <w:lang w:bidi="en-US"/>
        </w:rPr>
        <w:t>(12)</w:t>
      </w:r>
    </w:p>
    <w:p w14:paraId="45D6576F" w14:textId="1B0D7F3B"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Where </w:t>
      </w:r>
      <w:proofErr w:type="spellStart"/>
      <w:r w:rsidRPr="00351833">
        <w:rPr>
          <w:rFonts w:ascii="Times New Roman" w:hAnsi="Times New Roman" w:cs="Times New Roman"/>
          <w:i/>
          <w:iCs/>
          <w:sz w:val="20"/>
          <w:lang w:bidi="en-US"/>
        </w:rPr>
        <w:t>Lift</w:t>
      </w:r>
      <w:r w:rsidR="00916392" w:rsidRPr="00916392">
        <w:rPr>
          <w:rFonts w:ascii="Times New Roman" w:hAnsi="Times New Roman" w:cs="Times New Roman"/>
          <w:i/>
          <w:iCs/>
          <w:sz w:val="20"/>
          <w:vertAlign w:val="subscript"/>
          <w:lang w:bidi="en-US"/>
        </w:rPr>
        <w:t>i</w:t>
      </w:r>
      <w:proofErr w:type="spellEnd"/>
      <w:r w:rsidR="00916392">
        <w:rPr>
          <w:rFonts w:ascii="Times New Roman" w:hAnsi="Times New Roman" w:cs="Times New Roman"/>
          <w:sz w:val="20"/>
          <w:lang w:bidi="en-US"/>
        </w:rPr>
        <w:t xml:space="preserve"> </w:t>
      </w:r>
      <w:r w:rsidRPr="00351833">
        <w:rPr>
          <w:rFonts w:ascii="Times New Roman" w:hAnsi="Times New Roman" w:cs="Times New Roman"/>
          <w:sz w:val="20"/>
          <w:lang w:bidi="en-US"/>
        </w:rPr>
        <w:t>is the height to lift water from the river to the point of recharge.</w:t>
      </w:r>
    </w:p>
    <w:p w14:paraId="4AE51271" w14:textId="35126C23"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Water quality monitoring cost (</w:t>
      </w:r>
      <w:proofErr w:type="spellStart"/>
      <w:r w:rsidRPr="00351833">
        <w:rPr>
          <w:rFonts w:ascii="Times New Roman" w:hAnsi="Times New Roman" w:cs="Times New Roman"/>
          <w:i/>
          <w:iCs/>
          <w:sz w:val="20"/>
          <w:lang w:bidi="en-US"/>
        </w:rPr>
        <w:t>Monitor_op</w:t>
      </w:r>
      <w:r w:rsidR="00916392" w:rsidRPr="00916392">
        <w:rPr>
          <w:rFonts w:ascii="Times New Roman" w:hAnsi="Times New Roman" w:cs="Times New Roman"/>
          <w:i/>
          <w:iCs/>
          <w:sz w:val="20"/>
          <w:vertAlign w:val="subscript"/>
          <w:lang w:bidi="en-US"/>
        </w:rPr>
        <w:t>i</w:t>
      </w:r>
      <w:proofErr w:type="spellEnd"/>
      <w:r w:rsidRPr="00351833">
        <w:rPr>
          <w:rFonts w:ascii="Times New Roman" w:hAnsi="Times New Roman" w:cs="Times New Roman"/>
          <w:sz w:val="20"/>
          <w:lang w:bidi="en-US"/>
        </w:rPr>
        <w:t>) was calculated as:</w:t>
      </w:r>
    </w:p>
    <w:p w14:paraId="51016014" w14:textId="0099B285" w:rsidR="002357FD" w:rsidRPr="00351833" w:rsidRDefault="00F57D29" w:rsidP="002357FD">
      <w:pPr>
        <w:rPr>
          <w:rFonts w:ascii="Times New Roman" w:hAnsi="Times New Roman" w:cs="Times New Roman"/>
          <w:sz w:val="20"/>
          <w:lang w:bidi="en-US"/>
        </w:rPr>
      </w:pPr>
      <m:oMathPara>
        <m:oMath>
          <m:sSub>
            <m:sSubPr>
              <m:ctrlPr>
                <w:rPr>
                  <w:rFonts w:ascii="Cambria Math" w:hAnsi="Cambria Math" w:cs="Times New Roman"/>
                  <w:i/>
                  <w:sz w:val="20"/>
                  <w:lang w:bidi="en-US"/>
                </w:rPr>
              </m:ctrlPr>
            </m:sSubPr>
            <m:e>
              <m:r>
                <w:rPr>
                  <w:rFonts w:ascii="Cambria Math" w:hAnsi="Cambria Math" w:cs="Times New Roman"/>
                  <w:sz w:val="20"/>
                  <w:lang w:bidi="en-US"/>
                </w:rPr>
                <m:t>Monitor_op</m:t>
              </m:r>
            </m:e>
            <m:sub>
              <m:r>
                <w:rPr>
                  <w:rFonts w:ascii="Cambria Math" w:hAnsi="Cambria Math" w:cs="Times New Roman"/>
                  <w:sz w:val="20"/>
                  <w:lang w:bidi="en-US"/>
                </w:rPr>
                <m:t>i</m:t>
              </m:r>
            </m:sub>
          </m:sSub>
          <m:r>
            <w:rPr>
              <w:rFonts w:ascii="Cambria Math" w:hAnsi="Cambria Math" w:cs="Times New Roman"/>
              <w:sz w:val="20"/>
              <w:lang w:bidi="en-US"/>
            </w:rPr>
            <m:t>=</m:t>
          </m:r>
          <m:nary>
            <m:naryPr>
              <m:chr m:val="∑"/>
              <m:grow m:val="1"/>
              <m:ctrlPr>
                <w:rPr>
                  <w:rFonts w:ascii="Cambria Math" w:hAnsi="Cambria Math" w:cs="Times New Roman"/>
                  <w:sz w:val="20"/>
                  <w:lang w:bidi="en-US"/>
                </w:rPr>
              </m:ctrlPr>
            </m:naryPr>
            <m:sub>
              <m:r>
                <w:rPr>
                  <w:rFonts w:ascii="Cambria Math" w:eastAsia="Cambria Math" w:hAnsi="Cambria Math" w:cs="Times New Roman"/>
                  <w:sz w:val="20"/>
                  <w:lang w:bidi="en-US"/>
                </w:rPr>
                <m:t>t=0</m:t>
              </m:r>
            </m:sub>
            <m:sup>
              <m:r>
                <w:rPr>
                  <w:rFonts w:ascii="Cambria Math" w:eastAsia="Cambria Math" w:hAnsi="Cambria Math" w:cs="Times New Roman"/>
                  <w:sz w:val="20"/>
                  <w:lang w:bidi="en-US"/>
                </w:rPr>
                <m:t>n</m:t>
              </m:r>
            </m:sup>
            <m:e>
              <m:f>
                <m:fPr>
                  <m:ctrlPr>
                    <w:rPr>
                      <w:rFonts w:ascii="Cambria Math" w:hAnsi="Cambria Math" w:cs="Times New Roman"/>
                      <w:i/>
                      <w:sz w:val="20"/>
                      <w:lang w:bidi="en-US"/>
                    </w:rPr>
                  </m:ctrlPr>
                </m:fPr>
                <m:num>
                  <m:sSub>
                    <m:sSubPr>
                      <m:ctrlPr>
                        <w:rPr>
                          <w:rFonts w:ascii="Cambria Math" w:hAnsi="Cambria Math" w:cs="Times New Roman"/>
                          <w:i/>
                          <w:sz w:val="20"/>
                          <w:lang w:bidi="en-US"/>
                        </w:rPr>
                      </m:ctrlPr>
                    </m:sSubPr>
                    <m:e>
                      <m:r>
                        <w:rPr>
                          <w:rFonts w:ascii="Cambria Math" w:hAnsi="Cambria Math" w:cs="Times New Roman"/>
                          <w:sz w:val="20"/>
                          <w:lang w:bidi="en-US"/>
                        </w:rPr>
                        <m:t>Monitor</m:t>
                      </m:r>
                    </m:e>
                    <m:sub>
                      <m:r>
                        <w:rPr>
                          <w:rFonts w:ascii="Cambria Math" w:hAnsi="Cambria Math" w:cs="Times New Roman"/>
                          <w:sz w:val="20"/>
                          <w:lang w:bidi="en-US"/>
                        </w:rPr>
                        <m:t>i</m:t>
                      </m:r>
                    </m:sub>
                  </m:sSub>
                  <m:r>
                    <w:rPr>
                      <w:rFonts w:ascii="Cambria Math" w:hAnsi="Cambria Math" w:cs="Times New Roman"/>
                      <w:sz w:val="20"/>
                      <w:lang w:bidi="en-US"/>
                    </w:rPr>
                    <m:t>∙</m:t>
                  </m:r>
                  <m:f>
                    <m:fPr>
                      <m:ctrlPr>
                        <w:rPr>
                          <w:rFonts w:ascii="Cambria Math" w:hAnsi="Cambria Math" w:cs="Times New Roman"/>
                          <w:i/>
                          <w:sz w:val="20"/>
                          <w:lang w:bidi="en-US"/>
                        </w:rPr>
                      </m:ctrlPr>
                    </m:fPr>
                    <m:num>
                      <m:sSub>
                        <m:sSubPr>
                          <m:ctrlPr>
                            <w:rPr>
                              <w:rFonts w:ascii="Cambria Math" w:hAnsi="Cambria Math" w:cs="Times New Roman"/>
                              <w:i/>
                              <w:sz w:val="20"/>
                              <w:lang w:bidi="en-US"/>
                            </w:rPr>
                          </m:ctrlPr>
                        </m:sSubPr>
                        <m:e>
                          <m:r>
                            <w:rPr>
                              <w:rFonts w:ascii="Cambria Math" w:hAnsi="Cambria Math" w:cs="Times New Roman"/>
                              <w:sz w:val="20"/>
                              <w:lang w:bidi="en-US"/>
                            </w:rPr>
                            <m:t>Rech</m:t>
                          </m:r>
                        </m:e>
                        <m:sub>
                          <m:r>
                            <w:rPr>
                              <w:rFonts w:ascii="Cambria Math" w:hAnsi="Cambria Math" w:cs="Times New Roman"/>
                              <w:sz w:val="20"/>
                              <w:lang w:bidi="en-US"/>
                            </w:rPr>
                            <m:t>i,t</m:t>
                          </m:r>
                        </m:sub>
                      </m:sSub>
                    </m:num>
                    <m:den>
                      <m:r>
                        <w:rPr>
                          <w:rFonts w:ascii="Cambria Math" w:hAnsi="Cambria Math" w:cs="Times New Roman"/>
                          <w:sz w:val="20"/>
                          <w:lang w:bidi="en-US"/>
                        </w:rPr>
                        <m:t>interv</m:t>
                      </m:r>
                    </m:den>
                  </m:f>
                </m:num>
                <m:den>
                  <m:sSup>
                    <m:sSupPr>
                      <m:ctrlPr>
                        <w:rPr>
                          <w:rFonts w:ascii="Cambria Math" w:hAnsi="Cambria Math" w:cs="Times New Roman"/>
                          <w:i/>
                          <w:sz w:val="20"/>
                          <w:lang w:bidi="en-US"/>
                        </w:rPr>
                      </m:ctrlPr>
                    </m:sSupPr>
                    <m:e>
                      <m:r>
                        <w:rPr>
                          <w:rFonts w:ascii="Cambria Math" w:hAnsi="Cambria Math" w:cs="Times New Roman"/>
                          <w:sz w:val="20"/>
                          <w:lang w:bidi="en-US"/>
                        </w:rPr>
                        <m:t>(1+</m:t>
                      </m:r>
                      <m:sSub>
                        <m:sSubPr>
                          <m:ctrlPr>
                            <w:rPr>
                              <w:rFonts w:ascii="Cambria Math" w:hAnsi="Cambria Math" w:cs="Times New Roman"/>
                              <w:i/>
                              <w:sz w:val="20"/>
                              <w:lang w:bidi="en-US"/>
                            </w:rPr>
                          </m:ctrlPr>
                        </m:sSubPr>
                        <m:e>
                          <m:r>
                            <w:rPr>
                              <w:rFonts w:ascii="Cambria Math" w:hAnsi="Cambria Math" w:cs="Times New Roman"/>
                              <w:sz w:val="20"/>
                              <w:lang w:bidi="en-US"/>
                            </w:rPr>
                            <m:t>rate</m:t>
                          </m:r>
                        </m:e>
                        <m:sub>
                          <m:r>
                            <w:rPr>
                              <w:rFonts w:ascii="Cambria Math" w:hAnsi="Cambria Math" w:cs="Times New Roman"/>
                              <w:sz w:val="20"/>
                              <w:lang w:bidi="en-US"/>
                            </w:rPr>
                            <m:t>i</m:t>
                          </m:r>
                        </m:sub>
                      </m:sSub>
                      <m:r>
                        <w:rPr>
                          <w:rFonts w:ascii="Cambria Math" w:hAnsi="Cambria Math" w:cs="Times New Roman"/>
                          <w:sz w:val="20"/>
                          <w:lang w:bidi="en-US"/>
                        </w:rPr>
                        <m:t>)</m:t>
                      </m:r>
                    </m:e>
                    <m:sup>
                      <m:r>
                        <w:rPr>
                          <w:rFonts w:ascii="Cambria Math" w:hAnsi="Cambria Math" w:cs="Times New Roman"/>
                          <w:sz w:val="20"/>
                          <w:lang w:bidi="en-US"/>
                        </w:rPr>
                        <m:t>t</m:t>
                      </m:r>
                    </m:sup>
                  </m:sSup>
                </m:den>
              </m:f>
            </m:e>
          </m:nary>
        </m:oMath>
      </m:oMathPara>
    </w:p>
    <w:p w14:paraId="3CCFAFBD" w14:textId="365DA0BE" w:rsidR="002357FD" w:rsidRPr="00351833" w:rsidRDefault="002357FD" w:rsidP="002357FD">
      <w:pPr>
        <w:jc w:val="right"/>
        <w:rPr>
          <w:rFonts w:ascii="Times New Roman" w:hAnsi="Times New Roman" w:cs="Times New Roman"/>
          <w:sz w:val="20"/>
          <w:lang w:bidi="en-US"/>
        </w:rPr>
      </w:pPr>
      <w:r w:rsidRPr="00351833">
        <w:rPr>
          <w:rFonts w:ascii="Times New Roman" w:hAnsi="Times New Roman" w:cs="Times New Roman"/>
          <w:sz w:val="20"/>
          <w:lang w:bidi="en-US"/>
        </w:rPr>
        <w:t>(13)</w:t>
      </w:r>
    </w:p>
    <w:p w14:paraId="0695C2A6" w14:textId="5E3FCB52"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Where </w:t>
      </w:r>
      <w:proofErr w:type="spellStart"/>
      <w:r w:rsidRPr="00351833">
        <w:rPr>
          <w:rFonts w:ascii="Times New Roman" w:hAnsi="Times New Roman" w:cs="Times New Roman"/>
          <w:i/>
          <w:iCs/>
          <w:sz w:val="20"/>
          <w:lang w:bidi="en-US"/>
        </w:rPr>
        <w:t>Monitor</w:t>
      </w:r>
      <w:r w:rsidR="00916392" w:rsidRPr="00916392">
        <w:rPr>
          <w:rFonts w:ascii="Times New Roman" w:hAnsi="Times New Roman" w:cs="Times New Roman"/>
          <w:i/>
          <w:iCs/>
          <w:sz w:val="20"/>
          <w:vertAlign w:val="subscript"/>
          <w:lang w:bidi="en-US"/>
        </w:rPr>
        <w:t>i</w:t>
      </w:r>
      <w:proofErr w:type="spellEnd"/>
      <w:r w:rsidRPr="00351833">
        <w:rPr>
          <w:rFonts w:ascii="Times New Roman" w:hAnsi="Times New Roman" w:cs="Times New Roman"/>
          <w:sz w:val="20"/>
          <w:lang w:bidi="en-US"/>
        </w:rPr>
        <w:t xml:space="preserve"> is the unit cost of monitoring </w:t>
      </w:r>
      <w:r w:rsidR="00916392">
        <w:rPr>
          <w:rFonts w:ascii="Times New Roman" w:hAnsi="Times New Roman" w:cs="Times New Roman"/>
          <w:sz w:val="20"/>
          <w:lang w:bidi="en-US"/>
        </w:rPr>
        <w:t>at a volumetric interval</w:t>
      </w:r>
      <w:r w:rsidR="002B550B">
        <w:rPr>
          <w:rFonts w:ascii="Times New Roman" w:hAnsi="Times New Roman" w:cs="Times New Roman"/>
          <w:sz w:val="20"/>
          <w:lang w:bidi="en-US"/>
        </w:rPr>
        <w:t xml:space="preserve"> (</w:t>
      </w:r>
      <w:proofErr w:type="spellStart"/>
      <w:r w:rsidR="00916392" w:rsidRPr="00916392">
        <w:rPr>
          <w:rFonts w:ascii="Times New Roman" w:hAnsi="Times New Roman" w:cs="Times New Roman"/>
          <w:i/>
          <w:iCs/>
          <w:sz w:val="20"/>
          <w:lang w:bidi="en-US"/>
        </w:rPr>
        <w:t>interv</w:t>
      </w:r>
      <w:proofErr w:type="spellEnd"/>
      <w:r w:rsidR="002B550B" w:rsidRPr="002B550B">
        <w:rPr>
          <w:rFonts w:ascii="Times New Roman" w:hAnsi="Times New Roman" w:cs="Times New Roman"/>
          <w:sz w:val="20"/>
          <w:lang w:bidi="en-US"/>
        </w:rPr>
        <w:t>)</w:t>
      </w:r>
      <w:r w:rsidR="00916392">
        <w:rPr>
          <w:rFonts w:ascii="Times New Roman" w:hAnsi="Times New Roman" w:cs="Times New Roman"/>
          <w:sz w:val="20"/>
          <w:lang w:bidi="en-US"/>
        </w:rPr>
        <w:t xml:space="preserve"> of </w:t>
      </w:r>
      <w:r w:rsidRPr="00351833">
        <w:rPr>
          <w:rFonts w:ascii="Times New Roman" w:hAnsi="Times New Roman" w:cs="Times New Roman"/>
          <w:sz w:val="20"/>
          <w:lang w:bidi="en-US"/>
        </w:rPr>
        <w:t>50,000 m</w:t>
      </w:r>
      <w:r w:rsidRPr="00351833">
        <w:rPr>
          <w:rFonts w:ascii="Times New Roman" w:hAnsi="Times New Roman" w:cs="Times New Roman"/>
          <w:sz w:val="20"/>
          <w:vertAlign w:val="superscript"/>
          <w:lang w:bidi="en-US"/>
        </w:rPr>
        <w:t>3</w:t>
      </w:r>
      <w:r w:rsidR="00916392">
        <w:rPr>
          <w:rFonts w:ascii="Times New Roman" w:hAnsi="Times New Roman" w:cs="Times New Roman"/>
          <w:sz w:val="20"/>
          <w:lang w:bidi="en-US"/>
        </w:rPr>
        <w:t xml:space="preserve"> </w:t>
      </w:r>
      <w:r w:rsidRPr="00351833">
        <w:rPr>
          <w:rFonts w:ascii="Times New Roman" w:hAnsi="Times New Roman" w:cs="Times New Roman"/>
          <w:sz w:val="20"/>
          <w:lang w:bidi="en-US"/>
        </w:rPr>
        <w:t>water recharged across the time series.</w:t>
      </w:r>
    </w:p>
    <w:p w14:paraId="3A591DBE" w14:textId="3762B192"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Present operating cost of pipe maintenance was calculated as 2% of the capital cost of pipework (a function of unit price and scheme capacity) for every year. </w:t>
      </w:r>
    </w:p>
    <w:p w14:paraId="07D6C7C9" w14:textId="067F98F0" w:rsidR="002357FD" w:rsidRPr="00351833" w:rsidRDefault="002357FD" w:rsidP="002357FD">
      <w:pPr>
        <w:rPr>
          <w:rFonts w:ascii="Times New Roman" w:hAnsi="Times New Roman" w:cs="Times New Roman"/>
          <w:sz w:val="20"/>
          <w:lang w:bidi="en-US"/>
        </w:rPr>
      </w:pPr>
      <w:r w:rsidRPr="00351833">
        <w:rPr>
          <w:rFonts w:ascii="Times New Roman" w:hAnsi="Times New Roman" w:cs="Times New Roman"/>
          <w:sz w:val="20"/>
          <w:lang w:bidi="en-US"/>
        </w:rPr>
        <w:t xml:space="preserve">Operating cost of recovery was calculated similarly to </w:t>
      </w:r>
      <w:r w:rsidRPr="00351833">
        <w:rPr>
          <w:rFonts w:ascii="Times New Roman" w:eastAsiaTheme="minorEastAsia" w:hAnsi="Times New Roman" w:cs="Times New Roman"/>
          <w:sz w:val="20"/>
          <w:lang w:bidi="en-US"/>
        </w:rPr>
        <w:t xml:space="preserve">injection costs </w:t>
      </w:r>
      <w:r w:rsidRPr="00351833">
        <w:rPr>
          <w:rFonts w:ascii="Times New Roman" w:hAnsi="Times New Roman" w:cs="Times New Roman"/>
          <w:sz w:val="20"/>
          <w:lang w:bidi="en-US"/>
        </w:rPr>
        <w:t>according to (7) substituting recharged volumes (</w:t>
      </w:r>
      <w:proofErr w:type="spellStart"/>
      <w:proofErr w:type="gramStart"/>
      <w:r w:rsidRPr="00351833">
        <w:rPr>
          <w:rFonts w:ascii="Times New Roman" w:hAnsi="Times New Roman" w:cs="Times New Roman"/>
          <w:i/>
          <w:iCs/>
          <w:sz w:val="20"/>
          <w:lang w:bidi="en-US"/>
        </w:rPr>
        <w:t>Rech</w:t>
      </w:r>
      <w:r w:rsidRPr="00351833">
        <w:rPr>
          <w:rFonts w:ascii="Times New Roman" w:hAnsi="Times New Roman" w:cs="Times New Roman"/>
          <w:i/>
          <w:iCs/>
          <w:sz w:val="20"/>
          <w:vertAlign w:val="subscript"/>
          <w:lang w:bidi="en-US"/>
        </w:rPr>
        <w:t>i</w:t>
      </w:r>
      <w:r w:rsidR="00916392">
        <w:rPr>
          <w:rFonts w:ascii="Times New Roman" w:hAnsi="Times New Roman" w:cs="Times New Roman"/>
          <w:i/>
          <w:iCs/>
          <w:sz w:val="20"/>
          <w:vertAlign w:val="subscript"/>
          <w:lang w:bidi="en-US"/>
        </w:rPr>
        <w:t>,t</w:t>
      </w:r>
      <w:proofErr w:type="spellEnd"/>
      <w:proofErr w:type="gramEnd"/>
      <w:r w:rsidRPr="00351833">
        <w:rPr>
          <w:rFonts w:ascii="Times New Roman" w:hAnsi="Times New Roman" w:cs="Times New Roman"/>
          <w:sz w:val="20"/>
          <w:lang w:bidi="en-US"/>
        </w:rPr>
        <w:t>) with recovered volumes (</w:t>
      </w:r>
      <w:proofErr w:type="spellStart"/>
      <w:r w:rsidRPr="00351833">
        <w:rPr>
          <w:rFonts w:ascii="Times New Roman" w:hAnsi="Times New Roman" w:cs="Times New Roman"/>
          <w:i/>
          <w:iCs/>
          <w:sz w:val="20"/>
          <w:lang w:bidi="en-US"/>
        </w:rPr>
        <w:t>Recov</w:t>
      </w:r>
      <w:r w:rsidRPr="00351833">
        <w:rPr>
          <w:rFonts w:ascii="Times New Roman" w:hAnsi="Times New Roman" w:cs="Times New Roman"/>
          <w:i/>
          <w:iCs/>
          <w:sz w:val="20"/>
          <w:vertAlign w:val="subscript"/>
          <w:lang w:bidi="en-US"/>
        </w:rPr>
        <w:t>i</w:t>
      </w:r>
      <w:r w:rsidR="00916392">
        <w:rPr>
          <w:rFonts w:ascii="Times New Roman" w:hAnsi="Times New Roman" w:cs="Times New Roman"/>
          <w:i/>
          <w:iCs/>
          <w:sz w:val="20"/>
          <w:vertAlign w:val="subscript"/>
          <w:lang w:bidi="en-US"/>
        </w:rPr>
        <w:t>,</w:t>
      </w:r>
      <w:r w:rsidRPr="00351833">
        <w:rPr>
          <w:rFonts w:ascii="Times New Roman" w:hAnsi="Times New Roman" w:cs="Times New Roman"/>
          <w:i/>
          <w:iCs/>
          <w:sz w:val="20"/>
          <w:vertAlign w:val="subscript"/>
          <w:lang w:bidi="en-US"/>
        </w:rPr>
        <w:t>t</w:t>
      </w:r>
      <w:proofErr w:type="spellEnd"/>
      <w:r w:rsidRPr="00351833">
        <w:rPr>
          <w:rFonts w:ascii="Times New Roman" w:hAnsi="Times New Roman" w:cs="Times New Roman"/>
          <w:sz w:val="20"/>
          <w:lang w:bidi="en-US"/>
        </w:rPr>
        <w:t>).</w:t>
      </w:r>
    </w:p>
    <w:p w14:paraId="55BB219E" w14:textId="77777777" w:rsidR="002357FD" w:rsidRPr="00351833" w:rsidRDefault="002357FD" w:rsidP="002357FD">
      <w:pPr>
        <w:rPr>
          <w:rFonts w:ascii="Times New Roman" w:hAnsi="Times New Roman" w:cs="Times New Roman"/>
          <w:lang w:val="en-US"/>
        </w:rPr>
      </w:pPr>
      <w:r w:rsidRPr="00351833">
        <w:rPr>
          <w:rFonts w:ascii="Times New Roman" w:hAnsi="Times New Roman" w:cs="Times New Roman"/>
          <w:sz w:val="20"/>
          <w:lang w:bidi="en-US"/>
        </w:rPr>
        <w:t>Levelised costs of recharge and recovery were calculated from the sum of all respective capital and operating present costs divided by total volumes recharged or recovered.</w:t>
      </w:r>
    </w:p>
    <w:p w14:paraId="6C245EC6" w14:textId="77777777" w:rsidR="002357FD" w:rsidRPr="00351833" w:rsidRDefault="002357FD" w:rsidP="002357FD">
      <w:pPr>
        <w:rPr>
          <w:rFonts w:ascii="Times New Roman" w:hAnsi="Times New Roman" w:cs="Times New Roman"/>
        </w:rPr>
      </w:pPr>
    </w:p>
    <w:p w14:paraId="2B0FEDB1" w14:textId="77777777" w:rsidR="002357FD" w:rsidRPr="00351833" w:rsidRDefault="002357FD">
      <w:pPr>
        <w:rPr>
          <w:rFonts w:ascii="Times New Roman" w:eastAsiaTheme="majorEastAsia" w:hAnsi="Times New Roman" w:cs="Times New Roman"/>
          <w:sz w:val="32"/>
          <w:szCs w:val="32"/>
        </w:rPr>
      </w:pPr>
      <w:r w:rsidRPr="00351833">
        <w:rPr>
          <w:rFonts w:ascii="Times New Roman" w:hAnsi="Times New Roman" w:cs="Times New Roman"/>
        </w:rPr>
        <w:br w:type="page"/>
      </w:r>
    </w:p>
    <w:p w14:paraId="59C27B6B" w14:textId="76FC95AC" w:rsidR="00E1540E" w:rsidRPr="00E1540E" w:rsidRDefault="00E1540E" w:rsidP="00E1540E">
      <w:pPr>
        <w:pStyle w:val="Heading2"/>
        <w:rPr>
          <w:rFonts w:ascii="Times New Roman" w:hAnsi="Times New Roman" w:cs="Times New Roman"/>
          <w:color w:val="auto"/>
          <w:lang w:bidi="en-US"/>
        </w:rPr>
      </w:pPr>
      <w:r>
        <w:rPr>
          <w:rFonts w:ascii="Times New Roman" w:hAnsi="Times New Roman" w:cs="Times New Roman"/>
          <w:color w:val="auto"/>
          <w:lang w:bidi="en-US"/>
        </w:rPr>
        <w:lastRenderedPageBreak/>
        <w:t>River discharge and volume weighted average price of water allocations</w:t>
      </w:r>
    </w:p>
    <w:p w14:paraId="2582D956" w14:textId="77777777" w:rsidR="00385A52" w:rsidRPr="00351833" w:rsidRDefault="00385A52" w:rsidP="00385A52">
      <w:pPr>
        <w:rPr>
          <w:rFonts w:ascii="Times New Roman" w:hAnsi="Times New Roman" w:cs="Times New Roman"/>
        </w:rPr>
      </w:pPr>
      <w:r w:rsidRPr="00351833">
        <w:rPr>
          <w:rFonts w:ascii="Times New Roman" w:hAnsi="Times New Roman" w:cs="Times New Roman"/>
          <w:noProof/>
          <w:lang w:eastAsia="en-AU"/>
        </w:rPr>
        <w:drawing>
          <wp:inline distT="0" distB="0" distL="0" distR="0" wp14:anchorId="74CD50D8" wp14:editId="03A36529">
            <wp:extent cx="3237230" cy="3237230"/>
            <wp:effectExtent l="0" t="0" r="1270" b="1270"/>
            <wp:docPr id="16" name="Picture 16" descr="A graph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graph with black dot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7230" cy="3237230"/>
                    </a:xfrm>
                    <a:prstGeom prst="rect">
                      <a:avLst/>
                    </a:prstGeom>
                    <a:noFill/>
                  </pic:spPr>
                </pic:pic>
              </a:graphicData>
            </a:graphic>
          </wp:inline>
        </w:drawing>
      </w:r>
    </w:p>
    <w:p w14:paraId="27D87755" w14:textId="6DC6274E" w:rsidR="00385A52" w:rsidRPr="00351833" w:rsidRDefault="00385A52" w:rsidP="00385A52">
      <w:pPr>
        <w:pStyle w:val="Caption"/>
        <w:rPr>
          <w:rFonts w:ascii="Times New Roman" w:hAnsi="Times New Roman" w:cs="Times New Roman"/>
          <w:color w:val="auto"/>
        </w:rPr>
      </w:pPr>
      <w:r w:rsidRPr="00351833">
        <w:rPr>
          <w:rFonts w:ascii="Times New Roman" w:hAnsi="Times New Roman" w:cs="Times New Roman"/>
          <w:color w:val="auto"/>
        </w:rPr>
        <w:t xml:space="preserve">Figure S1 Average annual river discharge at Lock 1 Blanchetown </w:t>
      </w:r>
      <w:r w:rsidRPr="00351833">
        <w:rPr>
          <w:rFonts w:ascii="Times New Roman" w:hAnsi="Times New Roman" w:cs="Times New Roman"/>
          <w:color w:val="auto"/>
        </w:rPr>
        <w:fldChar w:fldCharType="begin"/>
      </w:r>
      <w:r w:rsidRPr="00351833">
        <w:rPr>
          <w:rFonts w:ascii="Times New Roman" w:hAnsi="Times New Roman" w:cs="Times New Roman"/>
          <w:color w:val="auto"/>
        </w:rPr>
        <w:instrText xml:space="preserve"> ADDIN EN.CITE &lt;EndNote&gt;&lt;Cite&gt;&lt;Author&gt;BOM&lt;/Author&gt;&lt;Year&gt;2022&lt;/Year&gt;&lt;RecNum&gt;439&lt;/RecNum&gt;&lt;DisplayText&gt;(BOM, 2022)&lt;/DisplayText&gt;&lt;record&gt;&lt;rec-number&gt;439&lt;/rec-number&gt;&lt;foreign-keys&gt;&lt;key app="EN" db-id="wsfap5sa5s5ptyer0t3xrzvwva0wafez2wzt" timestamp="1669707681"&gt;439&lt;/key&gt;&lt;/foreign-keys&gt;&lt;ref-type name="Report"&gt;27&lt;/ref-type&gt;&lt;contributors&gt;&lt;authors&gt;&lt;author&gt;BOM&lt;/author&gt;&lt;/authors&gt;&lt;/contributors&gt;&lt;titles&gt;&lt;title&gt;Water data online&lt;/title&gt;&lt;/titles&gt;&lt;dates&gt;&lt;year&gt;2022&lt;/year&gt;&lt;/dates&gt;&lt;publisher&gt;Australian Government Bureau of Meteorology&lt;/publisher&gt;&lt;urls&gt;&lt;related-urls&gt;&lt;url&gt;http://www.bom.gov.au/waterdata/&lt;/url&gt;&lt;/related-urls&gt;&lt;/urls&gt;&lt;access-date&gt;29 Nov 2022&lt;/access-date&gt;&lt;/record&gt;&lt;/Cite&gt;&lt;/EndNote&gt;</w:instrText>
      </w:r>
      <w:r w:rsidRPr="00351833">
        <w:rPr>
          <w:rFonts w:ascii="Times New Roman" w:hAnsi="Times New Roman" w:cs="Times New Roman"/>
          <w:color w:val="auto"/>
        </w:rPr>
        <w:fldChar w:fldCharType="separate"/>
      </w:r>
      <w:r w:rsidRPr="00351833">
        <w:rPr>
          <w:rFonts w:ascii="Times New Roman" w:hAnsi="Times New Roman" w:cs="Times New Roman"/>
          <w:noProof/>
          <w:color w:val="auto"/>
        </w:rPr>
        <w:t>(BOM, 2022)</w:t>
      </w:r>
      <w:r w:rsidRPr="00351833">
        <w:rPr>
          <w:rFonts w:ascii="Times New Roman" w:hAnsi="Times New Roman" w:cs="Times New Roman"/>
          <w:color w:val="auto"/>
        </w:rPr>
        <w:fldChar w:fldCharType="end"/>
      </w:r>
      <w:r w:rsidRPr="00351833">
        <w:rPr>
          <w:rFonts w:ascii="Times New Roman" w:hAnsi="Times New Roman" w:cs="Times New Roman"/>
          <w:color w:val="auto"/>
        </w:rPr>
        <w:t xml:space="preserve"> and volume weighted average price (VWAP) of water allocations across the Murray-Darling Basin over the 2008-2021 period </w:t>
      </w:r>
      <w:r w:rsidRPr="00351833">
        <w:rPr>
          <w:rFonts w:ascii="Times New Roman" w:hAnsi="Times New Roman" w:cs="Times New Roman"/>
          <w:color w:val="auto"/>
        </w:rPr>
        <w:fldChar w:fldCharType="begin"/>
      </w:r>
      <w:r w:rsidRPr="00351833">
        <w:rPr>
          <w:rFonts w:ascii="Times New Roman" w:hAnsi="Times New Roman" w:cs="Times New Roman"/>
          <w:color w:val="auto"/>
        </w:rPr>
        <w:instrText xml:space="preserve"> ADDIN EN.CITE &lt;EndNote&gt;&lt;Cite&gt;&lt;Author&gt;BOM&lt;/Author&gt;&lt;Year&gt;2023&lt;/Year&gt;&lt;RecNum&gt;333&lt;/RecNum&gt;&lt;DisplayText&gt;(BOM, 2023b)&lt;/DisplayText&gt;&lt;record&gt;&lt;rec-number&gt;333&lt;/rec-number&gt;&lt;foreign-keys&gt;&lt;key app="EN" db-id="wsfap5sa5s5ptyer0t3xrzvwva0wafez2wzt" timestamp="1617937220"&gt;333&lt;/key&gt;&lt;/foreign-keys&gt;&lt;ref-type name="Report"&gt;27&lt;/ref-type&gt;&lt;contributors&gt;&lt;authors&gt;&lt;author&gt;BOM&lt;/author&gt;&lt;/authors&gt;&lt;tertiary-authors&gt;&lt;author&gt;Australian Government Bureau of Meteorology&lt;/author&gt;&lt;/tertiary-authors&gt;&lt;/contributors&gt;&lt;titles&gt;&lt;title&gt;Water markets dashboard&lt;/title&gt;&lt;/titles&gt;&lt;dates&gt;&lt;year&gt;2023&lt;/year&gt;&lt;/dates&gt;&lt;pub-location&gt;Canberra, Australia&lt;/pub-location&gt;&lt;publisher&gt;Australian Government Bureau of Meteorology&lt;/publisher&gt;&lt;urls&gt;&lt;related-urls&gt;&lt;url&gt;http://www.bom.gov.au/water/dashboards/#/water-markets/map&lt;/url&gt;&lt;/related-urls&gt;&lt;/urls&gt;&lt;access-date&gt;12/09/2023&lt;/access-date&gt;&lt;/record&gt;&lt;/Cite&gt;&lt;/EndNote&gt;</w:instrText>
      </w:r>
      <w:r w:rsidRPr="00351833">
        <w:rPr>
          <w:rFonts w:ascii="Times New Roman" w:hAnsi="Times New Roman" w:cs="Times New Roman"/>
          <w:color w:val="auto"/>
        </w:rPr>
        <w:fldChar w:fldCharType="separate"/>
      </w:r>
      <w:r w:rsidRPr="00351833">
        <w:rPr>
          <w:rFonts w:ascii="Times New Roman" w:hAnsi="Times New Roman" w:cs="Times New Roman"/>
          <w:noProof/>
          <w:color w:val="auto"/>
        </w:rPr>
        <w:t>(BOM, 2023b)</w:t>
      </w:r>
      <w:r w:rsidRPr="00351833">
        <w:rPr>
          <w:rFonts w:ascii="Times New Roman" w:hAnsi="Times New Roman" w:cs="Times New Roman"/>
          <w:color w:val="auto"/>
        </w:rPr>
        <w:fldChar w:fldCharType="end"/>
      </w:r>
      <w:r w:rsidRPr="00351833">
        <w:rPr>
          <w:rFonts w:ascii="Times New Roman" w:hAnsi="Times New Roman" w:cs="Times New Roman"/>
          <w:color w:val="auto"/>
        </w:rPr>
        <w:t>.</w:t>
      </w:r>
    </w:p>
    <w:p w14:paraId="3666CF79" w14:textId="77777777" w:rsidR="00385A52" w:rsidRPr="00351833" w:rsidRDefault="00385A52" w:rsidP="00385A52">
      <w:pPr>
        <w:rPr>
          <w:rFonts w:ascii="Times New Roman" w:eastAsiaTheme="majorEastAsia" w:hAnsi="Times New Roman" w:cs="Times New Roman"/>
          <w:sz w:val="32"/>
          <w:szCs w:val="32"/>
        </w:rPr>
      </w:pPr>
      <w:r w:rsidRPr="00351833">
        <w:rPr>
          <w:rFonts w:ascii="Times New Roman" w:hAnsi="Times New Roman" w:cs="Times New Roman"/>
        </w:rPr>
        <w:br w:type="page"/>
      </w:r>
    </w:p>
    <w:p w14:paraId="4A1E6641" w14:textId="041AB9C9" w:rsidR="00E1540E" w:rsidRPr="00E1540E" w:rsidRDefault="00E1540E" w:rsidP="00E1540E">
      <w:pPr>
        <w:pStyle w:val="Heading2"/>
        <w:rPr>
          <w:rFonts w:ascii="Times New Roman" w:hAnsi="Times New Roman" w:cs="Times New Roman"/>
          <w:color w:val="auto"/>
          <w:lang w:bidi="en-US"/>
        </w:rPr>
      </w:pPr>
      <w:bookmarkStart w:id="0" w:name="_Hlk140503676"/>
      <w:r>
        <w:rPr>
          <w:rFonts w:ascii="Times New Roman" w:hAnsi="Times New Roman" w:cs="Times New Roman"/>
          <w:color w:val="auto"/>
          <w:lang w:bidi="en-US"/>
        </w:rPr>
        <w:lastRenderedPageBreak/>
        <w:t>Pretreatment capital and operating cost curves for injection schemes</w:t>
      </w:r>
    </w:p>
    <w:p w14:paraId="196BA5A0" w14:textId="77777777" w:rsidR="00385A52" w:rsidRPr="00351833" w:rsidRDefault="00385A52" w:rsidP="00385A52">
      <w:pPr>
        <w:rPr>
          <w:rFonts w:ascii="Times New Roman" w:hAnsi="Times New Roman" w:cs="Times New Roman"/>
        </w:rPr>
      </w:pPr>
      <w:r w:rsidRPr="00351833">
        <w:rPr>
          <w:rFonts w:ascii="Times New Roman" w:hAnsi="Times New Roman" w:cs="Times New Roman"/>
          <w:noProof/>
        </w:rPr>
        <w:drawing>
          <wp:inline distT="0" distB="0" distL="0" distR="0" wp14:anchorId="2E6C7E95" wp14:editId="1340E5CF">
            <wp:extent cx="3243580" cy="2524125"/>
            <wp:effectExtent l="0" t="0" r="0" b="9525"/>
            <wp:docPr id="4" name="Picture 4" descr="A graph with black dot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aph with black dots and numbers&#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43580" cy="2524125"/>
                    </a:xfrm>
                    <a:prstGeom prst="rect">
                      <a:avLst/>
                    </a:prstGeom>
                    <a:noFill/>
                  </pic:spPr>
                </pic:pic>
              </a:graphicData>
            </a:graphic>
          </wp:inline>
        </w:drawing>
      </w:r>
    </w:p>
    <w:p w14:paraId="51BDAE1C" w14:textId="2F93A629" w:rsidR="00385A52" w:rsidRPr="00351833" w:rsidRDefault="00385A52" w:rsidP="00385A52">
      <w:pPr>
        <w:pStyle w:val="Caption"/>
        <w:rPr>
          <w:rFonts w:ascii="Times New Roman" w:hAnsi="Times New Roman" w:cs="Times New Roman"/>
          <w:color w:val="auto"/>
        </w:rPr>
      </w:pPr>
      <w:r w:rsidRPr="00351833">
        <w:rPr>
          <w:rFonts w:ascii="Times New Roman" w:hAnsi="Times New Roman" w:cs="Times New Roman"/>
          <w:color w:val="auto"/>
        </w:rPr>
        <w:t xml:space="preserve">Figure S2 Treatment capital (closed circles) and operating (open circles) cost relationships with treatment capacity for coagulation and granular activated carbon </w:t>
      </w:r>
      <w:r w:rsidRPr="00351833">
        <w:rPr>
          <w:rFonts w:ascii="Times New Roman" w:hAnsi="Times New Roman" w:cs="Times New Roman"/>
          <w:color w:val="auto"/>
        </w:rPr>
        <w:fldChar w:fldCharType="begin"/>
      </w:r>
      <w:r w:rsidRPr="00351833">
        <w:rPr>
          <w:rFonts w:ascii="Times New Roman" w:hAnsi="Times New Roman" w:cs="Times New Roman"/>
          <w:color w:val="auto"/>
        </w:rPr>
        <w:instrText xml:space="preserve"> ADDIN EN.CITE &lt;EndNote&gt;&lt;Cite&gt;&lt;Author&gt;Guo&lt;/Author&gt;&lt;Year&gt;2014&lt;/Year&gt;&lt;RecNum&gt;359&lt;/RecNum&gt;&lt;DisplayText&gt;(Guo et al., 2014)&lt;/DisplayText&gt;&lt;record&gt;&lt;rec-number&gt;359&lt;/rec-number&gt;&lt;foreign-keys&gt;&lt;key app="EN" db-id="wsfap5sa5s5ptyer0t3xrzvwva0wafez2wzt" timestamp="1637303013"&gt;359&lt;/key&gt;&lt;/foreign-keys&gt;&lt;ref-type name="Journal Article"&gt;17&lt;/ref-type&gt;&lt;contributors&gt;&lt;authors&gt;&lt;author&gt;Guo, Tianjiao&lt;/author&gt;&lt;author&gt;Englehardt, James&lt;/author&gt;&lt;author&gt;Wu, Tingting&lt;/author&gt;&lt;/authors&gt;&lt;/contributors&gt;&lt;titles&gt;&lt;title&gt;Review of cost versus scale: water and wastewater treatment and reuse processes&lt;/title&gt;&lt;secondary-title&gt;Water Science and Technology&lt;/secondary-title&gt;&lt;/titles&gt;&lt;periodical&gt;&lt;full-title&gt;Water Science and Technology&lt;/full-title&gt;&lt;/periodical&gt;&lt;pages&gt;223-234&lt;/pages&gt;&lt;volume&gt;69&lt;/volume&gt;&lt;number&gt;2&lt;/number&gt;&lt;dates&gt;&lt;year&gt;2014&lt;/year&gt;&lt;/dates&gt;&lt;isbn&gt;0273-1223&lt;/isbn&gt;&lt;urls&gt;&lt;/urls&gt;&lt;/record&gt;&lt;/Cite&gt;&lt;/EndNote&gt;</w:instrText>
      </w:r>
      <w:r w:rsidRPr="00351833">
        <w:rPr>
          <w:rFonts w:ascii="Times New Roman" w:hAnsi="Times New Roman" w:cs="Times New Roman"/>
          <w:color w:val="auto"/>
        </w:rPr>
        <w:fldChar w:fldCharType="separate"/>
      </w:r>
      <w:r w:rsidRPr="00351833">
        <w:rPr>
          <w:rFonts w:ascii="Times New Roman" w:hAnsi="Times New Roman" w:cs="Times New Roman"/>
          <w:noProof/>
          <w:color w:val="auto"/>
        </w:rPr>
        <w:t>(Guo et al., 2014)</w:t>
      </w:r>
      <w:r w:rsidRPr="00351833">
        <w:rPr>
          <w:rFonts w:ascii="Times New Roman" w:hAnsi="Times New Roman" w:cs="Times New Roman"/>
          <w:color w:val="auto"/>
        </w:rPr>
        <w:fldChar w:fldCharType="end"/>
      </w:r>
      <w:r w:rsidRPr="00351833">
        <w:rPr>
          <w:rFonts w:ascii="Times New Roman" w:hAnsi="Times New Roman" w:cs="Times New Roman"/>
          <w:color w:val="auto"/>
        </w:rPr>
        <w:t>, and multimedia filtration (Culligan Water, pers. comm.).</w:t>
      </w:r>
    </w:p>
    <w:bookmarkEnd w:id="0"/>
    <w:p w14:paraId="09285BEB" w14:textId="77777777" w:rsidR="00A67B9D" w:rsidRPr="00351833" w:rsidRDefault="00A67B9D" w:rsidP="00A67B9D">
      <w:pPr>
        <w:rPr>
          <w:rFonts w:ascii="Times New Roman" w:hAnsi="Times New Roman" w:cs="Times New Roman"/>
          <w:lang w:val="en-US"/>
        </w:rPr>
      </w:pPr>
    </w:p>
    <w:p w14:paraId="44F33E18" w14:textId="77777777" w:rsidR="002357FD" w:rsidRPr="00351833" w:rsidRDefault="002357FD">
      <w:pPr>
        <w:rPr>
          <w:rFonts w:ascii="Times New Roman" w:eastAsiaTheme="majorEastAsia" w:hAnsi="Times New Roman" w:cs="Times New Roman"/>
          <w:sz w:val="32"/>
          <w:szCs w:val="32"/>
        </w:rPr>
      </w:pPr>
      <w:r w:rsidRPr="00351833">
        <w:rPr>
          <w:rFonts w:ascii="Times New Roman" w:hAnsi="Times New Roman" w:cs="Times New Roman"/>
        </w:rPr>
        <w:br w:type="page"/>
      </w:r>
    </w:p>
    <w:p w14:paraId="66A23EFD" w14:textId="554EA3EA" w:rsidR="00882048" w:rsidRPr="00351833" w:rsidRDefault="00882048" w:rsidP="00557115">
      <w:pPr>
        <w:pStyle w:val="Heading1"/>
        <w:rPr>
          <w:rFonts w:ascii="Times New Roman" w:hAnsi="Times New Roman" w:cs="Times New Roman"/>
          <w:color w:val="auto"/>
        </w:rPr>
      </w:pPr>
      <w:r w:rsidRPr="00351833">
        <w:rPr>
          <w:rFonts w:ascii="Times New Roman" w:hAnsi="Times New Roman" w:cs="Times New Roman"/>
          <w:color w:val="auto"/>
        </w:rPr>
        <w:lastRenderedPageBreak/>
        <w:t>References</w:t>
      </w:r>
    </w:p>
    <w:p w14:paraId="7F0A1F0E" w14:textId="48688AA9" w:rsidR="00385A52" w:rsidRPr="00351833" w:rsidRDefault="00977FD3" w:rsidP="00385A52">
      <w:pPr>
        <w:pStyle w:val="EndNoteBibliography"/>
        <w:spacing w:after="0"/>
        <w:ind w:left="720" w:hanging="720"/>
        <w:rPr>
          <w:rFonts w:ascii="Times New Roman" w:hAnsi="Times New Roman" w:cs="Times New Roman"/>
        </w:rPr>
      </w:pPr>
      <w:r w:rsidRPr="00351833">
        <w:rPr>
          <w:rFonts w:ascii="Times New Roman" w:hAnsi="Times New Roman" w:cs="Times New Roman"/>
        </w:rPr>
        <w:fldChar w:fldCharType="begin"/>
      </w:r>
      <w:r w:rsidRPr="00351833">
        <w:rPr>
          <w:rFonts w:ascii="Times New Roman" w:hAnsi="Times New Roman" w:cs="Times New Roman"/>
        </w:rPr>
        <w:instrText xml:space="preserve"> ADDIN EN.REFLIST </w:instrText>
      </w:r>
      <w:r w:rsidRPr="00351833">
        <w:rPr>
          <w:rFonts w:ascii="Times New Roman" w:hAnsi="Times New Roman" w:cs="Times New Roman"/>
        </w:rPr>
        <w:fldChar w:fldCharType="separate"/>
      </w:r>
      <w:r w:rsidR="00385A52" w:rsidRPr="00351833">
        <w:rPr>
          <w:rFonts w:ascii="Times New Roman" w:hAnsi="Times New Roman" w:cs="Times New Roman"/>
        </w:rPr>
        <w:t>BOM (2022) Water data online. Australian Government Bureau of Meteorology. Viewed 29 Nov 2022, &lt;</w:t>
      </w:r>
      <w:hyperlink r:id="rId14" w:history="1">
        <w:r w:rsidR="00385A52" w:rsidRPr="00351833">
          <w:rPr>
            <w:rStyle w:val="Hyperlink"/>
            <w:rFonts w:ascii="Times New Roman" w:hAnsi="Times New Roman" w:cs="Times New Roman"/>
            <w:color w:val="auto"/>
          </w:rPr>
          <w:t>http://www.bom.gov.au/waterdata/</w:t>
        </w:r>
      </w:hyperlink>
      <w:r w:rsidR="00385A52" w:rsidRPr="00351833">
        <w:rPr>
          <w:rFonts w:ascii="Times New Roman" w:hAnsi="Times New Roman" w:cs="Times New Roman"/>
        </w:rPr>
        <w:t>&gt;.</w:t>
      </w:r>
    </w:p>
    <w:p w14:paraId="6519CF49" w14:textId="6CD5298A" w:rsidR="00385A52" w:rsidRPr="00351833" w:rsidRDefault="00385A52" w:rsidP="00385A52">
      <w:pPr>
        <w:pStyle w:val="EndNoteBibliography"/>
        <w:spacing w:after="0"/>
        <w:ind w:left="720" w:hanging="720"/>
        <w:rPr>
          <w:rFonts w:ascii="Times New Roman" w:hAnsi="Times New Roman" w:cs="Times New Roman"/>
        </w:rPr>
      </w:pPr>
      <w:r w:rsidRPr="00351833">
        <w:rPr>
          <w:rFonts w:ascii="Times New Roman" w:hAnsi="Times New Roman" w:cs="Times New Roman"/>
        </w:rPr>
        <w:t>BOM (2023a) Australian Groundwater Explorer. Canberra, Australia. Viewed 30 Mar 2023, &lt;</w:t>
      </w:r>
      <w:hyperlink r:id="rId15" w:history="1">
        <w:r w:rsidRPr="00351833">
          <w:rPr>
            <w:rStyle w:val="Hyperlink"/>
            <w:rFonts w:ascii="Times New Roman" w:hAnsi="Times New Roman" w:cs="Times New Roman"/>
            <w:color w:val="auto"/>
          </w:rPr>
          <w:t>http://www.bom.gov.au/water/groundwater/explorer/map.shtml</w:t>
        </w:r>
      </w:hyperlink>
      <w:r w:rsidRPr="00351833">
        <w:rPr>
          <w:rFonts w:ascii="Times New Roman" w:hAnsi="Times New Roman" w:cs="Times New Roman"/>
        </w:rPr>
        <w:t>&gt;.</w:t>
      </w:r>
    </w:p>
    <w:p w14:paraId="5F6C0F12" w14:textId="0DB8128A" w:rsidR="00385A52" w:rsidRPr="00351833" w:rsidRDefault="00385A52" w:rsidP="00385A52">
      <w:pPr>
        <w:pStyle w:val="EndNoteBibliography"/>
        <w:spacing w:after="0"/>
        <w:ind w:left="720" w:hanging="720"/>
        <w:rPr>
          <w:rFonts w:ascii="Times New Roman" w:hAnsi="Times New Roman" w:cs="Times New Roman"/>
        </w:rPr>
      </w:pPr>
      <w:r w:rsidRPr="00351833">
        <w:rPr>
          <w:rFonts w:ascii="Times New Roman" w:hAnsi="Times New Roman" w:cs="Times New Roman"/>
        </w:rPr>
        <w:t>BOM (2023b) Water markets dashboard. Australian Government Bureau of Meteorology, Canberra, Australia. Viewed 12/09/2023, &lt;</w:t>
      </w:r>
      <w:hyperlink r:id="rId16" w:anchor="/water-markets/map" w:history="1">
        <w:r w:rsidRPr="00351833">
          <w:rPr>
            <w:rStyle w:val="Hyperlink"/>
            <w:rFonts w:ascii="Times New Roman" w:hAnsi="Times New Roman" w:cs="Times New Roman"/>
            <w:color w:val="auto"/>
          </w:rPr>
          <w:t>http://www.bom.gov.au/water/dashboards/#/water-markets/map</w:t>
        </w:r>
      </w:hyperlink>
      <w:r w:rsidRPr="00351833">
        <w:rPr>
          <w:rFonts w:ascii="Times New Roman" w:hAnsi="Times New Roman" w:cs="Times New Roman"/>
        </w:rPr>
        <w:t>&gt;.</w:t>
      </w:r>
    </w:p>
    <w:p w14:paraId="472D1818" w14:textId="77165982" w:rsidR="00385A52" w:rsidRPr="00351833" w:rsidRDefault="00385A52" w:rsidP="00385A52">
      <w:pPr>
        <w:pStyle w:val="EndNoteBibliography"/>
        <w:spacing w:after="0"/>
        <w:ind w:left="720" w:hanging="720"/>
        <w:rPr>
          <w:rFonts w:ascii="Times New Roman" w:hAnsi="Times New Roman" w:cs="Times New Roman"/>
        </w:rPr>
      </w:pPr>
      <w:r w:rsidRPr="00351833">
        <w:rPr>
          <w:rFonts w:ascii="Times New Roman" w:hAnsi="Times New Roman" w:cs="Times New Roman"/>
        </w:rPr>
        <w:t>CSIRO (2022) Economic Benefits of a More Reliable Water Supply for Tamworth. Canberra, Australia. Viewed 30 Nov 2022, &lt;</w:t>
      </w:r>
      <w:hyperlink r:id="rId17" w:history="1">
        <w:r w:rsidRPr="00351833">
          <w:rPr>
            <w:rStyle w:val="Hyperlink"/>
            <w:rFonts w:ascii="Times New Roman" w:hAnsi="Times New Roman" w:cs="Times New Roman"/>
            <w:color w:val="auto"/>
          </w:rPr>
          <w:t>http://hdl.handle.net/102.100.100/442018?index=1</w:t>
        </w:r>
      </w:hyperlink>
      <w:r w:rsidRPr="00351833">
        <w:rPr>
          <w:rFonts w:ascii="Times New Roman" w:hAnsi="Times New Roman" w:cs="Times New Roman"/>
        </w:rPr>
        <w:t>&gt;.</w:t>
      </w:r>
    </w:p>
    <w:p w14:paraId="5E544C6C" w14:textId="7BCD3E8D" w:rsidR="00385A52" w:rsidRPr="00351833" w:rsidRDefault="00385A52" w:rsidP="00385A52">
      <w:pPr>
        <w:pStyle w:val="EndNoteBibliography"/>
        <w:spacing w:after="0"/>
        <w:ind w:left="720" w:hanging="720"/>
        <w:rPr>
          <w:rFonts w:ascii="Times New Roman" w:hAnsi="Times New Roman" w:cs="Times New Roman"/>
        </w:rPr>
      </w:pPr>
      <w:r w:rsidRPr="00351833">
        <w:rPr>
          <w:rFonts w:ascii="Times New Roman" w:hAnsi="Times New Roman" w:cs="Times New Roman"/>
        </w:rPr>
        <w:t>Dubbo Regional Council (2020) Drought contingency and water emergency response plan 2020. Dubbo, NSW. Viewed 11/09/2020, &lt;</w:t>
      </w:r>
      <w:hyperlink r:id="rId18" w:history="1">
        <w:r w:rsidRPr="00351833">
          <w:rPr>
            <w:rStyle w:val="Hyperlink"/>
            <w:rFonts w:ascii="Times New Roman" w:hAnsi="Times New Roman" w:cs="Times New Roman"/>
            <w:color w:val="auto"/>
          </w:rPr>
          <w:t>https://www.dubbo.nsw.gov.au/Our-Region-and-Environment/Water--sewerage-and-drainage/water-management-supply</w:t>
        </w:r>
      </w:hyperlink>
      <w:r w:rsidRPr="00351833">
        <w:rPr>
          <w:rFonts w:ascii="Times New Roman" w:hAnsi="Times New Roman" w:cs="Times New Roman"/>
        </w:rPr>
        <w:t>&gt;.</w:t>
      </w:r>
    </w:p>
    <w:p w14:paraId="760BE9DE" w14:textId="77777777" w:rsidR="00385A52" w:rsidRPr="00351833" w:rsidRDefault="00385A52" w:rsidP="00385A52">
      <w:pPr>
        <w:pStyle w:val="EndNoteBibliography"/>
        <w:spacing w:after="0"/>
        <w:ind w:left="720" w:hanging="720"/>
        <w:rPr>
          <w:rFonts w:ascii="Times New Roman" w:hAnsi="Times New Roman" w:cs="Times New Roman"/>
        </w:rPr>
      </w:pPr>
      <w:r w:rsidRPr="00351833">
        <w:rPr>
          <w:rFonts w:ascii="Times New Roman" w:hAnsi="Times New Roman" w:cs="Times New Roman"/>
        </w:rPr>
        <w:t xml:space="preserve">Gonzalez D, Dillon P, Page D and Vanderzalm J (2020) The Potential for Water Banking in Australia’s Murray–Darling Basin to Increase Drought Resilience. Water 12(10), 2936. </w:t>
      </w:r>
    </w:p>
    <w:p w14:paraId="294B0F30" w14:textId="77777777" w:rsidR="00385A52" w:rsidRPr="00351833" w:rsidRDefault="00385A52" w:rsidP="00385A52">
      <w:pPr>
        <w:pStyle w:val="EndNoteBibliography"/>
        <w:spacing w:after="0"/>
        <w:ind w:left="720" w:hanging="720"/>
        <w:rPr>
          <w:rFonts w:ascii="Times New Roman" w:hAnsi="Times New Roman" w:cs="Times New Roman"/>
        </w:rPr>
      </w:pPr>
      <w:r w:rsidRPr="00351833">
        <w:rPr>
          <w:rFonts w:ascii="Times New Roman" w:hAnsi="Times New Roman" w:cs="Times New Roman"/>
        </w:rPr>
        <w:t xml:space="preserve">Guo T, Englehardt J and Wu T (2014) Review of cost versus scale: water and wastewater treatment and reuse processes. Water Science and Technology 69(2), 223-234. </w:t>
      </w:r>
    </w:p>
    <w:p w14:paraId="227A48AC" w14:textId="77777777" w:rsidR="00385A52" w:rsidRPr="00351833" w:rsidRDefault="00385A52" w:rsidP="00385A52">
      <w:pPr>
        <w:pStyle w:val="EndNoteBibliography"/>
        <w:spacing w:after="0"/>
        <w:ind w:left="720" w:hanging="720"/>
        <w:rPr>
          <w:rFonts w:ascii="Times New Roman" w:hAnsi="Times New Roman" w:cs="Times New Roman"/>
        </w:rPr>
      </w:pPr>
      <w:r w:rsidRPr="00351833">
        <w:rPr>
          <w:rFonts w:ascii="Times New Roman" w:hAnsi="Times New Roman" w:cs="Times New Roman"/>
        </w:rPr>
        <w:t>Heath RC (1983) Basic ground-water hydrology. US Department of the Interior, US Geological Survey.</w:t>
      </w:r>
    </w:p>
    <w:p w14:paraId="3F12AEA0" w14:textId="69C708BE" w:rsidR="00385A52" w:rsidRPr="00351833" w:rsidRDefault="00385A52" w:rsidP="00385A52">
      <w:pPr>
        <w:pStyle w:val="EndNoteBibliography"/>
        <w:spacing w:after="0"/>
        <w:ind w:left="720" w:hanging="720"/>
        <w:rPr>
          <w:rFonts w:ascii="Times New Roman" w:hAnsi="Times New Roman" w:cs="Times New Roman"/>
        </w:rPr>
      </w:pPr>
      <w:r w:rsidRPr="00351833">
        <w:rPr>
          <w:rFonts w:ascii="Times New Roman" w:hAnsi="Times New Roman" w:cs="Times New Roman"/>
        </w:rPr>
        <w:t>Narromine Shire Council (2020) Water supply networks. Narromine Shire Council Viewed 11/09/2020, &lt;</w:t>
      </w:r>
      <w:hyperlink r:id="rId19" w:history="1">
        <w:r w:rsidRPr="00351833">
          <w:rPr>
            <w:rStyle w:val="Hyperlink"/>
            <w:rFonts w:ascii="Times New Roman" w:hAnsi="Times New Roman" w:cs="Times New Roman"/>
            <w:color w:val="auto"/>
          </w:rPr>
          <w:t>https://www.narromine.nsw.gov.au/environment/water</w:t>
        </w:r>
      </w:hyperlink>
      <w:r w:rsidRPr="00351833">
        <w:rPr>
          <w:rFonts w:ascii="Times New Roman" w:hAnsi="Times New Roman" w:cs="Times New Roman"/>
        </w:rPr>
        <w:t xml:space="preserve"> &gt;.</w:t>
      </w:r>
    </w:p>
    <w:p w14:paraId="3313AF28" w14:textId="6737BE2E" w:rsidR="00385A52" w:rsidRPr="00351833" w:rsidRDefault="00385A52" w:rsidP="00385A52">
      <w:pPr>
        <w:pStyle w:val="EndNoteBibliography"/>
        <w:spacing w:after="0"/>
        <w:ind w:left="720" w:hanging="720"/>
        <w:rPr>
          <w:rFonts w:ascii="Times New Roman" w:hAnsi="Times New Roman" w:cs="Times New Roman"/>
        </w:rPr>
      </w:pPr>
      <w:r w:rsidRPr="00351833">
        <w:rPr>
          <w:rFonts w:ascii="Times New Roman" w:hAnsi="Times New Roman" w:cs="Times New Roman"/>
        </w:rPr>
        <w:t>NSW DI (2018a) Gwydir Alluvium Water Resource Plan – Groundwater Resource Description. Sydney, Australia. Viewed 30 Mar 2023, &lt;</w:t>
      </w:r>
      <w:hyperlink r:id="rId20" w:history="1">
        <w:r w:rsidRPr="00351833">
          <w:rPr>
            <w:rStyle w:val="Hyperlink"/>
            <w:rFonts w:ascii="Times New Roman" w:hAnsi="Times New Roman" w:cs="Times New Roman"/>
            <w:color w:val="auto"/>
          </w:rPr>
          <w:t>https://water.dpie.nsw.gov.au/science-data-and-modelling/groundwater-management-and-science/groundwater-document-library</w:t>
        </w:r>
      </w:hyperlink>
      <w:r w:rsidRPr="00351833">
        <w:rPr>
          <w:rFonts w:ascii="Times New Roman" w:hAnsi="Times New Roman" w:cs="Times New Roman"/>
        </w:rPr>
        <w:t>&gt;.</w:t>
      </w:r>
    </w:p>
    <w:p w14:paraId="5B28DE1F" w14:textId="6879BE71" w:rsidR="00385A52" w:rsidRPr="00351833" w:rsidRDefault="00385A52" w:rsidP="00385A52">
      <w:pPr>
        <w:pStyle w:val="EndNoteBibliography"/>
        <w:spacing w:after="0"/>
        <w:ind w:left="720" w:hanging="720"/>
        <w:rPr>
          <w:rFonts w:ascii="Times New Roman" w:hAnsi="Times New Roman" w:cs="Times New Roman"/>
        </w:rPr>
      </w:pPr>
      <w:r w:rsidRPr="00351833">
        <w:rPr>
          <w:rFonts w:ascii="Times New Roman" w:hAnsi="Times New Roman" w:cs="Times New Roman"/>
        </w:rPr>
        <w:t>NSW DI (2018b) Macquarie-Castlereagh Alluvium Water Resources Plan. Groundwater Resource Description. NSW Department of Industry. Sydney, Australia. Viewed 27 Nov 2020, &lt;</w:t>
      </w:r>
      <w:hyperlink r:id="rId21" w:history="1">
        <w:r w:rsidRPr="00351833">
          <w:rPr>
            <w:rStyle w:val="Hyperlink"/>
            <w:rFonts w:ascii="Times New Roman" w:hAnsi="Times New Roman" w:cs="Times New Roman"/>
            <w:color w:val="auto"/>
          </w:rPr>
          <w:t>https://www.industry.nsw.gov.au/__data/assets/pdf_file/0017/192221/macquarie-castlereagh-alluvium-appendix-a-water-resource-description.pdf</w:t>
        </w:r>
      </w:hyperlink>
      <w:r w:rsidRPr="00351833">
        <w:rPr>
          <w:rFonts w:ascii="Times New Roman" w:hAnsi="Times New Roman" w:cs="Times New Roman"/>
        </w:rPr>
        <w:t>&gt;.</w:t>
      </w:r>
    </w:p>
    <w:p w14:paraId="33C1469D" w14:textId="77777777" w:rsidR="00385A52" w:rsidRPr="00351833" w:rsidRDefault="00385A52" w:rsidP="00385A52">
      <w:pPr>
        <w:pStyle w:val="EndNoteBibliography"/>
        <w:spacing w:after="0"/>
        <w:ind w:left="720" w:hanging="720"/>
        <w:rPr>
          <w:rFonts w:ascii="Times New Roman" w:hAnsi="Times New Roman" w:cs="Times New Roman"/>
        </w:rPr>
      </w:pPr>
      <w:r w:rsidRPr="00351833">
        <w:rPr>
          <w:rFonts w:ascii="Times New Roman" w:hAnsi="Times New Roman" w:cs="Times New Roman"/>
        </w:rPr>
        <w:t>NSW DI (2018c) Namoi Alluvium Water Resource Plan - Groundwater Resource Description. NSW Department of Industry, Sydney, Australia.</w:t>
      </w:r>
    </w:p>
    <w:p w14:paraId="3E3E4F26" w14:textId="083D01F3" w:rsidR="00385A52" w:rsidRPr="00351833" w:rsidRDefault="00385A52" w:rsidP="00385A52">
      <w:pPr>
        <w:pStyle w:val="EndNoteBibliography"/>
        <w:spacing w:after="0"/>
        <w:ind w:left="720" w:hanging="720"/>
        <w:rPr>
          <w:rFonts w:ascii="Times New Roman" w:hAnsi="Times New Roman" w:cs="Times New Roman"/>
        </w:rPr>
      </w:pPr>
      <w:r w:rsidRPr="00351833">
        <w:rPr>
          <w:rFonts w:ascii="Times New Roman" w:hAnsi="Times New Roman" w:cs="Times New Roman"/>
        </w:rPr>
        <w:t>NSW DPE (2022) Local water utility performance monitoring. Sydney, Australia. Viewed 19 June 2023, &lt;</w:t>
      </w:r>
      <w:hyperlink r:id="rId22" w:history="1">
        <w:r w:rsidRPr="00351833">
          <w:rPr>
            <w:rStyle w:val="Hyperlink"/>
            <w:rFonts w:ascii="Times New Roman" w:hAnsi="Times New Roman" w:cs="Times New Roman"/>
            <w:color w:val="auto"/>
          </w:rPr>
          <w:t>https://www.industry.nsw.gov.au/water/water-utilities/lwu-performance-monitoring-data</w:t>
        </w:r>
      </w:hyperlink>
      <w:r w:rsidRPr="00351833">
        <w:rPr>
          <w:rFonts w:ascii="Times New Roman" w:hAnsi="Times New Roman" w:cs="Times New Roman"/>
        </w:rPr>
        <w:t>&gt;.</w:t>
      </w:r>
    </w:p>
    <w:p w14:paraId="7642C67C" w14:textId="77777777" w:rsidR="00385A52" w:rsidRPr="00351833" w:rsidRDefault="00385A52" w:rsidP="00385A52">
      <w:pPr>
        <w:pStyle w:val="EndNoteBibliography"/>
        <w:spacing w:after="0"/>
        <w:ind w:left="720" w:hanging="720"/>
        <w:rPr>
          <w:rFonts w:ascii="Times New Roman" w:hAnsi="Times New Roman" w:cs="Times New Roman"/>
        </w:rPr>
      </w:pPr>
      <w:r w:rsidRPr="00351833">
        <w:rPr>
          <w:rFonts w:ascii="Times New Roman" w:hAnsi="Times New Roman" w:cs="Times New Roman"/>
        </w:rPr>
        <w:t>Page D, Vanderzalm J, Miotlinski K, Barry K, Dillon P, Lawrie K and Brodie RS (2014) Determining treatment requirements for turbid river water to avoid clogging of aquifer storage and recovery wells in siliceous alluvium. Water Res 66, 99-110. DOI: 10.1016/j.watres.2014.08.018.</w:t>
      </w:r>
    </w:p>
    <w:p w14:paraId="48CAE212" w14:textId="77777777" w:rsidR="00385A52" w:rsidRPr="00351833" w:rsidRDefault="00385A52" w:rsidP="00385A52">
      <w:pPr>
        <w:pStyle w:val="EndNoteBibliography"/>
        <w:spacing w:after="0"/>
        <w:ind w:left="720" w:hanging="720"/>
        <w:rPr>
          <w:rFonts w:ascii="Times New Roman" w:hAnsi="Times New Roman" w:cs="Times New Roman"/>
        </w:rPr>
      </w:pPr>
      <w:r w:rsidRPr="00351833">
        <w:rPr>
          <w:rFonts w:ascii="Times New Roman" w:hAnsi="Times New Roman" w:cs="Times New Roman"/>
        </w:rPr>
        <w:t>Vanderzalm J, Page D, Dillon P, Gonzalez D and Petheram C (2022) Assessing the costs of Managed Aquifer Recharge options to support agricultural development. Agricultural Water Management 263. DOI: 10.1016/j.agwat.2021.107437.</w:t>
      </w:r>
    </w:p>
    <w:p w14:paraId="4CABC90A" w14:textId="4A0252F9" w:rsidR="00385A52" w:rsidRPr="00351833" w:rsidRDefault="00385A52" w:rsidP="00385A52">
      <w:pPr>
        <w:pStyle w:val="EndNoteBibliography"/>
        <w:ind w:left="720" w:hanging="720"/>
        <w:rPr>
          <w:rFonts w:ascii="Times New Roman" w:hAnsi="Times New Roman" w:cs="Times New Roman"/>
        </w:rPr>
      </w:pPr>
      <w:r w:rsidRPr="00351833">
        <w:rPr>
          <w:rFonts w:ascii="Times New Roman" w:hAnsi="Times New Roman" w:cs="Times New Roman"/>
        </w:rPr>
        <w:t>WaterNSW (2022) NSW Water Register. Viewed 16 Nov 2022, &lt;</w:t>
      </w:r>
      <w:hyperlink r:id="rId23" w:history="1">
        <w:r w:rsidRPr="00351833">
          <w:rPr>
            <w:rStyle w:val="Hyperlink"/>
            <w:rFonts w:ascii="Times New Roman" w:hAnsi="Times New Roman" w:cs="Times New Roman"/>
            <w:color w:val="auto"/>
          </w:rPr>
          <w:t>https://waterregister.waternsw.com.au/water-register-frame#</w:t>
        </w:r>
      </w:hyperlink>
      <w:r w:rsidRPr="00351833">
        <w:rPr>
          <w:rFonts w:ascii="Times New Roman" w:hAnsi="Times New Roman" w:cs="Times New Roman"/>
        </w:rPr>
        <w:t>&gt;.</w:t>
      </w:r>
    </w:p>
    <w:p w14:paraId="2780DC39" w14:textId="2A4FA64E" w:rsidR="0004243D" w:rsidRPr="00351833" w:rsidRDefault="00977FD3" w:rsidP="00882048">
      <w:pPr>
        <w:rPr>
          <w:rFonts w:ascii="Times New Roman" w:hAnsi="Times New Roman" w:cs="Times New Roman"/>
        </w:rPr>
      </w:pPr>
      <w:r w:rsidRPr="00351833">
        <w:rPr>
          <w:rFonts w:ascii="Times New Roman" w:hAnsi="Times New Roman" w:cs="Times New Roman"/>
        </w:rPr>
        <w:fldChar w:fldCharType="end"/>
      </w:r>
    </w:p>
    <w:p w14:paraId="72D8CF37" w14:textId="77777777" w:rsidR="0004243D" w:rsidRPr="00351833" w:rsidRDefault="0004243D">
      <w:pPr>
        <w:rPr>
          <w:rFonts w:ascii="Times New Roman" w:hAnsi="Times New Roman" w:cs="Times New Roman"/>
        </w:rPr>
      </w:pPr>
      <w:r w:rsidRPr="00351833">
        <w:rPr>
          <w:rFonts w:ascii="Times New Roman" w:hAnsi="Times New Roman" w:cs="Times New Roman"/>
        </w:rPr>
        <w:br w:type="page"/>
      </w:r>
    </w:p>
    <w:p w14:paraId="2783A4EB" w14:textId="679252C8" w:rsidR="002A4531" w:rsidRPr="00351833" w:rsidRDefault="002A4531" w:rsidP="009A75DF">
      <w:pPr>
        <w:rPr>
          <w:rFonts w:ascii="Times New Roman" w:hAnsi="Times New Roman" w:cs="Times New Roman"/>
          <w:lang w:val="en-US"/>
        </w:rPr>
      </w:pPr>
    </w:p>
    <w:sectPr w:rsidR="002A4531" w:rsidRPr="00351833" w:rsidSect="00275D8E">
      <w:footerReference w:type="default" r:id="rId24"/>
      <w:type w:val="continuous"/>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8D9119" w14:textId="77777777" w:rsidR="00CE7C7F" w:rsidRDefault="00CE7C7F" w:rsidP="00CD6CE1">
      <w:pPr>
        <w:spacing w:after="0" w:line="240" w:lineRule="auto"/>
      </w:pPr>
      <w:r>
        <w:separator/>
      </w:r>
    </w:p>
  </w:endnote>
  <w:endnote w:type="continuationSeparator" w:id="0">
    <w:p w14:paraId="6CF1704C" w14:textId="77777777" w:rsidR="00CE7C7F" w:rsidRDefault="00CE7C7F" w:rsidP="00CD6CE1">
      <w:pPr>
        <w:spacing w:after="0" w:line="240" w:lineRule="auto"/>
      </w:pPr>
      <w:r>
        <w:continuationSeparator/>
      </w:r>
    </w:p>
  </w:endnote>
  <w:endnote w:type="continuationNotice" w:id="1">
    <w:p w14:paraId="687FA0F7" w14:textId="77777777" w:rsidR="00CE7C7F" w:rsidRDefault="00CE7C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86188597"/>
      <w:docPartObj>
        <w:docPartGallery w:val="Page Numbers (Bottom of Page)"/>
        <w:docPartUnique/>
      </w:docPartObj>
    </w:sdtPr>
    <w:sdtEndPr>
      <w:rPr>
        <w:noProof/>
      </w:rPr>
    </w:sdtEndPr>
    <w:sdtContent>
      <w:p w14:paraId="6B15107A" w14:textId="55690462" w:rsidR="00BC7B98" w:rsidRDefault="00BC7B98">
        <w:pPr>
          <w:pStyle w:val="Footer"/>
          <w:jc w:val="center"/>
        </w:pPr>
        <w:r>
          <w:fldChar w:fldCharType="begin"/>
        </w:r>
        <w:r>
          <w:instrText xml:space="preserve"> PAGE   \* MERGEFORMAT </w:instrText>
        </w:r>
        <w:r>
          <w:fldChar w:fldCharType="separate"/>
        </w:r>
        <w:r w:rsidR="001754A0">
          <w:rPr>
            <w:noProof/>
          </w:rPr>
          <w:t>26</w:t>
        </w:r>
        <w:r>
          <w:rPr>
            <w:noProof/>
          </w:rPr>
          <w:fldChar w:fldCharType="end"/>
        </w:r>
      </w:p>
    </w:sdtContent>
  </w:sdt>
  <w:p w14:paraId="3C154815" w14:textId="77777777" w:rsidR="00BC7B98" w:rsidRDefault="00BC7B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163B26" w14:textId="77777777" w:rsidR="00CE7C7F" w:rsidRDefault="00CE7C7F" w:rsidP="00CD6CE1">
      <w:pPr>
        <w:spacing w:after="0" w:line="240" w:lineRule="auto"/>
      </w:pPr>
      <w:r>
        <w:separator/>
      </w:r>
    </w:p>
  </w:footnote>
  <w:footnote w:type="continuationSeparator" w:id="0">
    <w:p w14:paraId="4B41B2AD" w14:textId="77777777" w:rsidR="00CE7C7F" w:rsidRDefault="00CE7C7F" w:rsidP="00CD6CE1">
      <w:pPr>
        <w:spacing w:after="0" w:line="240" w:lineRule="auto"/>
      </w:pPr>
      <w:r>
        <w:continuationSeparator/>
      </w:r>
    </w:p>
  </w:footnote>
  <w:footnote w:type="continuationNotice" w:id="1">
    <w:p w14:paraId="2082CBE3" w14:textId="77777777" w:rsidR="00CE7C7F" w:rsidRDefault="00CE7C7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E6EC9"/>
    <w:multiLevelType w:val="hybridMultilevel"/>
    <w:tmpl w:val="DE1C77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35D6546"/>
    <w:multiLevelType w:val="hybridMultilevel"/>
    <w:tmpl w:val="AA10DA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12A2003"/>
    <w:multiLevelType w:val="hybridMultilevel"/>
    <w:tmpl w:val="94DEB5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71121954">
    <w:abstractNumId w:val="1"/>
  </w:num>
  <w:num w:numId="2" w16cid:durableId="281083917">
    <w:abstractNumId w:val="2"/>
  </w:num>
  <w:num w:numId="3" w16cid:durableId="1231429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SIRO-EndNoteStyl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sfap5sa5s5ptyer0t3xrzvwva0wafez2wzt&quot;&gt;mar_endnote-Converted&lt;record-ids&gt;&lt;item&gt;15&lt;/item&gt;&lt;item&gt;246&lt;/item&gt;&lt;item&gt;260&lt;/item&gt;&lt;item&gt;283&lt;/item&gt;&lt;item&gt;333&lt;/item&gt;&lt;item&gt;350&lt;/item&gt;&lt;item&gt;359&lt;/item&gt;&lt;item&gt;382&lt;/item&gt;&lt;item&gt;435&lt;/item&gt;&lt;item&gt;436&lt;/item&gt;&lt;item&gt;439&lt;/item&gt;&lt;item&gt;440&lt;/item&gt;&lt;item&gt;444&lt;/item&gt;&lt;item&gt;449&lt;/item&gt;&lt;item&gt;450&lt;/item&gt;&lt;item&gt;466&lt;/item&gt;&lt;/record-ids&gt;&lt;/item&gt;&lt;/Libraries&gt;"/>
  </w:docVars>
  <w:rsids>
    <w:rsidRoot w:val="00B34627"/>
    <w:rsid w:val="0000123D"/>
    <w:rsid w:val="00002EB2"/>
    <w:rsid w:val="000030BF"/>
    <w:rsid w:val="00003A69"/>
    <w:rsid w:val="00004CF1"/>
    <w:rsid w:val="000060F6"/>
    <w:rsid w:val="0000662C"/>
    <w:rsid w:val="000067CD"/>
    <w:rsid w:val="00007237"/>
    <w:rsid w:val="000107A9"/>
    <w:rsid w:val="00010C51"/>
    <w:rsid w:val="00011C20"/>
    <w:rsid w:val="000129C2"/>
    <w:rsid w:val="00012DF3"/>
    <w:rsid w:val="0001324F"/>
    <w:rsid w:val="00014852"/>
    <w:rsid w:val="000163C2"/>
    <w:rsid w:val="00017267"/>
    <w:rsid w:val="00017CAD"/>
    <w:rsid w:val="00021AB9"/>
    <w:rsid w:val="00021F26"/>
    <w:rsid w:val="000248AE"/>
    <w:rsid w:val="00026446"/>
    <w:rsid w:val="0002733A"/>
    <w:rsid w:val="00032510"/>
    <w:rsid w:val="00033ADA"/>
    <w:rsid w:val="00033BA9"/>
    <w:rsid w:val="0003458D"/>
    <w:rsid w:val="00034D3E"/>
    <w:rsid w:val="00035570"/>
    <w:rsid w:val="00036308"/>
    <w:rsid w:val="00037BD7"/>
    <w:rsid w:val="0004114C"/>
    <w:rsid w:val="00041B3C"/>
    <w:rsid w:val="00041DF6"/>
    <w:rsid w:val="0004243D"/>
    <w:rsid w:val="00042EE8"/>
    <w:rsid w:val="000441E8"/>
    <w:rsid w:val="000444FB"/>
    <w:rsid w:val="00044A6D"/>
    <w:rsid w:val="00045BBC"/>
    <w:rsid w:val="00047A36"/>
    <w:rsid w:val="00050B38"/>
    <w:rsid w:val="00050FCA"/>
    <w:rsid w:val="000515B0"/>
    <w:rsid w:val="0005266D"/>
    <w:rsid w:val="00053163"/>
    <w:rsid w:val="000561AB"/>
    <w:rsid w:val="00057132"/>
    <w:rsid w:val="00060E44"/>
    <w:rsid w:val="00064468"/>
    <w:rsid w:val="00064A31"/>
    <w:rsid w:val="000662EF"/>
    <w:rsid w:val="000665A4"/>
    <w:rsid w:val="0006666E"/>
    <w:rsid w:val="00066681"/>
    <w:rsid w:val="00066E77"/>
    <w:rsid w:val="00066F95"/>
    <w:rsid w:val="00067DBD"/>
    <w:rsid w:val="000701C3"/>
    <w:rsid w:val="000709B7"/>
    <w:rsid w:val="00072197"/>
    <w:rsid w:val="00073A5D"/>
    <w:rsid w:val="0007426D"/>
    <w:rsid w:val="00074B00"/>
    <w:rsid w:val="00074B05"/>
    <w:rsid w:val="0007555E"/>
    <w:rsid w:val="00075711"/>
    <w:rsid w:val="00080A10"/>
    <w:rsid w:val="00081813"/>
    <w:rsid w:val="000818A6"/>
    <w:rsid w:val="00081A33"/>
    <w:rsid w:val="0008280E"/>
    <w:rsid w:val="00083DBE"/>
    <w:rsid w:val="00084224"/>
    <w:rsid w:val="0009059A"/>
    <w:rsid w:val="00091D96"/>
    <w:rsid w:val="000920B0"/>
    <w:rsid w:val="0009224F"/>
    <w:rsid w:val="00092749"/>
    <w:rsid w:val="000928A2"/>
    <w:rsid w:val="0009296D"/>
    <w:rsid w:val="00093E30"/>
    <w:rsid w:val="000949C2"/>
    <w:rsid w:val="0009507F"/>
    <w:rsid w:val="00096356"/>
    <w:rsid w:val="000965A2"/>
    <w:rsid w:val="0009671B"/>
    <w:rsid w:val="00096827"/>
    <w:rsid w:val="00096BA8"/>
    <w:rsid w:val="000A0637"/>
    <w:rsid w:val="000A0DF9"/>
    <w:rsid w:val="000A211E"/>
    <w:rsid w:val="000A2DD9"/>
    <w:rsid w:val="000A2F4A"/>
    <w:rsid w:val="000A3F13"/>
    <w:rsid w:val="000A5466"/>
    <w:rsid w:val="000A5AE1"/>
    <w:rsid w:val="000A6E28"/>
    <w:rsid w:val="000A7893"/>
    <w:rsid w:val="000B0F93"/>
    <w:rsid w:val="000B3784"/>
    <w:rsid w:val="000B454D"/>
    <w:rsid w:val="000B4DFD"/>
    <w:rsid w:val="000B669B"/>
    <w:rsid w:val="000B69F8"/>
    <w:rsid w:val="000B724E"/>
    <w:rsid w:val="000B7AB9"/>
    <w:rsid w:val="000C111A"/>
    <w:rsid w:val="000C1D1E"/>
    <w:rsid w:val="000C2161"/>
    <w:rsid w:val="000C26E8"/>
    <w:rsid w:val="000C3626"/>
    <w:rsid w:val="000C44CF"/>
    <w:rsid w:val="000C44F2"/>
    <w:rsid w:val="000C4E79"/>
    <w:rsid w:val="000C5D0C"/>
    <w:rsid w:val="000C66F3"/>
    <w:rsid w:val="000D0FA0"/>
    <w:rsid w:val="000D216C"/>
    <w:rsid w:val="000D2302"/>
    <w:rsid w:val="000D37C2"/>
    <w:rsid w:val="000D4688"/>
    <w:rsid w:val="000D590B"/>
    <w:rsid w:val="000D7DA3"/>
    <w:rsid w:val="000E0319"/>
    <w:rsid w:val="000E0862"/>
    <w:rsid w:val="000E139C"/>
    <w:rsid w:val="000E32E9"/>
    <w:rsid w:val="000E46D1"/>
    <w:rsid w:val="000E50DC"/>
    <w:rsid w:val="000E529F"/>
    <w:rsid w:val="000E5E38"/>
    <w:rsid w:val="000E6A8F"/>
    <w:rsid w:val="000E6EE6"/>
    <w:rsid w:val="000E7364"/>
    <w:rsid w:val="000F0D7B"/>
    <w:rsid w:val="000F13B9"/>
    <w:rsid w:val="000F1DBE"/>
    <w:rsid w:val="000F2F14"/>
    <w:rsid w:val="000F3CE2"/>
    <w:rsid w:val="000F4210"/>
    <w:rsid w:val="000F480E"/>
    <w:rsid w:val="000F4BFC"/>
    <w:rsid w:val="000F5552"/>
    <w:rsid w:val="000F6515"/>
    <w:rsid w:val="000F71F3"/>
    <w:rsid w:val="000F79F5"/>
    <w:rsid w:val="001007F2"/>
    <w:rsid w:val="0010490D"/>
    <w:rsid w:val="00106195"/>
    <w:rsid w:val="00111D27"/>
    <w:rsid w:val="001133F0"/>
    <w:rsid w:val="001158A8"/>
    <w:rsid w:val="00116B53"/>
    <w:rsid w:val="00116C60"/>
    <w:rsid w:val="00121325"/>
    <w:rsid w:val="001214E3"/>
    <w:rsid w:val="00121D60"/>
    <w:rsid w:val="001247EE"/>
    <w:rsid w:val="001257BE"/>
    <w:rsid w:val="0012663A"/>
    <w:rsid w:val="001300E7"/>
    <w:rsid w:val="00130718"/>
    <w:rsid w:val="00130A3C"/>
    <w:rsid w:val="00130ABE"/>
    <w:rsid w:val="0013216E"/>
    <w:rsid w:val="001321E2"/>
    <w:rsid w:val="00136D0B"/>
    <w:rsid w:val="00136FAB"/>
    <w:rsid w:val="00137553"/>
    <w:rsid w:val="00141AD0"/>
    <w:rsid w:val="00141B1E"/>
    <w:rsid w:val="00142C75"/>
    <w:rsid w:val="00143368"/>
    <w:rsid w:val="00143986"/>
    <w:rsid w:val="001439D6"/>
    <w:rsid w:val="00145856"/>
    <w:rsid w:val="00146EA4"/>
    <w:rsid w:val="00147892"/>
    <w:rsid w:val="00147C65"/>
    <w:rsid w:val="00150A58"/>
    <w:rsid w:val="00152909"/>
    <w:rsid w:val="001536CF"/>
    <w:rsid w:val="0015394B"/>
    <w:rsid w:val="00155736"/>
    <w:rsid w:val="00156B23"/>
    <w:rsid w:val="00156D0A"/>
    <w:rsid w:val="00156EB0"/>
    <w:rsid w:val="00157685"/>
    <w:rsid w:val="00161AFA"/>
    <w:rsid w:val="0016271E"/>
    <w:rsid w:val="00170692"/>
    <w:rsid w:val="00170DCE"/>
    <w:rsid w:val="0017107F"/>
    <w:rsid w:val="00171264"/>
    <w:rsid w:val="0017165B"/>
    <w:rsid w:val="00172A66"/>
    <w:rsid w:val="001730E7"/>
    <w:rsid w:val="001732A5"/>
    <w:rsid w:val="00173EEA"/>
    <w:rsid w:val="001754A0"/>
    <w:rsid w:val="00175A17"/>
    <w:rsid w:val="00175FA1"/>
    <w:rsid w:val="001774C2"/>
    <w:rsid w:val="001827D9"/>
    <w:rsid w:val="0018369F"/>
    <w:rsid w:val="001837BF"/>
    <w:rsid w:val="00184072"/>
    <w:rsid w:val="001840AB"/>
    <w:rsid w:val="00184759"/>
    <w:rsid w:val="00190747"/>
    <w:rsid w:val="0019149B"/>
    <w:rsid w:val="001915C8"/>
    <w:rsid w:val="00191DA0"/>
    <w:rsid w:val="00192658"/>
    <w:rsid w:val="00192C74"/>
    <w:rsid w:val="001932EB"/>
    <w:rsid w:val="00193961"/>
    <w:rsid w:val="00194318"/>
    <w:rsid w:val="0019432D"/>
    <w:rsid w:val="001947E6"/>
    <w:rsid w:val="00194CA4"/>
    <w:rsid w:val="001956F1"/>
    <w:rsid w:val="00195C0A"/>
    <w:rsid w:val="001966E5"/>
    <w:rsid w:val="00196876"/>
    <w:rsid w:val="00197C6A"/>
    <w:rsid w:val="001A1AD2"/>
    <w:rsid w:val="001A2738"/>
    <w:rsid w:val="001A2F5A"/>
    <w:rsid w:val="001A2F6F"/>
    <w:rsid w:val="001A3E8D"/>
    <w:rsid w:val="001A3ED2"/>
    <w:rsid w:val="001A4239"/>
    <w:rsid w:val="001A488C"/>
    <w:rsid w:val="001A4A58"/>
    <w:rsid w:val="001A51C3"/>
    <w:rsid w:val="001A5AC6"/>
    <w:rsid w:val="001A5F36"/>
    <w:rsid w:val="001A66A3"/>
    <w:rsid w:val="001A67FB"/>
    <w:rsid w:val="001A7C9D"/>
    <w:rsid w:val="001A7E5F"/>
    <w:rsid w:val="001B0A3D"/>
    <w:rsid w:val="001B25AF"/>
    <w:rsid w:val="001B2FA8"/>
    <w:rsid w:val="001B3762"/>
    <w:rsid w:val="001B3F48"/>
    <w:rsid w:val="001B45A0"/>
    <w:rsid w:val="001B4E8B"/>
    <w:rsid w:val="001B4EE0"/>
    <w:rsid w:val="001B54EF"/>
    <w:rsid w:val="001B6DFB"/>
    <w:rsid w:val="001C02C3"/>
    <w:rsid w:val="001C0683"/>
    <w:rsid w:val="001C0FA4"/>
    <w:rsid w:val="001C16F9"/>
    <w:rsid w:val="001C4529"/>
    <w:rsid w:val="001C5077"/>
    <w:rsid w:val="001C58D7"/>
    <w:rsid w:val="001C70F5"/>
    <w:rsid w:val="001C76EA"/>
    <w:rsid w:val="001D18FE"/>
    <w:rsid w:val="001D2659"/>
    <w:rsid w:val="001D29D1"/>
    <w:rsid w:val="001D37A1"/>
    <w:rsid w:val="001D3CA6"/>
    <w:rsid w:val="001D444F"/>
    <w:rsid w:val="001D466F"/>
    <w:rsid w:val="001D4DAD"/>
    <w:rsid w:val="001D517C"/>
    <w:rsid w:val="001D59B4"/>
    <w:rsid w:val="001D6231"/>
    <w:rsid w:val="001D67AE"/>
    <w:rsid w:val="001D6E76"/>
    <w:rsid w:val="001D6E7C"/>
    <w:rsid w:val="001D78C5"/>
    <w:rsid w:val="001E0805"/>
    <w:rsid w:val="001E1A1B"/>
    <w:rsid w:val="001E2354"/>
    <w:rsid w:val="001E248E"/>
    <w:rsid w:val="001E24E8"/>
    <w:rsid w:val="001E48D7"/>
    <w:rsid w:val="001E4E82"/>
    <w:rsid w:val="001E7DE3"/>
    <w:rsid w:val="001F1E8B"/>
    <w:rsid w:val="001F212F"/>
    <w:rsid w:val="001F2348"/>
    <w:rsid w:val="001F2E08"/>
    <w:rsid w:val="001F3513"/>
    <w:rsid w:val="001F3D43"/>
    <w:rsid w:val="001F40D0"/>
    <w:rsid w:val="001F42D7"/>
    <w:rsid w:val="001F4B8B"/>
    <w:rsid w:val="001F5CC0"/>
    <w:rsid w:val="001F64A1"/>
    <w:rsid w:val="001F6B5A"/>
    <w:rsid w:val="001F6CA1"/>
    <w:rsid w:val="00200224"/>
    <w:rsid w:val="002002A5"/>
    <w:rsid w:val="002008FB"/>
    <w:rsid w:val="00201D80"/>
    <w:rsid w:val="00204597"/>
    <w:rsid w:val="00204D16"/>
    <w:rsid w:val="00205D3E"/>
    <w:rsid w:val="0020763A"/>
    <w:rsid w:val="00210B98"/>
    <w:rsid w:val="00212194"/>
    <w:rsid w:val="00212289"/>
    <w:rsid w:val="00212DB7"/>
    <w:rsid w:val="002153F6"/>
    <w:rsid w:val="0021587F"/>
    <w:rsid w:val="00215B31"/>
    <w:rsid w:val="00217175"/>
    <w:rsid w:val="00217C0B"/>
    <w:rsid w:val="00221DB4"/>
    <w:rsid w:val="00223E5A"/>
    <w:rsid w:val="00224939"/>
    <w:rsid w:val="00224961"/>
    <w:rsid w:val="00225385"/>
    <w:rsid w:val="0022694F"/>
    <w:rsid w:val="00226A3D"/>
    <w:rsid w:val="002272BC"/>
    <w:rsid w:val="00227686"/>
    <w:rsid w:val="00227C2B"/>
    <w:rsid w:val="00230C73"/>
    <w:rsid w:val="002320C8"/>
    <w:rsid w:val="00234DB4"/>
    <w:rsid w:val="00235230"/>
    <w:rsid w:val="002357FD"/>
    <w:rsid w:val="00235E4F"/>
    <w:rsid w:val="0023792A"/>
    <w:rsid w:val="0024261E"/>
    <w:rsid w:val="0024572A"/>
    <w:rsid w:val="00245959"/>
    <w:rsid w:val="00247E86"/>
    <w:rsid w:val="00250A2A"/>
    <w:rsid w:val="00250ADA"/>
    <w:rsid w:val="00251CD1"/>
    <w:rsid w:val="002526BC"/>
    <w:rsid w:val="0025293F"/>
    <w:rsid w:val="00253957"/>
    <w:rsid w:val="00253F47"/>
    <w:rsid w:val="00255050"/>
    <w:rsid w:val="00255250"/>
    <w:rsid w:val="00255BDF"/>
    <w:rsid w:val="00257BA2"/>
    <w:rsid w:val="00260539"/>
    <w:rsid w:val="002607AC"/>
    <w:rsid w:val="00260F38"/>
    <w:rsid w:val="0026220C"/>
    <w:rsid w:val="00263345"/>
    <w:rsid w:val="00263707"/>
    <w:rsid w:val="00263E9B"/>
    <w:rsid w:val="002646A8"/>
    <w:rsid w:val="002654F6"/>
    <w:rsid w:val="00270C15"/>
    <w:rsid w:val="00270EFF"/>
    <w:rsid w:val="00270F2B"/>
    <w:rsid w:val="0027207B"/>
    <w:rsid w:val="00272E25"/>
    <w:rsid w:val="00275D8E"/>
    <w:rsid w:val="002762BF"/>
    <w:rsid w:val="00276439"/>
    <w:rsid w:val="00280CB7"/>
    <w:rsid w:val="002810FF"/>
    <w:rsid w:val="00282C30"/>
    <w:rsid w:val="00283A57"/>
    <w:rsid w:val="00283BEB"/>
    <w:rsid w:val="00283E11"/>
    <w:rsid w:val="00284708"/>
    <w:rsid w:val="002865F9"/>
    <w:rsid w:val="002866A8"/>
    <w:rsid w:val="002867B3"/>
    <w:rsid w:val="002877CE"/>
    <w:rsid w:val="002922CA"/>
    <w:rsid w:val="00294BFC"/>
    <w:rsid w:val="00294FF1"/>
    <w:rsid w:val="00295239"/>
    <w:rsid w:val="00295E7D"/>
    <w:rsid w:val="0029722C"/>
    <w:rsid w:val="002977E1"/>
    <w:rsid w:val="002A0012"/>
    <w:rsid w:val="002A04BF"/>
    <w:rsid w:val="002A095F"/>
    <w:rsid w:val="002A18A5"/>
    <w:rsid w:val="002A1FA2"/>
    <w:rsid w:val="002A2BA3"/>
    <w:rsid w:val="002A2CFA"/>
    <w:rsid w:val="002A4531"/>
    <w:rsid w:val="002A4C41"/>
    <w:rsid w:val="002A4CA3"/>
    <w:rsid w:val="002A5B62"/>
    <w:rsid w:val="002A6288"/>
    <w:rsid w:val="002A6530"/>
    <w:rsid w:val="002A6B1F"/>
    <w:rsid w:val="002A7998"/>
    <w:rsid w:val="002B0D7B"/>
    <w:rsid w:val="002B12B3"/>
    <w:rsid w:val="002B2120"/>
    <w:rsid w:val="002B2B6F"/>
    <w:rsid w:val="002B3F1B"/>
    <w:rsid w:val="002B3F3A"/>
    <w:rsid w:val="002B550B"/>
    <w:rsid w:val="002B5EDF"/>
    <w:rsid w:val="002B7A48"/>
    <w:rsid w:val="002C03C9"/>
    <w:rsid w:val="002C1826"/>
    <w:rsid w:val="002C18AA"/>
    <w:rsid w:val="002C219F"/>
    <w:rsid w:val="002C3A34"/>
    <w:rsid w:val="002C66EB"/>
    <w:rsid w:val="002C7186"/>
    <w:rsid w:val="002C7FF9"/>
    <w:rsid w:val="002D0958"/>
    <w:rsid w:val="002D2849"/>
    <w:rsid w:val="002D344A"/>
    <w:rsid w:val="002D48B1"/>
    <w:rsid w:val="002D4CD2"/>
    <w:rsid w:val="002D5D2F"/>
    <w:rsid w:val="002D7B44"/>
    <w:rsid w:val="002E0BD6"/>
    <w:rsid w:val="002E17E9"/>
    <w:rsid w:val="002E220E"/>
    <w:rsid w:val="002E33EF"/>
    <w:rsid w:val="002E34A9"/>
    <w:rsid w:val="002E351D"/>
    <w:rsid w:val="002E3B97"/>
    <w:rsid w:val="002E4204"/>
    <w:rsid w:val="002E73E8"/>
    <w:rsid w:val="002E765A"/>
    <w:rsid w:val="002F2760"/>
    <w:rsid w:val="00300CBB"/>
    <w:rsid w:val="00301BF8"/>
    <w:rsid w:val="00302F7F"/>
    <w:rsid w:val="00303755"/>
    <w:rsid w:val="003065B6"/>
    <w:rsid w:val="00306E2C"/>
    <w:rsid w:val="00311A97"/>
    <w:rsid w:val="003125A2"/>
    <w:rsid w:val="00312EB9"/>
    <w:rsid w:val="00314EF3"/>
    <w:rsid w:val="0031558F"/>
    <w:rsid w:val="003162A2"/>
    <w:rsid w:val="003168F3"/>
    <w:rsid w:val="003174FE"/>
    <w:rsid w:val="003207EA"/>
    <w:rsid w:val="00320A95"/>
    <w:rsid w:val="00320D29"/>
    <w:rsid w:val="00322AFC"/>
    <w:rsid w:val="00324EEA"/>
    <w:rsid w:val="003257C6"/>
    <w:rsid w:val="003263B4"/>
    <w:rsid w:val="003264E5"/>
    <w:rsid w:val="00326E38"/>
    <w:rsid w:val="00326E7D"/>
    <w:rsid w:val="00327650"/>
    <w:rsid w:val="0033137C"/>
    <w:rsid w:val="00331436"/>
    <w:rsid w:val="00332B44"/>
    <w:rsid w:val="00333331"/>
    <w:rsid w:val="00333433"/>
    <w:rsid w:val="00333B85"/>
    <w:rsid w:val="00334C73"/>
    <w:rsid w:val="00336515"/>
    <w:rsid w:val="00336F78"/>
    <w:rsid w:val="003379AD"/>
    <w:rsid w:val="00341077"/>
    <w:rsid w:val="003429E6"/>
    <w:rsid w:val="00343CEE"/>
    <w:rsid w:val="00344211"/>
    <w:rsid w:val="0034529D"/>
    <w:rsid w:val="00346311"/>
    <w:rsid w:val="003473B7"/>
    <w:rsid w:val="00351833"/>
    <w:rsid w:val="0035224B"/>
    <w:rsid w:val="00354353"/>
    <w:rsid w:val="00354780"/>
    <w:rsid w:val="00354800"/>
    <w:rsid w:val="00355064"/>
    <w:rsid w:val="003552B9"/>
    <w:rsid w:val="003568BB"/>
    <w:rsid w:val="00356FA0"/>
    <w:rsid w:val="003600A2"/>
    <w:rsid w:val="0036110D"/>
    <w:rsid w:val="00361275"/>
    <w:rsid w:val="00362217"/>
    <w:rsid w:val="00362E7E"/>
    <w:rsid w:val="003646E6"/>
    <w:rsid w:val="00364836"/>
    <w:rsid w:val="00364893"/>
    <w:rsid w:val="00365E8D"/>
    <w:rsid w:val="003663BE"/>
    <w:rsid w:val="00366E6D"/>
    <w:rsid w:val="0037130B"/>
    <w:rsid w:val="00372579"/>
    <w:rsid w:val="00374EC7"/>
    <w:rsid w:val="003751C9"/>
    <w:rsid w:val="0037599D"/>
    <w:rsid w:val="00376F8C"/>
    <w:rsid w:val="00380FEC"/>
    <w:rsid w:val="003815A7"/>
    <w:rsid w:val="00382147"/>
    <w:rsid w:val="00382C56"/>
    <w:rsid w:val="003846DB"/>
    <w:rsid w:val="00384B44"/>
    <w:rsid w:val="00384F60"/>
    <w:rsid w:val="00385A52"/>
    <w:rsid w:val="003866F1"/>
    <w:rsid w:val="003906CE"/>
    <w:rsid w:val="00390E0B"/>
    <w:rsid w:val="00391DDE"/>
    <w:rsid w:val="00392969"/>
    <w:rsid w:val="0039444E"/>
    <w:rsid w:val="003973CC"/>
    <w:rsid w:val="003A10B5"/>
    <w:rsid w:val="003A22B7"/>
    <w:rsid w:val="003A2652"/>
    <w:rsid w:val="003A339D"/>
    <w:rsid w:val="003A3D3C"/>
    <w:rsid w:val="003A40F6"/>
    <w:rsid w:val="003B0B5B"/>
    <w:rsid w:val="003B1336"/>
    <w:rsid w:val="003B2736"/>
    <w:rsid w:val="003B379C"/>
    <w:rsid w:val="003B45C0"/>
    <w:rsid w:val="003B72F1"/>
    <w:rsid w:val="003B7B3F"/>
    <w:rsid w:val="003C1760"/>
    <w:rsid w:val="003C180C"/>
    <w:rsid w:val="003C2E96"/>
    <w:rsid w:val="003C3792"/>
    <w:rsid w:val="003C3FC2"/>
    <w:rsid w:val="003C4316"/>
    <w:rsid w:val="003C5230"/>
    <w:rsid w:val="003C5B87"/>
    <w:rsid w:val="003C6E28"/>
    <w:rsid w:val="003C7D9F"/>
    <w:rsid w:val="003D0054"/>
    <w:rsid w:val="003D10D3"/>
    <w:rsid w:val="003D17AC"/>
    <w:rsid w:val="003D1975"/>
    <w:rsid w:val="003D444B"/>
    <w:rsid w:val="003D79A7"/>
    <w:rsid w:val="003D7A45"/>
    <w:rsid w:val="003E00B2"/>
    <w:rsid w:val="003E047E"/>
    <w:rsid w:val="003E07C9"/>
    <w:rsid w:val="003E0D4D"/>
    <w:rsid w:val="003E2285"/>
    <w:rsid w:val="003E44CF"/>
    <w:rsid w:val="003E4EED"/>
    <w:rsid w:val="003E56C0"/>
    <w:rsid w:val="003E6376"/>
    <w:rsid w:val="003E674A"/>
    <w:rsid w:val="003F14EA"/>
    <w:rsid w:val="003F193C"/>
    <w:rsid w:val="003F1ECE"/>
    <w:rsid w:val="003F232F"/>
    <w:rsid w:val="003F24DD"/>
    <w:rsid w:val="003F35A7"/>
    <w:rsid w:val="003F38EE"/>
    <w:rsid w:val="003F59AA"/>
    <w:rsid w:val="003F59ED"/>
    <w:rsid w:val="003F5B63"/>
    <w:rsid w:val="003F5F30"/>
    <w:rsid w:val="00400547"/>
    <w:rsid w:val="00407012"/>
    <w:rsid w:val="00411071"/>
    <w:rsid w:val="004140F2"/>
    <w:rsid w:val="00414439"/>
    <w:rsid w:val="00414F3D"/>
    <w:rsid w:val="00417C06"/>
    <w:rsid w:val="0042009E"/>
    <w:rsid w:val="004203D4"/>
    <w:rsid w:val="00420C68"/>
    <w:rsid w:val="00420CDA"/>
    <w:rsid w:val="00421EFE"/>
    <w:rsid w:val="004234C2"/>
    <w:rsid w:val="004237AD"/>
    <w:rsid w:val="004242C0"/>
    <w:rsid w:val="004279C1"/>
    <w:rsid w:val="004318AC"/>
    <w:rsid w:val="004327B3"/>
    <w:rsid w:val="004331AB"/>
    <w:rsid w:val="00435C7A"/>
    <w:rsid w:val="00436C2E"/>
    <w:rsid w:val="004402B0"/>
    <w:rsid w:val="004407B4"/>
    <w:rsid w:val="004427FB"/>
    <w:rsid w:val="00443EEC"/>
    <w:rsid w:val="00444596"/>
    <w:rsid w:val="0044767A"/>
    <w:rsid w:val="00454170"/>
    <w:rsid w:val="0045461F"/>
    <w:rsid w:val="00455649"/>
    <w:rsid w:val="004559A4"/>
    <w:rsid w:val="00455A82"/>
    <w:rsid w:val="004560E5"/>
    <w:rsid w:val="0046004C"/>
    <w:rsid w:val="00460446"/>
    <w:rsid w:val="00461A8C"/>
    <w:rsid w:val="004622EF"/>
    <w:rsid w:val="00462C20"/>
    <w:rsid w:val="004635EF"/>
    <w:rsid w:val="004637D2"/>
    <w:rsid w:val="004644C5"/>
    <w:rsid w:val="004647E1"/>
    <w:rsid w:val="00466F27"/>
    <w:rsid w:val="00467945"/>
    <w:rsid w:val="00470E5A"/>
    <w:rsid w:val="00471BFC"/>
    <w:rsid w:val="00471DBA"/>
    <w:rsid w:val="004723AA"/>
    <w:rsid w:val="00473110"/>
    <w:rsid w:val="00473571"/>
    <w:rsid w:val="00473B32"/>
    <w:rsid w:val="00474102"/>
    <w:rsid w:val="00474D11"/>
    <w:rsid w:val="004750DD"/>
    <w:rsid w:val="00475FB5"/>
    <w:rsid w:val="0047608C"/>
    <w:rsid w:val="00476E33"/>
    <w:rsid w:val="00476E60"/>
    <w:rsid w:val="00480D5E"/>
    <w:rsid w:val="004813CF"/>
    <w:rsid w:val="00481ECB"/>
    <w:rsid w:val="00483667"/>
    <w:rsid w:val="00484833"/>
    <w:rsid w:val="0048490E"/>
    <w:rsid w:val="00486808"/>
    <w:rsid w:val="00486A2E"/>
    <w:rsid w:val="00486BE1"/>
    <w:rsid w:val="004905CA"/>
    <w:rsid w:val="00490AD1"/>
    <w:rsid w:val="00491288"/>
    <w:rsid w:val="00491C53"/>
    <w:rsid w:val="004931E0"/>
    <w:rsid w:val="00493CA6"/>
    <w:rsid w:val="004962C5"/>
    <w:rsid w:val="004A05BB"/>
    <w:rsid w:val="004A0A5A"/>
    <w:rsid w:val="004A18F0"/>
    <w:rsid w:val="004A1D85"/>
    <w:rsid w:val="004A273E"/>
    <w:rsid w:val="004A636E"/>
    <w:rsid w:val="004B0917"/>
    <w:rsid w:val="004B1B2D"/>
    <w:rsid w:val="004B34B9"/>
    <w:rsid w:val="004B7219"/>
    <w:rsid w:val="004C0871"/>
    <w:rsid w:val="004C1EA0"/>
    <w:rsid w:val="004C225C"/>
    <w:rsid w:val="004C24FC"/>
    <w:rsid w:val="004C2758"/>
    <w:rsid w:val="004C2B17"/>
    <w:rsid w:val="004C3B73"/>
    <w:rsid w:val="004C5D82"/>
    <w:rsid w:val="004C6611"/>
    <w:rsid w:val="004C6A55"/>
    <w:rsid w:val="004D0198"/>
    <w:rsid w:val="004D1AB9"/>
    <w:rsid w:val="004D2B9C"/>
    <w:rsid w:val="004D3700"/>
    <w:rsid w:val="004D4053"/>
    <w:rsid w:val="004D4937"/>
    <w:rsid w:val="004D4E57"/>
    <w:rsid w:val="004D5E73"/>
    <w:rsid w:val="004D606E"/>
    <w:rsid w:val="004D6505"/>
    <w:rsid w:val="004E0406"/>
    <w:rsid w:val="004E0A0F"/>
    <w:rsid w:val="004E0F69"/>
    <w:rsid w:val="004E1B75"/>
    <w:rsid w:val="004E2F9B"/>
    <w:rsid w:val="004E45A5"/>
    <w:rsid w:val="004E4928"/>
    <w:rsid w:val="004E4FB2"/>
    <w:rsid w:val="004E71F8"/>
    <w:rsid w:val="004E725D"/>
    <w:rsid w:val="004E7C1B"/>
    <w:rsid w:val="004F0323"/>
    <w:rsid w:val="004F10C2"/>
    <w:rsid w:val="004F1AD0"/>
    <w:rsid w:val="004F2E7A"/>
    <w:rsid w:val="004F2E7F"/>
    <w:rsid w:val="004F3090"/>
    <w:rsid w:val="004F3135"/>
    <w:rsid w:val="004F4092"/>
    <w:rsid w:val="004F4676"/>
    <w:rsid w:val="004F4B09"/>
    <w:rsid w:val="004F5B99"/>
    <w:rsid w:val="004F5E6E"/>
    <w:rsid w:val="00503106"/>
    <w:rsid w:val="005049B3"/>
    <w:rsid w:val="00506078"/>
    <w:rsid w:val="00506C83"/>
    <w:rsid w:val="00506F38"/>
    <w:rsid w:val="00507BEA"/>
    <w:rsid w:val="005107F9"/>
    <w:rsid w:val="00511B71"/>
    <w:rsid w:val="00511C70"/>
    <w:rsid w:val="0051286E"/>
    <w:rsid w:val="00514D6B"/>
    <w:rsid w:val="0051506B"/>
    <w:rsid w:val="0051548F"/>
    <w:rsid w:val="00515503"/>
    <w:rsid w:val="00515A0F"/>
    <w:rsid w:val="005202FE"/>
    <w:rsid w:val="00520B4D"/>
    <w:rsid w:val="00522823"/>
    <w:rsid w:val="00525E53"/>
    <w:rsid w:val="005261EF"/>
    <w:rsid w:val="00526326"/>
    <w:rsid w:val="005276CA"/>
    <w:rsid w:val="0053255E"/>
    <w:rsid w:val="0053301B"/>
    <w:rsid w:val="00533FF9"/>
    <w:rsid w:val="0053466E"/>
    <w:rsid w:val="00534D97"/>
    <w:rsid w:val="00537FAB"/>
    <w:rsid w:val="00541C84"/>
    <w:rsid w:val="00542404"/>
    <w:rsid w:val="005453BE"/>
    <w:rsid w:val="0054566E"/>
    <w:rsid w:val="005459CE"/>
    <w:rsid w:val="00551177"/>
    <w:rsid w:val="00551D8C"/>
    <w:rsid w:val="0055292D"/>
    <w:rsid w:val="005529C0"/>
    <w:rsid w:val="00552DB6"/>
    <w:rsid w:val="00553118"/>
    <w:rsid w:val="00554605"/>
    <w:rsid w:val="00554F3C"/>
    <w:rsid w:val="005566DA"/>
    <w:rsid w:val="00556C46"/>
    <w:rsid w:val="00556E37"/>
    <w:rsid w:val="005570D8"/>
    <w:rsid w:val="00557115"/>
    <w:rsid w:val="00557AB4"/>
    <w:rsid w:val="0056206F"/>
    <w:rsid w:val="00562A15"/>
    <w:rsid w:val="00563B7C"/>
    <w:rsid w:val="00564E8A"/>
    <w:rsid w:val="00564EEC"/>
    <w:rsid w:val="00565B29"/>
    <w:rsid w:val="005665A0"/>
    <w:rsid w:val="00570037"/>
    <w:rsid w:val="005700FF"/>
    <w:rsid w:val="0057056B"/>
    <w:rsid w:val="00570FD7"/>
    <w:rsid w:val="005712A2"/>
    <w:rsid w:val="00571D06"/>
    <w:rsid w:val="00572199"/>
    <w:rsid w:val="00573CB5"/>
    <w:rsid w:val="0057425E"/>
    <w:rsid w:val="00574D7A"/>
    <w:rsid w:val="005753F5"/>
    <w:rsid w:val="0057691E"/>
    <w:rsid w:val="00576971"/>
    <w:rsid w:val="00580137"/>
    <w:rsid w:val="00580165"/>
    <w:rsid w:val="0058303A"/>
    <w:rsid w:val="0058375B"/>
    <w:rsid w:val="005838E9"/>
    <w:rsid w:val="00583F64"/>
    <w:rsid w:val="00584300"/>
    <w:rsid w:val="0058430B"/>
    <w:rsid w:val="005850BE"/>
    <w:rsid w:val="00585165"/>
    <w:rsid w:val="00585367"/>
    <w:rsid w:val="005857A7"/>
    <w:rsid w:val="005875F8"/>
    <w:rsid w:val="00587DE2"/>
    <w:rsid w:val="0059043F"/>
    <w:rsid w:val="0059183F"/>
    <w:rsid w:val="00591E4D"/>
    <w:rsid w:val="00592551"/>
    <w:rsid w:val="00592BED"/>
    <w:rsid w:val="00594626"/>
    <w:rsid w:val="00596B77"/>
    <w:rsid w:val="0059773B"/>
    <w:rsid w:val="005A109F"/>
    <w:rsid w:val="005A1323"/>
    <w:rsid w:val="005A23F5"/>
    <w:rsid w:val="005A319D"/>
    <w:rsid w:val="005A31BD"/>
    <w:rsid w:val="005A35A1"/>
    <w:rsid w:val="005A404B"/>
    <w:rsid w:val="005A442B"/>
    <w:rsid w:val="005A6171"/>
    <w:rsid w:val="005A6DF7"/>
    <w:rsid w:val="005A7F67"/>
    <w:rsid w:val="005B06A4"/>
    <w:rsid w:val="005B2100"/>
    <w:rsid w:val="005B23D4"/>
    <w:rsid w:val="005B26E0"/>
    <w:rsid w:val="005B2982"/>
    <w:rsid w:val="005B31F4"/>
    <w:rsid w:val="005B3E94"/>
    <w:rsid w:val="005B43A2"/>
    <w:rsid w:val="005B44D5"/>
    <w:rsid w:val="005C0179"/>
    <w:rsid w:val="005C022B"/>
    <w:rsid w:val="005C1870"/>
    <w:rsid w:val="005C2E4E"/>
    <w:rsid w:val="005C3A12"/>
    <w:rsid w:val="005C4DAA"/>
    <w:rsid w:val="005C6824"/>
    <w:rsid w:val="005C6F68"/>
    <w:rsid w:val="005C733A"/>
    <w:rsid w:val="005C7F5E"/>
    <w:rsid w:val="005D1CE6"/>
    <w:rsid w:val="005D26AF"/>
    <w:rsid w:val="005D2844"/>
    <w:rsid w:val="005D36A7"/>
    <w:rsid w:val="005D38E4"/>
    <w:rsid w:val="005D41BD"/>
    <w:rsid w:val="005D5EFD"/>
    <w:rsid w:val="005D60CA"/>
    <w:rsid w:val="005D6E6E"/>
    <w:rsid w:val="005D6EA5"/>
    <w:rsid w:val="005D6F0C"/>
    <w:rsid w:val="005D7557"/>
    <w:rsid w:val="005D7F23"/>
    <w:rsid w:val="005E05BC"/>
    <w:rsid w:val="005E1EC7"/>
    <w:rsid w:val="005E5270"/>
    <w:rsid w:val="005E73AC"/>
    <w:rsid w:val="005E7DA0"/>
    <w:rsid w:val="005F0012"/>
    <w:rsid w:val="005F01DF"/>
    <w:rsid w:val="005F0B5F"/>
    <w:rsid w:val="005F11E6"/>
    <w:rsid w:val="005F62E9"/>
    <w:rsid w:val="005F6373"/>
    <w:rsid w:val="005F6FC2"/>
    <w:rsid w:val="006006DB"/>
    <w:rsid w:val="006021D2"/>
    <w:rsid w:val="0060270E"/>
    <w:rsid w:val="00604431"/>
    <w:rsid w:val="00605D42"/>
    <w:rsid w:val="00605E45"/>
    <w:rsid w:val="00607E23"/>
    <w:rsid w:val="006100A5"/>
    <w:rsid w:val="00610A63"/>
    <w:rsid w:val="00610F8D"/>
    <w:rsid w:val="006123CA"/>
    <w:rsid w:val="00612E8A"/>
    <w:rsid w:val="00615EE4"/>
    <w:rsid w:val="00615FF2"/>
    <w:rsid w:val="00616345"/>
    <w:rsid w:val="006171BE"/>
    <w:rsid w:val="006171DD"/>
    <w:rsid w:val="006203A6"/>
    <w:rsid w:val="00621283"/>
    <w:rsid w:val="006215C4"/>
    <w:rsid w:val="00621CDF"/>
    <w:rsid w:val="00624321"/>
    <w:rsid w:val="006243CD"/>
    <w:rsid w:val="00625296"/>
    <w:rsid w:val="006255AD"/>
    <w:rsid w:val="00626B9A"/>
    <w:rsid w:val="006307C0"/>
    <w:rsid w:val="00630D26"/>
    <w:rsid w:val="0063102A"/>
    <w:rsid w:val="00631742"/>
    <w:rsid w:val="006332CC"/>
    <w:rsid w:val="00633682"/>
    <w:rsid w:val="006339C2"/>
    <w:rsid w:val="00634841"/>
    <w:rsid w:val="00635C04"/>
    <w:rsid w:val="00636DD2"/>
    <w:rsid w:val="00637F61"/>
    <w:rsid w:val="00640AC1"/>
    <w:rsid w:val="0064692D"/>
    <w:rsid w:val="006479F7"/>
    <w:rsid w:val="00647E2E"/>
    <w:rsid w:val="00651900"/>
    <w:rsid w:val="00652BA5"/>
    <w:rsid w:val="00655717"/>
    <w:rsid w:val="00655913"/>
    <w:rsid w:val="00655D50"/>
    <w:rsid w:val="00661510"/>
    <w:rsid w:val="006620B5"/>
    <w:rsid w:val="00664CC5"/>
    <w:rsid w:val="00665600"/>
    <w:rsid w:val="006672BE"/>
    <w:rsid w:val="00671873"/>
    <w:rsid w:val="00673C75"/>
    <w:rsid w:val="00674A85"/>
    <w:rsid w:val="006752BB"/>
    <w:rsid w:val="00675EAE"/>
    <w:rsid w:val="00676580"/>
    <w:rsid w:val="00677F40"/>
    <w:rsid w:val="006842BA"/>
    <w:rsid w:val="00686625"/>
    <w:rsid w:val="00686738"/>
    <w:rsid w:val="00687A83"/>
    <w:rsid w:val="00693870"/>
    <w:rsid w:val="006949B1"/>
    <w:rsid w:val="00695A4D"/>
    <w:rsid w:val="00696242"/>
    <w:rsid w:val="00696B78"/>
    <w:rsid w:val="00696D5C"/>
    <w:rsid w:val="00697B0D"/>
    <w:rsid w:val="00697C18"/>
    <w:rsid w:val="006A0982"/>
    <w:rsid w:val="006A2789"/>
    <w:rsid w:val="006A2923"/>
    <w:rsid w:val="006A320A"/>
    <w:rsid w:val="006A33F6"/>
    <w:rsid w:val="006A3D33"/>
    <w:rsid w:val="006A41C7"/>
    <w:rsid w:val="006A573A"/>
    <w:rsid w:val="006B015B"/>
    <w:rsid w:val="006B13D4"/>
    <w:rsid w:val="006B3618"/>
    <w:rsid w:val="006B3CBE"/>
    <w:rsid w:val="006B47F4"/>
    <w:rsid w:val="006B531A"/>
    <w:rsid w:val="006B6C70"/>
    <w:rsid w:val="006B6D4B"/>
    <w:rsid w:val="006B7710"/>
    <w:rsid w:val="006C011D"/>
    <w:rsid w:val="006C3163"/>
    <w:rsid w:val="006C6F8F"/>
    <w:rsid w:val="006D021F"/>
    <w:rsid w:val="006D0EFA"/>
    <w:rsid w:val="006D1935"/>
    <w:rsid w:val="006D273B"/>
    <w:rsid w:val="006D2F1D"/>
    <w:rsid w:val="006D377A"/>
    <w:rsid w:val="006D3920"/>
    <w:rsid w:val="006D437C"/>
    <w:rsid w:val="006D4D68"/>
    <w:rsid w:val="006D55D5"/>
    <w:rsid w:val="006D5923"/>
    <w:rsid w:val="006D5A31"/>
    <w:rsid w:val="006D5B8D"/>
    <w:rsid w:val="006D6625"/>
    <w:rsid w:val="006D6E7D"/>
    <w:rsid w:val="006D7703"/>
    <w:rsid w:val="006E0093"/>
    <w:rsid w:val="006E1BE2"/>
    <w:rsid w:val="006E28C2"/>
    <w:rsid w:val="006E2A9F"/>
    <w:rsid w:val="006E38B9"/>
    <w:rsid w:val="006E47A4"/>
    <w:rsid w:val="006E6C80"/>
    <w:rsid w:val="006E6C92"/>
    <w:rsid w:val="006E6DF3"/>
    <w:rsid w:val="006F10A5"/>
    <w:rsid w:val="006F1E4C"/>
    <w:rsid w:val="006F25D3"/>
    <w:rsid w:val="006F2D6A"/>
    <w:rsid w:val="006F4B69"/>
    <w:rsid w:val="006F4F40"/>
    <w:rsid w:val="006F7661"/>
    <w:rsid w:val="006F7C4E"/>
    <w:rsid w:val="007004C2"/>
    <w:rsid w:val="00701E32"/>
    <w:rsid w:val="00702B17"/>
    <w:rsid w:val="00702FA7"/>
    <w:rsid w:val="0070457D"/>
    <w:rsid w:val="00704B5E"/>
    <w:rsid w:val="0070530E"/>
    <w:rsid w:val="007058A9"/>
    <w:rsid w:val="0070642E"/>
    <w:rsid w:val="00706CAC"/>
    <w:rsid w:val="00711D9B"/>
    <w:rsid w:val="0071301E"/>
    <w:rsid w:val="00714452"/>
    <w:rsid w:val="00714B6D"/>
    <w:rsid w:val="00715B29"/>
    <w:rsid w:val="007163A6"/>
    <w:rsid w:val="00716844"/>
    <w:rsid w:val="007214CD"/>
    <w:rsid w:val="00722B9F"/>
    <w:rsid w:val="00724C00"/>
    <w:rsid w:val="007269C3"/>
    <w:rsid w:val="00727F49"/>
    <w:rsid w:val="007317D4"/>
    <w:rsid w:val="00731CF8"/>
    <w:rsid w:val="00732330"/>
    <w:rsid w:val="00733DFA"/>
    <w:rsid w:val="00736267"/>
    <w:rsid w:val="00736BBA"/>
    <w:rsid w:val="007377BE"/>
    <w:rsid w:val="007404F3"/>
    <w:rsid w:val="00741926"/>
    <w:rsid w:val="0074247D"/>
    <w:rsid w:val="0074323B"/>
    <w:rsid w:val="00744078"/>
    <w:rsid w:val="00744D99"/>
    <w:rsid w:val="00745642"/>
    <w:rsid w:val="00750CA7"/>
    <w:rsid w:val="00752147"/>
    <w:rsid w:val="00752362"/>
    <w:rsid w:val="00752B08"/>
    <w:rsid w:val="00753A8A"/>
    <w:rsid w:val="00754D00"/>
    <w:rsid w:val="00755526"/>
    <w:rsid w:val="00755AED"/>
    <w:rsid w:val="00756F49"/>
    <w:rsid w:val="00760371"/>
    <w:rsid w:val="00761438"/>
    <w:rsid w:val="00761925"/>
    <w:rsid w:val="00764122"/>
    <w:rsid w:val="007657C4"/>
    <w:rsid w:val="0076709E"/>
    <w:rsid w:val="00771135"/>
    <w:rsid w:val="007722CA"/>
    <w:rsid w:val="00772891"/>
    <w:rsid w:val="00772CB8"/>
    <w:rsid w:val="007734BE"/>
    <w:rsid w:val="00774449"/>
    <w:rsid w:val="00774700"/>
    <w:rsid w:val="0077493D"/>
    <w:rsid w:val="00775E3C"/>
    <w:rsid w:val="00776F55"/>
    <w:rsid w:val="007818B2"/>
    <w:rsid w:val="007821FA"/>
    <w:rsid w:val="0078301C"/>
    <w:rsid w:val="00784F9C"/>
    <w:rsid w:val="00786684"/>
    <w:rsid w:val="00786D0F"/>
    <w:rsid w:val="00787CA8"/>
    <w:rsid w:val="007913ED"/>
    <w:rsid w:val="00791632"/>
    <w:rsid w:val="00791FFC"/>
    <w:rsid w:val="00792326"/>
    <w:rsid w:val="0079339A"/>
    <w:rsid w:val="00793DC0"/>
    <w:rsid w:val="00795994"/>
    <w:rsid w:val="007965AC"/>
    <w:rsid w:val="0079670C"/>
    <w:rsid w:val="00797D14"/>
    <w:rsid w:val="00797E0A"/>
    <w:rsid w:val="007A0E3C"/>
    <w:rsid w:val="007A44E0"/>
    <w:rsid w:val="007A4DF8"/>
    <w:rsid w:val="007A5A6B"/>
    <w:rsid w:val="007A5B2B"/>
    <w:rsid w:val="007A6640"/>
    <w:rsid w:val="007A680D"/>
    <w:rsid w:val="007B069F"/>
    <w:rsid w:val="007B10CB"/>
    <w:rsid w:val="007B137C"/>
    <w:rsid w:val="007B1CA2"/>
    <w:rsid w:val="007B1D91"/>
    <w:rsid w:val="007B4871"/>
    <w:rsid w:val="007B4D5B"/>
    <w:rsid w:val="007B6965"/>
    <w:rsid w:val="007B7386"/>
    <w:rsid w:val="007B77A3"/>
    <w:rsid w:val="007C0C31"/>
    <w:rsid w:val="007C13E5"/>
    <w:rsid w:val="007C1828"/>
    <w:rsid w:val="007C257A"/>
    <w:rsid w:val="007C374D"/>
    <w:rsid w:val="007C3B1F"/>
    <w:rsid w:val="007C4F71"/>
    <w:rsid w:val="007C6755"/>
    <w:rsid w:val="007C7760"/>
    <w:rsid w:val="007C7ACA"/>
    <w:rsid w:val="007D0F62"/>
    <w:rsid w:val="007D1E84"/>
    <w:rsid w:val="007D20F9"/>
    <w:rsid w:val="007D3E16"/>
    <w:rsid w:val="007D5880"/>
    <w:rsid w:val="007D5E43"/>
    <w:rsid w:val="007D67DD"/>
    <w:rsid w:val="007D6E7C"/>
    <w:rsid w:val="007D7B82"/>
    <w:rsid w:val="007D7C75"/>
    <w:rsid w:val="007E0F13"/>
    <w:rsid w:val="007E107A"/>
    <w:rsid w:val="007E1755"/>
    <w:rsid w:val="007E1C1A"/>
    <w:rsid w:val="007E1D1F"/>
    <w:rsid w:val="007E3E37"/>
    <w:rsid w:val="007E5660"/>
    <w:rsid w:val="007E58F2"/>
    <w:rsid w:val="007E5C1C"/>
    <w:rsid w:val="007E7102"/>
    <w:rsid w:val="007E7D98"/>
    <w:rsid w:val="007F035B"/>
    <w:rsid w:val="007F0F3A"/>
    <w:rsid w:val="007F3EF0"/>
    <w:rsid w:val="007F5062"/>
    <w:rsid w:val="007F55E1"/>
    <w:rsid w:val="007F64C0"/>
    <w:rsid w:val="007F69A0"/>
    <w:rsid w:val="007F78E8"/>
    <w:rsid w:val="007F7EDF"/>
    <w:rsid w:val="00800175"/>
    <w:rsid w:val="008001FC"/>
    <w:rsid w:val="008007DA"/>
    <w:rsid w:val="00800819"/>
    <w:rsid w:val="00800867"/>
    <w:rsid w:val="00803D87"/>
    <w:rsid w:val="008040EC"/>
    <w:rsid w:val="00804D48"/>
    <w:rsid w:val="00804E90"/>
    <w:rsid w:val="00804F0D"/>
    <w:rsid w:val="00810495"/>
    <w:rsid w:val="0081215E"/>
    <w:rsid w:val="00813DD7"/>
    <w:rsid w:val="00814452"/>
    <w:rsid w:val="008152A4"/>
    <w:rsid w:val="00816190"/>
    <w:rsid w:val="0081622A"/>
    <w:rsid w:val="00817594"/>
    <w:rsid w:val="00817C44"/>
    <w:rsid w:val="00820B70"/>
    <w:rsid w:val="00820D05"/>
    <w:rsid w:val="008213B4"/>
    <w:rsid w:val="00821602"/>
    <w:rsid w:val="008228BD"/>
    <w:rsid w:val="00822A48"/>
    <w:rsid w:val="00822E88"/>
    <w:rsid w:val="008232D3"/>
    <w:rsid w:val="0082433C"/>
    <w:rsid w:val="00824CBC"/>
    <w:rsid w:val="00826AB7"/>
    <w:rsid w:val="00826EE1"/>
    <w:rsid w:val="00830FE0"/>
    <w:rsid w:val="008311B8"/>
    <w:rsid w:val="00831CAB"/>
    <w:rsid w:val="008321C8"/>
    <w:rsid w:val="008339BD"/>
    <w:rsid w:val="00833A48"/>
    <w:rsid w:val="00833D62"/>
    <w:rsid w:val="00835193"/>
    <w:rsid w:val="0083573B"/>
    <w:rsid w:val="0083586B"/>
    <w:rsid w:val="00836F2F"/>
    <w:rsid w:val="00837940"/>
    <w:rsid w:val="0084083F"/>
    <w:rsid w:val="00841B99"/>
    <w:rsid w:val="00842E09"/>
    <w:rsid w:val="00843948"/>
    <w:rsid w:val="0084587B"/>
    <w:rsid w:val="00846678"/>
    <w:rsid w:val="00846759"/>
    <w:rsid w:val="008477C8"/>
    <w:rsid w:val="008502EE"/>
    <w:rsid w:val="00850458"/>
    <w:rsid w:val="00852E37"/>
    <w:rsid w:val="00854547"/>
    <w:rsid w:val="00855322"/>
    <w:rsid w:val="00855428"/>
    <w:rsid w:val="0085548E"/>
    <w:rsid w:val="008572FC"/>
    <w:rsid w:val="0085768B"/>
    <w:rsid w:val="00861240"/>
    <w:rsid w:val="0086156F"/>
    <w:rsid w:val="00861A7A"/>
    <w:rsid w:val="00862EA0"/>
    <w:rsid w:val="0086520E"/>
    <w:rsid w:val="0086559C"/>
    <w:rsid w:val="00865824"/>
    <w:rsid w:val="00865FA5"/>
    <w:rsid w:val="008664B4"/>
    <w:rsid w:val="00870C45"/>
    <w:rsid w:val="008719E4"/>
    <w:rsid w:val="00871B8A"/>
    <w:rsid w:val="00873F2C"/>
    <w:rsid w:val="00874551"/>
    <w:rsid w:val="008773C5"/>
    <w:rsid w:val="0087775C"/>
    <w:rsid w:val="00877B6A"/>
    <w:rsid w:val="008816FC"/>
    <w:rsid w:val="00881E08"/>
    <w:rsid w:val="00882048"/>
    <w:rsid w:val="0088231A"/>
    <w:rsid w:val="008844A4"/>
    <w:rsid w:val="008859CE"/>
    <w:rsid w:val="00887BA8"/>
    <w:rsid w:val="00887F34"/>
    <w:rsid w:val="008902EF"/>
    <w:rsid w:val="00891AE8"/>
    <w:rsid w:val="00892517"/>
    <w:rsid w:val="008925A4"/>
    <w:rsid w:val="008937E0"/>
    <w:rsid w:val="00894C61"/>
    <w:rsid w:val="008954C3"/>
    <w:rsid w:val="008957F5"/>
    <w:rsid w:val="008977F4"/>
    <w:rsid w:val="00897D39"/>
    <w:rsid w:val="008A115E"/>
    <w:rsid w:val="008A1BBD"/>
    <w:rsid w:val="008A2237"/>
    <w:rsid w:val="008A2260"/>
    <w:rsid w:val="008A2F83"/>
    <w:rsid w:val="008A36C5"/>
    <w:rsid w:val="008A3C7A"/>
    <w:rsid w:val="008A51A3"/>
    <w:rsid w:val="008A567C"/>
    <w:rsid w:val="008A5F03"/>
    <w:rsid w:val="008A6C31"/>
    <w:rsid w:val="008A6FB7"/>
    <w:rsid w:val="008B0501"/>
    <w:rsid w:val="008B05C1"/>
    <w:rsid w:val="008B0FC7"/>
    <w:rsid w:val="008B2683"/>
    <w:rsid w:val="008B308E"/>
    <w:rsid w:val="008B4BE5"/>
    <w:rsid w:val="008B4FE8"/>
    <w:rsid w:val="008B5C74"/>
    <w:rsid w:val="008B629A"/>
    <w:rsid w:val="008B6718"/>
    <w:rsid w:val="008B6DE5"/>
    <w:rsid w:val="008B70ED"/>
    <w:rsid w:val="008B7B8E"/>
    <w:rsid w:val="008C01D2"/>
    <w:rsid w:val="008C06B2"/>
    <w:rsid w:val="008C24FE"/>
    <w:rsid w:val="008C2B3B"/>
    <w:rsid w:val="008C4136"/>
    <w:rsid w:val="008C44F7"/>
    <w:rsid w:val="008C46A0"/>
    <w:rsid w:val="008C7A93"/>
    <w:rsid w:val="008D011D"/>
    <w:rsid w:val="008D02FE"/>
    <w:rsid w:val="008D082C"/>
    <w:rsid w:val="008D0938"/>
    <w:rsid w:val="008D0E32"/>
    <w:rsid w:val="008D1451"/>
    <w:rsid w:val="008D1847"/>
    <w:rsid w:val="008D26EE"/>
    <w:rsid w:val="008D32A2"/>
    <w:rsid w:val="008D32F2"/>
    <w:rsid w:val="008D4BEA"/>
    <w:rsid w:val="008D4DF6"/>
    <w:rsid w:val="008D5A8B"/>
    <w:rsid w:val="008D60F0"/>
    <w:rsid w:val="008D7A21"/>
    <w:rsid w:val="008E03C3"/>
    <w:rsid w:val="008E0982"/>
    <w:rsid w:val="008E339E"/>
    <w:rsid w:val="008E37C1"/>
    <w:rsid w:val="008E4B86"/>
    <w:rsid w:val="008E4EB1"/>
    <w:rsid w:val="008E5B76"/>
    <w:rsid w:val="008E6214"/>
    <w:rsid w:val="008E764D"/>
    <w:rsid w:val="008F01E0"/>
    <w:rsid w:val="008F0480"/>
    <w:rsid w:val="008F088F"/>
    <w:rsid w:val="008F0D1E"/>
    <w:rsid w:val="008F2E71"/>
    <w:rsid w:val="008F3529"/>
    <w:rsid w:val="008F385B"/>
    <w:rsid w:val="008F3A83"/>
    <w:rsid w:val="008F3E59"/>
    <w:rsid w:val="008F5A4D"/>
    <w:rsid w:val="008F5D48"/>
    <w:rsid w:val="008F5E34"/>
    <w:rsid w:val="008F6D0A"/>
    <w:rsid w:val="0090082E"/>
    <w:rsid w:val="009016D0"/>
    <w:rsid w:val="00904952"/>
    <w:rsid w:val="009067E3"/>
    <w:rsid w:val="009111ED"/>
    <w:rsid w:val="009152A4"/>
    <w:rsid w:val="00916064"/>
    <w:rsid w:val="00916392"/>
    <w:rsid w:val="00917C5E"/>
    <w:rsid w:val="00920668"/>
    <w:rsid w:val="00922885"/>
    <w:rsid w:val="009233C4"/>
    <w:rsid w:val="00924B9E"/>
    <w:rsid w:val="00925065"/>
    <w:rsid w:val="00925488"/>
    <w:rsid w:val="009273EE"/>
    <w:rsid w:val="00930102"/>
    <w:rsid w:val="009309E6"/>
    <w:rsid w:val="00930E6A"/>
    <w:rsid w:val="009313F0"/>
    <w:rsid w:val="00932583"/>
    <w:rsid w:val="00932807"/>
    <w:rsid w:val="00933A78"/>
    <w:rsid w:val="0093565A"/>
    <w:rsid w:val="00935EAE"/>
    <w:rsid w:val="00937BC8"/>
    <w:rsid w:val="00940E97"/>
    <w:rsid w:val="00941F37"/>
    <w:rsid w:val="009425B8"/>
    <w:rsid w:val="0094432C"/>
    <w:rsid w:val="00945177"/>
    <w:rsid w:val="00946698"/>
    <w:rsid w:val="00950377"/>
    <w:rsid w:val="00951926"/>
    <w:rsid w:val="00952939"/>
    <w:rsid w:val="009537BC"/>
    <w:rsid w:val="00953B1E"/>
    <w:rsid w:val="00954891"/>
    <w:rsid w:val="009548BB"/>
    <w:rsid w:val="00954AD8"/>
    <w:rsid w:val="00954C4A"/>
    <w:rsid w:val="00955086"/>
    <w:rsid w:val="009559B9"/>
    <w:rsid w:val="00955BF3"/>
    <w:rsid w:val="00955FA9"/>
    <w:rsid w:val="00956D90"/>
    <w:rsid w:val="00957D2C"/>
    <w:rsid w:val="0096051F"/>
    <w:rsid w:val="009608D9"/>
    <w:rsid w:val="00962DEE"/>
    <w:rsid w:val="0096357E"/>
    <w:rsid w:val="00963D58"/>
    <w:rsid w:val="009673BA"/>
    <w:rsid w:val="00967C7B"/>
    <w:rsid w:val="00967CA4"/>
    <w:rsid w:val="00967F8B"/>
    <w:rsid w:val="0097100D"/>
    <w:rsid w:val="00971933"/>
    <w:rsid w:val="00972C46"/>
    <w:rsid w:val="00973421"/>
    <w:rsid w:val="009746F2"/>
    <w:rsid w:val="009753C3"/>
    <w:rsid w:val="00976637"/>
    <w:rsid w:val="00977FD3"/>
    <w:rsid w:val="00977FF3"/>
    <w:rsid w:val="0098003F"/>
    <w:rsid w:val="009801DB"/>
    <w:rsid w:val="00980B8D"/>
    <w:rsid w:val="00983739"/>
    <w:rsid w:val="00984B34"/>
    <w:rsid w:val="009853D8"/>
    <w:rsid w:val="00985D1A"/>
    <w:rsid w:val="00987D83"/>
    <w:rsid w:val="0099018B"/>
    <w:rsid w:val="00990B75"/>
    <w:rsid w:val="00991EE9"/>
    <w:rsid w:val="00994140"/>
    <w:rsid w:val="009951C9"/>
    <w:rsid w:val="00995737"/>
    <w:rsid w:val="00995741"/>
    <w:rsid w:val="009967A2"/>
    <w:rsid w:val="009977CC"/>
    <w:rsid w:val="00997FBE"/>
    <w:rsid w:val="009A1211"/>
    <w:rsid w:val="009A45A0"/>
    <w:rsid w:val="009A4F92"/>
    <w:rsid w:val="009A57BF"/>
    <w:rsid w:val="009A62D9"/>
    <w:rsid w:val="009A65EF"/>
    <w:rsid w:val="009A75DF"/>
    <w:rsid w:val="009B19FE"/>
    <w:rsid w:val="009B33C0"/>
    <w:rsid w:val="009B33FD"/>
    <w:rsid w:val="009B37FE"/>
    <w:rsid w:val="009B3885"/>
    <w:rsid w:val="009B3FDF"/>
    <w:rsid w:val="009B40DB"/>
    <w:rsid w:val="009B545F"/>
    <w:rsid w:val="009C0121"/>
    <w:rsid w:val="009C0358"/>
    <w:rsid w:val="009C0C2F"/>
    <w:rsid w:val="009C15D1"/>
    <w:rsid w:val="009C1984"/>
    <w:rsid w:val="009C280A"/>
    <w:rsid w:val="009C2E18"/>
    <w:rsid w:val="009C30C1"/>
    <w:rsid w:val="009C4266"/>
    <w:rsid w:val="009D089E"/>
    <w:rsid w:val="009D0FA5"/>
    <w:rsid w:val="009D117F"/>
    <w:rsid w:val="009D322C"/>
    <w:rsid w:val="009D58E7"/>
    <w:rsid w:val="009D623B"/>
    <w:rsid w:val="009D626B"/>
    <w:rsid w:val="009D6AC1"/>
    <w:rsid w:val="009D6BC5"/>
    <w:rsid w:val="009D7517"/>
    <w:rsid w:val="009D7781"/>
    <w:rsid w:val="009E04EA"/>
    <w:rsid w:val="009E059B"/>
    <w:rsid w:val="009E0BD4"/>
    <w:rsid w:val="009E100A"/>
    <w:rsid w:val="009E1474"/>
    <w:rsid w:val="009E1EBA"/>
    <w:rsid w:val="009E3E45"/>
    <w:rsid w:val="009E40C0"/>
    <w:rsid w:val="009E454B"/>
    <w:rsid w:val="009E4E6A"/>
    <w:rsid w:val="009E4FF9"/>
    <w:rsid w:val="009E66F9"/>
    <w:rsid w:val="009F12EE"/>
    <w:rsid w:val="009F2F6D"/>
    <w:rsid w:val="009F50B1"/>
    <w:rsid w:val="009F55FA"/>
    <w:rsid w:val="009F6DE0"/>
    <w:rsid w:val="009F7DBA"/>
    <w:rsid w:val="009F7E7D"/>
    <w:rsid w:val="00A005F1"/>
    <w:rsid w:val="00A00867"/>
    <w:rsid w:val="00A009C4"/>
    <w:rsid w:val="00A02E71"/>
    <w:rsid w:val="00A03372"/>
    <w:rsid w:val="00A03D9A"/>
    <w:rsid w:val="00A04524"/>
    <w:rsid w:val="00A04DAD"/>
    <w:rsid w:val="00A05039"/>
    <w:rsid w:val="00A06203"/>
    <w:rsid w:val="00A06CC4"/>
    <w:rsid w:val="00A11451"/>
    <w:rsid w:val="00A11A05"/>
    <w:rsid w:val="00A12AD5"/>
    <w:rsid w:val="00A12C96"/>
    <w:rsid w:val="00A132C0"/>
    <w:rsid w:val="00A15049"/>
    <w:rsid w:val="00A15925"/>
    <w:rsid w:val="00A15BC5"/>
    <w:rsid w:val="00A15F82"/>
    <w:rsid w:val="00A20BF8"/>
    <w:rsid w:val="00A229FD"/>
    <w:rsid w:val="00A2498B"/>
    <w:rsid w:val="00A24BF2"/>
    <w:rsid w:val="00A25E39"/>
    <w:rsid w:val="00A25EDD"/>
    <w:rsid w:val="00A278B1"/>
    <w:rsid w:val="00A305C4"/>
    <w:rsid w:val="00A30B0E"/>
    <w:rsid w:val="00A311A1"/>
    <w:rsid w:val="00A32472"/>
    <w:rsid w:val="00A325B5"/>
    <w:rsid w:val="00A32CF7"/>
    <w:rsid w:val="00A334C3"/>
    <w:rsid w:val="00A33A42"/>
    <w:rsid w:val="00A359B9"/>
    <w:rsid w:val="00A35ADB"/>
    <w:rsid w:val="00A35EB2"/>
    <w:rsid w:val="00A3609E"/>
    <w:rsid w:val="00A3641A"/>
    <w:rsid w:val="00A404E5"/>
    <w:rsid w:val="00A4152C"/>
    <w:rsid w:val="00A4321E"/>
    <w:rsid w:val="00A43737"/>
    <w:rsid w:val="00A44DF2"/>
    <w:rsid w:val="00A45569"/>
    <w:rsid w:val="00A45691"/>
    <w:rsid w:val="00A46CF4"/>
    <w:rsid w:val="00A47AB1"/>
    <w:rsid w:val="00A50C76"/>
    <w:rsid w:val="00A51D93"/>
    <w:rsid w:val="00A5203D"/>
    <w:rsid w:val="00A524CD"/>
    <w:rsid w:val="00A525D7"/>
    <w:rsid w:val="00A52C7E"/>
    <w:rsid w:val="00A56919"/>
    <w:rsid w:val="00A571EE"/>
    <w:rsid w:val="00A57BA5"/>
    <w:rsid w:val="00A62661"/>
    <w:rsid w:val="00A6560A"/>
    <w:rsid w:val="00A67B9D"/>
    <w:rsid w:val="00A7238C"/>
    <w:rsid w:val="00A72975"/>
    <w:rsid w:val="00A730A5"/>
    <w:rsid w:val="00A7424D"/>
    <w:rsid w:val="00A75DF2"/>
    <w:rsid w:val="00A7645C"/>
    <w:rsid w:val="00A779A2"/>
    <w:rsid w:val="00A81750"/>
    <w:rsid w:val="00A837D0"/>
    <w:rsid w:val="00A83865"/>
    <w:rsid w:val="00A83A4A"/>
    <w:rsid w:val="00A857DD"/>
    <w:rsid w:val="00A85955"/>
    <w:rsid w:val="00A85A7F"/>
    <w:rsid w:val="00A85D3B"/>
    <w:rsid w:val="00A87504"/>
    <w:rsid w:val="00A90FAA"/>
    <w:rsid w:val="00A90FD3"/>
    <w:rsid w:val="00A9178A"/>
    <w:rsid w:val="00A92277"/>
    <w:rsid w:val="00A9267B"/>
    <w:rsid w:val="00A93B72"/>
    <w:rsid w:val="00A941DC"/>
    <w:rsid w:val="00A95A35"/>
    <w:rsid w:val="00A96E32"/>
    <w:rsid w:val="00A9764E"/>
    <w:rsid w:val="00AA12E7"/>
    <w:rsid w:val="00AA1AF7"/>
    <w:rsid w:val="00AA2340"/>
    <w:rsid w:val="00AA23C4"/>
    <w:rsid w:val="00AA2486"/>
    <w:rsid w:val="00AA33C8"/>
    <w:rsid w:val="00AA34A1"/>
    <w:rsid w:val="00AA60FE"/>
    <w:rsid w:val="00AA66E4"/>
    <w:rsid w:val="00AA6781"/>
    <w:rsid w:val="00AA708F"/>
    <w:rsid w:val="00AA7FFA"/>
    <w:rsid w:val="00AB128B"/>
    <w:rsid w:val="00AB156C"/>
    <w:rsid w:val="00AB1C87"/>
    <w:rsid w:val="00AB1EFA"/>
    <w:rsid w:val="00AB30EC"/>
    <w:rsid w:val="00AB31EC"/>
    <w:rsid w:val="00AB41BE"/>
    <w:rsid w:val="00AB62FA"/>
    <w:rsid w:val="00AB72A7"/>
    <w:rsid w:val="00AB72D0"/>
    <w:rsid w:val="00AB79F9"/>
    <w:rsid w:val="00AC19C3"/>
    <w:rsid w:val="00AC2FA8"/>
    <w:rsid w:val="00AC302F"/>
    <w:rsid w:val="00AC3036"/>
    <w:rsid w:val="00AC3A1C"/>
    <w:rsid w:val="00AC3E66"/>
    <w:rsid w:val="00AC430D"/>
    <w:rsid w:val="00AC52AE"/>
    <w:rsid w:val="00AC5563"/>
    <w:rsid w:val="00AC5F88"/>
    <w:rsid w:val="00AC5FE3"/>
    <w:rsid w:val="00AC6BBD"/>
    <w:rsid w:val="00AC70A8"/>
    <w:rsid w:val="00AC70BA"/>
    <w:rsid w:val="00AC766D"/>
    <w:rsid w:val="00AD05D6"/>
    <w:rsid w:val="00AD0DFD"/>
    <w:rsid w:val="00AD1C42"/>
    <w:rsid w:val="00AD1D27"/>
    <w:rsid w:val="00AD343B"/>
    <w:rsid w:val="00AD389B"/>
    <w:rsid w:val="00AD4677"/>
    <w:rsid w:val="00AD595C"/>
    <w:rsid w:val="00AD7B87"/>
    <w:rsid w:val="00AE1136"/>
    <w:rsid w:val="00AE1DDB"/>
    <w:rsid w:val="00AE3C0A"/>
    <w:rsid w:val="00AE5848"/>
    <w:rsid w:val="00AE5A3F"/>
    <w:rsid w:val="00AE5DF2"/>
    <w:rsid w:val="00AE6C4C"/>
    <w:rsid w:val="00AE7560"/>
    <w:rsid w:val="00AE769E"/>
    <w:rsid w:val="00AE7AE2"/>
    <w:rsid w:val="00AF2B06"/>
    <w:rsid w:val="00AF2DC3"/>
    <w:rsid w:val="00AF2E84"/>
    <w:rsid w:val="00AF360D"/>
    <w:rsid w:val="00AF47AE"/>
    <w:rsid w:val="00B01871"/>
    <w:rsid w:val="00B0250F"/>
    <w:rsid w:val="00B03B99"/>
    <w:rsid w:val="00B03CCD"/>
    <w:rsid w:val="00B04D7B"/>
    <w:rsid w:val="00B0517B"/>
    <w:rsid w:val="00B0524D"/>
    <w:rsid w:val="00B059F2"/>
    <w:rsid w:val="00B06BBC"/>
    <w:rsid w:val="00B06C56"/>
    <w:rsid w:val="00B0742A"/>
    <w:rsid w:val="00B076AF"/>
    <w:rsid w:val="00B10F0B"/>
    <w:rsid w:val="00B11265"/>
    <w:rsid w:val="00B112A6"/>
    <w:rsid w:val="00B112F1"/>
    <w:rsid w:val="00B11DC8"/>
    <w:rsid w:val="00B124CB"/>
    <w:rsid w:val="00B13778"/>
    <w:rsid w:val="00B139C6"/>
    <w:rsid w:val="00B13F96"/>
    <w:rsid w:val="00B151A3"/>
    <w:rsid w:val="00B16F9A"/>
    <w:rsid w:val="00B179B4"/>
    <w:rsid w:val="00B20287"/>
    <w:rsid w:val="00B20869"/>
    <w:rsid w:val="00B208A5"/>
    <w:rsid w:val="00B21E37"/>
    <w:rsid w:val="00B2282C"/>
    <w:rsid w:val="00B2390D"/>
    <w:rsid w:val="00B24C81"/>
    <w:rsid w:val="00B25465"/>
    <w:rsid w:val="00B25E19"/>
    <w:rsid w:val="00B30319"/>
    <w:rsid w:val="00B30EB8"/>
    <w:rsid w:val="00B31144"/>
    <w:rsid w:val="00B312AD"/>
    <w:rsid w:val="00B313B3"/>
    <w:rsid w:val="00B315E5"/>
    <w:rsid w:val="00B3251A"/>
    <w:rsid w:val="00B32E01"/>
    <w:rsid w:val="00B341CD"/>
    <w:rsid w:val="00B34627"/>
    <w:rsid w:val="00B349D1"/>
    <w:rsid w:val="00B34FD7"/>
    <w:rsid w:val="00B354E6"/>
    <w:rsid w:val="00B35C9A"/>
    <w:rsid w:val="00B36C85"/>
    <w:rsid w:val="00B40594"/>
    <w:rsid w:val="00B406A1"/>
    <w:rsid w:val="00B40DBB"/>
    <w:rsid w:val="00B41168"/>
    <w:rsid w:val="00B4261E"/>
    <w:rsid w:val="00B42869"/>
    <w:rsid w:val="00B4302B"/>
    <w:rsid w:val="00B448E2"/>
    <w:rsid w:val="00B45E15"/>
    <w:rsid w:val="00B45FBA"/>
    <w:rsid w:val="00B4673E"/>
    <w:rsid w:val="00B47F26"/>
    <w:rsid w:val="00B50AFC"/>
    <w:rsid w:val="00B50D7C"/>
    <w:rsid w:val="00B5190F"/>
    <w:rsid w:val="00B53197"/>
    <w:rsid w:val="00B53490"/>
    <w:rsid w:val="00B54527"/>
    <w:rsid w:val="00B55787"/>
    <w:rsid w:val="00B56F1F"/>
    <w:rsid w:val="00B57E5C"/>
    <w:rsid w:val="00B60600"/>
    <w:rsid w:val="00B61F3C"/>
    <w:rsid w:val="00B62B8B"/>
    <w:rsid w:val="00B63F04"/>
    <w:rsid w:val="00B6658F"/>
    <w:rsid w:val="00B66F68"/>
    <w:rsid w:val="00B67604"/>
    <w:rsid w:val="00B70CFD"/>
    <w:rsid w:val="00B70D63"/>
    <w:rsid w:val="00B71674"/>
    <w:rsid w:val="00B72203"/>
    <w:rsid w:val="00B72EBC"/>
    <w:rsid w:val="00B7303F"/>
    <w:rsid w:val="00B74C81"/>
    <w:rsid w:val="00B77DE0"/>
    <w:rsid w:val="00B80453"/>
    <w:rsid w:val="00B805AF"/>
    <w:rsid w:val="00B81D73"/>
    <w:rsid w:val="00B840D4"/>
    <w:rsid w:val="00B85647"/>
    <w:rsid w:val="00B85D2E"/>
    <w:rsid w:val="00B86B2E"/>
    <w:rsid w:val="00B90A40"/>
    <w:rsid w:val="00B921E1"/>
    <w:rsid w:val="00B92427"/>
    <w:rsid w:val="00B92980"/>
    <w:rsid w:val="00B94731"/>
    <w:rsid w:val="00B94B13"/>
    <w:rsid w:val="00B962F1"/>
    <w:rsid w:val="00B97B9C"/>
    <w:rsid w:val="00BA1B16"/>
    <w:rsid w:val="00BA3396"/>
    <w:rsid w:val="00BA5966"/>
    <w:rsid w:val="00BA5D80"/>
    <w:rsid w:val="00BA6F63"/>
    <w:rsid w:val="00BA7424"/>
    <w:rsid w:val="00BA7811"/>
    <w:rsid w:val="00BB015F"/>
    <w:rsid w:val="00BB0944"/>
    <w:rsid w:val="00BB0CEE"/>
    <w:rsid w:val="00BB42C7"/>
    <w:rsid w:val="00BB5235"/>
    <w:rsid w:val="00BB6344"/>
    <w:rsid w:val="00BB6E5A"/>
    <w:rsid w:val="00BB6F5D"/>
    <w:rsid w:val="00BB7AA6"/>
    <w:rsid w:val="00BB7BE1"/>
    <w:rsid w:val="00BC0328"/>
    <w:rsid w:val="00BC07B5"/>
    <w:rsid w:val="00BC0C49"/>
    <w:rsid w:val="00BC197F"/>
    <w:rsid w:val="00BC2003"/>
    <w:rsid w:val="00BC287D"/>
    <w:rsid w:val="00BC29BD"/>
    <w:rsid w:val="00BC46D1"/>
    <w:rsid w:val="00BC49CE"/>
    <w:rsid w:val="00BC4E38"/>
    <w:rsid w:val="00BC5318"/>
    <w:rsid w:val="00BC6C57"/>
    <w:rsid w:val="00BC7B98"/>
    <w:rsid w:val="00BD12E7"/>
    <w:rsid w:val="00BD1BE5"/>
    <w:rsid w:val="00BD441C"/>
    <w:rsid w:val="00BD47CA"/>
    <w:rsid w:val="00BD723C"/>
    <w:rsid w:val="00BE0CCC"/>
    <w:rsid w:val="00BE0D39"/>
    <w:rsid w:val="00BE19E3"/>
    <w:rsid w:val="00BE1D79"/>
    <w:rsid w:val="00BE2342"/>
    <w:rsid w:val="00BE55CA"/>
    <w:rsid w:val="00BE5EA0"/>
    <w:rsid w:val="00BE70D1"/>
    <w:rsid w:val="00BE74C3"/>
    <w:rsid w:val="00BF00BA"/>
    <w:rsid w:val="00BF0265"/>
    <w:rsid w:val="00BF261D"/>
    <w:rsid w:val="00BF2F1F"/>
    <w:rsid w:val="00BF2FA3"/>
    <w:rsid w:val="00BF338A"/>
    <w:rsid w:val="00BF33C3"/>
    <w:rsid w:val="00BF4690"/>
    <w:rsid w:val="00BF5157"/>
    <w:rsid w:val="00BF567D"/>
    <w:rsid w:val="00BF5844"/>
    <w:rsid w:val="00BF5C18"/>
    <w:rsid w:val="00BF6021"/>
    <w:rsid w:val="00C01819"/>
    <w:rsid w:val="00C028D3"/>
    <w:rsid w:val="00C06EDC"/>
    <w:rsid w:val="00C10517"/>
    <w:rsid w:val="00C109D7"/>
    <w:rsid w:val="00C122DF"/>
    <w:rsid w:val="00C12E39"/>
    <w:rsid w:val="00C132CF"/>
    <w:rsid w:val="00C135A3"/>
    <w:rsid w:val="00C14BC9"/>
    <w:rsid w:val="00C1506C"/>
    <w:rsid w:val="00C157E5"/>
    <w:rsid w:val="00C15CD3"/>
    <w:rsid w:val="00C161D6"/>
    <w:rsid w:val="00C164AA"/>
    <w:rsid w:val="00C16CAE"/>
    <w:rsid w:val="00C21AC5"/>
    <w:rsid w:val="00C21C27"/>
    <w:rsid w:val="00C21F68"/>
    <w:rsid w:val="00C21FD2"/>
    <w:rsid w:val="00C231CA"/>
    <w:rsid w:val="00C244D9"/>
    <w:rsid w:val="00C2459B"/>
    <w:rsid w:val="00C25525"/>
    <w:rsid w:val="00C26701"/>
    <w:rsid w:val="00C27A51"/>
    <w:rsid w:val="00C306DB"/>
    <w:rsid w:val="00C32333"/>
    <w:rsid w:val="00C32577"/>
    <w:rsid w:val="00C325D0"/>
    <w:rsid w:val="00C33922"/>
    <w:rsid w:val="00C33980"/>
    <w:rsid w:val="00C33A78"/>
    <w:rsid w:val="00C343E2"/>
    <w:rsid w:val="00C37E34"/>
    <w:rsid w:val="00C40155"/>
    <w:rsid w:val="00C40F6C"/>
    <w:rsid w:val="00C418A7"/>
    <w:rsid w:val="00C41F44"/>
    <w:rsid w:val="00C43378"/>
    <w:rsid w:val="00C4497C"/>
    <w:rsid w:val="00C45632"/>
    <w:rsid w:val="00C45E52"/>
    <w:rsid w:val="00C500F9"/>
    <w:rsid w:val="00C5060E"/>
    <w:rsid w:val="00C5069E"/>
    <w:rsid w:val="00C51312"/>
    <w:rsid w:val="00C52BB1"/>
    <w:rsid w:val="00C5357F"/>
    <w:rsid w:val="00C55778"/>
    <w:rsid w:val="00C564D8"/>
    <w:rsid w:val="00C57A5F"/>
    <w:rsid w:val="00C57DD5"/>
    <w:rsid w:val="00C57FFB"/>
    <w:rsid w:val="00C611C7"/>
    <w:rsid w:val="00C61A82"/>
    <w:rsid w:val="00C63946"/>
    <w:rsid w:val="00C642B7"/>
    <w:rsid w:val="00C6463F"/>
    <w:rsid w:val="00C6469C"/>
    <w:rsid w:val="00C66736"/>
    <w:rsid w:val="00C66B30"/>
    <w:rsid w:val="00C70336"/>
    <w:rsid w:val="00C70EC0"/>
    <w:rsid w:val="00C71578"/>
    <w:rsid w:val="00C7190A"/>
    <w:rsid w:val="00C740DB"/>
    <w:rsid w:val="00C7462A"/>
    <w:rsid w:val="00C74AA1"/>
    <w:rsid w:val="00C75120"/>
    <w:rsid w:val="00C758AF"/>
    <w:rsid w:val="00C7672E"/>
    <w:rsid w:val="00C768FF"/>
    <w:rsid w:val="00C81935"/>
    <w:rsid w:val="00C81E98"/>
    <w:rsid w:val="00C83E03"/>
    <w:rsid w:val="00C8428B"/>
    <w:rsid w:val="00C848A8"/>
    <w:rsid w:val="00C850EF"/>
    <w:rsid w:val="00C8522C"/>
    <w:rsid w:val="00C85BD7"/>
    <w:rsid w:val="00C87267"/>
    <w:rsid w:val="00C913FD"/>
    <w:rsid w:val="00C926BC"/>
    <w:rsid w:val="00C94BE7"/>
    <w:rsid w:val="00C94EA9"/>
    <w:rsid w:val="00C94FF3"/>
    <w:rsid w:val="00C9577E"/>
    <w:rsid w:val="00C95B25"/>
    <w:rsid w:val="00CA04C8"/>
    <w:rsid w:val="00CA05D8"/>
    <w:rsid w:val="00CA0743"/>
    <w:rsid w:val="00CA0D02"/>
    <w:rsid w:val="00CA18C5"/>
    <w:rsid w:val="00CA1A23"/>
    <w:rsid w:val="00CA1F1A"/>
    <w:rsid w:val="00CA3CEA"/>
    <w:rsid w:val="00CA4DE3"/>
    <w:rsid w:val="00CA5D65"/>
    <w:rsid w:val="00CA6829"/>
    <w:rsid w:val="00CB234B"/>
    <w:rsid w:val="00CB35F6"/>
    <w:rsid w:val="00CB5733"/>
    <w:rsid w:val="00CB5890"/>
    <w:rsid w:val="00CB5E64"/>
    <w:rsid w:val="00CB6D65"/>
    <w:rsid w:val="00CB736C"/>
    <w:rsid w:val="00CC0531"/>
    <w:rsid w:val="00CC0767"/>
    <w:rsid w:val="00CC20AD"/>
    <w:rsid w:val="00CC2879"/>
    <w:rsid w:val="00CC31FF"/>
    <w:rsid w:val="00CC3622"/>
    <w:rsid w:val="00CC48F0"/>
    <w:rsid w:val="00CC4ACC"/>
    <w:rsid w:val="00CC691B"/>
    <w:rsid w:val="00CC787F"/>
    <w:rsid w:val="00CD010D"/>
    <w:rsid w:val="00CD0801"/>
    <w:rsid w:val="00CD0D18"/>
    <w:rsid w:val="00CD2D83"/>
    <w:rsid w:val="00CD3F2E"/>
    <w:rsid w:val="00CD5552"/>
    <w:rsid w:val="00CD5742"/>
    <w:rsid w:val="00CD6A41"/>
    <w:rsid w:val="00CD6CE1"/>
    <w:rsid w:val="00CE1478"/>
    <w:rsid w:val="00CE1706"/>
    <w:rsid w:val="00CE1F17"/>
    <w:rsid w:val="00CE26C6"/>
    <w:rsid w:val="00CE39AA"/>
    <w:rsid w:val="00CE3F82"/>
    <w:rsid w:val="00CE3FBD"/>
    <w:rsid w:val="00CE4E05"/>
    <w:rsid w:val="00CE5777"/>
    <w:rsid w:val="00CE6F29"/>
    <w:rsid w:val="00CE7C7F"/>
    <w:rsid w:val="00CF025F"/>
    <w:rsid w:val="00CF0A47"/>
    <w:rsid w:val="00CF1C7D"/>
    <w:rsid w:val="00CF37A9"/>
    <w:rsid w:val="00CF3AE4"/>
    <w:rsid w:val="00CF5531"/>
    <w:rsid w:val="00CF67D1"/>
    <w:rsid w:val="00CF6A36"/>
    <w:rsid w:val="00CF6FCF"/>
    <w:rsid w:val="00CF7082"/>
    <w:rsid w:val="00CF7F07"/>
    <w:rsid w:val="00D00405"/>
    <w:rsid w:val="00D00B9D"/>
    <w:rsid w:val="00D01583"/>
    <w:rsid w:val="00D01AF4"/>
    <w:rsid w:val="00D01BC5"/>
    <w:rsid w:val="00D0496D"/>
    <w:rsid w:val="00D05C41"/>
    <w:rsid w:val="00D1129C"/>
    <w:rsid w:val="00D1277C"/>
    <w:rsid w:val="00D13727"/>
    <w:rsid w:val="00D14482"/>
    <w:rsid w:val="00D14CA8"/>
    <w:rsid w:val="00D14E4C"/>
    <w:rsid w:val="00D1563E"/>
    <w:rsid w:val="00D1601D"/>
    <w:rsid w:val="00D16615"/>
    <w:rsid w:val="00D166EB"/>
    <w:rsid w:val="00D16DEF"/>
    <w:rsid w:val="00D17587"/>
    <w:rsid w:val="00D17D86"/>
    <w:rsid w:val="00D20069"/>
    <w:rsid w:val="00D211AF"/>
    <w:rsid w:val="00D268C3"/>
    <w:rsid w:val="00D30087"/>
    <w:rsid w:val="00D31A3D"/>
    <w:rsid w:val="00D327B2"/>
    <w:rsid w:val="00D32834"/>
    <w:rsid w:val="00D32BF5"/>
    <w:rsid w:val="00D3319C"/>
    <w:rsid w:val="00D33732"/>
    <w:rsid w:val="00D33A05"/>
    <w:rsid w:val="00D3551C"/>
    <w:rsid w:val="00D41E7E"/>
    <w:rsid w:val="00D44269"/>
    <w:rsid w:val="00D44772"/>
    <w:rsid w:val="00D44F70"/>
    <w:rsid w:val="00D465D2"/>
    <w:rsid w:val="00D46903"/>
    <w:rsid w:val="00D4777C"/>
    <w:rsid w:val="00D47E0E"/>
    <w:rsid w:val="00D47FF3"/>
    <w:rsid w:val="00D51ACD"/>
    <w:rsid w:val="00D5218F"/>
    <w:rsid w:val="00D54520"/>
    <w:rsid w:val="00D54688"/>
    <w:rsid w:val="00D547A2"/>
    <w:rsid w:val="00D550F8"/>
    <w:rsid w:val="00D5519A"/>
    <w:rsid w:val="00D601E8"/>
    <w:rsid w:val="00D62530"/>
    <w:rsid w:val="00D63BA3"/>
    <w:rsid w:val="00D64909"/>
    <w:rsid w:val="00D651EB"/>
    <w:rsid w:val="00D66DF1"/>
    <w:rsid w:val="00D67C07"/>
    <w:rsid w:val="00D7012F"/>
    <w:rsid w:val="00D714D0"/>
    <w:rsid w:val="00D7356D"/>
    <w:rsid w:val="00D74567"/>
    <w:rsid w:val="00D74821"/>
    <w:rsid w:val="00D74FAE"/>
    <w:rsid w:val="00D75584"/>
    <w:rsid w:val="00D75A83"/>
    <w:rsid w:val="00D75CCE"/>
    <w:rsid w:val="00D76E71"/>
    <w:rsid w:val="00D82BF3"/>
    <w:rsid w:val="00D843A3"/>
    <w:rsid w:val="00D84E90"/>
    <w:rsid w:val="00D86386"/>
    <w:rsid w:val="00D913E4"/>
    <w:rsid w:val="00D9200D"/>
    <w:rsid w:val="00D923A9"/>
    <w:rsid w:val="00D930E7"/>
    <w:rsid w:val="00D94375"/>
    <w:rsid w:val="00D95366"/>
    <w:rsid w:val="00D95441"/>
    <w:rsid w:val="00D95954"/>
    <w:rsid w:val="00D95995"/>
    <w:rsid w:val="00D9681E"/>
    <w:rsid w:val="00D97115"/>
    <w:rsid w:val="00D9735E"/>
    <w:rsid w:val="00D97C45"/>
    <w:rsid w:val="00DA1CB8"/>
    <w:rsid w:val="00DA27A0"/>
    <w:rsid w:val="00DA554A"/>
    <w:rsid w:val="00DA59B8"/>
    <w:rsid w:val="00DA61E5"/>
    <w:rsid w:val="00DA63E7"/>
    <w:rsid w:val="00DA747B"/>
    <w:rsid w:val="00DB020D"/>
    <w:rsid w:val="00DB076F"/>
    <w:rsid w:val="00DB191A"/>
    <w:rsid w:val="00DB1C4A"/>
    <w:rsid w:val="00DB1EEF"/>
    <w:rsid w:val="00DB2B6D"/>
    <w:rsid w:val="00DB2C63"/>
    <w:rsid w:val="00DB4B26"/>
    <w:rsid w:val="00DB4EBB"/>
    <w:rsid w:val="00DB57A3"/>
    <w:rsid w:val="00DB6A6F"/>
    <w:rsid w:val="00DC17F7"/>
    <w:rsid w:val="00DC1FE4"/>
    <w:rsid w:val="00DC301A"/>
    <w:rsid w:val="00DC36AD"/>
    <w:rsid w:val="00DC4506"/>
    <w:rsid w:val="00DC4A68"/>
    <w:rsid w:val="00DC6E45"/>
    <w:rsid w:val="00DC6F07"/>
    <w:rsid w:val="00DC780E"/>
    <w:rsid w:val="00DD0DD4"/>
    <w:rsid w:val="00DD0FF0"/>
    <w:rsid w:val="00DD20E1"/>
    <w:rsid w:val="00DD29D0"/>
    <w:rsid w:val="00DD316F"/>
    <w:rsid w:val="00DD36BF"/>
    <w:rsid w:val="00DD37D3"/>
    <w:rsid w:val="00DD3DA4"/>
    <w:rsid w:val="00DD3F4F"/>
    <w:rsid w:val="00DD46D9"/>
    <w:rsid w:val="00DD50BE"/>
    <w:rsid w:val="00DD6890"/>
    <w:rsid w:val="00DD71CF"/>
    <w:rsid w:val="00DE0BAA"/>
    <w:rsid w:val="00DE18B9"/>
    <w:rsid w:val="00DE1AB1"/>
    <w:rsid w:val="00DE1C83"/>
    <w:rsid w:val="00DE24D4"/>
    <w:rsid w:val="00DE3491"/>
    <w:rsid w:val="00DE5BC3"/>
    <w:rsid w:val="00DE62F4"/>
    <w:rsid w:val="00DE717E"/>
    <w:rsid w:val="00DE7EC2"/>
    <w:rsid w:val="00DE7EE4"/>
    <w:rsid w:val="00DF040C"/>
    <w:rsid w:val="00DF1086"/>
    <w:rsid w:val="00DF1CD6"/>
    <w:rsid w:val="00DF2425"/>
    <w:rsid w:val="00DF3396"/>
    <w:rsid w:val="00DF34D4"/>
    <w:rsid w:val="00DF383D"/>
    <w:rsid w:val="00DF427F"/>
    <w:rsid w:val="00DF4829"/>
    <w:rsid w:val="00DF49AE"/>
    <w:rsid w:val="00DF5618"/>
    <w:rsid w:val="00DF5A10"/>
    <w:rsid w:val="00E00878"/>
    <w:rsid w:val="00E01829"/>
    <w:rsid w:val="00E022AB"/>
    <w:rsid w:val="00E02392"/>
    <w:rsid w:val="00E02B8A"/>
    <w:rsid w:val="00E06441"/>
    <w:rsid w:val="00E12C25"/>
    <w:rsid w:val="00E13D93"/>
    <w:rsid w:val="00E14D78"/>
    <w:rsid w:val="00E14ECA"/>
    <w:rsid w:val="00E1540E"/>
    <w:rsid w:val="00E15C27"/>
    <w:rsid w:val="00E165ED"/>
    <w:rsid w:val="00E17734"/>
    <w:rsid w:val="00E17861"/>
    <w:rsid w:val="00E203B2"/>
    <w:rsid w:val="00E20A8B"/>
    <w:rsid w:val="00E2113A"/>
    <w:rsid w:val="00E21F31"/>
    <w:rsid w:val="00E23CD1"/>
    <w:rsid w:val="00E25C45"/>
    <w:rsid w:val="00E2787B"/>
    <w:rsid w:val="00E30F80"/>
    <w:rsid w:val="00E313F0"/>
    <w:rsid w:val="00E31EAD"/>
    <w:rsid w:val="00E328C8"/>
    <w:rsid w:val="00E32F65"/>
    <w:rsid w:val="00E34059"/>
    <w:rsid w:val="00E35870"/>
    <w:rsid w:val="00E35A09"/>
    <w:rsid w:val="00E35E63"/>
    <w:rsid w:val="00E40DA4"/>
    <w:rsid w:val="00E41720"/>
    <w:rsid w:val="00E41C48"/>
    <w:rsid w:val="00E41F5A"/>
    <w:rsid w:val="00E42BEF"/>
    <w:rsid w:val="00E438AF"/>
    <w:rsid w:val="00E442F4"/>
    <w:rsid w:val="00E45120"/>
    <w:rsid w:val="00E45212"/>
    <w:rsid w:val="00E479BF"/>
    <w:rsid w:val="00E506C8"/>
    <w:rsid w:val="00E509BB"/>
    <w:rsid w:val="00E51663"/>
    <w:rsid w:val="00E52820"/>
    <w:rsid w:val="00E52CFF"/>
    <w:rsid w:val="00E53067"/>
    <w:rsid w:val="00E53EC4"/>
    <w:rsid w:val="00E541F4"/>
    <w:rsid w:val="00E54624"/>
    <w:rsid w:val="00E54EF7"/>
    <w:rsid w:val="00E5670D"/>
    <w:rsid w:val="00E56A81"/>
    <w:rsid w:val="00E57DB6"/>
    <w:rsid w:val="00E61EB1"/>
    <w:rsid w:val="00E61F7C"/>
    <w:rsid w:val="00E622A3"/>
    <w:rsid w:val="00E6743F"/>
    <w:rsid w:val="00E67742"/>
    <w:rsid w:val="00E67830"/>
    <w:rsid w:val="00E678DC"/>
    <w:rsid w:val="00E706A0"/>
    <w:rsid w:val="00E70DA8"/>
    <w:rsid w:val="00E71433"/>
    <w:rsid w:val="00E71756"/>
    <w:rsid w:val="00E718E9"/>
    <w:rsid w:val="00E71EB0"/>
    <w:rsid w:val="00E724A4"/>
    <w:rsid w:val="00E72642"/>
    <w:rsid w:val="00E7332D"/>
    <w:rsid w:val="00E73558"/>
    <w:rsid w:val="00E73969"/>
    <w:rsid w:val="00E752BA"/>
    <w:rsid w:val="00E75A2F"/>
    <w:rsid w:val="00E75ED2"/>
    <w:rsid w:val="00E80961"/>
    <w:rsid w:val="00E8189D"/>
    <w:rsid w:val="00E84094"/>
    <w:rsid w:val="00E8424F"/>
    <w:rsid w:val="00E845C0"/>
    <w:rsid w:val="00E868E7"/>
    <w:rsid w:val="00E87710"/>
    <w:rsid w:val="00E8783E"/>
    <w:rsid w:val="00E87DEA"/>
    <w:rsid w:val="00E87DEC"/>
    <w:rsid w:val="00E90D8B"/>
    <w:rsid w:val="00E90EE8"/>
    <w:rsid w:val="00E9216E"/>
    <w:rsid w:val="00E9264D"/>
    <w:rsid w:val="00E9281A"/>
    <w:rsid w:val="00E94729"/>
    <w:rsid w:val="00E94D7B"/>
    <w:rsid w:val="00E96238"/>
    <w:rsid w:val="00E96B34"/>
    <w:rsid w:val="00EA013E"/>
    <w:rsid w:val="00EA1DDF"/>
    <w:rsid w:val="00EA33AD"/>
    <w:rsid w:val="00EA3575"/>
    <w:rsid w:val="00EA46DF"/>
    <w:rsid w:val="00EA54E4"/>
    <w:rsid w:val="00EA58DC"/>
    <w:rsid w:val="00EA5A94"/>
    <w:rsid w:val="00EA63E2"/>
    <w:rsid w:val="00EA6707"/>
    <w:rsid w:val="00EB0E19"/>
    <w:rsid w:val="00EB25AA"/>
    <w:rsid w:val="00EB3666"/>
    <w:rsid w:val="00EB4A43"/>
    <w:rsid w:val="00EB5CC6"/>
    <w:rsid w:val="00EB5EA1"/>
    <w:rsid w:val="00EB6372"/>
    <w:rsid w:val="00EB7715"/>
    <w:rsid w:val="00EC0D7B"/>
    <w:rsid w:val="00EC1537"/>
    <w:rsid w:val="00EC1F34"/>
    <w:rsid w:val="00EC2B18"/>
    <w:rsid w:val="00EC2D5E"/>
    <w:rsid w:val="00EC2DEA"/>
    <w:rsid w:val="00EC3447"/>
    <w:rsid w:val="00EC43A7"/>
    <w:rsid w:val="00EC59EB"/>
    <w:rsid w:val="00EC6647"/>
    <w:rsid w:val="00ED0CC8"/>
    <w:rsid w:val="00ED1EA5"/>
    <w:rsid w:val="00ED28CA"/>
    <w:rsid w:val="00ED342C"/>
    <w:rsid w:val="00ED35C5"/>
    <w:rsid w:val="00ED54E7"/>
    <w:rsid w:val="00ED556B"/>
    <w:rsid w:val="00ED6C7C"/>
    <w:rsid w:val="00ED72DF"/>
    <w:rsid w:val="00ED79F3"/>
    <w:rsid w:val="00EE0917"/>
    <w:rsid w:val="00EE0ED6"/>
    <w:rsid w:val="00EE1366"/>
    <w:rsid w:val="00EE138A"/>
    <w:rsid w:val="00EE22BD"/>
    <w:rsid w:val="00EE25C7"/>
    <w:rsid w:val="00EE2BB5"/>
    <w:rsid w:val="00EE336E"/>
    <w:rsid w:val="00EE4676"/>
    <w:rsid w:val="00EE7A9A"/>
    <w:rsid w:val="00EF1750"/>
    <w:rsid w:val="00EF425B"/>
    <w:rsid w:val="00EF42C0"/>
    <w:rsid w:val="00EF48E5"/>
    <w:rsid w:val="00EF501F"/>
    <w:rsid w:val="00F002A4"/>
    <w:rsid w:val="00F00C04"/>
    <w:rsid w:val="00F013F3"/>
    <w:rsid w:val="00F03242"/>
    <w:rsid w:val="00F054BD"/>
    <w:rsid w:val="00F0570C"/>
    <w:rsid w:val="00F06EE1"/>
    <w:rsid w:val="00F0712E"/>
    <w:rsid w:val="00F106F5"/>
    <w:rsid w:val="00F1082E"/>
    <w:rsid w:val="00F12214"/>
    <w:rsid w:val="00F13BE0"/>
    <w:rsid w:val="00F144A1"/>
    <w:rsid w:val="00F1535D"/>
    <w:rsid w:val="00F204BF"/>
    <w:rsid w:val="00F225DB"/>
    <w:rsid w:val="00F22957"/>
    <w:rsid w:val="00F258A6"/>
    <w:rsid w:val="00F25A53"/>
    <w:rsid w:val="00F26A4E"/>
    <w:rsid w:val="00F27287"/>
    <w:rsid w:val="00F27F8D"/>
    <w:rsid w:val="00F3084D"/>
    <w:rsid w:val="00F30947"/>
    <w:rsid w:val="00F3191C"/>
    <w:rsid w:val="00F31ACF"/>
    <w:rsid w:val="00F33290"/>
    <w:rsid w:val="00F33E53"/>
    <w:rsid w:val="00F33E5D"/>
    <w:rsid w:val="00F33EE8"/>
    <w:rsid w:val="00F34758"/>
    <w:rsid w:val="00F3501A"/>
    <w:rsid w:val="00F355C1"/>
    <w:rsid w:val="00F369F9"/>
    <w:rsid w:val="00F37328"/>
    <w:rsid w:val="00F4245E"/>
    <w:rsid w:val="00F459F5"/>
    <w:rsid w:val="00F46CAD"/>
    <w:rsid w:val="00F46E3A"/>
    <w:rsid w:val="00F51559"/>
    <w:rsid w:val="00F51CA8"/>
    <w:rsid w:val="00F5242F"/>
    <w:rsid w:val="00F53615"/>
    <w:rsid w:val="00F53735"/>
    <w:rsid w:val="00F5499A"/>
    <w:rsid w:val="00F55BE1"/>
    <w:rsid w:val="00F57C85"/>
    <w:rsid w:val="00F57D29"/>
    <w:rsid w:val="00F57DC2"/>
    <w:rsid w:val="00F64DB9"/>
    <w:rsid w:val="00F654B9"/>
    <w:rsid w:val="00F65E82"/>
    <w:rsid w:val="00F6688B"/>
    <w:rsid w:val="00F66E63"/>
    <w:rsid w:val="00F66EAF"/>
    <w:rsid w:val="00F67C09"/>
    <w:rsid w:val="00F7230E"/>
    <w:rsid w:val="00F729DB"/>
    <w:rsid w:val="00F72D08"/>
    <w:rsid w:val="00F75BE2"/>
    <w:rsid w:val="00F75E7F"/>
    <w:rsid w:val="00F76F2C"/>
    <w:rsid w:val="00F81F9B"/>
    <w:rsid w:val="00F82419"/>
    <w:rsid w:val="00F82E05"/>
    <w:rsid w:val="00F84640"/>
    <w:rsid w:val="00F84F1D"/>
    <w:rsid w:val="00F852AD"/>
    <w:rsid w:val="00F868DC"/>
    <w:rsid w:val="00F86E16"/>
    <w:rsid w:val="00F873E0"/>
    <w:rsid w:val="00F903D8"/>
    <w:rsid w:val="00F906C6"/>
    <w:rsid w:val="00F91A83"/>
    <w:rsid w:val="00F95003"/>
    <w:rsid w:val="00FA03FF"/>
    <w:rsid w:val="00FA136C"/>
    <w:rsid w:val="00FA28B7"/>
    <w:rsid w:val="00FA299E"/>
    <w:rsid w:val="00FA2F56"/>
    <w:rsid w:val="00FA2FE8"/>
    <w:rsid w:val="00FA30DA"/>
    <w:rsid w:val="00FA3504"/>
    <w:rsid w:val="00FA4947"/>
    <w:rsid w:val="00FA4C1C"/>
    <w:rsid w:val="00FA4D43"/>
    <w:rsid w:val="00FA51BB"/>
    <w:rsid w:val="00FA5929"/>
    <w:rsid w:val="00FA6576"/>
    <w:rsid w:val="00FA6752"/>
    <w:rsid w:val="00FA6B94"/>
    <w:rsid w:val="00FB003F"/>
    <w:rsid w:val="00FB1E57"/>
    <w:rsid w:val="00FB32D8"/>
    <w:rsid w:val="00FB4B00"/>
    <w:rsid w:val="00FB4B50"/>
    <w:rsid w:val="00FB6AB7"/>
    <w:rsid w:val="00FB796F"/>
    <w:rsid w:val="00FB7DEC"/>
    <w:rsid w:val="00FC03FB"/>
    <w:rsid w:val="00FC16CB"/>
    <w:rsid w:val="00FC1DE7"/>
    <w:rsid w:val="00FC274C"/>
    <w:rsid w:val="00FC28A8"/>
    <w:rsid w:val="00FC3DAD"/>
    <w:rsid w:val="00FC3FEE"/>
    <w:rsid w:val="00FC41FA"/>
    <w:rsid w:val="00FC4820"/>
    <w:rsid w:val="00FC4A4A"/>
    <w:rsid w:val="00FC6A89"/>
    <w:rsid w:val="00FC7158"/>
    <w:rsid w:val="00FC7865"/>
    <w:rsid w:val="00FC7F98"/>
    <w:rsid w:val="00FD15D6"/>
    <w:rsid w:val="00FD1621"/>
    <w:rsid w:val="00FD2A21"/>
    <w:rsid w:val="00FD2EDB"/>
    <w:rsid w:val="00FD3528"/>
    <w:rsid w:val="00FD408C"/>
    <w:rsid w:val="00FD41D7"/>
    <w:rsid w:val="00FD49B1"/>
    <w:rsid w:val="00FD51CF"/>
    <w:rsid w:val="00FD545D"/>
    <w:rsid w:val="00FD77AF"/>
    <w:rsid w:val="00FE166C"/>
    <w:rsid w:val="00FE2E3E"/>
    <w:rsid w:val="00FE380B"/>
    <w:rsid w:val="00FE3A95"/>
    <w:rsid w:val="00FE40E2"/>
    <w:rsid w:val="00FE48CD"/>
    <w:rsid w:val="00FF0490"/>
    <w:rsid w:val="00FF37FD"/>
    <w:rsid w:val="00FF572F"/>
    <w:rsid w:val="00FF591E"/>
    <w:rsid w:val="00FF5B54"/>
    <w:rsid w:val="00FF7477"/>
    <w:rsid w:val="00FF787D"/>
    <w:rsid w:val="00FF799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9F1F3"/>
  <w15:chartTrackingRefBased/>
  <w15:docId w15:val="{67DD0144-AB31-4659-A2DC-00464E8CB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65ED"/>
    <w:pPr>
      <w:keepNext/>
      <w:keepLines/>
      <w:spacing w:before="240" w:after="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379AD"/>
    <w:pPr>
      <w:keepNext/>
      <w:keepLines/>
      <w:spacing w:before="240" w:after="2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F3090"/>
    <w:pPr>
      <w:keepNext/>
      <w:keepLines/>
      <w:spacing w:before="120" w:after="12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5E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379AD"/>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B346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4627"/>
    <w:rPr>
      <w:rFonts w:asciiTheme="majorHAnsi" w:eastAsiaTheme="majorEastAsia" w:hAnsiTheme="majorHAnsi" w:cstheme="majorBidi"/>
      <w:spacing w:val="-10"/>
      <w:kern w:val="28"/>
      <w:sz w:val="56"/>
      <w:szCs w:val="56"/>
    </w:rPr>
  </w:style>
  <w:style w:type="character" w:styleId="SubtleEmphasis">
    <w:name w:val="Subtle Emphasis"/>
    <w:basedOn w:val="DefaultParagraphFont"/>
    <w:uiPriority w:val="19"/>
    <w:qFormat/>
    <w:rsid w:val="00B34627"/>
    <w:rPr>
      <w:i/>
      <w:iCs/>
      <w:color w:val="404040" w:themeColor="text1" w:themeTint="BF"/>
    </w:rPr>
  </w:style>
  <w:style w:type="paragraph" w:styleId="Subtitle">
    <w:name w:val="Subtitle"/>
    <w:basedOn w:val="Normal"/>
    <w:next w:val="Normal"/>
    <w:link w:val="SubtitleChar"/>
    <w:uiPriority w:val="11"/>
    <w:qFormat/>
    <w:rsid w:val="00B3462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34627"/>
    <w:rPr>
      <w:rFonts w:eastAsiaTheme="minorEastAsia"/>
      <w:color w:val="5A5A5A" w:themeColor="text1" w:themeTint="A5"/>
      <w:spacing w:val="15"/>
    </w:rPr>
  </w:style>
  <w:style w:type="character" w:styleId="Hyperlink">
    <w:name w:val="Hyperlink"/>
    <w:uiPriority w:val="99"/>
    <w:unhideWhenUsed/>
    <w:rsid w:val="00B34627"/>
    <w:rPr>
      <w:color w:val="0563C1"/>
      <w:u w:val="single"/>
    </w:rPr>
  </w:style>
  <w:style w:type="character" w:styleId="CommentReference">
    <w:name w:val="annotation reference"/>
    <w:basedOn w:val="DefaultParagraphFont"/>
    <w:uiPriority w:val="99"/>
    <w:semiHidden/>
    <w:unhideWhenUsed/>
    <w:rsid w:val="00B34627"/>
    <w:rPr>
      <w:sz w:val="16"/>
      <w:szCs w:val="16"/>
    </w:rPr>
  </w:style>
  <w:style w:type="paragraph" w:styleId="CommentText">
    <w:name w:val="annotation text"/>
    <w:basedOn w:val="Normal"/>
    <w:link w:val="CommentTextChar"/>
    <w:uiPriority w:val="99"/>
    <w:unhideWhenUsed/>
    <w:rsid w:val="00B34627"/>
    <w:pPr>
      <w:spacing w:after="0" w:line="240" w:lineRule="auto"/>
      <w:jc w:val="both"/>
    </w:pPr>
    <w:rPr>
      <w:rFonts w:ascii="Times New Roman" w:eastAsia="Times New Roman" w:hAnsi="Times New Roman" w:cs="Times New Roman"/>
      <w:color w:val="000000"/>
      <w:sz w:val="20"/>
      <w:szCs w:val="20"/>
      <w:lang w:val="en-US" w:eastAsia="de-DE"/>
    </w:rPr>
  </w:style>
  <w:style w:type="character" w:customStyle="1" w:styleId="CommentTextChar">
    <w:name w:val="Comment Text Char"/>
    <w:basedOn w:val="DefaultParagraphFont"/>
    <w:link w:val="CommentText"/>
    <w:uiPriority w:val="99"/>
    <w:rsid w:val="00B34627"/>
    <w:rPr>
      <w:rFonts w:ascii="Times New Roman" w:eastAsia="Times New Roman" w:hAnsi="Times New Roman" w:cs="Times New Roman"/>
      <w:color w:val="000000"/>
      <w:sz w:val="20"/>
      <w:szCs w:val="20"/>
      <w:lang w:val="en-US" w:eastAsia="de-DE"/>
    </w:rPr>
  </w:style>
  <w:style w:type="paragraph" w:styleId="BalloonText">
    <w:name w:val="Balloon Text"/>
    <w:basedOn w:val="Normal"/>
    <w:link w:val="BalloonTextChar"/>
    <w:uiPriority w:val="99"/>
    <w:semiHidden/>
    <w:unhideWhenUsed/>
    <w:rsid w:val="00B346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627"/>
    <w:rPr>
      <w:rFonts w:ascii="Segoe UI" w:hAnsi="Segoe UI" w:cs="Segoe UI"/>
      <w:sz w:val="18"/>
      <w:szCs w:val="18"/>
    </w:rPr>
  </w:style>
  <w:style w:type="table" w:styleId="PlainTable2">
    <w:name w:val="Plain Table 2"/>
    <w:basedOn w:val="TableNormal"/>
    <w:uiPriority w:val="42"/>
    <w:rsid w:val="00B3462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B34627"/>
    <w:pPr>
      <w:ind w:left="720"/>
      <w:contextualSpacing/>
    </w:pPr>
  </w:style>
  <w:style w:type="paragraph" w:customStyle="1" w:styleId="EndNoteBibliographyTitle">
    <w:name w:val="EndNote Bibliography Title"/>
    <w:basedOn w:val="Normal"/>
    <w:link w:val="EndNoteBibliographyTitleChar"/>
    <w:rsid w:val="00977FD3"/>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77FD3"/>
    <w:rPr>
      <w:rFonts w:ascii="Calibri" w:hAnsi="Calibri" w:cs="Calibri"/>
      <w:noProof/>
      <w:lang w:val="en-US"/>
    </w:rPr>
  </w:style>
  <w:style w:type="paragraph" w:customStyle="1" w:styleId="EndNoteBibliography">
    <w:name w:val="EndNote Bibliography"/>
    <w:basedOn w:val="Normal"/>
    <w:link w:val="EndNoteBibliographyChar"/>
    <w:rsid w:val="00977FD3"/>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77FD3"/>
    <w:rPr>
      <w:rFonts w:ascii="Calibri" w:hAnsi="Calibri" w:cs="Calibri"/>
      <w:noProof/>
      <w:lang w:val="en-US"/>
    </w:rPr>
  </w:style>
  <w:style w:type="character" w:customStyle="1" w:styleId="UnresolvedMention1">
    <w:name w:val="Unresolved Mention1"/>
    <w:basedOn w:val="DefaultParagraphFont"/>
    <w:uiPriority w:val="99"/>
    <w:semiHidden/>
    <w:unhideWhenUsed/>
    <w:rsid w:val="00977FD3"/>
    <w:rPr>
      <w:color w:val="605E5C"/>
      <w:shd w:val="clear" w:color="auto" w:fill="E1DFDD"/>
    </w:rPr>
  </w:style>
  <w:style w:type="paragraph" w:styleId="Caption">
    <w:name w:val="caption"/>
    <w:basedOn w:val="Normal"/>
    <w:next w:val="Normal"/>
    <w:uiPriority w:val="35"/>
    <w:unhideWhenUsed/>
    <w:qFormat/>
    <w:rsid w:val="008B6DE5"/>
    <w:pPr>
      <w:spacing w:before="120" w:after="200" w:line="240" w:lineRule="auto"/>
    </w:pPr>
    <w:rPr>
      <w:i/>
      <w:iCs/>
      <w:color w:val="44546A" w:themeColor="text2"/>
      <w:sz w:val="18"/>
      <w:szCs w:val="18"/>
      <w:lang w:val="en-US"/>
    </w:rPr>
  </w:style>
  <w:style w:type="paragraph" w:styleId="CommentSubject">
    <w:name w:val="annotation subject"/>
    <w:basedOn w:val="CommentText"/>
    <w:next w:val="CommentText"/>
    <w:link w:val="CommentSubjectChar"/>
    <w:uiPriority w:val="99"/>
    <w:semiHidden/>
    <w:unhideWhenUsed/>
    <w:rsid w:val="007E7D98"/>
    <w:pPr>
      <w:spacing w:after="160"/>
      <w:jc w:val="left"/>
    </w:pPr>
    <w:rPr>
      <w:rFonts w:asciiTheme="minorHAnsi" w:eastAsiaTheme="minorHAnsi" w:hAnsiTheme="minorHAnsi" w:cstheme="minorBidi"/>
      <w:b/>
      <w:bCs/>
      <w:color w:val="auto"/>
      <w:lang w:val="en-AU" w:eastAsia="en-US"/>
    </w:rPr>
  </w:style>
  <w:style w:type="character" w:customStyle="1" w:styleId="CommentSubjectChar">
    <w:name w:val="Comment Subject Char"/>
    <w:basedOn w:val="CommentTextChar"/>
    <w:link w:val="CommentSubject"/>
    <w:uiPriority w:val="99"/>
    <w:semiHidden/>
    <w:rsid w:val="007E7D98"/>
    <w:rPr>
      <w:rFonts w:ascii="Times New Roman" w:eastAsia="Times New Roman" w:hAnsi="Times New Roman" w:cs="Times New Roman"/>
      <w:b/>
      <w:bCs/>
      <w:color w:val="000000"/>
      <w:sz w:val="20"/>
      <w:szCs w:val="20"/>
      <w:lang w:val="en-US" w:eastAsia="de-DE"/>
    </w:rPr>
  </w:style>
  <w:style w:type="character" w:customStyle="1" w:styleId="Heading3Char">
    <w:name w:val="Heading 3 Char"/>
    <w:basedOn w:val="DefaultParagraphFont"/>
    <w:link w:val="Heading3"/>
    <w:uiPriority w:val="9"/>
    <w:rsid w:val="004F3090"/>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FB1E5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15A0F"/>
    <w:rPr>
      <w:color w:val="954F72" w:themeColor="followedHyperlink"/>
      <w:u w:val="single"/>
    </w:rPr>
  </w:style>
  <w:style w:type="paragraph" w:styleId="Header">
    <w:name w:val="header"/>
    <w:basedOn w:val="Normal"/>
    <w:link w:val="HeaderChar"/>
    <w:uiPriority w:val="99"/>
    <w:unhideWhenUsed/>
    <w:rsid w:val="00CD6C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6CE1"/>
  </w:style>
  <w:style w:type="paragraph" w:styleId="Footer">
    <w:name w:val="footer"/>
    <w:basedOn w:val="Normal"/>
    <w:link w:val="FooterChar"/>
    <w:uiPriority w:val="99"/>
    <w:unhideWhenUsed/>
    <w:rsid w:val="00CD6C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6CE1"/>
  </w:style>
  <w:style w:type="character" w:styleId="LineNumber">
    <w:name w:val="line number"/>
    <w:basedOn w:val="DefaultParagraphFont"/>
    <w:uiPriority w:val="99"/>
    <w:semiHidden/>
    <w:unhideWhenUsed/>
    <w:rsid w:val="00275D8E"/>
  </w:style>
  <w:style w:type="paragraph" w:styleId="Revision">
    <w:name w:val="Revision"/>
    <w:hidden/>
    <w:uiPriority w:val="99"/>
    <w:semiHidden/>
    <w:rsid w:val="00D54520"/>
    <w:pPr>
      <w:spacing w:after="0" w:line="240" w:lineRule="auto"/>
    </w:pPr>
  </w:style>
  <w:style w:type="character" w:styleId="UnresolvedMention">
    <w:name w:val="Unresolved Mention"/>
    <w:basedOn w:val="DefaultParagraphFont"/>
    <w:uiPriority w:val="99"/>
    <w:semiHidden/>
    <w:unhideWhenUsed/>
    <w:rsid w:val="004E4928"/>
    <w:rPr>
      <w:color w:val="605E5C"/>
      <w:shd w:val="clear" w:color="auto" w:fill="E1DFDD"/>
    </w:rPr>
  </w:style>
  <w:style w:type="character" w:customStyle="1" w:styleId="markedcontent">
    <w:name w:val="markedcontent"/>
    <w:basedOn w:val="DefaultParagraphFont"/>
    <w:rsid w:val="00F72D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483403">
      <w:bodyDiv w:val="1"/>
      <w:marLeft w:val="0"/>
      <w:marRight w:val="0"/>
      <w:marTop w:val="0"/>
      <w:marBottom w:val="0"/>
      <w:divBdr>
        <w:top w:val="none" w:sz="0" w:space="0" w:color="auto"/>
        <w:left w:val="none" w:sz="0" w:space="0" w:color="auto"/>
        <w:bottom w:val="none" w:sz="0" w:space="0" w:color="auto"/>
        <w:right w:val="none" w:sz="0" w:space="0" w:color="auto"/>
      </w:divBdr>
    </w:div>
    <w:div w:id="207693017">
      <w:bodyDiv w:val="1"/>
      <w:marLeft w:val="0"/>
      <w:marRight w:val="0"/>
      <w:marTop w:val="0"/>
      <w:marBottom w:val="0"/>
      <w:divBdr>
        <w:top w:val="none" w:sz="0" w:space="0" w:color="auto"/>
        <w:left w:val="none" w:sz="0" w:space="0" w:color="auto"/>
        <w:bottom w:val="none" w:sz="0" w:space="0" w:color="auto"/>
        <w:right w:val="none" w:sz="0" w:space="0" w:color="auto"/>
      </w:divBdr>
    </w:div>
    <w:div w:id="232744659">
      <w:bodyDiv w:val="1"/>
      <w:marLeft w:val="0"/>
      <w:marRight w:val="0"/>
      <w:marTop w:val="0"/>
      <w:marBottom w:val="0"/>
      <w:divBdr>
        <w:top w:val="none" w:sz="0" w:space="0" w:color="auto"/>
        <w:left w:val="none" w:sz="0" w:space="0" w:color="auto"/>
        <w:bottom w:val="none" w:sz="0" w:space="0" w:color="auto"/>
        <w:right w:val="none" w:sz="0" w:space="0" w:color="auto"/>
      </w:divBdr>
    </w:div>
    <w:div w:id="237446534">
      <w:bodyDiv w:val="1"/>
      <w:marLeft w:val="0"/>
      <w:marRight w:val="0"/>
      <w:marTop w:val="0"/>
      <w:marBottom w:val="0"/>
      <w:divBdr>
        <w:top w:val="none" w:sz="0" w:space="0" w:color="auto"/>
        <w:left w:val="none" w:sz="0" w:space="0" w:color="auto"/>
        <w:bottom w:val="none" w:sz="0" w:space="0" w:color="auto"/>
        <w:right w:val="none" w:sz="0" w:space="0" w:color="auto"/>
      </w:divBdr>
    </w:div>
    <w:div w:id="290521743">
      <w:bodyDiv w:val="1"/>
      <w:marLeft w:val="0"/>
      <w:marRight w:val="0"/>
      <w:marTop w:val="0"/>
      <w:marBottom w:val="0"/>
      <w:divBdr>
        <w:top w:val="none" w:sz="0" w:space="0" w:color="auto"/>
        <w:left w:val="none" w:sz="0" w:space="0" w:color="auto"/>
        <w:bottom w:val="none" w:sz="0" w:space="0" w:color="auto"/>
        <w:right w:val="none" w:sz="0" w:space="0" w:color="auto"/>
      </w:divBdr>
    </w:div>
    <w:div w:id="315064199">
      <w:bodyDiv w:val="1"/>
      <w:marLeft w:val="0"/>
      <w:marRight w:val="0"/>
      <w:marTop w:val="0"/>
      <w:marBottom w:val="0"/>
      <w:divBdr>
        <w:top w:val="none" w:sz="0" w:space="0" w:color="auto"/>
        <w:left w:val="none" w:sz="0" w:space="0" w:color="auto"/>
        <w:bottom w:val="none" w:sz="0" w:space="0" w:color="auto"/>
        <w:right w:val="none" w:sz="0" w:space="0" w:color="auto"/>
      </w:divBdr>
    </w:div>
    <w:div w:id="358051869">
      <w:bodyDiv w:val="1"/>
      <w:marLeft w:val="0"/>
      <w:marRight w:val="0"/>
      <w:marTop w:val="0"/>
      <w:marBottom w:val="0"/>
      <w:divBdr>
        <w:top w:val="none" w:sz="0" w:space="0" w:color="auto"/>
        <w:left w:val="none" w:sz="0" w:space="0" w:color="auto"/>
        <w:bottom w:val="none" w:sz="0" w:space="0" w:color="auto"/>
        <w:right w:val="none" w:sz="0" w:space="0" w:color="auto"/>
      </w:divBdr>
    </w:div>
    <w:div w:id="656111017">
      <w:bodyDiv w:val="1"/>
      <w:marLeft w:val="0"/>
      <w:marRight w:val="0"/>
      <w:marTop w:val="0"/>
      <w:marBottom w:val="0"/>
      <w:divBdr>
        <w:top w:val="none" w:sz="0" w:space="0" w:color="auto"/>
        <w:left w:val="none" w:sz="0" w:space="0" w:color="auto"/>
        <w:bottom w:val="none" w:sz="0" w:space="0" w:color="auto"/>
        <w:right w:val="none" w:sz="0" w:space="0" w:color="auto"/>
      </w:divBdr>
    </w:div>
    <w:div w:id="658579565">
      <w:bodyDiv w:val="1"/>
      <w:marLeft w:val="0"/>
      <w:marRight w:val="0"/>
      <w:marTop w:val="0"/>
      <w:marBottom w:val="0"/>
      <w:divBdr>
        <w:top w:val="none" w:sz="0" w:space="0" w:color="auto"/>
        <w:left w:val="none" w:sz="0" w:space="0" w:color="auto"/>
        <w:bottom w:val="none" w:sz="0" w:space="0" w:color="auto"/>
        <w:right w:val="none" w:sz="0" w:space="0" w:color="auto"/>
      </w:divBdr>
    </w:div>
    <w:div w:id="666329506">
      <w:bodyDiv w:val="1"/>
      <w:marLeft w:val="0"/>
      <w:marRight w:val="0"/>
      <w:marTop w:val="0"/>
      <w:marBottom w:val="0"/>
      <w:divBdr>
        <w:top w:val="none" w:sz="0" w:space="0" w:color="auto"/>
        <w:left w:val="none" w:sz="0" w:space="0" w:color="auto"/>
        <w:bottom w:val="none" w:sz="0" w:space="0" w:color="auto"/>
        <w:right w:val="none" w:sz="0" w:space="0" w:color="auto"/>
      </w:divBdr>
    </w:div>
    <w:div w:id="689914186">
      <w:bodyDiv w:val="1"/>
      <w:marLeft w:val="0"/>
      <w:marRight w:val="0"/>
      <w:marTop w:val="0"/>
      <w:marBottom w:val="0"/>
      <w:divBdr>
        <w:top w:val="none" w:sz="0" w:space="0" w:color="auto"/>
        <w:left w:val="none" w:sz="0" w:space="0" w:color="auto"/>
        <w:bottom w:val="none" w:sz="0" w:space="0" w:color="auto"/>
        <w:right w:val="none" w:sz="0" w:space="0" w:color="auto"/>
      </w:divBdr>
    </w:div>
    <w:div w:id="715737271">
      <w:bodyDiv w:val="1"/>
      <w:marLeft w:val="0"/>
      <w:marRight w:val="0"/>
      <w:marTop w:val="0"/>
      <w:marBottom w:val="0"/>
      <w:divBdr>
        <w:top w:val="none" w:sz="0" w:space="0" w:color="auto"/>
        <w:left w:val="none" w:sz="0" w:space="0" w:color="auto"/>
        <w:bottom w:val="none" w:sz="0" w:space="0" w:color="auto"/>
        <w:right w:val="none" w:sz="0" w:space="0" w:color="auto"/>
      </w:divBdr>
    </w:div>
    <w:div w:id="752121507">
      <w:bodyDiv w:val="1"/>
      <w:marLeft w:val="0"/>
      <w:marRight w:val="0"/>
      <w:marTop w:val="0"/>
      <w:marBottom w:val="0"/>
      <w:divBdr>
        <w:top w:val="none" w:sz="0" w:space="0" w:color="auto"/>
        <w:left w:val="none" w:sz="0" w:space="0" w:color="auto"/>
        <w:bottom w:val="none" w:sz="0" w:space="0" w:color="auto"/>
        <w:right w:val="none" w:sz="0" w:space="0" w:color="auto"/>
      </w:divBdr>
    </w:div>
    <w:div w:id="877746017">
      <w:bodyDiv w:val="1"/>
      <w:marLeft w:val="0"/>
      <w:marRight w:val="0"/>
      <w:marTop w:val="0"/>
      <w:marBottom w:val="0"/>
      <w:divBdr>
        <w:top w:val="none" w:sz="0" w:space="0" w:color="auto"/>
        <w:left w:val="none" w:sz="0" w:space="0" w:color="auto"/>
        <w:bottom w:val="none" w:sz="0" w:space="0" w:color="auto"/>
        <w:right w:val="none" w:sz="0" w:space="0" w:color="auto"/>
      </w:divBdr>
    </w:div>
    <w:div w:id="953712245">
      <w:bodyDiv w:val="1"/>
      <w:marLeft w:val="0"/>
      <w:marRight w:val="0"/>
      <w:marTop w:val="0"/>
      <w:marBottom w:val="0"/>
      <w:divBdr>
        <w:top w:val="none" w:sz="0" w:space="0" w:color="auto"/>
        <w:left w:val="none" w:sz="0" w:space="0" w:color="auto"/>
        <w:bottom w:val="none" w:sz="0" w:space="0" w:color="auto"/>
        <w:right w:val="none" w:sz="0" w:space="0" w:color="auto"/>
      </w:divBdr>
    </w:div>
    <w:div w:id="1032076443">
      <w:bodyDiv w:val="1"/>
      <w:marLeft w:val="0"/>
      <w:marRight w:val="0"/>
      <w:marTop w:val="0"/>
      <w:marBottom w:val="0"/>
      <w:divBdr>
        <w:top w:val="none" w:sz="0" w:space="0" w:color="auto"/>
        <w:left w:val="none" w:sz="0" w:space="0" w:color="auto"/>
        <w:bottom w:val="none" w:sz="0" w:space="0" w:color="auto"/>
        <w:right w:val="none" w:sz="0" w:space="0" w:color="auto"/>
      </w:divBdr>
    </w:div>
    <w:div w:id="1058556051">
      <w:bodyDiv w:val="1"/>
      <w:marLeft w:val="0"/>
      <w:marRight w:val="0"/>
      <w:marTop w:val="0"/>
      <w:marBottom w:val="0"/>
      <w:divBdr>
        <w:top w:val="none" w:sz="0" w:space="0" w:color="auto"/>
        <w:left w:val="none" w:sz="0" w:space="0" w:color="auto"/>
        <w:bottom w:val="none" w:sz="0" w:space="0" w:color="auto"/>
        <w:right w:val="none" w:sz="0" w:space="0" w:color="auto"/>
      </w:divBdr>
    </w:div>
    <w:div w:id="1156143774">
      <w:bodyDiv w:val="1"/>
      <w:marLeft w:val="0"/>
      <w:marRight w:val="0"/>
      <w:marTop w:val="0"/>
      <w:marBottom w:val="0"/>
      <w:divBdr>
        <w:top w:val="none" w:sz="0" w:space="0" w:color="auto"/>
        <w:left w:val="none" w:sz="0" w:space="0" w:color="auto"/>
        <w:bottom w:val="none" w:sz="0" w:space="0" w:color="auto"/>
        <w:right w:val="none" w:sz="0" w:space="0" w:color="auto"/>
      </w:divBdr>
    </w:div>
    <w:div w:id="1448700404">
      <w:bodyDiv w:val="1"/>
      <w:marLeft w:val="0"/>
      <w:marRight w:val="0"/>
      <w:marTop w:val="0"/>
      <w:marBottom w:val="0"/>
      <w:divBdr>
        <w:top w:val="none" w:sz="0" w:space="0" w:color="auto"/>
        <w:left w:val="none" w:sz="0" w:space="0" w:color="auto"/>
        <w:bottom w:val="none" w:sz="0" w:space="0" w:color="auto"/>
        <w:right w:val="none" w:sz="0" w:space="0" w:color="auto"/>
      </w:divBdr>
    </w:div>
    <w:div w:id="1506169792">
      <w:bodyDiv w:val="1"/>
      <w:marLeft w:val="0"/>
      <w:marRight w:val="0"/>
      <w:marTop w:val="0"/>
      <w:marBottom w:val="0"/>
      <w:divBdr>
        <w:top w:val="none" w:sz="0" w:space="0" w:color="auto"/>
        <w:left w:val="none" w:sz="0" w:space="0" w:color="auto"/>
        <w:bottom w:val="none" w:sz="0" w:space="0" w:color="auto"/>
        <w:right w:val="none" w:sz="0" w:space="0" w:color="auto"/>
      </w:divBdr>
    </w:div>
    <w:div w:id="1541893240">
      <w:bodyDiv w:val="1"/>
      <w:marLeft w:val="0"/>
      <w:marRight w:val="0"/>
      <w:marTop w:val="0"/>
      <w:marBottom w:val="0"/>
      <w:divBdr>
        <w:top w:val="none" w:sz="0" w:space="0" w:color="auto"/>
        <w:left w:val="none" w:sz="0" w:space="0" w:color="auto"/>
        <w:bottom w:val="none" w:sz="0" w:space="0" w:color="auto"/>
        <w:right w:val="none" w:sz="0" w:space="0" w:color="auto"/>
      </w:divBdr>
    </w:div>
    <w:div w:id="1564871671">
      <w:bodyDiv w:val="1"/>
      <w:marLeft w:val="0"/>
      <w:marRight w:val="0"/>
      <w:marTop w:val="0"/>
      <w:marBottom w:val="0"/>
      <w:divBdr>
        <w:top w:val="none" w:sz="0" w:space="0" w:color="auto"/>
        <w:left w:val="none" w:sz="0" w:space="0" w:color="auto"/>
        <w:bottom w:val="none" w:sz="0" w:space="0" w:color="auto"/>
        <w:right w:val="none" w:sz="0" w:space="0" w:color="auto"/>
      </w:divBdr>
    </w:div>
    <w:div w:id="1629506852">
      <w:bodyDiv w:val="1"/>
      <w:marLeft w:val="0"/>
      <w:marRight w:val="0"/>
      <w:marTop w:val="0"/>
      <w:marBottom w:val="0"/>
      <w:divBdr>
        <w:top w:val="none" w:sz="0" w:space="0" w:color="auto"/>
        <w:left w:val="none" w:sz="0" w:space="0" w:color="auto"/>
        <w:bottom w:val="none" w:sz="0" w:space="0" w:color="auto"/>
        <w:right w:val="none" w:sz="0" w:space="0" w:color="auto"/>
      </w:divBdr>
    </w:div>
    <w:div w:id="1654867452">
      <w:bodyDiv w:val="1"/>
      <w:marLeft w:val="0"/>
      <w:marRight w:val="0"/>
      <w:marTop w:val="0"/>
      <w:marBottom w:val="0"/>
      <w:divBdr>
        <w:top w:val="none" w:sz="0" w:space="0" w:color="auto"/>
        <w:left w:val="none" w:sz="0" w:space="0" w:color="auto"/>
        <w:bottom w:val="none" w:sz="0" w:space="0" w:color="auto"/>
        <w:right w:val="none" w:sz="0" w:space="0" w:color="auto"/>
      </w:divBdr>
    </w:div>
    <w:div w:id="207280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dubbo.nsw.gov.au/Our-Region-and-Environment/Water--sewerage-and-drainage/water-management-suppl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industry.nsw.gov.au/__data/assets/pdf_file/0017/192221/macquarie-castlereagh-alluvium-appendix-a-water-resource-description.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hdl.handle.net/102.100.100/442018?index=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bom.gov.au/water/dashboards/" TargetMode="External"/><Relationship Id="rId20" Type="http://schemas.openxmlformats.org/officeDocument/2006/relationships/hyperlink" Target="https://water.dpie.nsw.gov.au/science-data-and-modelling/groundwater-management-and-science/groundwater-document-library"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bom.gov.au/water/groundwater/explorer/map.shtml" TargetMode="External"/><Relationship Id="rId23" Type="http://schemas.openxmlformats.org/officeDocument/2006/relationships/hyperlink" Target="https://waterregister.waternsw.com.au/water-register-frame" TargetMode="External"/><Relationship Id="rId10" Type="http://schemas.openxmlformats.org/officeDocument/2006/relationships/footnotes" Target="footnotes.xml"/><Relationship Id="rId19" Type="http://schemas.openxmlformats.org/officeDocument/2006/relationships/hyperlink" Target="https://www.narromine.nsw.gov.au/environment/water"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om.gov.au/waterdata/" TargetMode="External"/><Relationship Id="rId22" Type="http://schemas.openxmlformats.org/officeDocument/2006/relationships/hyperlink" Target="https://www.industry.nsw.gov.au/water/water-utilities/lwu-performance-monitoring-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318A671CD4C9D46AFD7A5368C6DADEA" ma:contentTypeVersion="10" ma:contentTypeDescription="Create a new document." ma:contentTypeScope="" ma:versionID="ce39941d755a745eda89aeb3e9ded5f8">
  <xsd:schema xmlns:xsd="http://www.w3.org/2001/XMLSchema" xmlns:xs="http://www.w3.org/2001/XMLSchema" xmlns:p="http://schemas.microsoft.com/office/2006/metadata/properties" xmlns:ns2="543a78ea-f84f-4fae-9c26-8769611ff900" xmlns:ns3="8730e33a-4c68-4088-9efd-28b1cb3ed77c" targetNamespace="http://schemas.microsoft.com/office/2006/metadata/properties" ma:root="true" ma:fieldsID="c468904624922a34676ae19d7da8b706" ns2:_="" ns3:_="">
    <xsd:import namespace="543a78ea-f84f-4fae-9c26-8769611ff900"/>
    <xsd:import namespace="8730e33a-4c68-4088-9efd-28b1cb3ed77c"/>
    <xsd:element name="properties">
      <xsd:complexType>
        <xsd:sequence>
          <xsd:element name="documentManagement">
            <xsd:complexType>
              <xsd:all>
                <xsd:element ref="ns2:MediaServiceMetadata" minOccurs="0"/>
                <xsd:element ref="ns2:MediaServiceFastMetadata"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3a78ea-f84f-4fae-9c26-8769611ff9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513c6f-d7d3-4bba-9430-ae338114780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30e33a-4c68-4088-9efd-28b1cb3ed77c"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dexed="true"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5b42d81-c8d4-4f37-8767-e4af19459ffe}" ma:internalName="TaxCatchAll" ma:showField="CatchAllData" ma:web="8730e33a-4c68-4088-9efd-28b1cb3ed7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8730e33a-4c68-4088-9efd-28b1cb3ed77c">V5HU23YC6APE-1114327349-26</_dlc_DocId>
    <_dlc_DocIdUrl xmlns="8730e33a-4c68-4088-9efd-28b1cb3ed77c">
      <Url>https://csiroau.sharepoint.com/sites/DennisPhD/_layouts/15/DocIdRedir.aspx?ID=V5HU23YC6APE-1114327349-26</Url>
      <Description>V5HU23YC6APE-1114327349-26</Description>
    </_dlc_DocIdUrl>
    <lcf76f155ced4ddcb4097134ff3c332f xmlns="543a78ea-f84f-4fae-9c26-8769611ff900">
      <Terms xmlns="http://schemas.microsoft.com/office/infopath/2007/PartnerControls"/>
    </lcf76f155ced4ddcb4097134ff3c332f>
    <TaxCatchAll xmlns="8730e33a-4c68-4088-9efd-28b1cb3ed77c" xsi:nil="true"/>
    <SharedWithUsers xmlns="8730e33a-4c68-4088-9efd-28b1cb3ed77c">
      <UserInfo>
        <DisplayName>Vanderzalm, Joanne (Environment, Waite Campus)</DisplayName>
        <AccountId>23</AccountId>
        <AccountType/>
      </UserInfo>
      <UserInfo>
        <DisplayName>Page, Declan (Environment, Waite Campus)</DisplayName>
        <AccountId>24</AccountId>
        <AccountType/>
      </UserInfo>
    </SharedWithUsers>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73E4A46-AE2A-40E5-BC4B-9514F1AC5093}">
  <ds:schemaRefs>
    <ds:schemaRef ds:uri="http://schemas.openxmlformats.org/officeDocument/2006/bibliography"/>
  </ds:schemaRefs>
</ds:datastoreItem>
</file>

<file path=customXml/itemProps2.xml><?xml version="1.0" encoding="utf-8"?>
<ds:datastoreItem xmlns:ds="http://schemas.openxmlformats.org/officeDocument/2006/customXml" ds:itemID="{D7BB773E-BC69-4F9D-BA0B-9BEA8E1C2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3a78ea-f84f-4fae-9c26-8769611ff900"/>
    <ds:schemaRef ds:uri="8730e33a-4c68-4088-9efd-28b1cb3ed7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1B5266-A6C8-4781-A8A7-24C02A4372EC}">
  <ds:schemaRefs>
    <ds:schemaRef ds:uri="http://schemas.microsoft.com/sharepoint/v3/contenttype/forms"/>
  </ds:schemaRefs>
</ds:datastoreItem>
</file>

<file path=customXml/itemProps4.xml><?xml version="1.0" encoding="utf-8"?>
<ds:datastoreItem xmlns:ds="http://schemas.openxmlformats.org/officeDocument/2006/customXml" ds:itemID="{1807D086-273F-495F-93C5-62F680795CC6}">
  <ds:schemaRefs>
    <ds:schemaRef ds:uri="http://schemas.microsoft.com/office/2006/metadata/properties"/>
    <ds:schemaRef ds:uri="http://schemas.microsoft.com/office/infopath/2007/PartnerControls"/>
    <ds:schemaRef ds:uri="8730e33a-4c68-4088-9efd-28b1cb3ed77c"/>
    <ds:schemaRef ds:uri="543a78ea-f84f-4fae-9c26-8769611ff900"/>
  </ds:schemaRefs>
</ds:datastoreItem>
</file>

<file path=customXml/itemProps5.xml><?xml version="1.0" encoding="utf-8"?>
<ds:datastoreItem xmlns:ds="http://schemas.openxmlformats.org/officeDocument/2006/customXml" ds:itemID="{99D0BCA4-E130-4F65-9ABB-6E2597628DD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10</Pages>
  <Words>9848</Words>
  <Characters>56140</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CSIRO</Company>
  <LinksUpToDate>false</LinksUpToDate>
  <CharactersWithSpaces>65857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Gonzalez, Dennis (L&amp;W, Waite Campus)</dc:creator>
  <cp:keywords/>
  <dc:description/>
  <cp:lastModifiedBy>Gonzalez, Dennis (Environment, Waite Campus)</cp:lastModifiedBy>
  <cp:revision>16</cp:revision>
  <dcterms:created xsi:type="dcterms:W3CDTF">2023-10-23T01:23:00Z</dcterms:created>
  <dcterms:modified xsi:type="dcterms:W3CDTF">2024-04-10T04:45:00Z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0x010100E318A671CD4C9D46AFD7A5368C6DADEA</vt:lpwstr>
  </property>
  <property fmtid="{D5CDD505-2E9C-101B-9397-08002B2CF9AE}" pid="3" name="_dlc_DocIdItemGuid">
    <vt:lpwstr>9c5da22b-047f-4cde-a0dc-dcdff57614a2</vt:lpwstr>
  </property>
  <property fmtid="{D5CDD505-2E9C-101B-9397-08002B2CF9AE}" pid="4" name="MediaServiceImageTags">
    <vt:lpwstr/>
  </property>
</Properties>
</file>