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B9D74" w14:textId="19076352" w:rsidR="00A04A88" w:rsidRDefault="00A04A88" w:rsidP="00D7509F">
      <w:pPr>
        <w:rPr>
          <w:rFonts w:ascii="Times New Roman" w:hAnsi="Times New Roman" w:cs="Times New Roman"/>
          <w:b/>
          <w:sz w:val="24"/>
          <w:szCs w:val="24"/>
        </w:rPr>
      </w:pPr>
      <w:r>
        <w:rPr>
          <w:rFonts w:ascii="Times New Roman" w:hAnsi="Times New Roman" w:cs="Times New Roman"/>
          <w:b/>
          <w:sz w:val="24"/>
          <w:szCs w:val="24"/>
        </w:rPr>
        <w:t>APPENDIX</w:t>
      </w:r>
    </w:p>
    <w:p w14:paraId="6FD36D77" w14:textId="64B2BC4E" w:rsidR="00D7509F" w:rsidRPr="00A04A88" w:rsidRDefault="00D7509F" w:rsidP="00A04A88">
      <w:pPr>
        <w:spacing w:after="0" w:line="240" w:lineRule="auto"/>
        <w:rPr>
          <w:rFonts w:ascii="Times New Roman" w:hAnsi="Times New Roman" w:cs="Times New Roman"/>
          <w:b/>
          <w:sz w:val="24"/>
          <w:szCs w:val="24"/>
        </w:rPr>
      </w:pPr>
      <w:r w:rsidRPr="00A04A88">
        <w:rPr>
          <w:rFonts w:ascii="Times New Roman" w:hAnsi="Times New Roman" w:cs="Times New Roman"/>
          <w:b/>
          <w:sz w:val="24"/>
          <w:szCs w:val="24"/>
        </w:rPr>
        <w:t xml:space="preserve">Table </w:t>
      </w:r>
      <w:r w:rsidR="00567959" w:rsidRPr="00A04A88">
        <w:rPr>
          <w:rFonts w:ascii="Times New Roman" w:hAnsi="Times New Roman" w:cs="Times New Roman"/>
          <w:b/>
          <w:sz w:val="24"/>
          <w:szCs w:val="24"/>
        </w:rPr>
        <w:t>A1</w:t>
      </w:r>
      <w:r w:rsidR="00B024DC" w:rsidRPr="00A04A88">
        <w:rPr>
          <w:rFonts w:ascii="Times New Roman" w:hAnsi="Times New Roman" w:cs="Times New Roman"/>
          <w:b/>
          <w:sz w:val="24"/>
          <w:szCs w:val="24"/>
        </w:rPr>
        <w:t>:</w:t>
      </w:r>
      <w:r w:rsidRPr="00A04A88">
        <w:rPr>
          <w:rFonts w:ascii="Times New Roman" w:hAnsi="Times New Roman" w:cs="Times New Roman"/>
          <w:b/>
          <w:sz w:val="24"/>
          <w:szCs w:val="24"/>
        </w:rPr>
        <w:t xml:space="preserve"> Literature on social-psychological factors and their effects on EV adoption intention.</w:t>
      </w:r>
      <w:r w:rsidR="00567959" w:rsidRPr="00A04A88">
        <w:rPr>
          <w:rFonts w:ascii="Times New Roman" w:hAnsi="Times New Roman" w:cs="Times New Roman"/>
          <w:b/>
          <w:sz w:val="24"/>
          <w:szCs w:val="24"/>
        </w:rPr>
        <w:t xml:space="preserve"> </w:t>
      </w:r>
    </w:p>
    <w:tbl>
      <w:tblPr>
        <w:tblStyle w:val="TableGrid"/>
        <w:tblW w:w="14040" w:type="dxa"/>
        <w:tblLook w:val="04A0" w:firstRow="1" w:lastRow="0" w:firstColumn="1" w:lastColumn="0" w:noHBand="0" w:noVBand="1"/>
      </w:tblPr>
      <w:tblGrid>
        <w:gridCol w:w="1323"/>
        <w:gridCol w:w="1570"/>
        <w:gridCol w:w="1083"/>
        <w:gridCol w:w="1602"/>
        <w:gridCol w:w="3210"/>
        <w:gridCol w:w="1430"/>
        <w:gridCol w:w="3822"/>
      </w:tblGrid>
      <w:tr w:rsidR="00D7509F" w:rsidRPr="00B024DC" w14:paraId="385A27FC" w14:textId="77777777" w:rsidTr="00154A73">
        <w:trPr>
          <w:tblHeader/>
        </w:trPr>
        <w:tc>
          <w:tcPr>
            <w:tcW w:w="1193" w:type="dxa"/>
            <w:tcBorders>
              <w:top w:val="single" w:sz="12" w:space="0" w:color="auto"/>
              <w:left w:val="nil"/>
              <w:bottom w:val="single" w:sz="12" w:space="0" w:color="auto"/>
              <w:right w:val="nil"/>
            </w:tcBorders>
          </w:tcPr>
          <w:p w14:paraId="1D1B6A2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Authors</w:t>
            </w:r>
          </w:p>
        </w:tc>
        <w:tc>
          <w:tcPr>
            <w:tcW w:w="1597" w:type="dxa"/>
            <w:tcBorders>
              <w:top w:val="single" w:sz="12" w:space="0" w:color="auto"/>
              <w:left w:val="nil"/>
              <w:bottom w:val="single" w:sz="12" w:space="0" w:color="auto"/>
              <w:right w:val="nil"/>
            </w:tcBorders>
          </w:tcPr>
          <w:p w14:paraId="3FC4918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Theories</w:t>
            </w:r>
          </w:p>
        </w:tc>
        <w:tc>
          <w:tcPr>
            <w:tcW w:w="2478" w:type="dxa"/>
            <w:gridSpan w:val="2"/>
            <w:tcBorders>
              <w:top w:val="single" w:sz="12" w:space="0" w:color="auto"/>
              <w:left w:val="nil"/>
              <w:bottom w:val="single" w:sz="12" w:space="0" w:color="auto"/>
              <w:right w:val="nil"/>
            </w:tcBorders>
          </w:tcPr>
          <w:p w14:paraId="730F60F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Constructs</w:t>
            </w:r>
          </w:p>
        </w:tc>
        <w:tc>
          <w:tcPr>
            <w:tcW w:w="3372" w:type="dxa"/>
            <w:tcBorders>
              <w:top w:val="single" w:sz="12" w:space="0" w:color="auto"/>
              <w:left w:val="nil"/>
              <w:bottom w:val="single" w:sz="12" w:space="0" w:color="auto"/>
              <w:right w:val="nil"/>
            </w:tcBorders>
          </w:tcPr>
          <w:p w14:paraId="300913F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Definitions</w:t>
            </w:r>
          </w:p>
        </w:tc>
        <w:tc>
          <w:tcPr>
            <w:tcW w:w="1317" w:type="dxa"/>
            <w:tcBorders>
              <w:top w:val="single" w:sz="12" w:space="0" w:color="auto"/>
              <w:left w:val="nil"/>
              <w:bottom w:val="single" w:sz="12" w:space="0" w:color="auto"/>
              <w:right w:val="nil"/>
            </w:tcBorders>
          </w:tcPr>
          <w:p w14:paraId="6750CCC4"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Relationship</w:t>
            </w:r>
          </w:p>
        </w:tc>
        <w:tc>
          <w:tcPr>
            <w:tcW w:w="4083" w:type="dxa"/>
            <w:tcBorders>
              <w:top w:val="single" w:sz="12" w:space="0" w:color="auto"/>
              <w:left w:val="nil"/>
              <w:bottom w:val="single" w:sz="12" w:space="0" w:color="auto"/>
              <w:right w:val="nil"/>
            </w:tcBorders>
          </w:tcPr>
          <w:p w14:paraId="21CC5EB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Main results</w:t>
            </w:r>
          </w:p>
        </w:tc>
      </w:tr>
      <w:tr w:rsidR="00D7509F" w:rsidRPr="00B024DC" w14:paraId="615E25CA" w14:textId="77777777" w:rsidTr="00154A73">
        <w:trPr>
          <w:trHeight w:val="374"/>
        </w:trPr>
        <w:tc>
          <w:tcPr>
            <w:tcW w:w="1193" w:type="dxa"/>
            <w:vMerge w:val="restart"/>
            <w:tcBorders>
              <w:top w:val="single" w:sz="12" w:space="0" w:color="auto"/>
              <w:left w:val="nil"/>
              <w:bottom w:val="nil"/>
              <w:right w:val="nil"/>
            </w:tcBorders>
          </w:tcPr>
          <w:p w14:paraId="75BCCD67" w14:textId="72BC53D0"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Du et al.</w:t>
            </w:r>
            <w:r w:rsidR="00240F36">
              <w:rPr>
                <w:rFonts w:ascii="Times New Roman" w:hAnsi="Times New Roman" w:cs="Times New Roman"/>
                <w:sz w:val="24"/>
                <w:szCs w:val="24"/>
              </w:rPr>
              <w:t xml:space="preserve"> </w:t>
            </w:r>
            <w:r w:rsidRPr="00B024DC">
              <w:rPr>
                <w:rFonts w:ascii="Times New Roman" w:hAnsi="Times New Roman" w:cs="Times New Roman"/>
                <w:sz w:val="24"/>
                <w:szCs w:val="24"/>
              </w:rPr>
              <w:t>2018</w:t>
            </w:r>
          </w:p>
        </w:tc>
        <w:tc>
          <w:tcPr>
            <w:tcW w:w="1597" w:type="dxa"/>
            <w:vMerge w:val="restart"/>
            <w:tcBorders>
              <w:top w:val="single" w:sz="12" w:space="0" w:color="auto"/>
              <w:left w:val="nil"/>
              <w:bottom w:val="nil"/>
              <w:right w:val="nil"/>
            </w:tcBorders>
          </w:tcPr>
          <w:p w14:paraId="6720E6F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Theory of Planned Behavior</w:t>
            </w:r>
          </w:p>
        </w:tc>
        <w:tc>
          <w:tcPr>
            <w:tcW w:w="2478" w:type="dxa"/>
            <w:gridSpan w:val="2"/>
            <w:tcBorders>
              <w:top w:val="single" w:sz="12" w:space="0" w:color="auto"/>
              <w:left w:val="nil"/>
              <w:bottom w:val="nil"/>
              <w:right w:val="nil"/>
            </w:tcBorders>
          </w:tcPr>
          <w:p w14:paraId="7449B05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Attitudes toward the behavior*</w:t>
            </w:r>
          </w:p>
          <w:p w14:paraId="49FF5AFD" w14:textId="77777777" w:rsidR="00D7509F" w:rsidRPr="00B024DC" w:rsidRDefault="00D7509F" w:rsidP="00154A73">
            <w:pPr>
              <w:rPr>
                <w:rFonts w:ascii="Times New Roman" w:hAnsi="Times New Roman" w:cs="Times New Roman"/>
                <w:sz w:val="24"/>
                <w:szCs w:val="24"/>
              </w:rPr>
            </w:pPr>
          </w:p>
        </w:tc>
        <w:tc>
          <w:tcPr>
            <w:tcW w:w="3372" w:type="dxa"/>
            <w:tcBorders>
              <w:top w:val="single" w:sz="12" w:space="0" w:color="auto"/>
              <w:left w:val="nil"/>
              <w:bottom w:val="nil"/>
              <w:right w:val="nil"/>
            </w:tcBorders>
          </w:tcPr>
          <w:p w14:paraId="64528422"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individual’s positive or negative evaluation of the behavior</w:t>
            </w:r>
          </w:p>
        </w:tc>
        <w:tc>
          <w:tcPr>
            <w:tcW w:w="1317" w:type="dxa"/>
            <w:tcBorders>
              <w:top w:val="single" w:sz="12" w:space="0" w:color="auto"/>
              <w:left w:val="nil"/>
              <w:bottom w:val="nil"/>
              <w:right w:val="nil"/>
            </w:tcBorders>
          </w:tcPr>
          <w:p w14:paraId="4CA3FF9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single" w:sz="12" w:space="0" w:color="auto"/>
              <w:left w:val="nil"/>
              <w:bottom w:val="nil"/>
              <w:right w:val="nil"/>
            </w:tcBorders>
          </w:tcPr>
          <w:p w14:paraId="4A912BA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-Low-carbon awareness has a slight moderating effect on purchasing behavior </w:t>
            </w:r>
          </w:p>
          <w:p w14:paraId="3E43AF4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-Subjective norms have a stronger influence on intention to purchase New Energy Vehicles than other social-psychological factors. </w:t>
            </w:r>
          </w:p>
          <w:p w14:paraId="45A8374C" w14:textId="77777777" w:rsidR="00D7509F" w:rsidRPr="00B024DC" w:rsidRDefault="00D7509F" w:rsidP="00154A73">
            <w:pPr>
              <w:rPr>
                <w:rFonts w:ascii="Times New Roman" w:hAnsi="Times New Roman" w:cs="Times New Roman"/>
                <w:sz w:val="24"/>
                <w:szCs w:val="24"/>
              </w:rPr>
            </w:pPr>
          </w:p>
        </w:tc>
      </w:tr>
      <w:tr w:rsidR="00D7509F" w:rsidRPr="00B024DC" w14:paraId="0B2DA076" w14:textId="77777777" w:rsidTr="00154A73">
        <w:trPr>
          <w:trHeight w:val="372"/>
        </w:trPr>
        <w:tc>
          <w:tcPr>
            <w:tcW w:w="1193" w:type="dxa"/>
            <w:vMerge/>
            <w:tcBorders>
              <w:top w:val="nil"/>
              <w:left w:val="nil"/>
              <w:bottom w:val="nil"/>
              <w:right w:val="nil"/>
            </w:tcBorders>
          </w:tcPr>
          <w:p w14:paraId="73DCA5A6"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72CBC764"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0EAD2B5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Subjective norms *</w:t>
            </w:r>
          </w:p>
        </w:tc>
        <w:tc>
          <w:tcPr>
            <w:tcW w:w="3372" w:type="dxa"/>
            <w:tcBorders>
              <w:top w:val="nil"/>
              <w:left w:val="nil"/>
              <w:bottom w:val="nil"/>
              <w:right w:val="nil"/>
            </w:tcBorders>
          </w:tcPr>
          <w:p w14:paraId="24652EC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An individual’s estimation of the social pressure to act or not to act the behavior</w:t>
            </w:r>
          </w:p>
          <w:p w14:paraId="58C077A3"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ABA7EE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0FA36A31" w14:textId="77777777" w:rsidR="00D7509F" w:rsidRPr="00B024DC" w:rsidRDefault="00D7509F" w:rsidP="00154A73">
            <w:pPr>
              <w:rPr>
                <w:rFonts w:ascii="Times New Roman" w:hAnsi="Times New Roman" w:cs="Times New Roman"/>
                <w:sz w:val="24"/>
                <w:szCs w:val="24"/>
              </w:rPr>
            </w:pPr>
          </w:p>
        </w:tc>
      </w:tr>
      <w:tr w:rsidR="00D7509F" w:rsidRPr="00B024DC" w14:paraId="5C6CB234" w14:textId="77777777" w:rsidTr="00154A73">
        <w:trPr>
          <w:trHeight w:val="372"/>
        </w:trPr>
        <w:tc>
          <w:tcPr>
            <w:tcW w:w="1193" w:type="dxa"/>
            <w:vMerge/>
            <w:tcBorders>
              <w:top w:val="nil"/>
              <w:left w:val="nil"/>
              <w:bottom w:val="nil"/>
              <w:right w:val="nil"/>
            </w:tcBorders>
          </w:tcPr>
          <w:p w14:paraId="70718D5B"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4F48C8A1"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3645A9F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Personal norms*</w:t>
            </w:r>
          </w:p>
          <w:p w14:paraId="299674FF" w14:textId="77777777" w:rsidR="00D7509F" w:rsidRPr="00B024DC" w:rsidRDefault="00D7509F" w:rsidP="00154A73">
            <w:pPr>
              <w:rPr>
                <w:rFonts w:ascii="Times New Roman" w:hAnsi="Times New Roman" w:cs="Times New Roman"/>
                <w:sz w:val="24"/>
                <w:szCs w:val="24"/>
              </w:rPr>
            </w:pPr>
          </w:p>
          <w:p w14:paraId="0C1335AE"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57FEFBE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Feelings of an obligation to perform a certain specific behavior.</w:t>
            </w:r>
          </w:p>
        </w:tc>
        <w:tc>
          <w:tcPr>
            <w:tcW w:w="1317" w:type="dxa"/>
            <w:tcBorders>
              <w:top w:val="nil"/>
              <w:left w:val="nil"/>
              <w:bottom w:val="nil"/>
              <w:right w:val="nil"/>
            </w:tcBorders>
          </w:tcPr>
          <w:p w14:paraId="6C1370E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40DF953A" w14:textId="77777777" w:rsidR="00D7509F" w:rsidRPr="00B024DC" w:rsidRDefault="00D7509F" w:rsidP="00154A73">
            <w:pPr>
              <w:rPr>
                <w:rFonts w:ascii="Times New Roman" w:hAnsi="Times New Roman" w:cs="Times New Roman"/>
                <w:sz w:val="24"/>
                <w:szCs w:val="24"/>
              </w:rPr>
            </w:pPr>
          </w:p>
        </w:tc>
      </w:tr>
      <w:tr w:rsidR="00D7509F" w:rsidRPr="00B024DC" w14:paraId="38EEC0D9" w14:textId="77777777" w:rsidTr="00154A73">
        <w:trPr>
          <w:trHeight w:val="372"/>
        </w:trPr>
        <w:tc>
          <w:tcPr>
            <w:tcW w:w="1193" w:type="dxa"/>
            <w:vMerge/>
            <w:tcBorders>
              <w:top w:val="nil"/>
              <w:left w:val="nil"/>
              <w:bottom w:val="nil"/>
              <w:right w:val="nil"/>
            </w:tcBorders>
          </w:tcPr>
          <w:p w14:paraId="50FD5074"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21044AA2"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3CAFF02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behavioral control*</w:t>
            </w:r>
          </w:p>
          <w:p w14:paraId="449E11EB"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68C4BC2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Person’s personal perception of the difficulty of performing the behavior.</w:t>
            </w:r>
          </w:p>
          <w:p w14:paraId="7F222BD9" w14:textId="77777777" w:rsidR="00D57A3D" w:rsidRPr="00B024DC" w:rsidRDefault="00D57A3D" w:rsidP="00154A73">
            <w:pPr>
              <w:rPr>
                <w:rFonts w:ascii="Times New Roman" w:hAnsi="Times New Roman" w:cs="Times New Roman"/>
                <w:sz w:val="24"/>
                <w:szCs w:val="24"/>
              </w:rPr>
            </w:pPr>
          </w:p>
        </w:tc>
        <w:tc>
          <w:tcPr>
            <w:tcW w:w="1317" w:type="dxa"/>
            <w:tcBorders>
              <w:top w:val="nil"/>
              <w:left w:val="nil"/>
              <w:bottom w:val="nil"/>
              <w:right w:val="nil"/>
            </w:tcBorders>
          </w:tcPr>
          <w:p w14:paraId="5CF92EF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5E8BEC22" w14:textId="77777777" w:rsidR="00D7509F" w:rsidRPr="00B024DC" w:rsidRDefault="00D7509F" w:rsidP="00154A73">
            <w:pPr>
              <w:rPr>
                <w:rFonts w:ascii="Times New Roman" w:hAnsi="Times New Roman" w:cs="Times New Roman"/>
                <w:sz w:val="24"/>
                <w:szCs w:val="24"/>
              </w:rPr>
            </w:pPr>
          </w:p>
        </w:tc>
      </w:tr>
      <w:tr w:rsidR="00D7509F" w:rsidRPr="00B024DC" w14:paraId="1E65D587" w14:textId="77777777" w:rsidTr="00154A73">
        <w:trPr>
          <w:trHeight w:val="372"/>
        </w:trPr>
        <w:tc>
          <w:tcPr>
            <w:tcW w:w="1193" w:type="dxa"/>
            <w:vMerge/>
            <w:tcBorders>
              <w:top w:val="nil"/>
              <w:left w:val="nil"/>
              <w:bottom w:val="nil"/>
              <w:right w:val="nil"/>
            </w:tcBorders>
          </w:tcPr>
          <w:p w14:paraId="3A691F45" w14:textId="77777777" w:rsidR="00D7509F" w:rsidRPr="00B024DC" w:rsidRDefault="00D7509F" w:rsidP="00154A73">
            <w:pPr>
              <w:rPr>
                <w:rFonts w:ascii="Times New Roman" w:hAnsi="Times New Roman" w:cs="Times New Roman"/>
                <w:sz w:val="24"/>
                <w:szCs w:val="24"/>
              </w:rPr>
            </w:pPr>
          </w:p>
        </w:tc>
        <w:tc>
          <w:tcPr>
            <w:tcW w:w="1597" w:type="dxa"/>
            <w:tcBorders>
              <w:top w:val="nil"/>
              <w:left w:val="nil"/>
              <w:bottom w:val="nil"/>
              <w:right w:val="nil"/>
            </w:tcBorders>
          </w:tcPr>
          <w:p w14:paraId="6DE17D1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Other factors</w:t>
            </w:r>
          </w:p>
        </w:tc>
        <w:tc>
          <w:tcPr>
            <w:tcW w:w="2478" w:type="dxa"/>
            <w:gridSpan w:val="2"/>
            <w:tcBorders>
              <w:top w:val="nil"/>
              <w:left w:val="nil"/>
              <w:bottom w:val="nil"/>
              <w:right w:val="nil"/>
            </w:tcBorders>
          </w:tcPr>
          <w:p w14:paraId="7E89ED0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Low-carbon awareness</w:t>
            </w:r>
          </w:p>
        </w:tc>
        <w:tc>
          <w:tcPr>
            <w:tcW w:w="3372" w:type="dxa"/>
            <w:tcBorders>
              <w:top w:val="nil"/>
              <w:left w:val="nil"/>
              <w:bottom w:val="nil"/>
              <w:right w:val="nil"/>
            </w:tcBorders>
          </w:tcPr>
          <w:p w14:paraId="0C57B6A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2 components</w:t>
            </w:r>
          </w:p>
          <w:p w14:paraId="1C07280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1. Low-carbon value: opinions about low-carbon issues given based on individual philosophy of life</w:t>
            </w:r>
          </w:p>
          <w:p w14:paraId="59970B4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2. Low-carbon knowledge: a kind of ability to identify relevant symbols, concepts, and behaviors of environmental protection </w:t>
            </w:r>
          </w:p>
          <w:p w14:paraId="12978260"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9715478"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6BC27740" w14:textId="77777777" w:rsidR="00D7509F" w:rsidRPr="00B024DC" w:rsidRDefault="00D7509F" w:rsidP="00154A73">
            <w:pPr>
              <w:rPr>
                <w:rFonts w:ascii="Times New Roman" w:hAnsi="Times New Roman" w:cs="Times New Roman"/>
                <w:sz w:val="24"/>
                <w:szCs w:val="24"/>
              </w:rPr>
            </w:pPr>
          </w:p>
        </w:tc>
      </w:tr>
      <w:tr w:rsidR="00D7509F" w:rsidRPr="00B024DC" w14:paraId="01CDE047" w14:textId="77777777" w:rsidTr="00154A73">
        <w:trPr>
          <w:trHeight w:val="75"/>
        </w:trPr>
        <w:tc>
          <w:tcPr>
            <w:tcW w:w="1193" w:type="dxa"/>
            <w:vMerge w:val="restart"/>
            <w:tcBorders>
              <w:top w:val="nil"/>
              <w:left w:val="nil"/>
              <w:bottom w:val="nil"/>
              <w:right w:val="nil"/>
            </w:tcBorders>
          </w:tcPr>
          <w:p w14:paraId="43BD5883" w14:textId="3DE84A13"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Liao 2021</w:t>
            </w:r>
          </w:p>
        </w:tc>
        <w:tc>
          <w:tcPr>
            <w:tcW w:w="1597" w:type="dxa"/>
            <w:vMerge w:val="restart"/>
            <w:tcBorders>
              <w:top w:val="nil"/>
              <w:left w:val="nil"/>
              <w:bottom w:val="nil"/>
              <w:right w:val="nil"/>
            </w:tcBorders>
          </w:tcPr>
          <w:p w14:paraId="51F9637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Theory of Planned Behavior</w:t>
            </w:r>
          </w:p>
        </w:tc>
        <w:tc>
          <w:tcPr>
            <w:tcW w:w="2478" w:type="dxa"/>
            <w:gridSpan w:val="2"/>
            <w:tcBorders>
              <w:top w:val="nil"/>
              <w:left w:val="nil"/>
              <w:bottom w:val="nil"/>
              <w:right w:val="nil"/>
            </w:tcBorders>
          </w:tcPr>
          <w:p w14:paraId="6769D02D"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Attitudes*</w:t>
            </w:r>
          </w:p>
        </w:tc>
        <w:tc>
          <w:tcPr>
            <w:tcW w:w="3372" w:type="dxa"/>
            <w:tcBorders>
              <w:top w:val="nil"/>
              <w:left w:val="nil"/>
              <w:bottom w:val="nil"/>
              <w:right w:val="nil"/>
            </w:tcBorders>
          </w:tcPr>
          <w:p w14:paraId="6164498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The consequential beliefs, which result from the </w:t>
            </w:r>
            <w:r w:rsidRPr="00B024DC">
              <w:rPr>
                <w:rFonts w:ascii="Times New Roman" w:hAnsi="Times New Roman" w:cs="Times New Roman"/>
                <w:sz w:val="24"/>
                <w:szCs w:val="24"/>
              </w:rPr>
              <w:lastRenderedPageBreak/>
              <w:t>perceived impacts on performing a specific behavior</w:t>
            </w:r>
          </w:p>
          <w:p w14:paraId="5F65B18F"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B599BE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lastRenderedPageBreak/>
              <w:t>Positive</w:t>
            </w:r>
          </w:p>
        </w:tc>
        <w:tc>
          <w:tcPr>
            <w:tcW w:w="4083" w:type="dxa"/>
            <w:vMerge w:val="restart"/>
            <w:tcBorders>
              <w:top w:val="nil"/>
              <w:left w:val="nil"/>
              <w:bottom w:val="nil"/>
              <w:right w:val="nil"/>
            </w:tcBorders>
          </w:tcPr>
          <w:p w14:paraId="17BEEEC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-Attitudes, Subjective norms, and Personal norms are positively related to the EV adoption intention.</w:t>
            </w:r>
          </w:p>
          <w:p w14:paraId="12DACD1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Among these three variables, AT had the most</w:t>
            </w:r>
          </w:p>
          <w:p w14:paraId="6EFAB6C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significant effect on EV adoption intentions.</w:t>
            </w:r>
          </w:p>
          <w:p w14:paraId="2343F9A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-There is a significant moderating effect of consumer innovativeness and environmental self-identity on the relationship between policy measures and EV adoption intentions.</w:t>
            </w:r>
          </w:p>
        </w:tc>
      </w:tr>
      <w:tr w:rsidR="00D7509F" w:rsidRPr="00B024DC" w14:paraId="381ECF0A" w14:textId="77777777" w:rsidTr="00154A73">
        <w:trPr>
          <w:trHeight w:val="75"/>
        </w:trPr>
        <w:tc>
          <w:tcPr>
            <w:tcW w:w="1193" w:type="dxa"/>
            <w:vMerge/>
            <w:tcBorders>
              <w:top w:val="nil"/>
              <w:left w:val="nil"/>
              <w:bottom w:val="nil"/>
              <w:right w:val="nil"/>
            </w:tcBorders>
          </w:tcPr>
          <w:p w14:paraId="5221BE63"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7391B774"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3837C5A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Subjective norms* </w:t>
            </w:r>
          </w:p>
          <w:p w14:paraId="4EA6F395" w14:textId="77777777" w:rsidR="00D7509F" w:rsidRPr="00B024DC" w:rsidRDefault="00D7509F" w:rsidP="00154A73">
            <w:pPr>
              <w:rPr>
                <w:rFonts w:ascii="Times New Roman" w:hAnsi="Times New Roman" w:cs="Times New Roman"/>
                <w:sz w:val="24"/>
                <w:szCs w:val="24"/>
              </w:rPr>
            </w:pPr>
          </w:p>
          <w:p w14:paraId="75DB7963"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7FCCB822"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normative beliefs,</w:t>
            </w:r>
          </w:p>
          <w:p w14:paraId="6BC0E33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which are induced by social pressure from the decision of specific behavior</w:t>
            </w:r>
          </w:p>
          <w:p w14:paraId="61D9A05A"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74E981C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3D24640B" w14:textId="77777777" w:rsidR="00D7509F" w:rsidRPr="00B024DC" w:rsidRDefault="00D7509F" w:rsidP="00154A73">
            <w:pPr>
              <w:rPr>
                <w:rFonts w:ascii="Times New Roman" w:hAnsi="Times New Roman" w:cs="Times New Roman"/>
                <w:sz w:val="24"/>
                <w:szCs w:val="24"/>
              </w:rPr>
            </w:pPr>
          </w:p>
        </w:tc>
      </w:tr>
      <w:tr w:rsidR="00D7509F" w:rsidRPr="00B024DC" w14:paraId="0CB1B5BF" w14:textId="77777777" w:rsidTr="00154A73">
        <w:trPr>
          <w:trHeight w:val="75"/>
        </w:trPr>
        <w:tc>
          <w:tcPr>
            <w:tcW w:w="1193" w:type="dxa"/>
            <w:vMerge/>
            <w:tcBorders>
              <w:top w:val="nil"/>
              <w:left w:val="nil"/>
              <w:bottom w:val="nil"/>
              <w:right w:val="nil"/>
            </w:tcBorders>
          </w:tcPr>
          <w:p w14:paraId="10F992B2"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517D64E5"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529481CD"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behavioral control*</w:t>
            </w:r>
          </w:p>
          <w:p w14:paraId="264482CC"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2D5A801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Control belief, which is governed by one’s judgment of the difficulty in performing a particular behavior</w:t>
            </w:r>
          </w:p>
          <w:p w14:paraId="03F18E43"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4EB5CE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34571AF3" w14:textId="77777777" w:rsidR="00D7509F" w:rsidRPr="00B024DC" w:rsidRDefault="00D7509F" w:rsidP="00154A73">
            <w:pPr>
              <w:rPr>
                <w:rFonts w:ascii="Times New Roman" w:hAnsi="Times New Roman" w:cs="Times New Roman"/>
                <w:sz w:val="24"/>
                <w:szCs w:val="24"/>
              </w:rPr>
            </w:pPr>
          </w:p>
        </w:tc>
      </w:tr>
      <w:tr w:rsidR="00D7509F" w:rsidRPr="00B024DC" w14:paraId="425B8A31" w14:textId="77777777" w:rsidTr="00154A73">
        <w:trPr>
          <w:trHeight w:val="75"/>
        </w:trPr>
        <w:tc>
          <w:tcPr>
            <w:tcW w:w="1193" w:type="dxa"/>
            <w:vMerge/>
            <w:tcBorders>
              <w:top w:val="nil"/>
              <w:left w:val="nil"/>
              <w:bottom w:val="single" w:sz="4" w:space="0" w:color="auto"/>
              <w:right w:val="nil"/>
            </w:tcBorders>
          </w:tcPr>
          <w:p w14:paraId="18960F38" w14:textId="77777777" w:rsidR="00D7509F" w:rsidRPr="00B024DC" w:rsidRDefault="00D7509F" w:rsidP="00154A73">
            <w:pPr>
              <w:rPr>
                <w:rFonts w:ascii="Times New Roman" w:hAnsi="Times New Roman" w:cs="Times New Roman"/>
                <w:sz w:val="24"/>
                <w:szCs w:val="24"/>
              </w:rPr>
            </w:pPr>
          </w:p>
        </w:tc>
        <w:tc>
          <w:tcPr>
            <w:tcW w:w="1597" w:type="dxa"/>
            <w:vMerge w:val="restart"/>
            <w:tcBorders>
              <w:top w:val="nil"/>
              <w:left w:val="nil"/>
              <w:bottom w:val="nil"/>
              <w:right w:val="nil"/>
            </w:tcBorders>
          </w:tcPr>
          <w:p w14:paraId="4FD29EF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Other factors</w:t>
            </w:r>
          </w:p>
        </w:tc>
        <w:tc>
          <w:tcPr>
            <w:tcW w:w="2478" w:type="dxa"/>
            <w:gridSpan w:val="2"/>
            <w:tcBorders>
              <w:top w:val="nil"/>
              <w:left w:val="nil"/>
              <w:bottom w:val="nil"/>
              <w:right w:val="nil"/>
            </w:tcBorders>
          </w:tcPr>
          <w:p w14:paraId="5E29A92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Perceived risk* </w:t>
            </w:r>
          </w:p>
        </w:tc>
        <w:tc>
          <w:tcPr>
            <w:tcW w:w="3372" w:type="dxa"/>
            <w:tcBorders>
              <w:top w:val="nil"/>
              <w:left w:val="nil"/>
              <w:bottom w:val="nil"/>
              <w:right w:val="nil"/>
            </w:tcBorders>
          </w:tcPr>
          <w:p w14:paraId="7F4BDA5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Uncertainty generated when a person performs a particular behavior</w:t>
            </w:r>
          </w:p>
          <w:p w14:paraId="1C044840"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B54707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Negative</w:t>
            </w:r>
          </w:p>
        </w:tc>
        <w:tc>
          <w:tcPr>
            <w:tcW w:w="4083" w:type="dxa"/>
            <w:vMerge/>
            <w:tcBorders>
              <w:top w:val="nil"/>
              <w:left w:val="nil"/>
              <w:bottom w:val="nil"/>
              <w:right w:val="nil"/>
            </w:tcBorders>
          </w:tcPr>
          <w:p w14:paraId="216BDF20" w14:textId="77777777" w:rsidR="00D7509F" w:rsidRPr="00B024DC" w:rsidRDefault="00D7509F" w:rsidP="00154A73">
            <w:pPr>
              <w:rPr>
                <w:rFonts w:ascii="Times New Roman" w:hAnsi="Times New Roman" w:cs="Times New Roman"/>
                <w:sz w:val="24"/>
                <w:szCs w:val="24"/>
              </w:rPr>
            </w:pPr>
          </w:p>
        </w:tc>
      </w:tr>
      <w:tr w:rsidR="00D7509F" w:rsidRPr="00B024DC" w14:paraId="0AE4C926" w14:textId="77777777" w:rsidTr="00154A73">
        <w:trPr>
          <w:trHeight w:val="150"/>
        </w:trPr>
        <w:tc>
          <w:tcPr>
            <w:tcW w:w="1193" w:type="dxa"/>
            <w:vMerge/>
            <w:tcBorders>
              <w:top w:val="single" w:sz="4" w:space="0" w:color="auto"/>
              <w:left w:val="nil"/>
              <w:bottom w:val="single" w:sz="4" w:space="0" w:color="auto"/>
              <w:right w:val="nil"/>
            </w:tcBorders>
          </w:tcPr>
          <w:p w14:paraId="4CD16326"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17D5917B"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773AEC0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Consumer innovativeness**</w:t>
            </w:r>
          </w:p>
        </w:tc>
        <w:tc>
          <w:tcPr>
            <w:tcW w:w="3372" w:type="dxa"/>
            <w:tcBorders>
              <w:top w:val="nil"/>
              <w:left w:val="nil"/>
              <w:bottom w:val="nil"/>
              <w:right w:val="nil"/>
            </w:tcBorders>
          </w:tcPr>
          <w:p w14:paraId="2A7CD7C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degree to which an individual is relatively earlier in adopting new ideas than other people</w:t>
            </w:r>
          </w:p>
          <w:p w14:paraId="126EB90C"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3CBDCD5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587B3D20" w14:textId="77777777" w:rsidR="00D7509F" w:rsidRPr="00B024DC" w:rsidRDefault="00D7509F" w:rsidP="00154A73">
            <w:pPr>
              <w:rPr>
                <w:rFonts w:ascii="Times New Roman" w:hAnsi="Times New Roman" w:cs="Times New Roman"/>
                <w:sz w:val="24"/>
                <w:szCs w:val="24"/>
              </w:rPr>
            </w:pPr>
          </w:p>
        </w:tc>
      </w:tr>
      <w:tr w:rsidR="00D7509F" w:rsidRPr="00B024DC" w14:paraId="1167D120" w14:textId="77777777" w:rsidTr="00154A73">
        <w:trPr>
          <w:trHeight w:val="150"/>
        </w:trPr>
        <w:tc>
          <w:tcPr>
            <w:tcW w:w="1193" w:type="dxa"/>
            <w:vMerge/>
            <w:tcBorders>
              <w:top w:val="single" w:sz="4" w:space="0" w:color="auto"/>
              <w:left w:val="nil"/>
              <w:bottom w:val="nil"/>
              <w:right w:val="nil"/>
            </w:tcBorders>
          </w:tcPr>
          <w:p w14:paraId="06056617"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182A2513"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23DCFD8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Environmental self-identity* </w:t>
            </w:r>
          </w:p>
        </w:tc>
        <w:tc>
          <w:tcPr>
            <w:tcW w:w="3372" w:type="dxa"/>
            <w:tcBorders>
              <w:top w:val="nil"/>
              <w:left w:val="nil"/>
              <w:bottom w:val="nil"/>
              <w:right w:val="nil"/>
            </w:tcBorders>
          </w:tcPr>
          <w:p w14:paraId="6FF703A6" w14:textId="77777777" w:rsidR="00D7509F" w:rsidRPr="00B024DC" w:rsidRDefault="00D7509F" w:rsidP="00154A73">
            <w:pPr>
              <w:rPr>
                <w:rFonts w:ascii="Times New Roman" w:hAnsi="Times New Roman" w:cs="Times New Roman"/>
                <w:sz w:val="24"/>
                <w:szCs w:val="24"/>
              </w:rPr>
            </w:pPr>
          </w:p>
          <w:p w14:paraId="7253EED0" w14:textId="77777777" w:rsidR="00D7509F" w:rsidRPr="00B024DC" w:rsidRDefault="00D7509F" w:rsidP="00154A73">
            <w:pPr>
              <w:rPr>
                <w:rFonts w:ascii="Times New Roman" w:hAnsi="Times New Roman" w:cs="Times New Roman"/>
                <w:sz w:val="24"/>
                <w:szCs w:val="24"/>
              </w:rPr>
            </w:pPr>
          </w:p>
          <w:p w14:paraId="18FD96FA"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395C092"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33099361" w14:textId="77777777" w:rsidR="00D7509F" w:rsidRPr="00B024DC" w:rsidRDefault="00D7509F" w:rsidP="00154A73">
            <w:pPr>
              <w:rPr>
                <w:rFonts w:ascii="Times New Roman" w:hAnsi="Times New Roman" w:cs="Times New Roman"/>
                <w:sz w:val="24"/>
                <w:szCs w:val="24"/>
              </w:rPr>
            </w:pPr>
          </w:p>
        </w:tc>
      </w:tr>
      <w:tr w:rsidR="00D7509F" w:rsidRPr="00B024DC" w14:paraId="152E6C34" w14:textId="77777777" w:rsidTr="00154A73">
        <w:trPr>
          <w:trHeight w:val="225"/>
        </w:trPr>
        <w:tc>
          <w:tcPr>
            <w:tcW w:w="1193" w:type="dxa"/>
            <w:vMerge w:val="restart"/>
            <w:tcBorders>
              <w:top w:val="nil"/>
              <w:left w:val="nil"/>
              <w:bottom w:val="nil"/>
              <w:right w:val="nil"/>
            </w:tcBorders>
          </w:tcPr>
          <w:p w14:paraId="56CE66C8" w14:textId="136E89F4"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Mohamed et al. 2016</w:t>
            </w:r>
          </w:p>
        </w:tc>
        <w:tc>
          <w:tcPr>
            <w:tcW w:w="1597" w:type="dxa"/>
            <w:vMerge w:val="restart"/>
            <w:tcBorders>
              <w:top w:val="nil"/>
              <w:left w:val="nil"/>
              <w:bottom w:val="nil"/>
              <w:right w:val="nil"/>
            </w:tcBorders>
          </w:tcPr>
          <w:p w14:paraId="4749DC4D"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Theory of Planned Behavior</w:t>
            </w:r>
          </w:p>
        </w:tc>
        <w:tc>
          <w:tcPr>
            <w:tcW w:w="2478" w:type="dxa"/>
            <w:gridSpan w:val="2"/>
            <w:tcBorders>
              <w:top w:val="nil"/>
              <w:left w:val="nil"/>
              <w:bottom w:val="nil"/>
              <w:right w:val="nil"/>
            </w:tcBorders>
          </w:tcPr>
          <w:p w14:paraId="7795410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Attitude toward the behavior*</w:t>
            </w:r>
          </w:p>
        </w:tc>
        <w:tc>
          <w:tcPr>
            <w:tcW w:w="3372" w:type="dxa"/>
            <w:tcBorders>
              <w:top w:val="nil"/>
              <w:left w:val="nil"/>
              <w:bottom w:val="nil"/>
              <w:right w:val="nil"/>
            </w:tcBorders>
          </w:tcPr>
          <w:p w14:paraId="33ED69B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Attitude represents the consequential beliefs resulting from the perceived impacts of performing a specific behavior</w:t>
            </w:r>
          </w:p>
          <w:p w14:paraId="35FD4ACD"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12B729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nil"/>
              <w:left w:val="nil"/>
              <w:bottom w:val="nil"/>
              <w:right w:val="nil"/>
            </w:tcBorders>
          </w:tcPr>
          <w:p w14:paraId="0AD7D5B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-Attitude, perceived behavioral control, and norms (moral and subjective) have significant direct impacts on behavioral intention, </w:t>
            </w:r>
            <w:r w:rsidRPr="00B024DC">
              <w:rPr>
                <w:rFonts w:ascii="Times New Roman" w:hAnsi="Times New Roman" w:cs="Times New Roman"/>
                <w:sz w:val="24"/>
                <w:szCs w:val="24"/>
              </w:rPr>
              <w:lastRenderedPageBreak/>
              <w:t>while a household's concern for the environment has an indirect impact.</w:t>
            </w:r>
          </w:p>
        </w:tc>
      </w:tr>
      <w:tr w:rsidR="00D7509F" w:rsidRPr="00B024DC" w14:paraId="2761C7E2" w14:textId="77777777" w:rsidTr="00154A73">
        <w:trPr>
          <w:trHeight w:val="222"/>
        </w:trPr>
        <w:tc>
          <w:tcPr>
            <w:tcW w:w="1193" w:type="dxa"/>
            <w:vMerge/>
            <w:tcBorders>
              <w:top w:val="nil"/>
              <w:left w:val="nil"/>
              <w:bottom w:val="nil"/>
              <w:right w:val="nil"/>
            </w:tcBorders>
          </w:tcPr>
          <w:p w14:paraId="30F9CC80"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7A271A85"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4931603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Subjective norm*</w:t>
            </w:r>
          </w:p>
        </w:tc>
        <w:tc>
          <w:tcPr>
            <w:tcW w:w="3372" w:type="dxa"/>
            <w:tcBorders>
              <w:top w:val="nil"/>
              <w:left w:val="nil"/>
              <w:bottom w:val="nil"/>
              <w:right w:val="nil"/>
            </w:tcBorders>
          </w:tcPr>
          <w:p w14:paraId="0645209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normative beliefs that are generated from the compliance of personal behavior with a reference group in the society.</w:t>
            </w:r>
          </w:p>
          <w:p w14:paraId="24FFBE9C"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02402F4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73629101" w14:textId="77777777" w:rsidR="00D7509F" w:rsidRPr="00B024DC" w:rsidRDefault="00D7509F" w:rsidP="00154A73">
            <w:pPr>
              <w:rPr>
                <w:rFonts w:ascii="Times New Roman" w:hAnsi="Times New Roman" w:cs="Times New Roman"/>
                <w:sz w:val="24"/>
                <w:szCs w:val="24"/>
              </w:rPr>
            </w:pPr>
          </w:p>
        </w:tc>
      </w:tr>
      <w:tr w:rsidR="00D7509F" w:rsidRPr="00B024DC" w14:paraId="37F9CE86" w14:textId="77777777" w:rsidTr="00154A73">
        <w:trPr>
          <w:trHeight w:val="222"/>
        </w:trPr>
        <w:tc>
          <w:tcPr>
            <w:tcW w:w="1193" w:type="dxa"/>
            <w:vMerge/>
            <w:tcBorders>
              <w:top w:val="nil"/>
              <w:left w:val="nil"/>
              <w:bottom w:val="nil"/>
              <w:right w:val="nil"/>
            </w:tcBorders>
          </w:tcPr>
          <w:p w14:paraId="6D3DDE86"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798EA812"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70D2C23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behavioral control*</w:t>
            </w:r>
          </w:p>
        </w:tc>
        <w:tc>
          <w:tcPr>
            <w:tcW w:w="3372" w:type="dxa"/>
            <w:tcBorders>
              <w:top w:val="nil"/>
              <w:left w:val="nil"/>
              <w:bottom w:val="nil"/>
              <w:right w:val="nil"/>
            </w:tcBorders>
          </w:tcPr>
          <w:p w14:paraId="60724FD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perceived behavioral control governed by personal</w:t>
            </w:r>
          </w:p>
          <w:p w14:paraId="1C6DAF1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judgment/control of how easy/difficult it is to perform a specific behavior</w:t>
            </w:r>
          </w:p>
          <w:p w14:paraId="36E1EF5A"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14A810D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0E99A91F" w14:textId="77777777" w:rsidR="00D7509F" w:rsidRPr="00B024DC" w:rsidRDefault="00D7509F" w:rsidP="00154A73">
            <w:pPr>
              <w:rPr>
                <w:rFonts w:ascii="Times New Roman" w:hAnsi="Times New Roman" w:cs="Times New Roman"/>
                <w:sz w:val="24"/>
                <w:szCs w:val="24"/>
              </w:rPr>
            </w:pPr>
          </w:p>
        </w:tc>
      </w:tr>
      <w:tr w:rsidR="00D7509F" w:rsidRPr="00B024DC" w14:paraId="35EA1C74" w14:textId="77777777" w:rsidTr="00154A73">
        <w:trPr>
          <w:trHeight w:val="222"/>
        </w:trPr>
        <w:tc>
          <w:tcPr>
            <w:tcW w:w="1193" w:type="dxa"/>
            <w:vMerge/>
            <w:tcBorders>
              <w:top w:val="nil"/>
              <w:left w:val="nil"/>
              <w:bottom w:val="nil"/>
              <w:right w:val="nil"/>
            </w:tcBorders>
          </w:tcPr>
          <w:p w14:paraId="0574B05E" w14:textId="77777777" w:rsidR="00D7509F" w:rsidRPr="00B024DC" w:rsidRDefault="00D7509F" w:rsidP="00154A73">
            <w:pPr>
              <w:rPr>
                <w:rFonts w:ascii="Times New Roman" w:hAnsi="Times New Roman" w:cs="Times New Roman"/>
                <w:sz w:val="24"/>
                <w:szCs w:val="24"/>
              </w:rPr>
            </w:pPr>
          </w:p>
        </w:tc>
        <w:tc>
          <w:tcPr>
            <w:tcW w:w="1597" w:type="dxa"/>
            <w:vMerge w:val="restart"/>
            <w:tcBorders>
              <w:top w:val="nil"/>
              <w:left w:val="nil"/>
              <w:right w:val="nil"/>
            </w:tcBorders>
          </w:tcPr>
          <w:p w14:paraId="689EB6C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Other factors</w:t>
            </w:r>
          </w:p>
        </w:tc>
        <w:tc>
          <w:tcPr>
            <w:tcW w:w="2478" w:type="dxa"/>
            <w:gridSpan w:val="2"/>
            <w:tcBorders>
              <w:top w:val="nil"/>
              <w:left w:val="nil"/>
              <w:bottom w:val="nil"/>
              <w:right w:val="nil"/>
            </w:tcBorders>
          </w:tcPr>
          <w:p w14:paraId="2BD6C5B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Environmental concern*</w:t>
            </w:r>
          </w:p>
          <w:p w14:paraId="696BB3A7"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63D7F405" w14:textId="77777777" w:rsidR="00D7509F" w:rsidRPr="00B024DC" w:rsidRDefault="00D7509F" w:rsidP="00154A73">
            <w:pPr>
              <w:rPr>
                <w:rFonts w:ascii="Times New Roman" w:hAnsi="Times New Roman" w:cs="Times New Roman"/>
                <w:sz w:val="24"/>
                <w:szCs w:val="24"/>
              </w:rPr>
            </w:pPr>
          </w:p>
          <w:p w14:paraId="6EB9424C"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4315FA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 (Indirect)</w:t>
            </w:r>
          </w:p>
        </w:tc>
        <w:tc>
          <w:tcPr>
            <w:tcW w:w="4083" w:type="dxa"/>
            <w:vMerge/>
            <w:tcBorders>
              <w:top w:val="nil"/>
              <w:left w:val="nil"/>
              <w:bottom w:val="nil"/>
              <w:right w:val="nil"/>
            </w:tcBorders>
          </w:tcPr>
          <w:p w14:paraId="0530A301" w14:textId="77777777" w:rsidR="00D7509F" w:rsidRPr="00B024DC" w:rsidRDefault="00D7509F" w:rsidP="00154A73">
            <w:pPr>
              <w:rPr>
                <w:rFonts w:ascii="Times New Roman" w:hAnsi="Times New Roman" w:cs="Times New Roman"/>
                <w:sz w:val="24"/>
                <w:szCs w:val="24"/>
              </w:rPr>
            </w:pPr>
          </w:p>
        </w:tc>
      </w:tr>
      <w:tr w:rsidR="00D7509F" w:rsidRPr="00B024DC" w14:paraId="1513B1BF" w14:textId="77777777" w:rsidTr="00154A73">
        <w:trPr>
          <w:trHeight w:val="150"/>
        </w:trPr>
        <w:tc>
          <w:tcPr>
            <w:tcW w:w="1193" w:type="dxa"/>
            <w:vMerge/>
            <w:tcBorders>
              <w:top w:val="nil"/>
              <w:left w:val="nil"/>
              <w:bottom w:val="nil"/>
              <w:right w:val="nil"/>
            </w:tcBorders>
          </w:tcPr>
          <w:p w14:paraId="715265BB" w14:textId="77777777" w:rsidR="00D7509F" w:rsidRPr="00B024DC" w:rsidRDefault="00D7509F" w:rsidP="00154A73">
            <w:pPr>
              <w:rPr>
                <w:rFonts w:ascii="Times New Roman" w:hAnsi="Times New Roman" w:cs="Times New Roman"/>
                <w:sz w:val="24"/>
                <w:szCs w:val="24"/>
              </w:rPr>
            </w:pPr>
          </w:p>
        </w:tc>
        <w:tc>
          <w:tcPr>
            <w:tcW w:w="1597" w:type="dxa"/>
            <w:vMerge/>
            <w:tcBorders>
              <w:left w:val="nil"/>
              <w:bottom w:val="nil"/>
              <w:right w:val="nil"/>
            </w:tcBorders>
          </w:tcPr>
          <w:p w14:paraId="01159DBD"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3551173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Personal moral norm*</w:t>
            </w:r>
          </w:p>
        </w:tc>
        <w:tc>
          <w:tcPr>
            <w:tcW w:w="3372" w:type="dxa"/>
            <w:tcBorders>
              <w:top w:val="nil"/>
              <w:left w:val="nil"/>
              <w:bottom w:val="nil"/>
              <w:right w:val="nil"/>
            </w:tcBorders>
          </w:tcPr>
          <w:p w14:paraId="02F4F56D"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Personal obligation to a</w:t>
            </w:r>
          </w:p>
          <w:p w14:paraId="0A77FE0D"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specific behavior or indication of how each person ought to behave.</w:t>
            </w:r>
          </w:p>
          <w:p w14:paraId="3859F156"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D8C305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362719C0" w14:textId="77777777" w:rsidR="00D7509F" w:rsidRPr="00B024DC" w:rsidRDefault="00D7509F" w:rsidP="00154A73">
            <w:pPr>
              <w:rPr>
                <w:rFonts w:ascii="Times New Roman" w:hAnsi="Times New Roman" w:cs="Times New Roman"/>
                <w:sz w:val="24"/>
                <w:szCs w:val="24"/>
              </w:rPr>
            </w:pPr>
          </w:p>
        </w:tc>
      </w:tr>
      <w:tr w:rsidR="00D7509F" w:rsidRPr="00B024DC" w14:paraId="0F2F5B69" w14:textId="77777777" w:rsidTr="00154A73">
        <w:trPr>
          <w:trHeight w:val="100"/>
        </w:trPr>
        <w:tc>
          <w:tcPr>
            <w:tcW w:w="1193" w:type="dxa"/>
            <w:vMerge w:val="restart"/>
            <w:tcBorders>
              <w:top w:val="nil"/>
              <w:left w:val="nil"/>
              <w:bottom w:val="nil"/>
              <w:right w:val="nil"/>
            </w:tcBorders>
          </w:tcPr>
          <w:p w14:paraId="2F969B71" w14:textId="12AF2152"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Asadi et al. 2020</w:t>
            </w:r>
          </w:p>
        </w:tc>
        <w:tc>
          <w:tcPr>
            <w:tcW w:w="1597" w:type="dxa"/>
            <w:vMerge w:val="restart"/>
            <w:tcBorders>
              <w:top w:val="nil"/>
              <w:left w:val="nil"/>
              <w:bottom w:val="nil"/>
              <w:right w:val="nil"/>
            </w:tcBorders>
          </w:tcPr>
          <w:p w14:paraId="3FD61A9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Theory of Planned Behavior</w:t>
            </w:r>
          </w:p>
        </w:tc>
        <w:tc>
          <w:tcPr>
            <w:tcW w:w="2478" w:type="dxa"/>
            <w:gridSpan w:val="2"/>
            <w:tcBorders>
              <w:top w:val="nil"/>
              <w:left w:val="nil"/>
              <w:bottom w:val="nil"/>
              <w:right w:val="nil"/>
            </w:tcBorders>
          </w:tcPr>
          <w:p w14:paraId="13C6D2D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Attitude*</w:t>
            </w:r>
          </w:p>
        </w:tc>
        <w:tc>
          <w:tcPr>
            <w:tcW w:w="3372" w:type="dxa"/>
            <w:tcBorders>
              <w:top w:val="nil"/>
              <w:left w:val="nil"/>
              <w:bottom w:val="nil"/>
              <w:right w:val="nil"/>
            </w:tcBorders>
          </w:tcPr>
          <w:p w14:paraId="4D9386F4"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level of desirable or undesirable personal assessment or judgment of a specific behavior</w:t>
            </w:r>
          </w:p>
          <w:p w14:paraId="2FAD1A5B"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1ED8D52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nil"/>
              <w:left w:val="nil"/>
              <w:bottom w:val="nil"/>
              <w:right w:val="nil"/>
            </w:tcBorders>
          </w:tcPr>
          <w:p w14:paraId="7F74EBB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-Perceived value, attitude, the ascription of responsibility, subjective norms, personal norms, perceived consumer effectiveness, and awareness of consequences affected the consumers’ electric vehicle purchase intention significantly and positively. </w:t>
            </w:r>
          </w:p>
          <w:p w14:paraId="4383A312" w14:textId="77777777" w:rsidR="00D7509F" w:rsidRPr="00B024DC" w:rsidRDefault="00D7509F" w:rsidP="00154A73">
            <w:pPr>
              <w:pStyle w:val="ListParagraph"/>
              <w:ind w:left="1080" w:firstLine="360"/>
              <w:rPr>
                <w:rFonts w:ascii="Times New Roman" w:hAnsi="Times New Roman" w:cs="Times New Roman"/>
                <w:sz w:val="24"/>
                <w:szCs w:val="24"/>
              </w:rPr>
            </w:pPr>
          </w:p>
          <w:p w14:paraId="2C13D06B" w14:textId="77777777" w:rsidR="00D7509F" w:rsidRPr="00B024DC" w:rsidRDefault="00D7509F" w:rsidP="00154A73">
            <w:pPr>
              <w:rPr>
                <w:rFonts w:ascii="Times New Roman" w:hAnsi="Times New Roman" w:cs="Times New Roman"/>
                <w:sz w:val="24"/>
                <w:szCs w:val="24"/>
              </w:rPr>
            </w:pPr>
          </w:p>
        </w:tc>
      </w:tr>
      <w:tr w:rsidR="00D7509F" w:rsidRPr="00B024DC" w14:paraId="5CBA0500" w14:textId="77777777" w:rsidTr="00154A73">
        <w:trPr>
          <w:trHeight w:val="100"/>
        </w:trPr>
        <w:tc>
          <w:tcPr>
            <w:tcW w:w="1193" w:type="dxa"/>
            <w:vMerge/>
            <w:tcBorders>
              <w:top w:val="nil"/>
              <w:left w:val="nil"/>
              <w:bottom w:val="nil"/>
              <w:right w:val="nil"/>
            </w:tcBorders>
          </w:tcPr>
          <w:p w14:paraId="26D28A03"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760557C6"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46053A1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Subjective norms*</w:t>
            </w:r>
          </w:p>
        </w:tc>
        <w:tc>
          <w:tcPr>
            <w:tcW w:w="3372" w:type="dxa"/>
            <w:tcBorders>
              <w:top w:val="nil"/>
              <w:left w:val="nil"/>
              <w:bottom w:val="nil"/>
              <w:right w:val="nil"/>
            </w:tcBorders>
          </w:tcPr>
          <w:p w14:paraId="51928B9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perceived social pressure regarding carrying out or not performing a special behavior</w:t>
            </w:r>
          </w:p>
          <w:p w14:paraId="7E026776"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3D4815E0"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117BFD88" w14:textId="77777777" w:rsidR="00D7509F" w:rsidRPr="00B024DC" w:rsidRDefault="00D7509F" w:rsidP="00154A73">
            <w:pPr>
              <w:rPr>
                <w:rFonts w:ascii="Times New Roman" w:hAnsi="Times New Roman" w:cs="Times New Roman"/>
                <w:sz w:val="24"/>
                <w:szCs w:val="24"/>
              </w:rPr>
            </w:pPr>
          </w:p>
        </w:tc>
      </w:tr>
      <w:tr w:rsidR="00D7509F" w:rsidRPr="00B024DC" w14:paraId="478BD03E" w14:textId="77777777" w:rsidTr="00154A73">
        <w:trPr>
          <w:trHeight w:val="100"/>
        </w:trPr>
        <w:tc>
          <w:tcPr>
            <w:tcW w:w="1193" w:type="dxa"/>
            <w:vMerge/>
            <w:tcBorders>
              <w:top w:val="nil"/>
              <w:left w:val="nil"/>
              <w:bottom w:val="nil"/>
              <w:right w:val="nil"/>
            </w:tcBorders>
          </w:tcPr>
          <w:p w14:paraId="675EAC7C"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360C08EF"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06BF844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behavior control</w:t>
            </w:r>
          </w:p>
        </w:tc>
        <w:tc>
          <w:tcPr>
            <w:tcW w:w="3372" w:type="dxa"/>
            <w:tcBorders>
              <w:top w:val="nil"/>
              <w:left w:val="nil"/>
              <w:bottom w:val="nil"/>
              <w:right w:val="nil"/>
            </w:tcBorders>
          </w:tcPr>
          <w:p w14:paraId="7C426E42"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perceived convenience or difficulty to carry out the specific behavior</w:t>
            </w:r>
          </w:p>
          <w:p w14:paraId="1B8CCB58"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0361C21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585ECA82" w14:textId="77777777" w:rsidR="00D7509F" w:rsidRPr="00B024DC" w:rsidRDefault="00D7509F" w:rsidP="00154A73">
            <w:pPr>
              <w:rPr>
                <w:rFonts w:ascii="Times New Roman" w:hAnsi="Times New Roman" w:cs="Times New Roman"/>
                <w:sz w:val="24"/>
                <w:szCs w:val="24"/>
              </w:rPr>
            </w:pPr>
          </w:p>
        </w:tc>
      </w:tr>
      <w:tr w:rsidR="00D7509F" w:rsidRPr="00B024DC" w14:paraId="59C58DD6" w14:textId="77777777" w:rsidTr="00154A73">
        <w:trPr>
          <w:trHeight w:val="100"/>
        </w:trPr>
        <w:tc>
          <w:tcPr>
            <w:tcW w:w="1193" w:type="dxa"/>
            <w:vMerge/>
            <w:tcBorders>
              <w:top w:val="nil"/>
              <w:left w:val="nil"/>
              <w:bottom w:val="nil"/>
              <w:right w:val="nil"/>
            </w:tcBorders>
          </w:tcPr>
          <w:p w14:paraId="59C0AD65" w14:textId="77777777" w:rsidR="00D7509F" w:rsidRPr="00B024DC" w:rsidRDefault="00D7509F" w:rsidP="00154A73">
            <w:pPr>
              <w:rPr>
                <w:rFonts w:ascii="Times New Roman" w:hAnsi="Times New Roman" w:cs="Times New Roman"/>
                <w:sz w:val="24"/>
                <w:szCs w:val="24"/>
              </w:rPr>
            </w:pPr>
          </w:p>
        </w:tc>
        <w:tc>
          <w:tcPr>
            <w:tcW w:w="1597" w:type="dxa"/>
            <w:vMerge w:val="restart"/>
            <w:tcBorders>
              <w:top w:val="nil"/>
              <w:left w:val="nil"/>
              <w:bottom w:val="nil"/>
              <w:right w:val="nil"/>
            </w:tcBorders>
          </w:tcPr>
          <w:p w14:paraId="4FC8D17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norm activation model</w:t>
            </w:r>
          </w:p>
        </w:tc>
        <w:tc>
          <w:tcPr>
            <w:tcW w:w="2478" w:type="dxa"/>
            <w:gridSpan w:val="2"/>
            <w:tcBorders>
              <w:top w:val="nil"/>
              <w:left w:val="nil"/>
              <w:bottom w:val="nil"/>
              <w:right w:val="nil"/>
            </w:tcBorders>
          </w:tcPr>
          <w:p w14:paraId="66195B0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ascription of responsibility</w:t>
            </w:r>
          </w:p>
        </w:tc>
        <w:tc>
          <w:tcPr>
            <w:tcW w:w="3372" w:type="dxa"/>
            <w:tcBorders>
              <w:top w:val="nil"/>
              <w:left w:val="nil"/>
              <w:bottom w:val="nil"/>
              <w:right w:val="nil"/>
            </w:tcBorders>
          </w:tcPr>
          <w:p w14:paraId="75C7468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Individuals’ awareness of the negative outcomes of not behaving in a pro-social manner for other people or things they value</w:t>
            </w:r>
          </w:p>
          <w:p w14:paraId="78EABC4E"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046ECF4"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1BFD26C8" w14:textId="77777777" w:rsidR="00D7509F" w:rsidRPr="00B024DC" w:rsidRDefault="00D7509F" w:rsidP="00154A73">
            <w:pPr>
              <w:rPr>
                <w:rFonts w:ascii="Times New Roman" w:hAnsi="Times New Roman" w:cs="Times New Roman"/>
                <w:sz w:val="24"/>
                <w:szCs w:val="24"/>
              </w:rPr>
            </w:pPr>
          </w:p>
        </w:tc>
      </w:tr>
      <w:tr w:rsidR="00D7509F" w:rsidRPr="00B024DC" w14:paraId="05D43850" w14:textId="77777777" w:rsidTr="00154A73">
        <w:trPr>
          <w:trHeight w:val="100"/>
        </w:trPr>
        <w:tc>
          <w:tcPr>
            <w:tcW w:w="1193" w:type="dxa"/>
            <w:vMerge/>
            <w:tcBorders>
              <w:top w:val="nil"/>
              <w:left w:val="nil"/>
              <w:bottom w:val="nil"/>
              <w:right w:val="nil"/>
            </w:tcBorders>
          </w:tcPr>
          <w:p w14:paraId="0ADF3A04"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30C154D1"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03DF939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Personal norms* </w:t>
            </w:r>
          </w:p>
        </w:tc>
        <w:tc>
          <w:tcPr>
            <w:tcW w:w="3372" w:type="dxa"/>
            <w:tcBorders>
              <w:top w:val="nil"/>
              <w:left w:val="nil"/>
              <w:bottom w:val="nil"/>
              <w:right w:val="nil"/>
            </w:tcBorders>
          </w:tcPr>
          <w:p w14:paraId="332DF48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moral obligation of individuals to carry out or withdraw from</w:t>
            </w:r>
          </w:p>
          <w:p w14:paraId="0509BAE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special behaviors </w:t>
            </w:r>
          </w:p>
          <w:p w14:paraId="6152FE30"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47EE56F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1D8B58A3" w14:textId="77777777" w:rsidR="00D7509F" w:rsidRPr="00B024DC" w:rsidRDefault="00D7509F" w:rsidP="00154A73">
            <w:pPr>
              <w:rPr>
                <w:rFonts w:ascii="Times New Roman" w:hAnsi="Times New Roman" w:cs="Times New Roman"/>
                <w:sz w:val="24"/>
                <w:szCs w:val="24"/>
              </w:rPr>
            </w:pPr>
          </w:p>
        </w:tc>
      </w:tr>
      <w:tr w:rsidR="00D7509F" w:rsidRPr="00B024DC" w14:paraId="3AEF726D" w14:textId="77777777" w:rsidTr="00154A73">
        <w:trPr>
          <w:trHeight w:val="100"/>
        </w:trPr>
        <w:tc>
          <w:tcPr>
            <w:tcW w:w="1193" w:type="dxa"/>
            <w:vMerge/>
            <w:tcBorders>
              <w:top w:val="nil"/>
              <w:left w:val="nil"/>
              <w:bottom w:val="nil"/>
              <w:right w:val="nil"/>
            </w:tcBorders>
          </w:tcPr>
          <w:p w14:paraId="39811966"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28B82AB5"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3C4B34A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Awareness of consequences</w:t>
            </w:r>
          </w:p>
        </w:tc>
        <w:tc>
          <w:tcPr>
            <w:tcW w:w="3372" w:type="dxa"/>
            <w:tcBorders>
              <w:top w:val="nil"/>
              <w:left w:val="nil"/>
              <w:bottom w:val="nil"/>
              <w:right w:val="nil"/>
            </w:tcBorders>
          </w:tcPr>
          <w:p w14:paraId="2C2EB3E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Awareness of unfavorable outcomes of their non-environmentally friendly behaviors.</w:t>
            </w:r>
          </w:p>
          <w:p w14:paraId="16B91764"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5C302B6"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354BE07A" w14:textId="77777777" w:rsidR="00D7509F" w:rsidRPr="00B024DC" w:rsidRDefault="00D7509F" w:rsidP="00154A73">
            <w:pPr>
              <w:rPr>
                <w:rFonts w:ascii="Times New Roman" w:hAnsi="Times New Roman" w:cs="Times New Roman"/>
                <w:sz w:val="24"/>
                <w:szCs w:val="24"/>
              </w:rPr>
            </w:pPr>
          </w:p>
        </w:tc>
      </w:tr>
      <w:tr w:rsidR="00D7509F" w:rsidRPr="00B024DC" w14:paraId="178E7EDD" w14:textId="77777777" w:rsidTr="00154A73">
        <w:trPr>
          <w:trHeight w:val="150"/>
        </w:trPr>
        <w:tc>
          <w:tcPr>
            <w:tcW w:w="1193" w:type="dxa"/>
            <w:vMerge/>
            <w:tcBorders>
              <w:top w:val="nil"/>
              <w:left w:val="nil"/>
              <w:bottom w:val="nil"/>
              <w:right w:val="nil"/>
            </w:tcBorders>
          </w:tcPr>
          <w:p w14:paraId="0F058BBA" w14:textId="77777777" w:rsidR="00D7509F" w:rsidRPr="00B024DC" w:rsidRDefault="00D7509F" w:rsidP="00154A73">
            <w:pPr>
              <w:rPr>
                <w:rFonts w:ascii="Times New Roman" w:hAnsi="Times New Roman" w:cs="Times New Roman"/>
                <w:sz w:val="24"/>
                <w:szCs w:val="24"/>
              </w:rPr>
            </w:pPr>
          </w:p>
        </w:tc>
        <w:tc>
          <w:tcPr>
            <w:tcW w:w="1597" w:type="dxa"/>
            <w:vMerge w:val="restart"/>
            <w:tcBorders>
              <w:top w:val="nil"/>
              <w:left w:val="nil"/>
              <w:bottom w:val="nil"/>
              <w:right w:val="nil"/>
            </w:tcBorders>
          </w:tcPr>
          <w:p w14:paraId="62CE270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Other factors</w:t>
            </w:r>
          </w:p>
        </w:tc>
        <w:tc>
          <w:tcPr>
            <w:tcW w:w="2478" w:type="dxa"/>
            <w:gridSpan w:val="2"/>
            <w:tcBorders>
              <w:top w:val="nil"/>
              <w:left w:val="nil"/>
              <w:bottom w:val="nil"/>
              <w:right w:val="nil"/>
            </w:tcBorders>
          </w:tcPr>
          <w:p w14:paraId="19BC03D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Perceived Consumer Effectiveness*  </w:t>
            </w:r>
          </w:p>
          <w:p w14:paraId="5CEB65AE"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4DA8AE9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range of consumers’ beliefs regarding the contribution of their endeavors to solve the existing problems</w:t>
            </w:r>
          </w:p>
          <w:p w14:paraId="5B3F6DD0"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2B64A7E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4F8AB6AA" w14:textId="77777777" w:rsidR="00D7509F" w:rsidRPr="00B024DC" w:rsidRDefault="00D7509F" w:rsidP="00154A73">
            <w:pPr>
              <w:rPr>
                <w:rFonts w:ascii="Times New Roman" w:hAnsi="Times New Roman" w:cs="Times New Roman"/>
                <w:sz w:val="24"/>
                <w:szCs w:val="24"/>
              </w:rPr>
            </w:pPr>
          </w:p>
        </w:tc>
      </w:tr>
      <w:tr w:rsidR="00D7509F" w:rsidRPr="00B024DC" w14:paraId="7AD04782" w14:textId="77777777" w:rsidTr="00154A73">
        <w:trPr>
          <w:trHeight w:val="150"/>
        </w:trPr>
        <w:tc>
          <w:tcPr>
            <w:tcW w:w="1193" w:type="dxa"/>
            <w:vMerge/>
            <w:tcBorders>
              <w:top w:val="nil"/>
              <w:left w:val="nil"/>
              <w:bottom w:val="nil"/>
              <w:right w:val="nil"/>
            </w:tcBorders>
          </w:tcPr>
          <w:p w14:paraId="50A5955D"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7B5FE9A6"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29936F7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value*</w:t>
            </w:r>
          </w:p>
          <w:p w14:paraId="182883FF"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655C9DF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central influencing component on purchase behavior.</w:t>
            </w:r>
          </w:p>
          <w:p w14:paraId="2D24B56B"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7450958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5286073B" w14:textId="77777777" w:rsidR="00D7509F" w:rsidRPr="00B024DC" w:rsidRDefault="00D7509F" w:rsidP="00154A73">
            <w:pPr>
              <w:rPr>
                <w:rFonts w:ascii="Times New Roman" w:hAnsi="Times New Roman" w:cs="Times New Roman"/>
                <w:sz w:val="24"/>
                <w:szCs w:val="24"/>
              </w:rPr>
            </w:pPr>
          </w:p>
        </w:tc>
      </w:tr>
      <w:tr w:rsidR="00D7509F" w:rsidRPr="00B024DC" w14:paraId="29F447DE" w14:textId="77777777" w:rsidTr="00154A73">
        <w:trPr>
          <w:trHeight w:val="203"/>
        </w:trPr>
        <w:tc>
          <w:tcPr>
            <w:tcW w:w="1193" w:type="dxa"/>
            <w:vMerge w:val="restart"/>
            <w:tcBorders>
              <w:top w:val="nil"/>
              <w:left w:val="nil"/>
              <w:bottom w:val="nil"/>
              <w:right w:val="nil"/>
            </w:tcBorders>
          </w:tcPr>
          <w:p w14:paraId="235447B4" w14:textId="639E0BCC"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Zhang et al. 2018</w:t>
            </w:r>
          </w:p>
          <w:p w14:paraId="734F996E" w14:textId="77777777" w:rsidR="00D7509F" w:rsidRPr="00B024DC" w:rsidRDefault="00D7509F" w:rsidP="00154A73">
            <w:pPr>
              <w:rPr>
                <w:rFonts w:ascii="Times New Roman" w:hAnsi="Times New Roman" w:cs="Times New Roman"/>
                <w:sz w:val="24"/>
                <w:szCs w:val="24"/>
              </w:rPr>
            </w:pPr>
          </w:p>
        </w:tc>
        <w:tc>
          <w:tcPr>
            <w:tcW w:w="1597" w:type="dxa"/>
            <w:vMerge w:val="restart"/>
            <w:tcBorders>
              <w:top w:val="nil"/>
              <w:left w:val="nil"/>
              <w:bottom w:val="nil"/>
              <w:right w:val="nil"/>
            </w:tcBorders>
          </w:tcPr>
          <w:p w14:paraId="4FBE1762"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Theory of Planned Behavior</w:t>
            </w:r>
          </w:p>
          <w:p w14:paraId="4A93DF58"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25EC1D8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Attitude*</w:t>
            </w:r>
          </w:p>
        </w:tc>
        <w:tc>
          <w:tcPr>
            <w:tcW w:w="3372" w:type="dxa"/>
            <w:tcBorders>
              <w:top w:val="nil"/>
              <w:left w:val="nil"/>
              <w:bottom w:val="nil"/>
              <w:right w:val="nil"/>
            </w:tcBorders>
          </w:tcPr>
          <w:p w14:paraId="6E35360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degree on how a person positively or negatively</w:t>
            </w:r>
          </w:p>
          <w:p w14:paraId="0A66AC0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evaluates the behavior</w:t>
            </w:r>
          </w:p>
          <w:p w14:paraId="1FE210DD"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3EADA7F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nil"/>
              <w:left w:val="nil"/>
              <w:bottom w:val="nil"/>
              <w:right w:val="nil"/>
            </w:tcBorders>
          </w:tcPr>
          <w:p w14:paraId="27121CC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-Perceived economic benefits, perceived environmental benefits, and perceived risks are correlated with each other. They can explain </w:t>
            </w:r>
            <w:r w:rsidRPr="00B024DC">
              <w:rPr>
                <w:rFonts w:ascii="Times New Roman" w:hAnsi="Times New Roman" w:cs="Times New Roman"/>
                <w:sz w:val="24"/>
                <w:szCs w:val="24"/>
              </w:rPr>
              <w:lastRenderedPageBreak/>
              <w:t xml:space="preserve">and predict attitudes toward EV purchase intention, thus playing primary roles in influencing EV adoption. </w:t>
            </w:r>
          </w:p>
          <w:p w14:paraId="7CE6DAE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-Promotion-focused respondents have more significantly positive attitudes because they are</w:t>
            </w:r>
          </w:p>
          <w:p w14:paraId="3F68BD3D"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more sensitive to perceived environmental benefits, whereas prevention-focused respondents are</w:t>
            </w:r>
          </w:p>
          <w:p w14:paraId="3030A79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not. </w:t>
            </w:r>
          </w:p>
          <w:p w14:paraId="559A7BA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-Attitudes are found to have greatest total effect when explaining and predicting purchase</w:t>
            </w:r>
          </w:p>
          <w:p w14:paraId="2285FB0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intention. In addition, regulatory focus has significant impacts on subjective norm for both</w:t>
            </w:r>
          </w:p>
          <w:p w14:paraId="08FB003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promotion- and prevention-focused respondents.</w:t>
            </w:r>
          </w:p>
          <w:p w14:paraId="204460A7" w14:textId="77777777" w:rsidR="00D7509F" w:rsidRPr="00B024DC" w:rsidRDefault="00D7509F" w:rsidP="00154A73">
            <w:pPr>
              <w:rPr>
                <w:rFonts w:ascii="Times New Roman" w:hAnsi="Times New Roman" w:cs="Times New Roman"/>
                <w:sz w:val="24"/>
                <w:szCs w:val="24"/>
              </w:rPr>
            </w:pPr>
          </w:p>
          <w:p w14:paraId="7A3CA741" w14:textId="77777777" w:rsidR="00D7509F" w:rsidRPr="00B024DC" w:rsidRDefault="00D7509F" w:rsidP="00154A73">
            <w:pPr>
              <w:rPr>
                <w:rFonts w:ascii="Times New Roman" w:hAnsi="Times New Roman" w:cs="Times New Roman"/>
                <w:sz w:val="24"/>
                <w:szCs w:val="24"/>
              </w:rPr>
            </w:pPr>
          </w:p>
          <w:p w14:paraId="03E9587C" w14:textId="77777777" w:rsidR="00D7509F" w:rsidRPr="00B024DC" w:rsidRDefault="00D7509F" w:rsidP="00154A73">
            <w:pPr>
              <w:rPr>
                <w:rFonts w:ascii="Times New Roman" w:hAnsi="Times New Roman" w:cs="Times New Roman"/>
                <w:sz w:val="24"/>
                <w:szCs w:val="24"/>
              </w:rPr>
            </w:pPr>
          </w:p>
        </w:tc>
      </w:tr>
      <w:tr w:rsidR="00D7509F" w:rsidRPr="00B024DC" w14:paraId="06490667" w14:textId="77777777" w:rsidTr="00154A73">
        <w:trPr>
          <w:trHeight w:val="203"/>
        </w:trPr>
        <w:tc>
          <w:tcPr>
            <w:tcW w:w="1193" w:type="dxa"/>
            <w:vMerge/>
            <w:tcBorders>
              <w:top w:val="nil"/>
              <w:left w:val="nil"/>
              <w:bottom w:val="nil"/>
              <w:right w:val="nil"/>
            </w:tcBorders>
          </w:tcPr>
          <w:p w14:paraId="1B75D9AE"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132CAD5F"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3403E21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Subjective norm* </w:t>
            </w:r>
          </w:p>
          <w:p w14:paraId="14055843"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2C17B5E4"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perceived pressure from important referent individuals or</w:t>
            </w:r>
          </w:p>
          <w:p w14:paraId="24A9C47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groups to approve or disapprove of the person’s performing the behavior</w:t>
            </w:r>
          </w:p>
          <w:p w14:paraId="1FE304DD"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33E60E2"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6B17ACB2" w14:textId="77777777" w:rsidR="00D7509F" w:rsidRPr="00B024DC" w:rsidRDefault="00D7509F" w:rsidP="00154A73">
            <w:pPr>
              <w:rPr>
                <w:rFonts w:ascii="Times New Roman" w:hAnsi="Times New Roman" w:cs="Times New Roman"/>
                <w:sz w:val="24"/>
                <w:szCs w:val="24"/>
              </w:rPr>
            </w:pPr>
          </w:p>
        </w:tc>
      </w:tr>
      <w:tr w:rsidR="00D7509F" w:rsidRPr="00B024DC" w14:paraId="3E7D4147" w14:textId="77777777" w:rsidTr="00154A73">
        <w:trPr>
          <w:trHeight w:val="203"/>
        </w:trPr>
        <w:tc>
          <w:tcPr>
            <w:tcW w:w="1193" w:type="dxa"/>
            <w:vMerge/>
            <w:tcBorders>
              <w:top w:val="nil"/>
              <w:left w:val="nil"/>
              <w:bottom w:val="nil"/>
              <w:right w:val="nil"/>
            </w:tcBorders>
          </w:tcPr>
          <w:p w14:paraId="3A8759E3"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75902357"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35A8C48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behavioral control*</w:t>
            </w:r>
          </w:p>
        </w:tc>
        <w:tc>
          <w:tcPr>
            <w:tcW w:w="3372" w:type="dxa"/>
            <w:tcBorders>
              <w:top w:val="nil"/>
              <w:left w:val="nil"/>
              <w:bottom w:val="nil"/>
              <w:right w:val="nil"/>
            </w:tcBorders>
          </w:tcPr>
          <w:p w14:paraId="2689507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degree of ease or difficulty in performing a behavior</w:t>
            </w:r>
          </w:p>
          <w:p w14:paraId="7CE150CD"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AE5CBA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0CC3616D" w14:textId="77777777" w:rsidR="00D7509F" w:rsidRPr="00B024DC" w:rsidRDefault="00D7509F" w:rsidP="00154A73">
            <w:pPr>
              <w:rPr>
                <w:rFonts w:ascii="Times New Roman" w:hAnsi="Times New Roman" w:cs="Times New Roman"/>
                <w:sz w:val="24"/>
                <w:szCs w:val="24"/>
              </w:rPr>
            </w:pPr>
          </w:p>
        </w:tc>
      </w:tr>
      <w:tr w:rsidR="00D7509F" w:rsidRPr="00B024DC" w14:paraId="5CE23F18" w14:textId="77777777" w:rsidTr="00154A73">
        <w:trPr>
          <w:trHeight w:val="203"/>
        </w:trPr>
        <w:tc>
          <w:tcPr>
            <w:tcW w:w="1193" w:type="dxa"/>
            <w:vMerge/>
            <w:tcBorders>
              <w:top w:val="nil"/>
              <w:left w:val="nil"/>
              <w:bottom w:val="nil"/>
              <w:right w:val="nil"/>
            </w:tcBorders>
          </w:tcPr>
          <w:p w14:paraId="663E20D9" w14:textId="77777777" w:rsidR="00D7509F" w:rsidRPr="00B024DC" w:rsidRDefault="00D7509F" w:rsidP="00154A73">
            <w:pPr>
              <w:rPr>
                <w:rFonts w:ascii="Times New Roman" w:hAnsi="Times New Roman" w:cs="Times New Roman"/>
                <w:sz w:val="24"/>
                <w:szCs w:val="24"/>
              </w:rPr>
            </w:pPr>
          </w:p>
        </w:tc>
        <w:tc>
          <w:tcPr>
            <w:tcW w:w="1597" w:type="dxa"/>
            <w:vMerge w:val="restart"/>
            <w:tcBorders>
              <w:top w:val="nil"/>
              <w:left w:val="nil"/>
              <w:bottom w:val="nil"/>
              <w:right w:val="nil"/>
            </w:tcBorders>
          </w:tcPr>
          <w:p w14:paraId="787F1FC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Regulatory focus theory </w:t>
            </w:r>
          </w:p>
        </w:tc>
        <w:tc>
          <w:tcPr>
            <w:tcW w:w="2478" w:type="dxa"/>
            <w:gridSpan w:val="2"/>
            <w:tcBorders>
              <w:top w:val="nil"/>
              <w:left w:val="nil"/>
              <w:bottom w:val="nil"/>
              <w:right w:val="nil"/>
            </w:tcBorders>
          </w:tcPr>
          <w:p w14:paraId="3FF364F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Promotion-focused individuals</w:t>
            </w:r>
          </w:p>
        </w:tc>
        <w:tc>
          <w:tcPr>
            <w:tcW w:w="3372" w:type="dxa"/>
            <w:tcBorders>
              <w:top w:val="nil"/>
              <w:left w:val="nil"/>
              <w:bottom w:val="nil"/>
              <w:right w:val="nil"/>
            </w:tcBorders>
          </w:tcPr>
          <w:p w14:paraId="7776519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Those who prioritize desires and potential gains as well as have an orientation characterized by a general state of eagerness. </w:t>
            </w:r>
          </w:p>
          <w:p w14:paraId="11250E96"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5AD465D"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73714EA0" w14:textId="77777777" w:rsidR="00D7509F" w:rsidRPr="00B024DC" w:rsidRDefault="00D7509F" w:rsidP="00154A73">
            <w:pPr>
              <w:rPr>
                <w:rFonts w:ascii="Times New Roman" w:hAnsi="Times New Roman" w:cs="Times New Roman"/>
                <w:sz w:val="24"/>
                <w:szCs w:val="24"/>
              </w:rPr>
            </w:pPr>
          </w:p>
        </w:tc>
      </w:tr>
      <w:tr w:rsidR="00D7509F" w:rsidRPr="00B024DC" w14:paraId="2FD37E17" w14:textId="77777777" w:rsidTr="00154A73">
        <w:trPr>
          <w:trHeight w:val="203"/>
        </w:trPr>
        <w:tc>
          <w:tcPr>
            <w:tcW w:w="1193" w:type="dxa"/>
            <w:vMerge/>
            <w:tcBorders>
              <w:top w:val="nil"/>
              <w:left w:val="nil"/>
              <w:bottom w:val="nil"/>
              <w:right w:val="nil"/>
            </w:tcBorders>
          </w:tcPr>
          <w:p w14:paraId="6E9B5601"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583F5FD8"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124CC88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Prevention-focused individuals</w:t>
            </w:r>
          </w:p>
          <w:p w14:paraId="26B4809D"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75B6BDA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Those who focus more on obligations and avoid potential losses as well as have an orientation characterized by a general state of vigilance. </w:t>
            </w:r>
          </w:p>
          <w:p w14:paraId="7E96BFD4"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784A1422"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4CF360C0" w14:textId="77777777" w:rsidR="00D7509F" w:rsidRPr="00B024DC" w:rsidRDefault="00D7509F" w:rsidP="00154A73">
            <w:pPr>
              <w:rPr>
                <w:rFonts w:ascii="Times New Roman" w:hAnsi="Times New Roman" w:cs="Times New Roman"/>
                <w:sz w:val="24"/>
                <w:szCs w:val="24"/>
              </w:rPr>
            </w:pPr>
          </w:p>
        </w:tc>
      </w:tr>
      <w:tr w:rsidR="00D7509F" w:rsidRPr="00B024DC" w14:paraId="16362539" w14:textId="77777777" w:rsidTr="00154A73">
        <w:trPr>
          <w:trHeight w:val="203"/>
        </w:trPr>
        <w:tc>
          <w:tcPr>
            <w:tcW w:w="1193" w:type="dxa"/>
            <w:vMerge/>
            <w:tcBorders>
              <w:top w:val="nil"/>
              <w:left w:val="nil"/>
              <w:bottom w:val="nil"/>
              <w:right w:val="nil"/>
            </w:tcBorders>
          </w:tcPr>
          <w:p w14:paraId="5F99181D" w14:textId="77777777" w:rsidR="00D7509F" w:rsidRPr="00B024DC" w:rsidRDefault="00D7509F" w:rsidP="00154A73">
            <w:pPr>
              <w:rPr>
                <w:rFonts w:ascii="Times New Roman" w:hAnsi="Times New Roman" w:cs="Times New Roman"/>
                <w:sz w:val="24"/>
                <w:szCs w:val="24"/>
              </w:rPr>
            </w:pPr>
          </w:p>
        </w:tc>
        <w:tc>
          <w:tcPr>
            <w:tcW w:w="1597" w:type="dxa"/>
            <w:vMerge w:val="restart"/>
            <w:tcBorders>
              <w:top w:val="nil"/>
              <w:left w:val="nil"/>
              <w:bottom w:val="nil"/>
              <w:right w:val="nil"/>
            </w:tcBorders>
          </w:tcPr>
          <w:p w14:paraId="0F3EEF9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Other factors</w:t>
            </w:r>
          </w:p>
        </w:tc>
        <w:tc>
          <w:tcPr>
            <w:tcW w:w="2478" w:type="dxa"/>
            <w:gridSpan w:val="2"/>
            <w:tcBorders>
              <w:top w:val="nil"/>
              <w:left w:val="nil"/>
              <w:bottom w:val="nil"/>
              <w:right w:val="nil"/>
            </w:tcBorders>
          </w:tcPr>
          <w:p w14:paraId="7C7B6D7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economic benefits*</w:t>
            </w:r>
          </w:p>
        </w:tc>
        <w:tc>
          <w:tcPr>
            <w:tcW w:w="3372" w:type="dxa"/>
            <w:tcBorders>
              <w:top w:val="nil"/>
              <w:left w:val="nil"/>
              <w:bottom w:val="nil"/>
              <w:right w:val="nil"/>
            </w:tcBorders>
          </w:tcPr>
          <w:p w14:paraId="26246699"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D80BDB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2EFC0AC6" w14:textId="77777777" w:rsidR="00D7509F" w:rsidRPr="00B024DC" w:rsidRDefault="00D7509F" w:rsidP="00154A73">
            <w:pPr>
              <w:rPr>
                <w:rFonts w:ascii="Times New Roman" w:hAnsi="Times New Roman" w:cs="Times New Roman"/>
                <w:sz w:val="24"/>
                <w:szCs w:val="24"/>
              </w:rPr>
            </w:pPr>
          </w:p>
        </w:tc>
      </w:tr>
      <w:tr w:rsidR="00D7509F" w:rsidRPr="00B024DC" w14:paraId="09CE7A32" w14:textId="77777777" w:rsidTr="00154A73">
        <w:trPr>
          <w:trHeight w:val="203"/>
        </w:trPr>
        <w:tc>
          <w:tcPr>
            <w:tcW w:w="1193" w:type="dxa"/>
            <w:vMerge/>
            <w:tcBorders>
              <w:top w:val="nil"/>
              <w:left w:val="nil"/>
              <w:bottom w:val="nil"/>
              <w:right w:val="nil"/>
            </w:tcBorders>
          </w:tcPr>
          <w:p w14:paraId="363EC6A3"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21572745"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278A438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EV environmental benefits*</w:t>
            </w:r>
          </w:p>
          <w:p w14:paraId="7E4E6EFB"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22048F91"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2404753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5A12442E" w14:textId="77777777" w:rsidR="00D7509F" w:rsidRPr="00B024DC" w:rsidRDefault="00D7509F" w:rsidP="00154A73">
            <w:pPr>
              <w:rPr>
                <w:rFonts w:ascii="Times New Roman" w:hAnsi="Times New Roman" w:cs="Times New Roman"/>
                <w:sz w:val="24"/>
                <w:szCs w:val="24"/>
              </w:rPr>
            </w:pPr>
          </w:p>
        </w:tc>
      </w:tr>
      <w:tr w:rsidR="00D7509F" w:rsidRPr="00B024DC" w14:paraId="6490567A" w14:textId="77777777" w:rsidTr="00154A73">
        <w:trPr>
          <w:trHeight w:val="203"/>
        </w:trPr>
        <w:tc>
          <w:tcPr>
            <w:tcW w:w="1193" w:type="dxa"/>
            <w:vMerge/>
            <w:tcBorders>
              <w:top w:val="nil"/>
              <w:left w:val="nil"/>
              <w:bottom w:val="nil"/>
              <w:right w:val="nil"/>
            </w:tcBorders>
          </w:tcPr>
          <w:p w14:paraId="51328FB4"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1BBFC76E"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2752950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risk*</w:t>
            </w:r>
          </w:p>
          <w:p w14:paraId="262C5E73"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0F303600"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479457C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Negative</w:t>
            </w:r>
          </w:p>
        </w:tc>
        <w:tc>
          <w:tcPr>
            <w:tcW w:w="4083" w:type="dxa"/>
            <w:vMerge/>
            <w:tcBorders>
              <w:top w:val="nil"/>
              <w:left w:val="nil"/>
              <w:bottom w:val="nil"/>
              <w:right w:val="nil"/>
            </w:tcBorders>
          </w:tcPr>
          <w:p w14:paraId="20F7FC22" w14:textId="77777777" w:rsidR="00D7509F" w:rsidRPr="00B024DC" w:rsidRDefault="00D7509F" w:rsidP="00154A73">
            <w:pPr>
              <w:rPr>
                <w:rFonts w:ascii="Times New Roman" w:hAnsi="Times New Roman" w:cs="Times New Roman"/>
                <w:sz w:val="24"/>
                <w:szCs w:val="24"/>
              </w:rPr>
            </w:pPr>
          </w:p>
        </w:tc>
      </w:tr>
      <w:tr w:rsidR="00D7509F" w:rsidRPr="00B024DC" w14:paraId="5066B6A2" w14:textId="77777777" w:rsidTr="00154A73">
        <w:trPr>
          <w:trHeight w:val="300"/>
        </w:trPr>
        <w:tc>
          <w:tcPr>
            <w:tcW w:w="1193" w:type="dxa"/>
            <w:vMerge w:val="restart"/>
            <w:tcBorders>
              <w:top w:val="nil"/>
              <w:left w:val="nil"/>
              <w:bottom w:val="nil"/>
              <w:right w:val="nil"/>
            </w:tcBorders>
          </w:tcPr>
          <w:p w14:paraId="10527405" w14:textId="4137761D"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lastRenderedPageBreak/>
              <w:t>Jansson et al.</w:t>
            </w:r>
            <w:r w:rsidR="00240F36">
              <w:rPr>
                <w:rFonts w:ascii="Times New Roman" w:hAnsi="Times New Roman" w:cs="Times New Roman"/>
                <w:sz w:val="24"/>
                <w:szCs w:val="24"/>
              </w:rPr>
              <w:t xml:space="preserve"> </w:t>
            </w:r>
            <w:r w:rsidRPr="00B024DC">
              <w:rPr>
                <w:rFonts w:ascii="Times New Roman" w:hAnsi="Times New Roman" w:cs="Times New Roman"/>
                <w:sz w:val="24"/>
                <w:szCs w:val="24"/>
              </w:rPr>
              <w:t>2017</w:t>
            </w:r>
          </w:p>
        </w:tc>
        <w:tc>
          <w:tcPr>
            <w:tcW w:w="1597" w:type="dxa"/>
            <w:vMerge w:val="restart"/>
            <w:tcBorders>
              <w:top w:val="nil"/>
              <w:left w:val="nil"/>
              <w:bottom w:val="nil"/>
              <w:right w:val="nil"/>
            </w:tcBorders>
          </w:tcPr>
          <w:p w14:paraId="4639944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Social influence theory</w:t>
            </w:r>
          </w:p>
        </w:tc>
        <w:tc>
          <w:tcPr>
            <w:tcW w:w="2478" w:type="dxa"/>
            <w:gridSpan w:val="2"/>
            <w:tcBorders>
              <w:top w:val="nil"/>
              <w:left w:val="nil"/>
              <w:bottom w:val="nil"/>
              <w:right w:val="nil"/>
            </w:tcBorders>
          </w:tcPr>
          <w:p w14:paraId="29FAEF1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Personal norm** </w:t>
            </w:r>
          </w:p>
        </w:tc>
        <w:tc>
          <w:tcPr>
            <w:tcW w:w="3372" w:type="dxa"/>
            <w:tcBorders>
              <w:top w:val="nil"/>
              <w:left w:val="nil"/>
              <w:bottom w:val="nil"/>
              <w:right w:val="nil"/>
            </w:tcBorders>
          </w:tcPr>
          <w:p w14:paraId="1AB32A23" w14:textId="7AAAB645"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Shared beliefs about how individuals perceive they ought to act</w:t>
            </w:r>
            <w:r w:rsidR="00240F36">
              <w:rPr>
                <w:rFonts w:ascii="Times New Roman" w:hAnsi="Times New Roman" w:cs="Times New Roman"/>
                <w:sz w:val="24"/>
                <w:szCs w:val="24"/>
              </w:rPr>
              <w:t>,</w:t>
            </w:r>
            <w:r w:rsidRPr="00B024DC">
              <w:rPr>
                <w:rFonts w:ascii="Times New Roman" w:hAnsi="Times New Roman" w:cs="Times New Roman"/>
                <w:sz w:val="24"/>
                <w:szCs w:val="24"/>
              </w:rPr>
              <w:t xml:space="preserve"> which are enforced by the internalized threat of sanctions or the promise of rewards</w:t>
            </w:r>
            <w:r w:rsidR="00240F36">
              <w:rPr>
                <w:rFonts w:ascii="Times New Roman" w:hAnsi="Times New Roman" w:cs="Times New Roman"/>
                <w:sz w:val="24"/>
                <w:szCs w:val="24"/>
              </w:rPr>
              <w:t>.</w:t>
            </w:r>
          </w:p>
          <w:p w14:paraId="66643FF4"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2EF6592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nil"/>
              <w:left w:val="nil"/>
              <w:bottom w:val="nil"/>
              <w:right w:val="nil"/>
            </w:tcBorders>
          </w:tcPr>
          <w:p w14:paraId="3BC7A52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-Personal norms, opinion-leading, and opinion-seeking were the most predictive variables at the</w:t>
            </w:r>
          </w:p>
          <w:p w14:paraId="7518B86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strictest confidence level and the largest differences between the groups were between EV adopters and non-adopters.</w:t>
            </w:r>
          </w:p>
        </w:tc>
      </w:tr>
      <w:tr w:rsidR="00D7509F" w:rsidRPr="00B024DC" w14:paraId="248CC45E" w14:textId="77777777" w:rsidTr="00154A73">
        <w:trPr>
          <w:trHeight w:val="298"/>
        </w:trPr>
        <w:tc>
          <w:tcPr>
            <w:tcW w:w="1193" w:type="dxa"/>
            <w:vMerge/>
            <w:tcBorders>
              <w:top w:val="nil"/>
              <w:left w:val="nil"/>
              <w:bottom w:val="nil"/>
              <w:right w:val="nil"/>
            </w:tcBorders>
          </w:tcPr>
          <w:p w14:paraId="0F794AAF"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3B32C948"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2660A15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Social norms</w:t>
            </w:r>
          </w:p>
        </w:tc>
        <w:tc>
          <w:tcPr>
            <w:tcW w:w="3372" w:type="dxa"/>
            <w:tcBorders>
              <w:top w:val="nil"/>
              <w:left w:val="nil"/>
              <w:bottom w:val="nil"/>
              <w:right w:val="nil"/>
            </w:tcBorders>
          </w:tcPr>
          <w:p w14:paraId="641ADD7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Norms that are based on perceived group expectations for reward and punishment.</w:t>
            </w:r>
          </w:p>
          <w:p w14:paraId="75B04F3D"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07DCCBE7"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3C871065" w14:textId="77777777" w:rsidR="00D7509F" w:rsidRPr="00B024DC" w:rsidRDefault="00D7509F" w:rsidP="00154A73">
            <w:pPr>
              <w:rPr>
                <w:rFonts w:ascii="Times New Roman" w:hAnsi="Times New Roman" w:cs="Times New Roman"/>
                <w:sz w:val="24"/>
                <w:szCs w:val="24"/>
              </w:rPr>
            </w:pPr>
          </w:p>
        </w:tc>
      </w:tr>
      <w:tr w:rsidR="00D7509F" w:rsidRPr="00B024DC" w14:paraId="5390E343" w14:textId="77777777" w:rsidTr="00154A73">
        <w:trPr>
          <w:trHeight w:val="298"/>
        </w:trPr>
        <w:tc>
          <w:tcPr>
            <w:tcW w:w="1193" w:type="dxa"/>
            <w:vMerge/>
            <w:tcBorders>
              <w:top w:val="nil"/>
              <w:left w:val="nil"/>
              <w:bottom w:val="nil"/>
              <w:right w:val="nil"/>
            </w:tcBorders>
          </w:tcPr>
          <w:p w14:paraId="4755FD2D" w14:textId="77777777" w:rsidR="00D7509F" w:rsidRPr="00B024DC" w:rsidRDefault="00D7509F" w:rsidP="00154A73">
            <w:pPr>
              <w:rPr>
                <w:rFonts w:ascii="Times New Roman" w:hAnsi="Times New Roman" w:cs="Times New Roman"/>
                <w:sz w:val="24"/>
                <w:szCs w:val="24"/>
              </w:rPr>
            </w:pPr>
          </w:p>
        </w:tc>
        <w:tc>
          <w:tcPr>
            <w:tcW w:w="1597" w:type="dxa"/>
            <w:tcBorders>
              <w:top w:val="nil"/>
              <w:left w:val="nil"/>
              <w:bottom w:val="nil"/>
              <w:right w:val="nil"/>
            </w:tcBorders>
          </w:tcPr>
          <w:p w14:paraId="48DE759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New ecological paradigm (NEP)</w:t>
            </w:r>
          </w:p>
        </w:tc>
        <w:tc>
          <w:tcPr>
            <w:tcW w:w="2478" w:type="dxa"/>
            <w:gridSpan w:val="2"/>
            <w:tcBorders>
              <w:top w:val="nil"/>
              <w:left w:val="nil"/>
              <w:bottom w:val="nil"/>
              <w:right w:val="nil"/>
            </w:tcBorders>
          </w:tcPr>
          <w:p w14:paraId="1951542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Ecological attitudes</w:t>
            </w:r>
          </w:p>
          <w:p w14:paraId="60164E82"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52CEB21C" w14:textId="301112D2"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 psychological tendency (towards the environment) that is expressed by evaluating a particular entity with some degree of favor or disfavor</w:t>
            </w:r>
            <w:r w:rsidR="00240F36">
              <w:rPr>
                <w:rFonts w:ascii="Times New Roman" w:hAnsi="Times New Roman" w:cs="Times New Roman"/>
                <w:sz w:val="24"/>
                <w:szCs w:val="24"/>
              </w:rPr>
              <w:t>.</w:t>
            </w:r>
          </w:p>
          <w:p w14:paraId="5E93B0B0"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2EE4BF1"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6AE44DFD" w14:textId="77777777" w:rsidR="00D7509F" w:rsidRPr="00B024DC" w:rsidRDefault="00D7509F" w:rsidP="00154A73">
            <w:pPr>
              <w:rPr>
                <w:rFonts w:ascii="Times New Roman" w:hAnsi="Times New Roman" w:cs="Times New Roman"/>
                <w:sz w:val="24"/>
                <w:szCs w:val="24"/>
              </w:rPr>
            </w:pPr>
          </w:p>
        </w:tc>
      </w:tr>
      <w:tr w:rsidR="00D7509F" w:rsidRPr="00B024DC" w14:paraId="1F2D792F" w14:textId="77777777" w:rsidTr="00154A73">
        <w:trPr>
          <w:trHeight w:val="298"/>
        </w:trPr>
        <w:tc>
          <w:tcPr>
            <w:tcW w:w="1193" w:type="dxa"/>
            <w:vMerge/>
            <w:tcBorders>
              <w:top w:val="nil"/>
              <w:left w:val="nil"/>
              <w:bottom w:val="nil"/>
              <w:right w:val="nil"/>
            </w:tcBorders>
          </w:tcPr>
          <w:p w14:paraId="786B6105" w14:textId="77777777" w:rsidR="00D7509F" w:rsidRPr="00B024DC" w:rsidRDefault="00D7509F" w:rsidP="00154A73">
            <w:pPr>
              <w:rPr>
                <w:rFonts w:ascii="Times New Roman" w:hAnsi="Times New Roman" w:cs="Times New Roman"/>
                <w:sz w:val="24"/>
                <w:szCs w:val="24"/>
              </w:rPr>
            </w:pPr>
          </w:p>
        </w:tc>
        <w:tc>
          <w:tcPr>
            <w:tcW w:w="1597" w:type="dxa"/>
            <w:vMerge w:val="restart"/>
            <w:tcBorders>
              <w:top w:val="nil"/>
              <w:left w:val="nil"/>
              <w:bottom w:val="nil"/>
              <w:right w:val="nil"/>
            </w:tcBorders>
          </w:tcPr>
          <w:p w14:paraId="4A75FB4C"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2B365D7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Opinion-leading**</w:t>
            </w:r>
          </w:p>
        </w:tc>
        <w:tc>
          <w:tcPr>
            <w:tcW w:w="3372" w:type="dxa"/>
            <w:tcBorders>
              <w:top w:val="nil"/>
              <w:left w:val="nil"/>
              <w:bottom w:val="nil"/>
              <w:right w:val="nil"/>
            </w:tcBorders>
          </w:tcPr>
          <w:p w14:paraId="5FAC635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Individuals regarded as having</w:t>
            </w:r>
          </w:p>
          <w:p w14:paraId="736AE00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expertise and knowledge on a particular subject. They influence</w:t>
            </w:r>
          </w:p>
          <w:p w14:paraId="6621894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attitudes and actions of others and thereby are important in</w:t>
            </w:r>
          </w:p>
          <w:p w14:paraId="2F9CDBC9" w14:textId="64D2C04C"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diffusing innovations in a social system</w:t>
            </w:r>
            <w:r w:rsidR="00240F36">
              <w:rPr>
                <w:rFonts w:ascii="Times New Roman" w:hAnsi="Times New Roman" w:cs="Times New Roman"/>
                <w:sz w:val="24"/>
                <w:szCs w:val="24"/>
              </w:rPr>
              <w:t>.</w:t>
            </w:r>
          </w:p>
          <w:p w14:paraId="2FA88A2F"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FC9F09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311F7738" w14:textId="77777777" w:rsidR="00D7509F" w:rsidRPr="00B024DC" w:rsidRDefault="00D7509F" w:rsidP="00154A73">
            <w:pPr>
              <w:rPr>
                <w:rFonts w:ascii="Times New Roman" w:hAnsi="Times New Roman" w:cs="Times New Roman"/>
                <w:sz w:val="24"/>
                <w:szCs w:val="24"/>
              </w:rPr>
            </w:pPr>
          </w:p>
        </w:tc>
      </w:tr>
      <w:tr w:rsidR="00D7509F" w:rsidRPr="00B024DC" w14:paraId="3A3D82DB" w14:textId="77777777" w:rsidTr="00154A73">
        <w:trPr>
          <w:trHeight w:val="298"/>
        </w:trPr>
        <w:tc>
          <w:tcPr>
            <w:tcW w:w="1193" w:type="dxa"/>
            <w:vMerge/>
            <w:tcBorders>
              <w:top w:val="nil"/>
              <w:left w:val="nil"/>
              <w:bottom w:val="nil"/>
              <w:right w:val="nil"/>
            </w:tcBorders>
          </w:tcPr>
          <w:p w14:paraId="2E8ED1BF"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381165C7"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0E7A518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Opinion-seeking**</w:t>
            </w:r>
          </w:p>
        </w:tc>
        <w:tc>
          <w:tcPr>
            <w:tcW w:w="3372" w:type="dxa"/>
            <w:tcBorders>
              <w:top w:val="nil"/>
              <w:left w:val="nil"/>
              <w:bottom w:val="nil"/>
              <w:right w:val="nil"/>
            </w:tcBorders>
          </w:tcPr>
          <w:p w14:paraId="05962713" w14:textId="68D3B08B"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Individuals who seek information or opinions from interpersonal sources in order to find out about and evaluate </w:t>
            </w:r>
            <w:r w:rsidRPr="00B024DC">
              <w:rPr>
                <w:rFonts w:ascii="Times New Roman" w:hAnsi="Times New Roman" w:cs="Times New Roman"/>
                <w:sz w:val="24"/>
                <w:szCs w:val="24"/>
              </w:rPr>
              <w:lastRenderedPageBreak/>
              <w:t>products, services, current affairs, or other areas of interest</w:t>
            </w:r>
            <w:r w:rsidR="00240F36">
              <w:rPr>
                <w:rFonts w:ascii="Times New Roman" w:hAnsi="Times New Roman" w:cs="Times New Roman"/>
                <w:sz w:val="24"/>
                <w:szCs w:val="24"/>
              </w:rPr>
              <w:t>.</w:t>
            </w:r>
          </w:p>
          <w:p w14:paraId="6C65A984"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13250DD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lastRenderedPageBreak/>
              <w:t>Negative</w:t>
            </w:r>
          </w:p>
        </w:tc>
        <w:tc>
          <w:tcPr>
            <w:tcW w:w="4083" w:type="dxa"/>
            <w:vMerge/>
            <w:tcBorders>
              <w:top w:val="nil"/>
              <w:left w:val="nil"/>
              <w:bottom w:val="nil"/>
              <w:right w:val="nil"/>
            </w:tcBorders>
          </w:tcPr>
          <w:p w14:paraId="0F909F57" w14:textId="77777777" w:rsidR="00D7509F" w:rsidRPr="00B024DC" w:rsidRDefault="00D7509F" w:rsidP="00154A73">
            <w:pPr>
              <w:rPr>
                <w:rFonts w:ascii="Times New Roman" w:hAnsi="Times New Roman" w:cs="Times New Roman"/>
                <w:sz w:val="24"/>
                <w:szCs w:val="24"/>
              </w:rPr>
            </w:pPr>
          </w:p>
        </w:tc>
      </w:tr>
      <w:tr w:rsidR="00D7509F" w:rsidRPr="00B024DC" w14:paraId="0A844028" w14:textId="77777777" w:rsidTr="00154A73">
        <w:trPr>
          <w:trHeight w:val="60"/>
        </w:trPr>
        <w:tc>
          <w:tcPr>
            <w:tcW w:w="1193" w:type="dxa"/>
            <w:vMerge w:val="restart"/>
            <w:tcBorders>
              <w:top w:val="nil"/>
              <w:left w:val="nil"/>
              <w:bottom w:val="nil"/>
              <w:right w:val="nil"/>
            </w:tcBorders>
          </w:tcPr>
          <w:p w14:paraId="64D1D284" w14:textId="07BB0AAF"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Barth et al. 2016</w:t>
            </w:r>
          </w:p>
        </w:tc>
        <w:tc>
          <w:tcPr>
            <w:tcW w:w="1597" w:type="dxa"/>
            <w:vMerge w:val="restart"/>
            <w:tcBorders>
              <w:top w:val="nil"/>
              <w:left w:val="nil"/>
              <w:bottom w:val="nil"/>
              <w:right w:val="nil"/>
            </w:tcBorders>
          </w:tcPr>
          <w:p w14:paraId="6085EC51"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0CC7BB84"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Injunctive norms**</w:t>
            </w:r>
          </w:p>
        </w:tc>
        <w:tc>
          <w:tcPr>
            <w:tcW w:w="3372" w:type="dxa"/>
            <w:tcBorders>
              <w:top w:val="nil"/>
              <w:left w:val="nil"/>
              <w:bottom w:val="nil"/>
              <w:right w:val="nil"/>
            </w:tcBorders>
          </w:tcPr>
          <w:p w14:paraId="6571737E" w14:textId="417E726A"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What is commonly approved and disapproved within the group</w:t>
            </w:r>
            <w:r w:rsidR="00240F36">
              <w:rPr>
                <w:rFonts w:ascii="Times New Roman" w:hAnsi="Times New Roman" w:cs="Times New Roman"/>
                <w:sz w:val="24"/>
                <w:szCs w:val="24"/>
              </w:rPr>
              <w:t>.</w:t>
            </w:r>
          </w:p>
          <w:p w14:paraId="4C689FFC"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4CE6002"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nil"/>
              <w:left w:val="nil"/>
              <w:bottom w:val="nil"/>
              <w:right w:val="nil"/>
            </w:tcBorders>
          </w:tcPr>
          <w:p w14:paraId="5C46284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-Norms and collective efficacy have equal or even stronger effects on acceptance than cost-related factors.</w:t>
            </w:r>
          </w:p>
        </w:tc>
      </w:tr>
      <w:tr w:rsidR="00D7509F" w:rsidRPr="00B024DC" w14:paraId="568E0F7C" w14:textId="77777777" w:rsidTr="00154A73">
        <w:trPr>
          <w:trHeight w:val="60"/>
        </w:trPr>
        <w:tc>
          <w:tcPr>
            <w:tcW w:w="1193" w:type="dxa"/>
            <w:vMerge/>
            <w:tcBorders>
              <w:top w:val="nil"/>
              <w:left w:val="nil"/>
              <w:bottom w:val="nil"/>
              <w:right w:val="nil"/>
            </w:tcBorders>
          </w:tcPr>
          <w:p w14:paraId="0E9DE486"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5A549FAD"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7B7E961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Descriptive norms</w:t>
            </w:r>
          </w:p>
          <w:p w14:paraId="42522124"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63CE41E9" w14:textId="38279FE5"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What group members commonly do</w:t>
            </w:r>
            <w:r w:rsidR="00240F36">
              <w:rPr>
                <w:rFonts w:ascii="Times New Roman" w:hAnsi="Times New Roman" w:cs="Times New Roman"/>
                <w:sz w:val="24"/>
                <w:szCs w:val="24"/>
              </w:rPr>
              <w:t>.</w:t>
            </w:r>
          </w:p>
        </w:tc>
        <w:tc>
          <w:tcPr>
            <w:tcW w:w="1317" w:type="dxa"/>
            <w:tcBorders>
              <w:top w:val="nil"/>
              <w:left w:val="nil"/>
              <w:bottom w:val="nil"/>
              <w:right w:val="nil"/>
            </w:tcBorders>
          </w:tcPr>
          <w:p w14:paraId="7AC36DB2" w14:textId="77777777" w:rsidR="00D7509F" w:rsidRPr="00B024DC" w:rsidRDefault="00D7509F" w:rsidP="00154A73">
            <w:pPr>
              <w:rPr>
                <w:rFonts w:ascii="Times New Roman" w:hAnsi="Times New Roman" w:cs="Times New Roman"/>
                <w:sz w:val="24"/>
                <w:szCs w:val="24"/>
              </w:rPr>
            </w:pPr>
          </w:p>
        </w:tc>
        <w:tc>
          <w:tcPr>
            <w:tcW w:w="4083" w:type="dxa"/>
            <w:vMerge/>
            <w:tcBorders>
              <w:top w:val="nil"/>
              <w:left w:val="nil"/>
              <w:bottom w:val="nil"/>
              <w:right w:val="nil"/>
            </w:tcBorders>
          </w:tcPr>
          <w:p w14:paraId="36542EA4" w14:textId="77777777" w:rsidR="00D7509F" w:rsidRPr="00B024DC" w:rsidRDefault="00D7509F" w:rsidP="00154A73">
            <w:pPr>
              <w:rPr>
                <w:rFonts w:ascii="Times New Roman" w:hAnsi="Times New Roman" w:cs="Times New Roman"/>
                <w:sz w:val="24"/>
                <w:szCs w:val="24"/>
              </w:rPr>
            </w:pPr>
          </w:p>
        </w:tc>
      </w:tr>
      <w:tr w:rsidR="00D7509F" w:rsidRPr="00B024DC" w14:paraId="3FFD8C7F" w14:textId="77777777" w:rsidTr="00154A73">
        <w:trPr>
          <w:trHeight w:val="60"/>
        </w:trPr>
        <w:tc>
          <w:tcPr>
            <w:tcW w:w="1193" w:type="dxa"/>
            <w:vMerge/>
            <w:tcBorders>
              <w:top w:val="nil"/>
              <w:left w:val="nil"/>
              <w:bottom w:val="nil"/>
              <w:right w:val="nil"/>
            </w:tcBorders>
          </w:tcPr>
          <w:p w14:paraId="22F4F3F2"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2A3F53F9"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5A852EC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Provincial norms*</w:t>
            </w:r>
          </w:p>
        </w:tc>
        <w:tc>
          <w:tcPr>
            <w:tcW w:w="3372" w:type="dxa"/>
            <w:tcBorders>
              <w:top w:val="nil"/>
              <w:left w:val="nil"/>
              <w:bottom w:val="nil"/>
              <w:right w:val="nil"/>
            </w:tcBorders>
          </w:tcPr>
          <w:p w14:paraId="425F7DE7" w14:textId="58372A62"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influence that the behavior of others can have on our decisions when those others occupy a comparable setting</w:t>
            </w:r>
            <w:r w:rsidR="00240F36">
              <w:rPr>
                <w:rFonts w:ascii="Times New Roman" w:hAnsi="Times New Roman" w:cs="Times New Roman"/>
                <w:sz w:val="24"/>
                <w:szCs w:val="24"/>
              </w:rPr>
              <w:t>.</w:t>
            </w:r>
          </w:p>
          <w:p w14:paraId="646DCDF3"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382C49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2ABD6CA4" w14:textId="77777777" w:rsidR="00D7509F" w:rsidRPr="00B024DC" w:rsidRDefault="00D7509F" w:rsidP="00154A73">
            <w:pPr>
              <w:rPr>
                <w:rFonts w:ascii="Times New Roman" w:hAnsi="Times New Roman" w:cs="Times New Roman"/>
                <w:sz w:val="24"/>
                <w:szCs w:val="24"/>
              </w:rPr>
            </w:pPr>
          </w:p>
        </w:tc>
      </w:tr>
      <w:tr w:rsidR="00D7509F" w:rsidRPr="00B024DC" w14:paraId="21A9BDD0" w14:textId="77777777" w:rsidTr="00154A73">
        <w:trPr>
          <w:trHeight w:val="60"/>
        </w:trPr>
        <w:tc>
          <w:tcPr>
            <w:tcW w:w="1193" w:type="dxa"/>
            <w:vMerge/>
            <w:tcBorders>
              <w:top w:val="nil"/>
              <w:left w:val="nil"/>
              <w:bottom w:val="nil"/>
              <w:right w:val="nil"/>
            </w:tcBorders>
          </w:tcPr>
          <w:p w14:paraId="7D03B176"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11BBE718"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709D347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Subjective norms**</w:t>
            </w:r>
          </w:p>
        </w:tc>
        <w:tc>
          <w:tcPr>
            <w:tcW w:w="3372" w:type="dxa"/>
            <w:tcBorders>
              <w:top w:val="nil"/>
              <w:left w:val="nil"/>
              <w:bottom w:val="nil"/>
              <w:right w:val="nil"/>
            </w:tcBorders>
          </w:tcPr>
          <w:p w14:paraId="59F3CF7E" w14:textId="53640AB9"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perceived expectations of significant other individuals</w:t>
            </w:r>
            <w:r w:rsidR="00240F36">
              <w:rPr>
                <w:rFonts w:ascii="Times New Roman" w:hAnsi="Times New Roman" w:cs="Times New Roman"/>
                <w:sz w:val="24"/>
                <w:szCs w:val="24"/>
              </w:rPr>
              <w:t>.</w:t>
            </w:r>
          </w:p>
          <w:p w14:paraId="796BE937"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3BDED80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6F12072A" w14:textId="77777777" w:rsidR="00D7509F" w:rsidRPr="00B024DC" w:rsidRDefault="00D7509F" w:rsidP="00154A73">
            <w:pPr>
              <w:rPr>
                <w:rFonts w:ascii="Times New Roman" w:hAnsi="Times New Roman" w:cs="Times New Roman"/>
                <w:sz w:val="24"/>
                <w:szCs w:val="24"/>
              </w:rPr>
            </w:pPr>
          </w:p>
        </w:tc>
      </w:tr>
      <w:tr w:rsidR="00D7509F" w:rsidRPr="00B024DC" w14:paraId="0695FABE" w14:textId="77777777" w:rsidTr="00154A73">
        <w:trPr>
          <w:trHeight w:val="60"/>
        </w:trPr>
        <w:tc>
          <w:tcPr>
            <w:tcW w:w="1193" w:type="dxa"/>
            <w:vMerge/>
            <w:tcBorders>
              <w:top w:val="nil"/>
              <w:left w:val="nil"/>
              <w:bottom w:val="nil"/>
              <w:right w:val="nil"/>
            </w:tcBorders>
          </w:tcPr>
          <w:p w14:paraId="07E3893E" w14:textId="77777777" w:rsidR="00D7509F" w:rsidRPr="00B024DC" w:rsidRDefault="00D7509F" w:rsidP="00154A73">
            <w:pPr>
              <w:rPr>
                <w:rFonts w:ascii="Times New Roman" w:hAnsi="Times New Roman" w:cs="Times New Roman"/>
                <w:sz w:val="24"/>
                <w:szCs w:val="24"/>
              </w:rPr>
            </w:pPr>
          </w:p>
        </w:tc>
        <w:tc>
          <w:tcPr>
            <w:tcW w:w="1597" w:type="dxa"/>
            <w:vMerge/>
            <w:tcBorders>
              <w:top w:val="nil"/>
              <w:left w:val="nil"/>
              <w:bottom w:val="nil"/>
              <w:right w:val="nil"/>
            </w:tcBorders>
          </w:tcPr>
          <w:p w14:paraId="3F14B73C"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18C65CF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Collective efficacy*</w:t>
            </w:r>
          </w:p>
        </w:tc>
        <w:tc>
          <w:tcPr>
            <w:tcW w:w="3372" w:type="dxa"/>
            <w:tcBorders>
              <w:top w:val="nil"/>
              <w:left w:val="nil"/>
              <w:bottom w:val="nil"/>
              <w:right w:val="nil"/>
            </w:tcBorders>
          </w:tcPr>
          <w:p w14:paraId="0CE9B70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belief that groups of people are efficacious in solving tasks.</w:t>
            </w:r>
          </w:p>
          <w:p w14:paraId="7D1FDAC3"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4A186CC4"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261173D8" w14:textId="77777777" w:rsidR="00D7509F" w:rsidRPr="00B024DC" w:rsidRDefault="00D7509F" w:rsidP="00154A73">
            <w:pPr>
              <w:rPr>
                <w:rFonts w:ascii="Times New Roman" w:hAnsi="Times New Roman" w:cs="Times New Roman"/>
                <w:sz w:val="24"/>
                <w:szCs w:val="24"/>
              </w:rPr>
            </w:pPr>
          </w:p>
        </w:tc>
      </w:tr>
      <w:tr w:rsidR="00D7509F" w:rsidRPr="00B024DC" w14:paraId="311222C1" w14:textId="77777777" w:rsidTr="00154A73">
        <w:trPr>
          <w:trHeight w:val="100"/>
        </w:trPr>
        <w:tc>
          <w:tcPr>
            <w:tcW w:w="1193" w:type="dxa"/>
            <w:vMerge w:val="restart"/>
            <w:tcBorders>
              <w:top w:val="nil"/>
              <w:left w:val="nil"/>
              <w:bottom w:val="nil"/>
              <w:right w:val="nil"/>
            </w:tcBorders>
          </w:tcPr>
          <w:p w14:paraId="42C0F343" w14:textId="2D958E61"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color w:val="1E293B"/>
                <w:sz w:val="24"/>
                <w:szCs w:val="24"/>
              </w:rPr>
              <w:t>Zhao et al. 2022</w:t>
            </w:r>
          </w:p>
        </w:tc>
        <w:tc>
          <w:tcPr>
            <w:tcW w:w="1597" w:type="dxa"/>
            <w:vMerge w:val="restart"/>
            <w:tcBorders>
              <w:top w:val="nil"/>
              <w:left w:val="nil"/>
              <w:bottom w:val="nil"/>
              <w:right w:val="nil"/>
            </w:tcBorders>
          </w:tcPr>
          <w:p w14:paraId="7F411991"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7F7ED3C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Life attitude**</w:t>
            </w:r>
          </w:p>
        </w:tc>
        <w:tc>
          <w:tcPr>
            <w:tcW w:w="3372" w:type="dxa"/>
            <w:tcBorders>
              <w:top w:val="nil"/>
              <w:left w:val="nil"/>
              <w:bottom w:val="nil"/>
              <w:right w:val="nil"/>
            </w:tcBorders>
          </w:tcPr>
          <w:p w14:paraId="3F8F35C3" w14:textId="3A1DE02D"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 manifestation of consumers’ subjective life philosophy</w:t>
            </w:r>
            <w:r w:rsidR="00240F36">
              <w:rPr>
                <w:rFonts w:ascii="Times New Roman" w:hAnsi="Times New Roman" w:cs="Times New Roman"/>
                <w:sz w:val="24"/>
                <w:szCs w:val="24"/>
              </w:rPr>
              <w:t>.</w:t>
            </w:r>
          </w:p>
          <w:p w14:paraId="740E43CB"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624BA74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nil"/>
              <w:left w:val="nil"/>
              <w:bottom w:val="nil"/>
              <w:right w:val="nil"/>
            </w:tcBorders>
          </w:tcPr>
          <w:p w14:paraId="0B5E05D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peer effect has a significant influence on both EV owners and consumers without EVs</w:t>
            </w:r>
          </w:p>
        </w:tc>
      </w:tr>
      <w:tr w:rsidR="00D7509F" w:rsidRPr="00B024DC" w14:paraId="5A62EE6D" w14:textId="77777777" w:rsidTr="00154A73">
        <w:trPr>
          <w:trHeight w:val="100"/>
        </w:trPr>
        <w:tc>
          <w:tcPr>
            <w:tcW w:w="1193" w:type="dxa"/>
            <w:vMerge/>
            <w:tcBorders>
              <w:top w:val="nil"/>
              <w:left w:val="nil"/>
              <w:bottom w:val="nil"/>
              <w:right w:val="nil"/>
            </w:tcBorders>
          </w:tcPr>
          <w:p w14:paraId="1FCC1B4F"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nil"/>
              <w:left w:val="nil"/>
              <w:bottom w:val="nil"/>
              <w:right w:val="nil"/>
            </w:tcBorders>
          </w:tcPr>
          <w:p w14:paraId="74406D54"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66AF223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Peer effect*</w:t>
            </w:r>
          </w:p>
        </w:tc>
        <w:tc>
          <w:tcPr>
            <w:tcW w:w="3372" w:type="dxa"/>
            <w:tcBorders>
              <w:top w:val="nil"/>
              <w:left w:val="nil"/>
              <w:bottom w:val="nil"/>
              <w:right w:val="nil"/>
            </w:tcBorders>
          </w:tcPr>
          <w:p w14:paraId="67C10ED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How decisions are affected by people who hold the same positions around them to change their behaviors.</w:t>
            </w:r>
          </w:p>
          <w:p w14:paraId="746447E4"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4626EF9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5EC22DC6" w14:textId="77777777" w:rsidR="00D7509F" w:rsidRPr="00B024DC" w:rsidRDefault="00D7509F" w:rsidP="00154A73">
            <w:pPr>
              <w:rPr>
                <w:rFonts w:ascii="Times New Roman" w:hAnsi="Times New Roman" w:cs="Times New Roman"/>
                <w:sz w:val="24"/>
                <w:szCs w:val="24"/>
              </w:rPr>
            </w:pPr>
          </w:p>
        </w:tc>
      </w:tr>
      <w:tr w:rsidR="00D7509F" w:rsidRPr="00B024DC" w14:paraId="4E53023A" w14:textId="77777777" w:rsidTr="00154A73">
        <w:trPr>
          <w:trHeight w:val="1323"/>
        </w:trPr>
        <w:tc>
          <w:tcPr>
            <w:tcW w:w="1193" w:type="dxa"/>
            <w:vMerge w:val="restart"/>
            <w:tcBorders>
              <w:top w:val="nil"/>
              <w:left w:val="nil"/>
              <w:bottom w:val="nil"/>
              <w:right w:val="nil"/>
            </w:tcBorders>
          </w:tcPr>
          <w:p w14:paraId="2061C236" w14:textId="5D83D88F"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color w:val="1E293B"/>
                <w:sz w:val="24"/>
                <w:szCs w:val="24"/>
              </w:rPr>
              <w:lastRenderedPageBreak/>
              <w:t>Wu et al. 2019</w:t>
            </w:r>
          </w:p>
        </w:tc>
        <w:tc>
          <w:tcPr>
            <w:tcW w:w="1597" w:type="dxa"/>
            <w:vMerge w:val="restart"/>
            <w:tcBorders>
              <w:top w:val="nil"/>
              <w:left w:val="nil"/>
              <w:bottom w:val="nil"/>
              <w:right w:val="nil"/>
            </w:tcBorders>
          </w:tcPr>
          <w:p w14:paraId="616459B2"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Technology Acceptance Model</w:t>
            </w:r>
          </w:p>
        </w:tc>
        <w:tc>
          <w:tcPr>
            <w:tcW w:w="2478" w:type="dxa"/>
            <w:gridSpan w:val="2"/>
            <w:tcBorders>
              <w:top w:val="nil"/>
              <w:left w:val="nil"/>
              <w:bottom w:val="nil"/>
              <w:right w:val="nil"/>
            </w:tcBorders>
          </w:tcPr>
          <w:p w14:paraId="61D1F7D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Green perceived usefulness*</w:t>
            </w:r>
          </w:p>
        </w:tc>
        <w:tc>
          <w:tcPr>
            <w:tcW w:w="3372" w:type="dxa"/>
            <w:tcBorders>
              <w:top w:val="nil"/>
              <w:left w:val="nil"/>
              <w:bottom w:val="nil"/>
              <w:right w:val="nil"/>
            </w:tcBorders>
          </w:tcPr>
          <w:p w14:paraId="4F1D44A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extent to which users believe that using new products will increase the environmental</w:t>
            </w:r>
          </w:p>
          <w:p w14:paraId="30DF7CD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performance of their lives.</w:t>
            </w:r>
          </w:p>
        </w:tc>
        <w:tc>
          <w:tcPr>
            <w:tcW w:w="1317" w:type="dxa"/>
            <w:tcBorders>
              <w:top w:val="nil"/>
              <w:left w:val="nil"/>
              <w:bottom w:val="nil"/>
              <w:right w:val="nil"/>
            </w:tcBorders>
          </w:tcPr>
          <w:p w14:paraId="08C4B9C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nil"/>
              <w:left w:val="nil"/>
              <w:bottom w:val="nil"/>
              <w:right w:val="nil"/>
            </w:tcBorders>
          </w:tcPr>
          <w:p w14:paraId="7E176B7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-Green perceived usefulness, perceived ease of use, and environmental concern have a positive relationship with people’s intentions to use AEVs. </w:t>
            </w:r>
          </w:p>
          <w:p w14:paraId="6383B21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-Environmental concern poses a powerful indirect effect on using intention through mediating effects.</w:t>
            </w:r>
          </w:p>
        </w:tc>
      </w:tr>
      <w:tr w:rsidR="00D7509F" w:rsidRPr="00B024DC" w14:paraId="506A0C24" w14:textId="77777777" w:rsidTr="00154A73">
        <w:trPr>
          <w:trHeight w:val="1340"/>
        </w:trPr>
        <w:tc>
          <w:tcPr>
            <w:tcW w:w="1193" w:type="dxa"/>
            <w:vMerge/>
            <w:tcBorders>
              <w:top w:val="nil"/>
              <w:left w:val="nil"/>
              <w:bottom w:val="nil"/>
              <w:right w:val="nil"/>
            </w:tcBorders>
          </w:tcPr>
          <w:p w14:paraId="618952EB"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nil"/>
              <w:left w:val="nil"/>
              <w:bottom w:val="nil"/>
              <w:right w:val="nil"/>
            </w:tcBorders>
          </w:tcPr>
          <w:p w14:paraId="6C3EF821"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46C2065F"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ease of use*</w:t>
            </w:r>
          </w:p>
          <w:p w14:paraId="1C7B3212"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3D3CA1EC" w14:textId="7B0A0161"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To what degree do people believe that using a particular system or technology could be free from physical and mental effort</w:t>
            </w:r>
            <w:r w:rsidR="00240F36">
              <w:rPr>
                <w:rFonts w:ascii="Times New Roman" w:hAnsi="Times New Roman" w:cs="Times New Roman"/>
                <w:sz w:val="24"/>
                <w:szCs w:val="24"/>
              </w:rPr>
              <w:t>.</w:t>
            </w:r>
          </w:p>
        </w:tc>
        <w:tc>
          <w:tcPr>
            <w:tcW w:w="1317" w:type="dxa"/>
            <w:tcBorders>
              <w:top w:val="nil"/>
              <w:left w:val="nil"/>
              <w:bottom w:val="nil"/>
              <w:right w:val="nil"/>
            </w:tcBorders>
          </w:tcPr>
          <w:p w14:paraId="5A1CBC3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1B6D6FE3" w14:textId="77777777" w:rsidR="00D7509F" w:rsidRPr="00B024DC" w:rsidRDefault="00D7509F" w:rsidP="00154A73">
            <w:pPr>
              <w:rPr>
                <w:rFonts w:ascii="Times New Roman" w:hAnsi="Times New Roman" w:cs="Times New Roman"/>
                <w:sz w:val="24"/>
                <w:szCs w:val="24"/>
              </w:rPr>
            </w:pPr>
          </w:p>
        </w:tc>
      </w:tr>
      <w:tr w:rsidR="00D7509F" w:rsidRPr="00B024DC" w14:paraId="7C8E5AC1" w14:textId="77777777" w:rsidTr="00154A73">
        <w:trPr>
          <w:trHeight w:val="1640"/>
        </w:trPr>
        <w:tc>
          <w:tcPr>
            <w:tcW w:w="1193" w:type="dxa"/>
            <w:vMerge/>
            <w:tcBorders>
              <w:top w:val="nil"/>
              <w:left w:val="nil"/>
              <w:bottom w:val="nil"/>
              <w:right w:val="nil"/>
            </w:tcBorders>
          </w:tcPr>
          <w:p w14:paraId="0F608F28" w14:textId="77777777" w:rsidR="00D7509F" w:rsidRPr="00B024DC" w:rsidRDefault="00D7509F" w:rsidP="00154A73">
            <w:pPr>
              <w:rPr>
                <w:rFonts w:ascii="Times New Roman" w:hAnsi="Times New Roman" w:cs="Times New Roman"/>
                <w:color w:val="1E293B"/>
                <w:sz w:val="24"/>
                <w:szCs w:val="24"/>
              </w:rPr>
            </w:pPr>
          </w:p>
        </w:tc>
        <w:tc>
          <w:tcPr>
            <w:tcW w:w="1597" w:type="dxa"/>
            <w:tcBorders>
              <w:top w:val="nil"/>
              <w:left w:val="nil"/>
              <w:bottom w:val="nil"/>
              <w:right w:val="nil"/>
            </w:tcBorders>
          </w:tcPr>
          <w:p w14:paraId="0660AF5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Other factors</w:t>
            </w:r>
          </w:p>
        </w:tc>
        <w:tc>
          <w:tcPr>
            <w:tcW w:w="2478" w:type="dxa"/>
            <w:gridSpan w:val="2"/>
            <w:tcBorders>
              <w:top w:val="nil"/>
              <w:left w:val="nil"/>
              <w:bottom w:val="nil"/>
              <w:right w:val="nil"/>
            </w:tcBorders>
          </w:tcPr>
          <w:p w14:paraId="4633BD8D" w14:textId="77777777" w:rsidR="00D7509F" w:rsidRPr="00B024DC" w:rsidRDefault="00D7509F" w:rsidP="00154A73">
            <w:pPr>
              <w:rPr>
                <w:rFonts w:ascii="Times New Roman" w:hAnsi="Times New Roman" w:cs="Times New Roman"/>
                <w:sz w:val="24"/>
                <w:szCs w:val="24"/>
                <w:cs/>
              </w:rPr>
            </w:pPr>
            <w:r w:rsidRPr="00B024DC">
              <w:rPr>
                <w:rFonts w:ascii="Times New Roman" w:hAnsi="Times New Roman" w:cs="Times New Roman"/>
                <w:sz w:val="24"/>
                <w:szCs w:val="24"/>
              </w:rPr>
              <w:t>Environmental concern*</w:t>
            </w:r>
          </w:p>
        </w:tc>
        <w:tc>
          <w:tcPr>
            <w:tcW w:w="3372" w:type="dxa"/>
            <w:tcBorders>
              <w:top w:val="nil"/>
              <w:left w:val="nil"/>
              <w:bottom w:val="nil"/>
              <w:right w:val="nil"/>
            </w:tcBorders>
          </w:tcPr>
          <w:p w14:paraId="49FBAA5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Public awareness of environmental problems, which can be indicated</w:t>
            </w:r>
          </w:p>
          <w:p w14:paraId="56C3409F" w14:textId="5543EE28"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by attitude, recognition, and response toward environmental issues</w:t>
            </w:r>
            <w:r w:rsidR="00240F36">
              <w:rPr>
                <w:rFonts w:ascii="Times New Roman" w:hAnsi="Times New Roman" w:cs="Times New Roman"/>
                <w:sz w:val="24"/>
                <w:szCs w:val="24"/>
              </w:rPr>
              <w:t>.</w:t>
            </w:r>
          </w:p>
        </w:tc>
        <w:tc>
          <w:tcPr>
            <w:tcW w:w="1317" w:type="dxa"/>
            <w:tcBorders>
              <w:top w:val="nil"/>
              <w:left w:val="nil"/>
              <w:bottom w:val="nil"/>
              <w:right w:val="nil"/>
            </w:tcBorders>
          </w:tcPr>
          <w:p w14:paraId="1B92EC4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6E7E40F1" w14:textId="77777777" w:rsidR="00D7509F" w:rsidRPr="00B024DC" w:rsidRDefault="00D7509F" w:rsidP="00154A73">
            <w:pPr>
              <w:rPr>
                <w:rFonts w:ascii="Times New Roman" w:hAnsi="Times New Roman" w:cs="Times New Roman"/>
                <w:sz w:val="24"/>
                <w:szCs w:val="24"/>
              </w:rPr>
            </w:pPr>
          </w:p>
        </w:tc>
      </w:tr>
      <w:tr w:rsidR="00D7509F" w:rsidRPr="00B024DC" w14:paraId="1F4A717D" w14:textId="77777777" w:rsidTr="00154A73">
        <w:trPr>
          <w:trHeight w:val="609"/>
        </w:trPr>
        <w:tc>
          <w:tcPr>
            <w:tcW w:w="1193" w:type="dxa"/>
            <w:vMerge w:val="restart"/>
            <w:tcBorders>
              <w:top w:val="nil"/>
              <w:left w:val="nil"/>
              <w:bottom w:val="nil"/>
              <w:right w:val="nil"/>
            </w:tcBorders>
          </w:tcPr>
          <w:p w14:paraId="7C3C8C08" w14:textId="77E35D07" w:rsidR="00D7509F" w:rsidRPr="00B024DC" w:rsidRDefault="00D7509F" w:rsidP="00154A73">
            <w:pPr>
              <w:rPr>
                <w:rFonts w:ascii="Times New Roman" w:hAnsi="Times New Roman" w:cs="Times New Roman"/>
                <w:color w:val="1E293B"/>
                <w:sz w:val="24"/>
                <w:szCs w:val="24"/>
              </w:rPr>
            </w:pPr>
            <w:r w:rsidRPr="00B024DC">
              <w:rPr>
                <w:rFonts w:ascii="Times New Roman" w:hAnsi="Times New Roman" w:cs="Times New Roman"/>
                <w:color w:val="1E293B"/>
                <w:sz w:val="24"/>
                <w:szCs w:val="24"/>
              </w:rPr>
              <w:t xml:space="preserve">Bockarjova </w:t>
            </w:r>
            <w:r w:rsidR="00240F36">
              <w:rPr>
                <w:rFonts w:ascii="Times New Roman" w:hAnsi="Times New Roman" w:cs="Times New Roman"/>
                <w:color w:val="1E293B"/>
                <w:sz w:val="24"/>
                <w:szCs w:val="24"/>
              </w:rPr>
              <w:t>and</w:t>
            </w:r>
            <w:r w:rsidR="00240F36" w:rsidRPr="00B024DC">
              <w:rPr>
                <w:rFonts w:ascii="Times New Roman" w:hAnsi="Times New Roman" w:cs="Times New Roman"/>
                <w:color w:val="1E293B"/>
                <w:sz w:val="24"/>
                <w:szCs w:val="24"/>
              </w:rPr>
              <w:t xml:space="preserve"> </w:t>
            </w:r>
            <w:r w:rsidRPr="00B024DC">
              <w:rPr>
                <w:rFonts w:ascii="Times New Roman" w:hAnsi="Times New Roman" w:cs="Times New Roman"/>
                <w:color w:val="1E293B"/>
                <w:sz w:val="24"/>
                <w:szCs w:val="24"/>
              </w:rPr>
              <w:t>Steg 2014</w:t>
            </w:r>
          </w:p>
        </w:tc>
        <w:tc>
          <w:tcPr>
            <w:tcW w:w="1597" w:type="dxa"/>
            <w:vMerge w:val="restart"/>
            <w:tcBorders>
              <w:top w:val="nil"/>
              <w:left w:val="nil"/>
              <w:bottom w:val="nil"/>
              <w:right w:val="nil"/>
            </w:tcBorders>
          </w:tcPr>
          <w:p w14:paraId="39D4FAB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Protection Motivation Theory</w:t>
            </w:r>
          </w:p>
        </w:tc>
        <w:tc>
          <w:tcPr>
            <w:tcW w:w="1023" w:type="dxa"/>
            <w:vMerge w:val="restart"/>
            <w:tcBorders>
              <w:top w:val="nil"/>
              <w:left w:val="nil"/>
              <w:bottom w:val="nil"/>
              <w:right w:val="nil"/>
            </w:tcBorders>
          </w:tcPr>
          <w:p w14:paraId="3AA39A1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Threat appraisal</w:t>
            </w:r>
          </w:p>
        </w:tc>
        <w:tc>
          <w:tcPr>
            <w:tcW w:w="1455" w:type="dxa"/>
            <w:tcBorders>
              <w:top w:val="nil"/>
              <w:left w:val="nil"/>
              <w:bottom w:val="nil"/>
              <w:right w:val="nil"/>
            </w:tcBorders>
          </w:tcPr>
          <w:p w14:paraId="315B737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w:t>
            </w:r>
            <w:r w:rsidRPr="00B024DC">
              <w:rPr>
                <w:rFonts w:ascii="Times New Roman" w:hAnsi="Times New Roman" w:cs="Times New Roman"/>
                <w:sz w:val="24"/>
                <w:szCs w:val="24"/>
              </w:rPr>
              <w:t xml:space="preserve">　</w:t>
            </w:r>
            <w:r w:rsidRPr="00B024DC">
              <w:rPr>
                <w:rFonts w:ascii="Times New Roman" w:hAnsi="Times New Roman" w:cs="Times New Roman"/>
                <w:sz w:val="24"/>
                <w:szCs w:val="24"/>
              </w:rPr>
              <w:t>Severity*</w:t>
            </w:r>
          </w:p>
        </w:tc>
        <w:tc>
          <w:tcPr>
            <w:tcW w:w="3372" w:type="dxa"/>
            <w:tcBorders>
              <w:top w:val="nil"/>
              <w:left w:val="nil"/>
              <w:bottom w:val="nil"/>
              <w:right w:val="nil"/>
            </w:tcBorders>
          </w:tcPr>
          <w:p w14:paraId="1C6999E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How serious an existing risk is</w:t>
            </w:r>
          </w:p>
          <w:p w14:paraId="1A416465" w14:textId="72AB6618"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to be</w:t>
            </w:r>
            <w:r w:rsidR="00240F36">
              <w:rPr>
                <w:rFonts w:ascii="Times New Roman" w:hAnsi="Times New Roman" w:cs="Times New Roman"/>
                <w:sz w:val="24"/>
                <w:szCs w:val="24"/>
              </w:rPr>
              <w:t>.</w:t>
            </w:r>
          </w:p>
          <w:p w14:paraId="59B542BE"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19CE5AE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val="restart"/>
            <w:tcBorders>
              <w:top w:val="nil"/>
              <w:left w:val="nil"/>
              <w:bottom w:val="nil"/>
              <w:right w:val="nil"/>
            </w:tcBorders>
          </w:tcPr>
          <w:p w14:paraId="1C8113C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-All theoretical antecedents proved to be significant predictors of different adoption indicators.</w:t>
            </w:r>
          </w:p>
          <w:p w14:paraId="1EE068F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-Respondents were particularly more likely to adopt an electric vehicle when they perceived</w:t>
            </w:r>
          </w:p>
          <w:p w14:paraId="2226F9D6"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negative consequences caused by conventional vehicles as more severe, and when they expected</w:t>
            </w:r>
          </w:p>
          <w:p w14:paraId="4C4B4C20"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electric vehicles to decrease these consequences. </w:t>
            </w:r>
          </w:p>
          <w:p w14:paraId="7FB4491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most important barriers to electric vehicle</w:t>
            </w:r>
          </w:p>
          <w:p w14:paraId="426576B6" w14:textId="4AF72548"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lastRenderedPageBreak/>
              <w:t xml:space="preserve">adoption </w:t>
            </w:r>
            <w:r w:rsidR="00EB713F" w:rsidRPr="00B024DC">
              <w:rPr>
                <w:rFonts w:ascii="Times New Roman" w:hAnsi="Times New Roman" w:cs="Times New Roman"/>
                <w:sz w:val="24"/>
                <w:szCs w:val="24"/>
              </w:rPr>
              <w:t>was</w:t>
            </w:r>
            <w:r w:rsidRPr="00B024DC">
              <w:rPr>
                <w:rFonts w:ascii="Times New Roman" w:hAnsi="Times New Roman" w:cs="Times New Roman"/>
                <w:sz w:val="24"/>
                <w:szCs w:val="24"/>
              </w:rPr>
              <w:t xml:space="preserve"> perceived as high monetary and non-monetary costs of electric vehicles and benefits</w:t>
            </w:r>
          </w:p>
          <w:p w14:paraId="4987FF2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associated with the use of a conventional vehicle. </w:t>
            </w:r>
          </w:p>
          <w:p w14:paraId="01546F9C" w14:textId="6E78169D" w:rsidR="00EB713F" w:rsidRPr="00B024DC" w:rsidRDefault="00EB713F" w:rsidP="00154A73">
            <w:pPr>
              <w:rPr>
                <w:rFonts w:ascii="Times New Roman" w:hAnsi="Times New Roman" w:cs="Times New Roman"/>
                <w:sz w:val="24"/>
                <w:szCs w:val="24"/>
              </w:rPr>
            </w:pPr>
          </w:p>
        </w:tc>
      </w:tr>
      <w:tr w:rsidR="00D7509F" w:rsidRPr="00B024DC" w14:paraId="0CAF36E1" w14:textId="77777777" w:rsidTr="00154A73">
        <w:trPr>
          <w:trHeight w:val="607"/>
        </w:trPr>
        <w:tc>
          <w:tcPr>
            <w:tcW w:w="1193" w:type="dxa"/>
            <w:vMerge/>
            <w:tcBorders>
              <w:top w:val="nil"/>
              <w:left w:val="nil"/>
              <w:bottom w:val="nil"/>
              <w:right w:val="nil"/>
            </w:tcBorders>
          </w:tcPr>
          <w:p w14:paraId="05F09CA2"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nil"/>
              <w:left w:val="nil"/>
              <w:bottom w:val="nil"/>
              <w:right w:val="nil"/>
            </w:tcBorders>
          </w:tcPr>
          <w:p w14:paraId="7AB5B81F" w14:textId="77777777" w:rsidR="00D7509F" w:rsidRPr="00B024DC" w:rsidRDefault="00D7509F" w:rsidP="00154A73">
            <w:pPr>
              <w:rPr>
                <w:rFonts w:ascii="Times New Roman" w:hAnsi="Times New Roman" w:cs="Times New Roman"/>
                <w:sz w:val="24"/>
                <w:szCs w:val="24"/>
              </w:rPr>
            </w:pPr>
          </w:p>
        </w:tc>
        <w:tc>
          <w:tcPr>
            <w:tcW w:w="1023" w:type="dxa"/>
            <w:vMerge/>
            <w:tcBorders>
              <w:top w:val="nil"/>
              <w:left w:val="nil"/>
              <w:bottom w:val="nil"/>
              <w:right w:val="nil"/>
            </w:tcBorders>
          </w:tcPr>
          <w:p w14:paraId="28656779" w14:textId="77777777" w:rsidR="00D7509F" w:rsidRPr="00B024DC" w:rsidRDefault="00D7509F" w:rsidP="00154A73">
            <w:pPr>
              <w:rPr>
                <w:rFonts w:ascii="Times New Roman" w:hAnsi="Times New Roman" w:cs="Times New Roman"/>
                <w:sz w:val="24"/>
                <w:szCs w:val="24"/>
              </w:rPr>
            </w:pPr>
          </w:p>
        </w:tc>
        <w:tc>
          <w:tcPr>
            <w:tcW w:w="1455" w:type="dxa"/>
            <w:tcBorders>
              <w:top w:val="nil"/>
              <w:left w:val="nil"/>
              <w:bottom w:val="nil"/>
              <w:right w:val="nil"/>
            </w:tcBorders>
          </w:tcPr>
          <w:p w14:paraId="553F65E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Vulnerability*</w:t>
            </w:r>
          </w:p>
        </w:tc>
        <w:tc>
          <w:tcPr>
            <w:tcW w:w="3372" w:type="dxa"/>
            <w:tcBorders>
              <w:top w:val="nil"/>
              <w:left w:val="nil"/>
              <w:bottom w:val="nil"/>
              <w:right w:val="nil"/>
            </w:tcBorders>
          </w:tcPr>
          <w:p w14:paraId="7C34F354"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perceived likelihood that one will experience negative consequences due to risks related to the use of conventional fuel vehicles.</w:t>
            </w:r>
          </w:p>
          <w:p w14:paraId="1667E85C"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2B49DB3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4B6C16B0" w14:textId="77777777" w:rsidR="00D7509F" w:rsidRPr="00B024DC" w:rsidRDefault="00D7509F" w:rsidP="00154A73">
            <w:pPr>
              <w:rPr>
                <w:rFonts w:ascii="Times New Roman" w:hAnsi="Times New Roman" w:cs="Times New Roman"/>
                <w:sz w:val="24"/>
                <w:szCs w:val="24"/>
              </w:rPr>
            </w:pPr>
          </w:p>
        </w:tc>
      </w:tr>
      <w:tr w:rsidR="00D7509F" w:rsidRPr="00B024DC" w14:paraId="444A2324" w14:textId="77777777" w:rsidTr="00154A73">
        <w:trPr>
          <w:trHeight w:val="607"/>
        </w:trPr>
        <w:tc>
          <w:tcPr>
            <w:tcW w:w="1193" w:type="dxa"/>
            <w:vMerge/>
            <w:tcBorders>
              <w:top w:val="nil"/>
              <w:left w:val="nil"/>
              <w:bottom w:val="nil"/>
              <w:right w:val="nil"/>
            </w:tcBorders>
          </w:tcPr>
          <w:p w14:paraId="38D92084"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nil"/>
              <w:left w:val="nil"/>
              <w:bottom w:val="nil"/>
              <w:right w:val="nil"/>
            </w:tcBorders>
          </w:tcPr>
          <w:p w14:paraId="7CC14C6E" w14:textId="77777777" w:rsidR="00D7509F" w:rsidRPr="00B024DC" w:rsidRDefault="00D7509F" w:rsidP="00154A73">
            <w:pPr>
              <w:rPr>
                <w:rFonts w:ascii="Times New Roman" w:hAnsi="Times New Roman" w:cs="Times New Roman"/>
                <w:sz w:val="24"/>
                <w:szCs w:val="24"/>
              </w:rPr>
            </w:pPr>
          </w:p>
        </w:tc>
        <w:tc>
          <w:tcPr>
            <w:tcW w:w="1023" w:type="dxa"/>
            <w:vMerge/>
            <w:tcBorders>
              <w:top w:val="nil"/>
              <w:left w:val="nil"/>
              <w:bottom w:val="nil"/>
              <w:right w:val="nil"/>
            </w:tcBorders>
          </w:tcPr>
          <w:p w14:paraId="1E9E080E" w14:textId="77777777" w:rsidR="00D7509F" w:rsidRPr="00B024DC" w:rsidRDefault="00D7509F" w:rsidP="00154A73">
            <w:pPr>
              <w:rPr>
                <w:rFonts w:ascii="Times New Roman" w:hAnsi="Times New Roman" w:cs="Times New Roman"/>
                <w:sz w:val="24"/>
                <w:szCs w:val="24"/>
              </w:rPr>
            </w:pPr>
          </w:p>
        </w:tc>
        <w:tc>
          <w:tcPr>
            <w:tcW w:w="1455" w:type="dxa"/>
            <w:tcBorders>
              <w:top w:val="nil"/>
              <w:left w:val="nil"/>
              <w:bottom w:val="nil"/>
              <w:right w:val="nil"/>
            </w:tcBorders>
          </w:tcPr>
          <w:p w14:paraId="2FA7D0B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Rewards*</w:t>
            </w:r>
          </w:p>
        </w:tc>
        <w:tc>
          <w:tcPr>
            <w:tcW w:w="3372" w:type="dxa"/>
            <w:tcBorders>
              <w:top w:val="nil"/>
              <w:left w:val="nil"/>
              <w:bottom w:val="nil"/>
              <w:right w:val="nil"/>
            </w:tcBorders>
          </w:tcPr>
          <w:p w14:paraId="53FF995B" w14:textId="315A594F"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All perceived benefits connected to current behavior or practice</w:t>
            </w:r>
            <w:r w:rsidR="00240F36">
              <w:rPr>
                <w:rFonts w:ascii="Times New Roman" w:hAnsi="Times New Roman" w:cs="Times New Roman"/>
                <w:sz w:val="24"/>
                <w:szCs w:val="24"/>
              </w:rPr>
              <w:t>.</w:t>
            </w:r>
          </w:p>
          <w:p w14:paraId="0FAB28D4"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344A0EA7"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Negative</w:t>
            </w:r>
          </w:p>
        </w:tc>
        <w:tc>
          <w:tcPr>
            <w:tcW w:w="4083" w:type="dxa"/>
            <w:vMerge/>
            <w:tcBorders>
              <w:top w:val="nil"/>
              <w:left w:val="nil"/>
              <w:bottom w:val="nil"/>
              <w:right w:val="nil"/>
            </w:tcBorders>
          </w:tcPr>
          <w:p w14:paraId="1820FB01" w14:textId="77777777" w:rsidR="00D7509F" w:rsidRPr="00B024DC" w:rsidRDefault="00D7509F" w:rsidP="00154A73">
            <w:pPr>
              <w:rPr>
                <w:rFonts w:ascii="Times New Roman" w:hAnsi="Times New Roman" w:cs="Times New Roman"/>
                <w:sz w:val="24"/>
                <w:szCs w:val="24"/>
              </w:rPr>
            </w:pPr>
          </w:p>
        </w:tc>
      </w:tr>
      <w:tr w:rsidR="00D7509F" w:rsidRPr="00B024DC" w14:paraId="4EAE0B3B" w14:textId="77777777" w:rsidTr="00154A73">
        <w:trPr>
          <w:trHeight w:val="226"/>
        </w:trPr>
        <w:tc>
          <w:tcPr>
            <w:tcW w:w="1193" w:type="dxa"/>
            <w:vMerge/>
            <w:tcBorders>
              <w:top w:val="nil"/>
              <w:left w:val="nil"/>
              <w:bottom w:val="nil"/>
              <w:right w:val="nil"/>
            </w:tcBorders>
          </w:tcPr>
          <w:p w14:paraId="6B32E462"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nil"/>
              <w:left w:val="nil"/>
              <w:bottom w:val="nil"/>
              <w:right w:val="nil"/>
            </w:tcBorders>
          </w:tcPr>
          <w:p w14:paraId="1A70684F" w14:textId="77777777" w:rsidR="00D7509F" w:rsidRPr="00B024DC" w:rsidRDefault="00D7509F" w:rsidP="00154A73">
            <w:pPr>
              <w:rPr>
                <w:rFonts w:ascii="Times New Roman" w:hAnsi="Times New Roman" w:cs="Times New Roman"/>
                <w:sz w:val="24"/>
                <w:szCs w:val="24"/>
              </w:rPr>
            </w:pPr>
          </w:p>
        </w:tc>
        <w:tc>
          <w:tcPr>
            <w:tcW w:w="1023" w:type="dxa"/>
            <w:vMerge w:val="restart"/>
            <w:tcBorders>
              <w:top w:val="nil"/>
              <w:left w:val="nil"/>
              <w:bottom w:val="nil"/>
              <w:right w:val="nil"/>
            </w:tcBorders>
          </w:tcPr>
          <w:p w14:paraId="655E56F8" w14:textId="77777777" w:rsidR="00D7509F" w:rsidRPr="00B024DC" w:rsidRDefault="00D7509F" w:rsidP="00154A73">
            <w:pPr>
              <w:rPr>
                <w:rFonts w:ascii="Times New Roman" w:hAnsi="Times New Roman" w:cs="Times New Roman"/>
                <w:sz w:val="24"/>
                <w:szCs w:val="24"/>
              </w:rPr>
            </w:pPr>
          </w:p>
          <w:p w14:paraId="6F3B51BD"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lastRenderedPageBreak/>
              <w:t>Coping appraisal</w:t>
            </w:r>
          </w:p>
        </w:tc>
        <w:tc>
          <w:tcPr>
            <w:tcW w:w="1455" w:type="dxa"/>
            <w:tcBorders>
              <w:top w:val="nil"/>
              <w:left w:val="nil"/>
              <w:bottom w:val="nil"/>
              <w:right w:val="nil"/>
            </w:tcBorders>
          </w:tcPr>
          <w:p w14:paraId="51BBC435" w14:textId="77777777" w:rsidR="00D7509F" w:rsidRPr="00B024DC" w:rsidRDefault="00D7509F" w:rsidP="00154A73">
            <w:pPr>
              <w:rPr>
                <w:rFonts w:ascii="Times New Roman" w:hAnsi="Times New Roman" w:cs="Times New Roman"/>
                <w:sz w:val="24"/>
                <w:szCs w:val="24"/>
              </w:rPr>
            </w:pPr>
          </w:p>
          <w:p w14:paraId="2B630B8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lastRenderedPageBreak/>
              <w:t>Response costs*</w:t>
            </w:r>
          </w:p>
        </w:tc>
        <w:tc>
          <w:tcPr>
            <w:tcW w:w="3372" w:type="dxa"/>
            <w:tcBorders>
              <w:top w:val="nil"/>
              <w:left w:val="nil"/>
              <w:bottom w:val="nil"/>
              <w:right w:val="nil"/>
            </w:tcBorders>
          </w:tcPr>
          <w:p w14:paraId="11BE37ED" w14:textId="77777777" w:rsidR="00D7509F" w:rsidRPr="00B024DC" w:rsidRDefault="00D7509F" w:rsidP="00154A73">
            <w:pPr>
              <w:rPr>
                <w:rFonts w:ascii="Times New Roman" w:hAnsi="Times New Roman" w:cs="Times New Roman"/>
                <w:sz w:val="24"/>
                <w:szCs w:val="24"/>
              </w:rPr>
            </w:pPr>
          </w:p>
          <w:p w14:paraId="49743891" w14:textId="28FDDCFA"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lastRenderedPageBreak/>
              <w:t>Perceived individual costs connected to the use of an electric vehicle</w:t>
            </w:r>
            <w:r w:rsidR="00240F36">
              <w:rPr>
                <w:rFonts w:ascii="Times New Roman" w:hAnsi="Times New Roman" w:cs="Times New Roman"/>
                <w:sz w:val="24"/>
                <w:szCs w:val="24"/>
              </w:rPr>
              <w:t>.</w:t>
            </w:r>
          </w:p>
          <w:p w14:paraId="0AAAF8BB"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C14E08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lastRenderedPageBreak/>
              <w:t>Negative</w:t>
            </w:r>
          </w:p>
        </w:tc>
        <w:tc>
          <w:tcPr>
            <w:tcW w:w="4083" w:type="dxa"/>
            <w:vMerge/>
            <w:tcBorders>
              <w:top w:val="nil"/>
              <w:left w:val="nil"/>
              <w:bottom w:val="nil"/>
              <w:right w:val="nil"/>
            </w:tcBorders>
          </w:tcPr>
          <w:p w14:paraId="27F720B2" w14:textId="77777777" w:rsidR="00D7509F" w:rsidRPr="00B024DC" w:rsidRDefault="00D7509F" w:rsidP="00154A73">
            <w:pPr>
              <w:rPr>
                <w:rFonts w:ascii="Times New Roman" w:hAnsi="Times New Roman" w:cs="Times New Roman"/>
                <w:sz w:val="24"/>
                <w:szCs w:val="24"/>
              </w:rPr>
            </w:pPr>
          </w:p>
        </w:tc>
      </w:tr>
      <w:tr w:rsidR="00D7509F" w:rsidRPr="00B024DC" w14:paraId="4732FA83" w14:textId="77777777" w:rsidTr="00154A73">
        <w:trPr>
          <w:trHeight w:val="224"/>
        </w:trPr>
        <w:tc>
          <w:tcPr>
            <w:tcW w:w="1193" w:type="dxa"/>
            <w:vMerge/>
            <w:tcBorders>
              <w:top w:val="nil"/>
              <w:left w:val="nil"/>
              <w:bottom w:val="nil"/>
              <w:right w:val="nil"/>
            </w:tcBorders>
          </w:tcPr>
          <w:p w14:paraId="05F1A39D"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nil"/>
              <w:left w:val="nil"/>
              <w:bottom w:val="nil"/>
              <w:right w:val="nil"/>
            </w:tcBorders>
          </w:tcPr>
          <w:p w14:paraId="221E74F6" w14:textId="77777777" w:rsidR="00D7509F" w:rsidRPr="00B024DC" w:rsidRDefault="00D7509F" w:rsidP="00154A73">
            <w:pPr>
              <w:rPr>
                <w:rFonts w:ascii="Times New Roman" w:hAnsi="Times New Roman" w:cs="Times New Roman"/>
                <w:sz w:val="24"/>
                <w:szCs w:val="24"/>
              </w:rPr>
            </w:pPr>
          </w:p>
        </w:tc>
        <w:tc>
          <w:tcPr>
            <w:tcW w:w="1023" w:type="dxa"/>
            <w:vMerge/>
            <w:tcBorders>
              <w:top w:val="nil"/>
              <w:left w:val="nil"/>
              <w:bottom w:val="nil"/>
              <w:right w:val="nil"/>
            </w:tcBorders>
          </w:tcPr>
          <w:p w14:paraId="0579BA51" w14:textId="77777777" w:rsidR="00D7509F" w:rsidRPr="00B024DC" w:rsidRDefault="00D7509F" w:rsidP="00154A73">
            <w:pPr>
              <w:rPr>
                <w:rFonts w:ascii="Times New Roman" w:hAnsi="Times New Roman" w:cs="Times New Roman"/>
                <w:sz w:val="24"/>
                <w:szCs w:val="24"/>
              </w:rPr>
            </w:pPr>
          </w:p>
        </w:tc>
        <w:tc>
          <w:tcPr>
            <w:tcW w:w="1455" w:type="dxa"/>
            <w:tcBorders>
              <w:top w:val="nil"/>
              <w:left w:val="nil"/>
              <w:bottom w:val="nil"/>
              <w:right w:val="nil"/>
            </w:tcBorders>
          </w:tcPr>
          <w:p w14:paraId="29ED6AB4"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Self-efficacy* </w:t>
            </w:r>
          </w:p>
          <w:p w14:paraId="1423347D" w14:textId="77777777" w:rsidR="00D7509F" w:rsidRPr="00B024DC" w:rsidRDefault="00D7509F" w:rsidP="00154A73">
            <w:pPr>
              <w:rPr>
                <w:rFonts w:ascii="Times New Roman" w:hAnsi="Times New Roman" w:cs="Times New Roman"/>
                <w:sz w:val="24"/>
                <w:szCs w:val="24"/>
              </w:rPr>
            </w:pPr>
          </w:p>
        </w:tc>
        <w:tc>
          <w:tcPr>
            <w:tcW w:w="3372" w:type="dxa"/>
            <w:tcBorders>
              <w:top w:val="nil"/>
              <w:left w:val="nil"/>
              <w:bottom w:val="nil"/>
              <w:right w:val="nil"/>
            </w:tcBorders>
          </w:tcPr>
          <w:p w14:paraId="3B5144FB" w14:textId="6874C0FD" w:rsidR="00D7509F" w:rsidRPr="00B024DC" w:rsidRDefault="00D7509F" w:rsidP="00240F36">
            <w:pPr>
              <w:rPr>
                <w:rFonts w:ascii="Times New Roman" w:hAnsi="Times New Roman" w:cs="Times New Roman"/>
                <w:sz w:val="24"/>
                <w:szCs w:val="24"/>
              </w:rPr>
            </w:pPr>
            <w:r w:rsidRPr="00B024DC">
              <w:rPr>
                <w:rFonts w:ascii="Times New Roman" w:hAnsi="Times New Roman" w:cs="Times New Roman"/>
                <w:sz w:val="24"/>
                <w:szCs w:val="24"/>
              </w:rPr>
              <w:t>The perceived ability to adjust one’s behavior to be able to drive an</w:t>
            </w:r>
            <w:r w:rsidR="00240F36">
              <w:rPr>
                <w:rFonts w:ascii="Times New Roman" w:hAnsi="Times New Roman" w:cs="Times New Roman"/>
                <w:sz w:val="24"/>
                <w:szCs w:val="24"/>
              </w:rPr>
              <w:t xml:space="preserve"> </w:t>
            </w:r>
            <w:r w:rsidRPr="00B024DC">
              <w:rPr>
                <w:rFonts w:ascii="Times New Roman" w:hAnsi="Times New Roman" w:cs="Times New Roman"/>
                <w:sz w:val="24"/>
                <w:szCs w:val="24"/>
              </w:rPr>
              <w:t>electric vehicle</w:t>
            </w:r>
            <w:r w:rsidR="00240F36">
              <w:rPr>
                <w:rFonts w:ascii="Times New Roman" w:hAnsi="Times New Roman" w:cs="Times New Roman"/>
                <w:sz w:val="24"/>
                <w:szCs w:val="24"/>
              </w:rPr>
              <w:t>.</w:t>
            </w:r>
          </w:p>
        </w:tc>
        <w:tc>
          <w:tcPr>
            <w:tcW w:w="1317" w:type="dxa"/>
            <w:tcBorders>
              <w:top w:val="nil"/>
              <w:left w:val="nil"/>
              <w:bottom w:val="nil"/>
              <w:right w:val="nil"/>
            </w:tcBorders>
          </w:tcPr>
          <w:p w14:paraId="37D0152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44C7FC9D" w14:textId="77777777" w:rsidR="00D7509F" w:rsidRPr="00B024DC" w:rsidRDefault="00D7509F" w:rsidP="00154A73">
            <w:pPr>
              <w:rPr>
                <w:rFonts w:ascii="Times New Roman" w:hAnsi="Times New Roman" w:cs="Times New Roman"/>
                <w:sz w:val="24"/>
                <w:szCs w:val="24"/>
              </w:rPr>
            </w:pPr>
          </w:p>
        </w:tc>
      </w:tr>
      <w:tr w:rsidR="00D7509F" w:rsidRPr="00B024DC" w14:paraId="63D21294" w14:textId="77777777" w:rsidTr="00154A73">
        <w:trPr>
          <w:trHeight w:val="224"/>
        </w:trPr>
        <w:tc>
          <w:tcPr>
            <w:tcW w:w="1193" w:type="dxa"/>
            <w:vMerge/>
            <w:tcBorders>
              <w:top w:val="nil"/>
              <w:left w:val="nil"/>
              <w:bottom w:val="nil"/>
              <w:right w:val="nil"/>
            </w:tcBorders>
          </w:tcPr>
          <w:p w14:paraId="09C14783"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nil"/>
              <w:left w:val="nil"/>
              <w:bottom w:val="nil"/>
              <w:right w:val="nil"/>
            </w:tcBorders>
          </w:tcPr>
          <w:p w14:paraId="56E130D9" w14:textId="77777777" w:rsidR="00D7509F" w:rsidRPr="00B024DC" w:rsidRDefault="00D7509F" w:rsidP="00154A73">
            <w:pPr>
              <w:rPr>
                <w:rFonts w:ascii="Times New Roman" w:hAnsi="Times New Roman" w:cs="Times New Roman"/>
                <w:sz w:val="24"/>
                <w:szCs w:val="24"/>
              </w:rPr>
            </w:pPr>
          </w:p>
        </w:tc>
        <w:tc>
          <w:tcPr>
            <w:tcW w:w="1023" w:type="dxa"/>
            <w:vMerge/>
            <w:tcBorders>
              <w:top w:val="nil"/>
              <w:left w:val="nil"/>
              <w:bottom w:val="nil"/>
              <w:right w:val="nil"/>
            </w:tcBorders>
          </w:tcPr>
          <w:p w14:paraId="181BE0E2" w14:textId="77777777" w:rsidR="00D7509F" w:rsidRPr="00B024DC" w:rsidRDefault="00D7509F" w:rsidP="00154A73">
            <w:pPr>
              <w:rPr>
                <w:rFonts w:ascii="Times New Roman" w:hAnsi="Times New Roman" w:cs="Times New Roman"/>
                <w:sz w:val="24"/>
                <w:szCs w:val="24"/>
              </w:rPr>
            </w:pPr>
          </w:p>
        </w:tc>
        <w:tc>
          <w:tcPr>
            <w:tcW w:w="1455" w:type="dxa"/>
            <w:tcBorders>
              <w:top w:val="nil"/>
              <w:left w:val="nil"/>
              <w:bottom w:val="nil"/>
              <w:right w:val="nil"/>
            </w:tcBorders>
          </w:tcPr>
          <w:p w14:paraId="008EEEB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Response efficacy* </w:t>
            </w:r>
          </w:p>
        </w:tc>
        <w:tc>
          <w:tcPr>
            <w:tcW w:w="3372" w:type="dxa"/>
            <w:tcBorders>
              <w:top w:val="nil"/>
              <w:left w:val="nil"/>
              <w:bottom w:val="nil"/>
              <w:right w:val="nil"/>
            </w:tcBorders>
          </w:tcPr>
          <w:p w14:paraId="0669515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potential of electric vehicles to solve or avoid problems caused by</w:t>
            </w:r>
          </w:p>
          <w:p w14:paraId="1162C63C" w14:textId="7E5390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conventional car</w:t>
            </w:r>
            <w:r w:rsidR="00240F36">
              <w:rPr>
                <w:rFonts w:ascii="Times New Roman" w:hAnsi="Times New Roman" w:cs="Times New Roman"/>
                <w:sz w:val="24"/>
                <w:szCs w:val="24"/>
              </w:rPr>
              <w:t>.</w:t>
            </w:r>
          </w:p>
          <w:p w14:paraId="155BB749"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7A932AA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nil"/>
              <w:right w:val="nil"/>
            </w:tcBorders>
          </w:tcPr>
          <w:p w14:paraId="7AD8A22A" w14:textId="77777777" w:rsidR="00D7509F" w:rsidRPr="00B024DC" w:rsidRDefault="00D7509F" w:rsidP="00154A73">
            <w:pPr>
              <w:rPr>
                <w:rFonts w:ascii="Times New Roman" w:hAnsi="Times New Roman" w:cs="Times New Roman"/>
                <w:sz w:val="24"/>
                <w:szCs w:val="24"/>
              </w:rPr>
            </w:pPr>
          </w:p>
        </w:tc>
      </w:tr>
      <w:tr w:rsidR="00D7509F" w:rsidRPr="00B024DC" w14:paraId="57C2CB0E" w14:textId="77777777" w:rsidTr="00154A73">
        <w:trPr>
          <w:trHeight w:val="479"/>
        </w:trPr>
        <w:tc>
          <w:tcPr>
            <w:tcW w:w="1193" w:type="dxa"/>
            <w:vMerge w:val="restart"/>
            <w:tcBorders>
              <w:top w:val="nil"/>
              <w:left w:val="nil"/>
              <w:bottom w:val="single" w:sz="12" w:space="0" w:color="auto"/>
              <w:right w:val="nil"/>
            </w:tcBorders>
          </w:tcPr>
          <w:p w14:paraId="0D1F9235" w14:textId="621C9608" w:rsidR="00D7509F" w:rsidRPr="00B024DC" w:rsidRDefault="00D7509F" w:rsidP="00154A73">
            <w:pPr>
              <w:rPr>
                <w:rFonts w:ascii="Times New Roman" w:hAnsi="Times New Roman" w:cs="Times New Roman"/>
                <w:color w:val="1E293B"/>
                <w:sz w:val="24"/>
                <w:szCs w:val="24"/>
              </w:rPr>
            </w:pPr>
            <w:r w:rsidRPr="00B024DC">
              <w:rPr>
                <w:rFonts w:ascii="Times New Roman" w:hAnsi="Times New Roman" w:cs="Times New Roman"/>
                <w:color w:val="1E293B"/>
                <w:sz w:val="24"/>
                <w:szCs w:val="24"/>
              </w:rPr>
              <w:t>He et al. 2018</w:t>
            </w:r>
          </w:p>
        </w:tc>
        <w:tc>
          <w:tcPr>
            <w:tcW w:w="1597" w:type="dxa"/>
            <w:vMerge w:val="restart"/>
            <w:tcBorders>
              <w:top w:val="nil"/>
              <w:left w:val="nil"/>
              <w:bottom w:val="nil"/>
              <w:right w:val="nil"/>
            </w:tcBorders>
          </w:tcPr>
          <w:p w14:paraId="0F38B7F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valence framework</w:t>
            </w:r>
          </w:p>
          <w:p w14:paraId="0DF59DB4" w14:textId="77777777" w:rsidR="00D7509F" w:rsidRPr="00B024DC" w:rsidRDefault="00D7509F" w:rsidP="00154A73">
            <w:pPr>
              <w:rPr>
                <w:rFonts w:ascii="Times New Roman" w:hAnsi="Times New Roman" w:cs="Times New Roman"/>
                <w:sz w:val="24"/>
                <w:szCs w:val="24"/>
              </w:rPr>
            </w:pPr>
          </w:p>
          <w:p w14:paraId="22AFAD40"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4896463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benefit</w:t>
            </w:r>
          </w:p>
        </w:tc>
        <w:tc>
          <w:tcPr>
            <w:tcW w:w="3372" w:type="dxa"/>
            <w:vMerge w:val="restart"/>
            <w:tcBorders>
              <w:top w:val="nil"/>
              <w:left w:val="nil"/>
              <w:bottom w:val="nil"/>
              <w:right w:val="nil"/>
            </w:tcBorders>
          </w:tcPr>
          <w:p w14:paraId="480FACC1"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xml:space="preserve">Positive utility </w:t>
            </w:r>
          </w:p>
          <w:p w14:paraId="1C63319F" w14:textId="4EAD0703"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associated with the consumer adoption decision</w:t>
            </w:r>
            <w:r w:rsidR="00240F36">
              <w:rPr>
                <w:rFonts w:ascii="Times New Roman" w:hAnsi="Times New Roman" w:cs="Times New Roman"/>
                <w:sz w:val="24"/>
                <w:szCs w:val="24"/>
              </w:rPr>
              <w:t>.</w:t>
            </w:r>
          </w:p>
        </w:tc>
        <w:tc>
          <w:tcPr>
            <w:tcW w:w="1317" w:type="dxa"/>
            <w:tcBorders>
              <w:top w:val="nil"/>
              <w:left w:val="nil"/>
              <w:bottom w:val="nil"/>
              <w:right w:val="nil"/>
            </w:tcBorders>
          </w:tcPr>
          <w:p w14:paraId="24735B82" w14:textId="77777777" w:rsidR="00D7509F" w:rsidRPr="00B024DC" w:rsidRDefault="00D7509F" w:rsidP="00154A73">
            <w:pPr>
              <w:rPr>
                <w:rFonts w:ascii="Times New Roman" w:hAnsi="Times New Roman" w:cs="Times New Roman"/>
                <w:sz w:val="24"/>
                <w:szCs w:val="24"/>
              </w:rPr>
            </w:pPr>
          </w:p>
        </w:tc>
        <w:tc>
          <w:tcPr>
            <w:tcW w:w="4083" w:type="dxa"/>
            <w:vMerge w:val="restart"/>
            <w:tcBorders>
              <w:top w:val="nil"/>
              <w:left w:val="nil"/>
              <w:bottom w:val="single" w:sz="12" w:space="0" w:color="auto"/>
              <w:right w:val="nil"/>
            </w:tcBorders>
          </w:tcPr>
          <w:p w14:paraId="788A4D4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perceived monetary benefit and perceived symbol were found to positively influence</w:t>
            </w:r>
          </w:p>
          <w:p w14:paraId="6CC3D92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consumer EV purchase intention</w:t>
            </w:r>
          </w:p>
          <w:p w14:paraId="306EEC9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 Both perceived risk and perceived fee were found to have a negative effect on consumer intention to purchase EVs</w:t>
            </w:r>
          </w:p>
          <w:p w14:paraId="2A77FA1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-Both personal innovativeness and environmental concern had a significant influence on consumer EV purchase intention.</w:t>
            </w:r>
          </w:p>
        </w:tc>
      </w:tr>
      <w:tr w:rsidR="00D7509F" w:rsidRPr="00B024DC" w14:paraId="7D716B1A" w14:textId="77777777" w:rsidTr="00154A73">
        <w:trPr>
          <w:trHeight w:val="478"/>
        </w:trPr>
        <w:tc>
          <w:tcPr>
            <w:tcW w:w="1193" w:type="dxa"/>
            <w:vMerge/>
            <w:tcBorders>
              <w:top w:val="nil"/>
              <w:left w:val="nil"/>
              <w:bottom w:val="single" w:sz="12" w:space="0" w:color="auto"/>
              <w:right w:val="nil"/>
            </w:tcBorders>
          </w:tcPr>
          <w:p w14:paraId="66F4AB7B"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single" w:sz="12" w:space="0" w:color="auto"/>
              <w:left w:val="nil"/>
              <w:bottom w:val="nil"/>
              <w:right w:val="nil"/>
            </w:tcBorders>
          </w:tcPr>
          <w:p w14:paraId="53636DE4"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287BA65C" w14:textId="77777777" w:rsidR="00D7509F" w:rsidRPr="00B024DC" w:rsidRDefault="00D7509F" w:rsidP="00154A73">
            <w:pPr>
              <w:pStyle w:val="ListParagraph"/>
              <w:numPr>
                <w:ilvl w:val="0"/>
                <w:numId w:val="1"/>
              </w:numPr>
              <w:spacing w:line="259" w:lineRule="auto"/>
              <w:rPr>
                <w:rFonts w:ascii="Times New Roman" w:hAnsi="Times New Roman" w:cs="Times New Roman"/>
                <w:sz w:val="24"/>
                <w:szCs w:val="24"/>
              </w:rPr>
            </w:pPr>
            <w:r w:rsidRPr="00B024DC">
              <w:rPr>
                <w:rFonts w:ascii="Times New Roman" w:hAnsi="Times New Roman" w:cs="Times New Roman"/>
                <w:sz w:val="24"/>
                <w:szCs w:val="24"/>
              </w:rPr>
              <w:t>perceived monetary benefit*</w:t>
            </w:r>
          </w:p>
        </w:tc>
        <w:tc>
          <w:tcPr>
            <w:tcW w:w="3372" w:type="dxa"/>
            <w:vMerge/>
            <w:tcBorders>
              <w:top w:val="nil"/>
              <w:left w:val="nil"/>
              <w:bottom w:val="nil"/>
              <w:right w:val="nil"/>
            </w:tcBorders>
          </w:tcPr>
          <w:p w14:paraId="2AA9EBCB"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53C79274"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top w:val="nil"/>
              <w:left w:val="nil"/>
              <w:bottom w:val="single" w:sz="12" w:space="0" w:color="auto"/>
              <w:right w:val="nil"/>
            </w:tcBorders>
          </w:tcPr>
          <w:p w14:paraId="2A4A3F76" w14:textId="77777777" w:rsidR="00D7509F" w:rsidRPr="00B024DC" w:rsidRDefault="00D7509F" w:rsidP="00154A73">
            <w:pPr>
              <w:rPr>
                <w:rFonts w:ascii="Times New Roman" w:hAnsi="Times New Roman" w:cs="Times New Roman"/>
                <w:sz w:val="24"/>
                <w:szCs w:val="24"/>
              </w:rPr>
            </w:pPr>
          </w:p>
        </w:tc>
      </w:tr>
      <w:tr w:rsidR="00D7509F" w:rsidRPr="00B024DC" w14:paraId="477D1492" w14:textId="77777777" w:rsidTr="00154A73">
        <w:trPr>
          <w:trHeight w:val="478"/>
        </w:trPr>
        <w:tc>
          <w:tcPr>
            <w:tcW w:w="1193" w:type="dxa"/>
            <w:vMerge/>
            <w:tcBorders>
              <w:top w:val="nil"/>
              <w:left w:val="nil"/>
              <w:bottom w:val="single" w:sz="12" w:space="0" w:color="auto"/>
              <w:right w:val="nil"/>
            </w:tcBorders>
          </w:tcPr>
          <w:p w14:paraId="0326D177"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single" w:sz="12" w:space="0" w:color="auto"/>
              <w:left w:val="nil"/>
              <w:bottom w:val="nil"/>
              <w:right w:val="nil"/>
            </w:tcBorders>
          </w:tcPr>
          <w:p w14:paraId="033E7004"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0D5BFC43" w14:textId="77777777" w:rsidR="00D7509F" w:rsidRPr="00B024DC" w:rsidRDefault="00D7509F" w:rsidP="00154A73">
            <w:pPr>
              <w:pStyle w:val="ListParagraph"/>
              <w:numPr>
                <w:ilvl w:val="0"/>
                <w:numId w:val="1"/>
              </w:numPr>
              <w:rPr>
                <w:rFonts w:ascii="Times New Roman" w:hAnsi="Times New Roman" w:cs="Times New Roman"/>
                <w:sz w:val="24"/>
                <w:szCs w:val="24"/>
              </w:rPr>
            </w:pPr>
            <w:r w:rsidRPr="00B024DC">
              <w:rPr>
                <w:rFonts w:ascii="Times New Roman" w:hAnsi="Times New Roman" w:cs="Times New Roman"/>
                <w:sz w:val="24"/>
                <w:szCs w:val="24"/>
              </w:rPr>
              <w:t>perceived environment</w:t>
            </w:r>
          </w:p>
        </w:tc>
        <w:tc>
          <w:tcPr>
            <w:tcW w:w="3372" w:type="dxa"/>
            <w:vMerge/>
            <w:tcBorders>
              <w:top w:val="nil"/>
              <w:left w:val="nil"/>
              <w:bottom w:val="nil"/>
              <w:right w:val="nil"/>
            </w:tcBorders>
          </w:tcPr>
          <w:p w14:paraId="1CE9404C"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3B546B09" w14:textId="77777777" w:rsidR="00D7509F" w:rsidRPr="00B024DC" w:rsidRDefault="00D7509F" w:rsidP="00154A73">
            <w:pPr>
              <w:rPr>
                <w:rFonts w:ascii="Times New Roman" w:hAnsi="Times New Roman" w:cs="Times New Roman"/>
                <w:sz w:val="24"/>
                <w:szCs w:val="24"/>
              </w:rPr>
            </w:pPr>
          </w:p>
        </w:tc>
        <w:tc>
          <w:tcPr>
            <w:tcW w:w="4083" w:type="dxa"/>
            <w:vMerge/>
            <w:tcBorders>
              <w:left w:val="nil"/>
              <w:bottom w:val="single" w:sz="12" w:space="0" w:color="auto"/>
              <w:right w:val="nil"/>
            </w:tcBorders>
          </w:tcPr>
          <w:p w14:paraId="309B0E37" w14:textId="77777777" w:rsidR="00D7509F" w:rsidRPr="00B024DC" w:rsidRDefault="00D7509F" w:rsidP="00154A73">
            <w:pPr>
              <w:rPr>
                <w:rFonts w:ascii="Times New Roman" w:hAnsi="Times New Roman" w:cs="Times New Roman"/>
                <w:sz w:val="24"/>
                <w:szCs w:val="24"/>
              </w:rPr>
            </w:pPr>
          </w:p>
        </w:tc>
      </w:tr>
      <w:tr w:rsidR="00D7509F" w:rsidRPr="00B024DC" w14:paraId="7BD1238E" w14:textId="77777777" w:rsidTr="00154A73">
        <w:trPr>
          <w:trHeight w:val="478"/>
        </w:trPr>
        <w:tc>
          <w:tcPr>
            <w:tcW w:w="1193" w:type="dxa"/>
            <w:vMerge/>
            <w:tcBorders>
              <w:top w:val="nil"/>
              <w:left w:val="nil"/>
              <w:bottom w:val="single" w:sz="12" w:space="0" w:color="auto"/>
              <w:right w:val="nil"/>
            </w:tcBorders>
          </w:tcPr>
          <w:p w14:paraId="248AEE8C"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single" w:sz="12" w:space="0" w:color="auto"/>
              <w:left w:val="nil"/>
              <w:bottom w:val="nil"/>
              <w:right w:val="nil"/>
            </w:tcBorders>
          </w:tcPr>
          <w:p w14:paraId="00EE2B9B"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4C0B9C5E" w14:textId="77777777" w:rsidR="00D7509F" w:rsidRPr="00B024DC" w:rsidRDefault="00D7509F" w:rsidP="00154A73">
            <w:pPr>
              <w:pStyle w:val="ListParagraph"/>
              <w:numPr>
                <w:ilvl w:val="0"/>
                <w:numId w:val="1"/>
              </w:numPr>
              <w:rPr>
                <w:rFonts w:ascii="Times New Roman" w:hAnsi="Times New Roman" w:cs="Times New Roman"/>
                <w:sz w:val="24"/>
                <w:szCs w:val="24"/>
              </w:rPr>
            </w:pPr>
            <w:r w:rsidRPr="00B024DC">
              <w:rPr>
                <w:rFonts w:ascii="Times New Roman" w:hAnsi="Times New Roman" w:cs="Times New Roman"/>
                <w:sz w:val="24"/>
                <w:szCs w:val="24"/>
              </w:rPr>
              <w:t>perceived symbol*</w:t>
            </w:r>
          </w:p>
        </w:tc>
        <w:tc>
          <w:tcPr>
            <w:tcW w:w="3372" w:type="dxa"/>
            <w:vMerge/>
            <w:tcBorders>
              <w:top w:val="nil"/>
              <w:left w:val="nil"/>
              <w:bottom w:val="nil"/>
              <w:right w:val="nil"/>
            </w:tcBorders>
          </w:tcPr>
          <w:p w14:paraId="747AB1CA"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2203906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left w:val="nil"/>
              <w:bottom w:val="single" w:sz="12" w:space="0" w:color="auto"/>
              <w:right w:val="nil"/>
            </w:tcBorders>
          </w:tcPr>
          <w:p w14:paraId="7DC7FA10" w14:textId="77777777" w:rsidR="00D7509F" w:rsidRPr="00B024DC" w:rsidRDefault="00D7509F" w:rsidP="00154A73">
            <w:pPr>
              <w:rPr>
                <w:rFonts w:ascii="Times New Roman" w:hAnsi="Times New Roman" w:cs="Times New Roman"/>
                <w:sz w:val="24"/>
                <w:szCs w:val="24"/>
              </w:rPr>
            </w:pPr>
          </w:p>
        </w:tc>
      </w:tr>
      <w:tr w:rsidR="00D7509F" w:rsidRPr="00B024DC" w14:paraId="6B3B5CF1" w14:textId="77777777" w:rsidTr="00154A73">
        <w:trPr>
          <w:trHeight w:val="379"/>
        </w:trPr>
        <w:tc>
          <w:tcPr>
            <w:tcW w:w="1193" w:type="dxa"/>
            <w:vMerge/>
            <w:tcBorders>
              <w:top w:val="nil"/>
              <w:left w:val="nil"/>
              <w:bottom w:val="single" w:sz="12" w:space="0" w:color="auto"/>
              <w:right w:val="nil"/>
            </w:tcBorders>
          </w:tcPr>
          <w:p w14:paraId="214E0695"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single" w:sz="12" w:space="0" w:color="auto"/>
              <w:left w:val="nil"/>
              <w:bottom w:val="nil"/>
              <w:right w:val="nil"/>
            </w:tcBorders>
          </w:tcPr>
          <w:p w14:paraId="495F4FAE"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68809FF9"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Perceived risk</w:t>
            </w:r>
          </w:p>
        </w:tc>
        <w:tc>
          <w:tcPr>
            <w:tcW w:w="3372" w:type="dxa"/>
            <w:vMerge w:val="restart"/>
            <w:tcBorders>
              <w:top w:val="nil"/>
              <w:left w:val="nil"/>
              <w:bottom w:val="nil"/>
              <w:right w:val="nil"/>
            </w:tcBorders>
          </w:tcPr>
          <w:p w14:paraId="29860487" w14:textId="34B6ED80"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Negative utility associated with the consumer adoption decision</w:t>
            </w:r>
            <w:r w:rsidR="00240F36">
              <w:rPr>
                <w:rFonts w:ascii="Times New Roman" w:hAnsi="Times New Roman" w:cs="Times New Roman"/>
                <w:sz w:val="24"/>
                <w:szCs w:val="24"/>
              </w:rPr>
              <w:t>.</w:t>
            </w:r>
          </w:p>
        </w:tc>
        <w:tc>
          <w:tcPr>
            <w:tcW w:w="1317" w:type="dxa"/>
            <w:tcBorders>
              <w:top w:val="nil"/>
              <w:left w:val="nil"/>
              <w:bottom w:val="nil"/>
              <w:right w:val="nil"/>
            </w:tcBorders>
          </w:tcPr>
          <w:p w14:paraId="15686631" w14:textId="77777777" w:rsidR="00D7509F" w:rsidRPr="00B024DC" w:rsidRDefault="00D7509F" w:rsidP="00154A73">
            <w:pPr>
              <w:rPr>
                <w:rFonts w:ascii="Times New Roman" w:hAnsi="Times New Roman" w:cs="Times New Roman"/>
                <w:sz w:val="24"/>
                <w:szCs w:val="24"/>
              </w:rPr>
            </w:pPr>
          </w:p>
        </w:tc>
        <w:tc>
          <w:tcPr>
            <w:tcW w:w="4083" w:type="dxa"/>
            <w:vMerge/>
            <w:tcBorders>
              <w:left w:val="nil"/>
              <w:bottom w:val="single" w:sz="12" w:space="0" w:color="auto"/>
              <w:right w:val="nil"/>
            </w:tcBorders>
          </w:tcPr>
          <w:p w14:paraId="612533A6" w14:textId="77777777" w:rsidR="00D7509F" w:rsidRPr="00B024DC" w:rsidRDefault="00D7509F" w:rsidP="00154A73">
            <w:pPr>
              <w:rPr>
                <w:rFonts w:ascii="Times New Roman" w:hAnsi="Times New Roman" w:cs="Times New Roman"/>
                <w:sz w:val="24"/>
                <w:szCs w:val="24"/>
              </w:rPr>
            </w:pPr>
          </w:p>
        </w:tc>
      </w:tr>
      <w:tr w:rsidR="00D7509F" w:rsidRPr="00B024DC" w14:paraId="6CCB37B5" w14:textId="77777777" w:rsidTr="00154A73">
        <w:trPr>
          <w:trHeight w:val="377"/>
        </w:trPr>
        <w:tc>
          <w:tcPr>
            <w:tcW w:w="1193" w:type="dxa"/>
            <w:vMerge/>
            <w:tcBorders>
              <w:top w:val="nil"/>
              <w:left w:val="nil"/>
              <w:bottom w:val="single" w:sz="12" w:space="0" w:color="auto"/>
              <w:right w:val="nil"/>
            </w:tcBorders>
          </w:tcPr>
          <w:p w14:paraId="5F696A22"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single" w:sz="12" w:space="0" w:color="auto"/>
              <w:left w:val="nil"/>
              <w:bottom w:val="nil"/>
              <w:right w:val="nil"/>
            </w:tcBorders>
          </w:tcPr>
          <w:p w14:paraId="6A19796F"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6E54846B" w14:textId="77777777" w:rsidR="00D7509F" w:rsidRPr="00B024DC" w:rsidRDefault="00D7509F" w:rsidP="00154A73">
            <w:pPr>
              <w:pStyle w:val="ListParagraph"/>
              <w:numPr>
                <w:ilvl w:val="0"/>
                <w:numId w:val="2"/>
              </w:numPr>
              <w:rPr>
                <w:rFonts w:ascii="Times New Roman" w:hAnsi="Times New Roman" w:cs="Times New Roman"/>
                <w:sz w:val="24"/>
                <w:szCs w:val="24"/>
              </w:rPr>
            </w:pPr>
            <w:r w:rsidRPr="00B024DC">
              <w:rPr>
                <w:rFonts w:ascii="Times New Roman" w:hAnsi="Times New Roman" w:cs="Times New Roman"/>
                <w:sz w:val="24"/>
                <w:szCs w:val="24"/>
              </w:rPr>
              <w:t xml:space="preserve">perceived risk* </w:t>
            </w:r>
          </w:p>
        </w:tc>
        <w:tc>
          <w:tcPr>
            <w:tcW w:w="3372" w:type="dxa"/>
            <w:vMerge/>
            <w:tcBorders>
              <w:top w:val="nil"/>
              <w:left w:val="nil"/>
              <w:bottom w:val="nil"/>
              <w:right w:val="nil"/>
            </w:tcBorders>
          </w:tcPr>
          <w:p w14:paraId="3B68E8B2"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42B3B6D3"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Negative</w:t>
            </w:r>
          </w:p>
        </w:tc>
        <w:tc>
          <w:tcPr>
            <w:tcW w:w="4083" w:type="dxa"/>
            <w:vMerge/>
            <w:tcBorders>
              <w:left w:val="nil"/>
              <w:bottom w:val="single" w:sz="12" w:space="0" w:color="auto"/>
              <w:right w:val="nil"/>
            </w:tcBorders>
          </w:tcPr>
          <w:p w14:paraId="0379A568" w14:textId="77777777" w:rsidR="00D7509F" w:rsidRPr="00B024DC" w:rsidRDefault="00D7509F" w:rsidP="00154A73">
            <w:pPr>
              <w:rPr>
                <w:rFonts w:ascii="Times New Roman" w:hAnsi="Times New Roman" w:cs="Times New Roman"/>
                <w:sz w:val="24"/>
                <w:szCs w:val="24"/>
              </w:rPr>
            </w:pPr>
          </w:p>
        </w:tc>
      </w:tr>
      <w:tr w:rsidR="00D7509F" w:rsidRPr="00B024DC" w14:paraId="38815B6F" w14:textId="77777777" w:rsidTr="00154A73">
        <w:trPr>
          <w:trHeight w:val="377"/>
        </w:trPr>
        <w:tc>
          <w:tcPr>
            <w:tcW w:w="1193" w:type="dxa"/>
            <w:vMerge/>
            <w:tcBorders>
              <w:top w:val="nil"/>
              <w:left w:val="nil"/>
              <w:bottom w:val="single" w:sz="12" w:space="0" w:color="auto"/>
              <w:right w:val="nil"/>
            </w:tcBorders>
          </w:tcPr>
          <w:p w14:paraId="4B250C0C"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single" w:sz="12" w:space="0" w:color="auto"/>
              <w:left w:val="nil"/>
              <w:bottom w:val="nil"/>
              <w:right w:val="nil"/>
            </w:tcBorders>
          </w:tcPr>
          <w:p w14:paraId="674BF469"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nil"/>
              <w:right w:val="nil"/>
            </w:tcBorders>
          </w:tcPr>
          <w:p w14:paraId="67EC47FE" w14:textId="77777777" w:rsidR="00D7509F" w:rsidRPr="00B024DC" w:rsidRDefault="00D7509F" w:rsidP="00154A73">
            <w:pPr>
              <w:pStyle w:val="ListParagraph"/>
              <w:numPr>
                <w:ilvl w:val="0"/>
                <w:numId w:val="2"/>
              </w:numPr>
              <w:rPr>
                <w:rFonts w:ascii="Times New Roman" w:hAnsi="Times New Roman" w:cs="Times New Roman"/>
                <w:sz w:val="24"/>
                <w:szCs w:val="24"/>
              </w:rPr>
            </w:pPr>
            <w:r w:rsidRPr="00B024DC">
              <w:rPr>
                <w:rFonts w:ascii="Times New Roman" w:hAnsi="Times New Roman" w:cs="Times New Roman"/>
                <w:sz w:val="24"/>
                <w:szCs w:val="24"/>
              </w:rPr>
              <w:t>perceived fee*</w:t>
            </w:r>
          </w:p>
        </w:tc>
        <w:tc>
          <w:tcPr>
            <w:tcW w:w="3372" w:type="dxa"/>
            <w:vMerge/>
            <w:tcBorders>
              <w:top w:val="nil"/>
              <w:left w:val="nil"/>
              <w:bottom w:val="nil"/>
              <w:right w:val="nil"/>
            </w:tcBorders>
          </w:tcPr>
          <w:p w14:paraId="6E92D208" w14:textId="77777777" w:rsidR="00D7509F" w:rsidRPr="00B024DC" w:rsidRDefault="00D7509F" w:rsidP="00154A73">
            <w:pPr>
              <w:rPr>
                <w:rFonts w:ascii="Times New Roman" w:hAnsi="Times New Roman" w:cs="Times New Roman"/>
                <w:sz w:val="24"/>
                <w:szCs w:val="24"/>
              </w:rPr>
            </w:pPr>
          </w:p>
        </w:tc>
        <w:tc>
          <w:tcPr>
            <w:tcW w:w="1317" w:type="dxa"/>
            <w:tcBorders>
              <w:top w:val="nil"/>
              <w:left w:val="nil"/>
              <w:bottom w:val="nil"/>
              <w:right w:val="nil"/>
            </w:tcBorders>
          </w:tcPr>
          <w:p w14:paraId="1190794A"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Negative</w:t>
            </w:r>
          </w:p>
        </w:tc>
        <w:tc>
          <w:tcPr>
            <w:tcW w:w="4083" w:type="dxa"/>
            <w:vMerge/>
            <w:tcBorders>
              <w:left w:val="nil"/>
              <w:bottom w:val="single" w:sz="12" w:space="0" w:color="auto"/>
              <w:right w:val="nil"/>
            </w:tcBorders>
          </w:tcPr>
          <w:p w14:paraId="6E89D370" w14:textId="77777777" w:rsidR="00D7509F" w:rsidRPr="00B024DC" w:rsidRDefault="00D7509F" w:rsidP="00154A73">
            <w:pPr>
              <w:rPr>
                <w:rFonts w:ascii="Times New Roman" w:hAnsi="Times New Roman" w:cs="Times New Roman"/>
                <w:sz w:val="24"/>
                <w:szCs w:val="24"/>
              </w:rPr>
            </w:pPr>
          </w:p>
        </w:tc>
      </w:tr>
      <w:tr w:rsidR="00D7509F" w:rsidRPr="00B024DC" w14:paraId="4E87CF69" w14:textId="77777777" w:rsidTr="00154A73">
        <w:trPr>
          <w:trHeight w:val="900"/>
        </w:trPr>
        <w:tc>
          <w:tcPr>
            <w:tcW w:w="1193" w:type="dxa"/>
            <w:vMerge/>
            <w:tcBorders>
              <w:top w:val="nil"/>
              <w:left w:val="nil"/>
              <w:bottom w:val="single" w:sz="12" w:space="0" w:color="auto"/>
              <w:right w:val="nil"/>
            </w:tcBorders>
          </w:tcPr>
          <w:p w14:paraId="559D92F4" w14:textId="77777777" w:rsidR="00D7509F" w:rsidRPr="00B024DC" w:rsidRDefault="00D7509F" w:rsidP="00154A73">
            <w:pPr>
              <w:rPr>
                <w:rFonts w:ascii="Times New Roman" w:hAnsi="Times New Roman" w:cs="Times New Roman"/>
                <w:color w:val="1E293B"/>
                <w:sz w:val="24"/>
                <w:szCs w:val="24"/>
              </w:rPr>
            </w:pPr>
          </w:p>
        </w:tc>
        <w:tc>
          <w:tcPr>
            <w:tcW w:w="1597" w:type="dxa"/>
            <w:vMerge w:val="restart"/>
            <w:tcBorders>
              <w:top w:val="nil"/>
              <w:left w:val="nil"/>
              <w:bottom w:val="single" w:sz="12" w:space="0" w:color="auto"/>
              <w:right w:val="nil"/>
            </w:tcBorders>
          </w:tcPr>
          <w:p w14:paraId="191B8E7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Other factors</w:t>
            </w:r>
          </w:p>
        </w:tc>
        <w:tc>
          <w:tcPr>
            <w:tcW w:w="2478" w:type="dxa"/>
            <w:gridSpan w:val="2"/>
            <w:tcBorders>
              <w:top w:val="nil"/>
              <w:left w:val="nil"/>
              <w:bottom w:val="nil"/>
              <w:right w:val="nil"/>
            </w:tcBorders>
          </w:tcPr>
          <w:p w14:paraId="5135D77B"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Personal innovativeness*</w:t>
            </w:r>
          </w:p>
        </w:tc>
        <w:tc>
          <w:tcPr>
            <w:tcW w:w="3372" w:type="dxa"/>
            <w:tcBorders>
              <w:top w:val="nil"/>
              <w:left w:val="nil"/>
              <w:bottom w:val="nil"/>
              <w:right w:val="nil"/>
            </w:tcBorders>
          </w:tcPr>
          <w:p w14:paraId="19985883" w14:textId="2E14064F"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The degree of adoption of innovations or new ideas</w:t>
            </w:r>
            <w:r w:rsidR="00240F36">
              <w:rPr>
                <w:rFonts w:ascii="Times New Roman" w:hAnsi="Times New Roman" w:cs="Times New Roman"/>
                <w:sz w:val="24"/>
                <w:szCs w:val="24"/>
              </w:rPr>
              <w:t>.</w:t>
            </w:r>
            <w:r w:rsidRPr="00B024DC">
              <w:rPr>
                <w:rFonts w:ascii="Times New Roman" w:hAnsi="Times New Roman" w:cs="Times New Roman"/>
                <w:sz w:val="24"/>
                <w:szCs w:val="24"/>
              </w:rPr>
              <w:t xml:space="preserve"> </w:t>
            </w:r>
          </w:p>
        </w:tc>
        <w:tc>
          <w:tcPr>
            <w:tcW w:w="1317" w:type="dxa"/>
            <w:tcBorders>
              <w:top w:val="nil"/>
              <w:left w:val="nil"/>
              <w:bottom w:val="nil"/>
              <w:right w:val="nil"/>
            </w:tcBorders>
          </w:tcPr>
          <w:p w14:paraId="0488505E"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left w:val="nil"/>
              <w:bottom w:val="single" w:sz="12" w:space="0" w:color="auto"/>
              <w:right w:val="nil"/>
            </w:tcBorders>
          </w:tcPr>
          <w:p w14:paraId="7C7FD127" w14:textId="77777777" w:rsidR="00D7509F" w:rsidRPr="00B024DC" w:rsidRDefault="00D7509F" w:rsidP="00154A73">
            <w:pPr>
              <w:rPr>
                <w:rFonts w:ascii="Times New Roman" w:hAnsi="Times New Roman" w:cs="Times New Roman"/>
                <w:sz w:val="24"/>
                <w:szCs w:val="24"/>
              </w:rPr>
            </w:pPr>
          </w:p>
        </w:tc>
      </w:tr>
      <w:tr w:rsidR="00D7509F" w:rsidRPr="00B024DC" w14:paraId="2A590991" w14:textId="77777777" w:rsidTr="00154A73">
        <w:trPr>
          <w:trHeight w:val="1323"/>
        </w:trPr>
        <w:tc>
          <w:tcPr>
            <w:tcW w:w="1193" w:type="dxa"/>
            <w:vMerge/>
            <w:tcBorders>
              <w:top w:val="nil"/>
              <w:left w:val="nil"/>
              <w:bottom w:val="single" w:sz="12" w:space="0" w:color="auto"/>
              <w:right w:val="nil"/>
            </w:tcBorders>
          </w:tcPr>
          <w:p w14:paraId="4B2CCDEE" w14:textId="77777777" w:rsidR="00D7509F" w:rsidRPr="00B024DC" w:rsidRDefault="00D7509F" w:rsidP="00154A73">
            <w:pPr>
              <w:rPr>
                <w:rFonts w:ascii="Times New Roman" w:hAnsi="Times New Roman" w:cs="Times New Roman"/>
                <w:color w:val="1E293B"/>
                <w:sz w:val="24"/>
                <w:szCs w:val="24"/>
              </w:rPr>
            </w:pPr>
          </w:p>
        </w:tc>
        <w:tc>
          <w:tcPr>
            <w:tcW w:w="1597" w:type="dxa"/>
            <w:vMerge/>
            <w:tcBorders>
              <w:top w:val="nil"/>
              <w:left w:val="nil"/>
              <w:bottom w:val="single" w:sz="12" w:space="0" w:color="auto"/>
              <w:right w:val="nil"/>
            </w:tcBorders>
          </w:tcPr>
          <w:p w14:paraId="10E4F4B0" w14:textId="77777777" w:rsidR="00D7509F" w:rsidRPr="00B024DC" w:rsidRDefault="00D7509F" w:rsidP="00154A73">
            <w:pPr>
              <w:rPr>
                <w:rFonts w:ascii="Times New Roman" w:hAnsi="Times New Roman" w:cs="Times New Roman"/>
                <w:sz w:val="24"/>
                <w:szCs w:val="24"/>
              </w:rPr>
            </w:pPr>
          </w:p>
        </w:tc>
        <w:tc>
          <w:tcPr>
            <w:tcW w:w="2478" w:type="dxa"/>
            <w:gridSpan w:val="2"/>
            <w:tcBorders>
              <w:top w:val="nil"/>
              <w:left w:val="nil"/>
              <w:bottom w:val="single" w:sz="12" w:space="0" w:color="auto"/>
              <w:right w:val="nil"/>
            </w:tcBorders>
          </w:tcPr>
          <w:p w14:paraId="3A8BB385"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Environmental concern*</w:t>
            </w:r>
          </w:p>
        </w:tc>
        <w:tc>
          <w:tcPr>
            <w:tcW w:w="3372" w:type="dxa"/>
            <w:tcBorders>
              <w:top w:val="nil"/>
              <w:left w:val="nil"/>
              <w:bottom w:val="single" w:sz="12" w:space="0" w:color="auto"/>
              <w:right w:val="nil"/>
            </w:tcBorders>
          </w:tcPr>
          <w:p w14:paraId="1C72B5E8"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Feature of consumers that</w:t>
            </w:r>
          </w:p>
          <w:p w14:paraId="1B105621" w14:textId="7DB48EDD" w:rsidR="00D7509F" w:rsidRPr="00B024DC" w:rsidRDefault="00D7509F" w:rsidP="00240F36">
            <w:pPr>
              <w:rPr>
                <w:rFonts w:ascii="Times New Roman" w:hAnsi="Times New Roman" w:cs="Times New Roman"/>
                <w:sz w:val="24"/>
                <w:szCs w:val="24"/>
              </w:rPr>
            </w:pPr>
            <w:r w:rsidRPr="00B024DC">
              <w:rPr>
                <w:rFonts w:ascii="Times New Roman" w:hAnsi="Times New Roman" w:cs="Times New Roman"/>
                <w:sz w:val="24"/>
                <w:szCs w:val="24"/>
              </w:rPr>
              <w:t>includes their considerations and worries about the quality of the</w:t>
            </w:r>
            <w:r w:rsidR="00240F36">
              <w:rPr>
                <w:rFonts w:ascii="Times New Roman" w:hAnsi="Times New Roman" w:cs="Times New Roman"/>
                <w:sz w:val="24"/>
                <w:szCs w:val="24"/>
              </w:rPr>
              <w:t xml:space="preserve"> </w:t>
            </w:r>
            <w:r w:rsidRPr="00B024DC">
              <w:rPr>
                <w:rFonts w:ascii="Times New Roman" w:hAnsi="Times New Roman" w:cs="Times New Roman"/>
                <w:sz w:val="24"/>
                <w:szCs w:val="24"/>
              </w:rPr>
              <w:t>environment</w:t>
            </w:r>
            <w:r w:rsidR="00240F36">
              <w:rPr>
                <w:rFonts w:ascii="Times New Roman" w:hAnsi="Times New Roman" w:cs="Times New Roman"/>
                <w:sz w:val="24"/>
                <w:szCs w:val="24"/>
              </w:rPr>
              <w:t>.</w:t>
            </w:r>
          </w:p>
        </w:tc>
        <w:tc>
          <w:tcPr>
            <w:tcW w:w="1317" w:type="dxa"/>
            <w:tcBorders>
              <w:top w:val="nil"/>
              <w:left w:val="nil"/>
              <w:bottom w:val="single" w:sz="12" w:space="0" w:color="auto"/>
              <w:right w:val="nil"/>
            </w:tcBorders>
          </w:tcPr>
          <w:p w14:paraId="5CC4F30C" w14:textId="77777777" w:rsidR="00D7509F" w:rsidRPr="00B024DC" w:rsidRDefault="00D7509F" w:rsidP="00154A73">
            <w:pPr>
              <w:rPr>
                <w:rFonts w:ascii="Times New Roman" w:hAnsi="Times New Roman" w:cs="Times New Roman"/>
                <w:sz w:val="24"/>
                <w:szCs w:val="24"/>
              </w:rPr>
            </w:pPr>
            <w:r w:rsidRPr="00B024DC">
              <w:rPr>
                <w:rFonts w:ascii="Times New Roman" w:hAnsi="Times New Roman" w:cs="Times New Roman"/>
                <w:sz w:val="24"/>
                <w:szCs w:val="24"/>
              </w:rPr>
              <w:t>Positive</w:t>
            </w:r>
          </w:p>
        </w:tc>
        <w:tc>
          <w:tcPr>
            <w:tcW w:w="4083" w:type="dxa"/>
            <w:vMerge/>
            <w:tcBorders>
              <w:left w:val="nil"/>
              <w:bottom w:val="single" w:sz="12" w:space="0" w:color="auto"/>
              <w:right w:val="nil"/>
            </w:tcBorders>
          </w:tcPr>
          <w:p w14:paraId="0AAD0302" w14:textId="77777777" w:rsidR="00D7509F" w:rsidRPr="00B024DC" w:rsidRDefault="00D7509F" w:rsidP="00154A73">
            <w:pPr>
              <w:rPr>
                <w:rFonts w:ascii="Times New Roman" w:hAnsi="Times New Roman" w:cs="Times New Roman"/>
                <w:sz w:val="24"/>
                <w:szCs w:val="24"/>
              </w:rPr>
            </w:pPr>
          </w:p>
        </w:tc>
      </w:tr>
    </w:tbl>
    <w:p w14:paraId="34D0CF1A" w14:textId="4D55E80A" w:rsidR="00D7509F" w:rsidRDefault="00D7509F" w:rsidP="00D7509F">
      <w:pPr>
        <w:rPr>
          <w:rFonts w:ascii="Times New Roman" w:hAnsi="Times New Roman" w:cs="Times New Roman"/>
          <w:i/>
          <w:sz w:val="24"/>
          <w:szCs w:val="24"/>
        </w:rPr>
      </w:pPr>
      <w:r w:rsidRPr="00823101">
        <w:rPr>
          <w:rFonts w:ascii="Times New Roman" w:hAnsi="Times New Roman" w:cs="Times New Roman"/>
          <w:i/>
          <w:sz w:val="24"/>
          <w:szCs w:val="24"/>
        </w:rPr>
        <w:t xml:space="preserve">*variables found significant in all cases in the </w:t>
      </w:r>
      <w:r w:rsidR="00823101" w:rsidRPr="00823101">
        <w:rPr>
          <w:rFonts w:ascii="Times New Roman" w:hAnsi="Times New Roman" w:cs="Times New Roman"/>
          <w:i/>
          <w:sz w:val="24"/>
          <w:szCs w:val="24"/>
        </w:rPr>
        <w:t>paper</w:t>
      </w:r>
      <w:r w:rsidR="00203AAC">
        <w:rPr>
          <w:rFonts w:ascii="Times New Roman" w:hAnsi="Times New Roman" w:cs="Times New Roman"/>
          <w:i/>
          <w:sz w:val="24"/>
          <w:szCs w:val="24"/>
        </w:rPr>
        <w:t>,</w:t>
      </w:r>
      <w:r w:rsidR="00823101" w:rsidRPr="00823101">
        <w:rPr>
          <w:rFonts w:ascii="Times New Roman" w:hAnsi="Times New Roman" w:cs="Times New Roman"/>
          <w:i/>
          <w:sz w:val="24"/>
          <w:szCs w:val="24"/>
        </w:rPr>
        <w:t xml:space="preserve"> *</w:t>
      </w:r>
      <w:r w:rsidRPr="00823101">
        <w:rPr>
          <w:rFonts w:ascii="Times New Roman" w:hAnsi="Times New Roman" w:cs="Times New Roman"/>
          <w:i/>
          <w:sz w:val="24"/>
          <w:szCs w:val="24"/>
        </w:rPr>
        <w:t>*variables found significant in some cases in the paper</w:t>
      </w:r>
    </w:p>
    <w:p w14:paraId="73B393AF" w14:textId="4B35886D" w:rsidR="00203AAC" w:rsidRDefault="00203AAC" w:rsidP="00D7509F">
      <w:pPr>
        <w:rPr>
          <w:rFonts w:ascii="Times New Roman" w:hAnsi="Times New Roman" w:cs="Times New Roman"/>
          <w:sz w:val="24"/>
          <w:szCs w:val="24"/>
        </w:rPr>
      </w:pPr>
    </w:p>
    <w:p w14:paraId="6E117B85" w14:textId="77777777" w:rsidR="00A04A88" w:rsidRDefault="00A04A88" w:rsidP="00D7509F">
      <w:pPr>
        <w:rPr>
          <w:rFonts w:ascii="Times New Roman" w:hAnsi="Times New Roman" w:cs="Times New Roman"/>
          <w:sz w:val="24"/>
          <w:szCs w:val="24"/>
        </w:rPr>
      </w:pPr>
    </w:p>
    <w:p w14:paraId="6F954446" w14:textId="77777777" w:rsidR="00A04A88" w:rsidRDefault="00A04A88" w:rsidP="00D7509F">
      <w:pPr>
        <w:rPr>
          <w:rFonts w:ascii="Times New Roman" w:hAnsi="Times New Roman" w:cs="Times New Roman"/>
          <w:sz w:val="24"/>
          <w:szCs w:val="24"/>
        </w:rPr>
      </w:pPr>
    </w:p>
    <w:p w14:paraId="78A51C90" w14:textId="77777777" w:rsidR="00A04A88" w:rsidRDefault="00A04A88" w:rsidP="00D7509F">
      <w:pPr>
        <w:rPr>
          <w:rFonts w:ascii="Times New Roman" w:hAnsi="Times New Roman" w:cs="Times New Roman"/>
          <w:sz w:val="24"/>
          <w:szCs w:val="24"/>
        </w:rPr>
      </w:pPr>
    </w:p>
    <w:p w14:paraId="185123CF" w14:textId="77777777" w:rsidR="00A04A88" w:rsidRDefault="00A04A88" w:rsidP="00D7509F">
      <w:pPr>
        <w:rPr>
          <w:rFonts w:ascii="Times New Roman" w:hAnsi="Times New Roman" w:cs="Times New Roman"/>
          <w:sz w:val="24"/>
          <w:szCs w:val="24"/>
        </w:rPr>
      </w:pPr>
    </w:p>
    <w:p w14:paraId="146AFFEF" w14:textId="77777777" w:rsidR="00A04A88" w:rsidRDefault="00A04A88" w:rsidP="00D7509F">
      <w:pPr>
        <w:rPr>
          <w:rFonts w:ascii="Times New Roman" w:hAnsi="Times New Roman" w:cs="Times New Roman"/>
          <w:sz w:val="24"/>
          <w:szCs w:val="24"/>
        </w:rPr>
      </w:pPr>
    </w:p>
    <w:p w14:paraId="78C8ED4B" w14:textId="77777777" w:rsidR="00A04A88" w:rsidRDefault="00A04A88" w:rsidP="00D7509F">
      <w:pPr>
        <w:rPr>
          <w:rFonts w:ascii="Times New Roman" w:hAnsi="Times New Roman" w:cs="Times New Roman"/>
          <w:sz w:val="24"/>
          <w:szCs w:val="24"/>
        </w:rPr>
      </w:pPr>
    </w:p>
    <w:p w14:paraId="0B538FED" w14:textId="77777777" w:rsidR="00A04A88" w:rsidRDefault="00A04A88" w:rsidP="00D7509F">
      <w:pPr>
        <w:rPr>
          <w:rFonts w:ascii="Times New Roman" w:hAnsi="Times New Roman" w:cs="Times New Roman"/>
          <w:sz w:val="24"/>
          <w:szCs w:val="24"/>
        </w:rPr>
      </w:pPr>
    </w:p>
    <w:p w14:paraId="68F986D7" w14:textId="77777777" w:rsidR="00A04A88" w:rsidRDefault="00A04A88" w:rsidP="00D7509F">
      <w:pPr>
        <w:rPr>
          <w:rFonts w:ascii="Times New Roman" w:hAnsi="Times New Roman" w:cs="Times New Roman"/>
          <w:sz w:val="24"/>
          <w:szCs w:val="24"/>
        </w:rPr>
      </w:pPr>
    </w:p>
    <w:p w14:paraId="4D526605" w14:textId="77777777" w:rsidR="00A04A88" w:rsidRDefault="00A04A88" w:rsidP="00D7509F">
      <w:pPr>
        <w:rPr>
          <w:rFonts w:ascii="Times New Roman" w:hAnsi="Times New Roman" w:cs="Times New Roman"/>
          <w:sz w:val="24"/>
          <w:szCs w:val="24"/>
        </w:rPr>
      </w:pPr>
    </w:p>
    <w:p w14:paraId="18B88A9C" w14:textId="77777777" w:rsidR="00A04A88" w:rsidRDefault="00A04A88" w:rsidP="00D7509F">
      <w:pPr>
        <w:rPr>
          <w:rFonts w:ascii="Times New Roman" w:hAnsi="Times New Roman" w:cs="Times New Roman"/>
          <w:sz w:val="24"/>
          <w:szCs w:val="24"/>
        </w:rPr>
      </w:pPr>
    </w:p>
    <w:p w14:paraId="73307054" w14:textId="77777777" w:rsidR="00A04A88" w:rsidRDefault="00A04A88" w:rsidP="00D7509F">
      <w:pPr>
        <w:rPr>
          <w:rFonts w:ascii="Times New Roman" w:hAnsi="Times New Roman" w:cs="Times New Roman"/>
          <w:sz w:val="24"/>
          <w:szCs w:val="24"/>
        </w:rPr>
      </w:pPr>
    </w:p>
    <w:p w14:paraId="046CC737" w14:textId="77777777" w:rsidR="00A04A88" w:rsidRDefault="00A04A88" w:rsidP="00D7509F">
      <w:pPr>
        <w:rPr>
          <w:rFonts w:ascii="Times New Roman" w:hAnsi="Times New Roman" w:cs="Times New Roman"/>
          <w:sz w:val="24"/>
          <w:szCs w:val="24"/>
        </w:rPr>
      </w:pPr>
    </w:p>
    <w:p w14:paraId="4D3258ED" w14:textId="77777777" w:rsidR="00A04A88" w:rsidRDefault="00A04A88" w:rsidP="00D7509F">
      <w:pPr>
        <w:rPr>
          <w:rFonts w:ascii="Times New Roman" w:hAnsi="Times New Roman" w:cs="Times New Roman"/>
          <w:sz w:val="24"/>
          <w:szCs w:val="24"/>
        </w:rPr>
      </w:pPr>
    </w:p>
    <w:p w14:paraId="1C4E647D" w14:textId="77777777" w:rsidR="00A04A88" w:rsidRDefault="00A04A88" w:rsidP="00D7509F">
      <w:pPr>
        <w:rPr>
          <w:rFonts w:ascii="Times New Roman" w:hAnsi="Times New Roman" w:cs="Times New Roman"/>
          <w:sz w:val="24"/>
          <w:szCs w:val="24"/>
        </w:rPr>
      </w:pPr>
    </w:p>
    <w:p w14:paraId="6700C678" w14:textId="77777777" w:rsidR="00B47136" w:rsidRDefault="00B47136" w:rsidP="00D7509F">
      <w:pPr>
        <w:rPr>
          <w:rFonts w:ascii="Times New Roman" w:hAnsi="Times New Roman" w:cs="Times New Roman"/>
          <w:sz w:val="24"/>
          <w:szCs w:val="24"/>
        </w:rPr>
        <w:sectPr w:rsidR="00B47136" w:rsidSect="00B036A9">
          <w:pgSz w:w="16838" w:h="11906" w:orient="landscape" w:code="9"/>
          <w:pgMar w:top="1440" w:right="1440" w:bottom="1440" w:left="1440" w:header="720" w:footer="720" w:gutter="0"/>
          <w:cols w:space="720"/>
          <w:docGrid w:linePitch="360"/>
        </w:sectPr>
      </w:pPr>
    </w:p>
    <w:p w14:paraId="54FAF3E3" w14:textId="77777777" w:rsidR="00A04A88" w:rsidRDefault="00A04A88" w:rsidP="00D7509F">
      <w:pPr>
        <w:rPr>
          <w:rFonts w:ascii="Times New Roman" w:hAnsi="Times New Roman" w:cs="Times New Roman"/>
          <w:sz w:val="24"/>
          <w:szCs w:val="24"/>
        </w:rPr>
      </w:pPr>
    </w:p>
    <w:p w14:paraId="56ED0641" w14:textId="1A5AF546" w:rsidR="00C025DD" w:rsidRDefault="00C025DD" w:rsidP="00C025DD">
      <w:pPr>
        <w:spacing w:after="0"/>
        <w:jc w:val="center"/>
        <w:rPr>
          <w:rFonts w:ascii="Times New Roman" w:hAnsi="Times New Roman" w:cs="Times New Roman"/>
          <w:b/>
          <w:bCs/>
          <w:szCs w:val="24"/>
        </w:rPr>
      </w:pPr>
      <w:r w:rsidRPr="00567959">
        <w:rPr>
          <w:rFonts w:ascii="Times New Roman" w:hAnsi="Times New Roman" w:cs="Times New Roman"/>
          <w:b/>
          <w:bCs/>
          <w:szCs w:val="24"/>
        </w:rPr>
        <w:t>Table A2: EVs promotion policy</w:t>
      </w:r>
      <w:r w:rsidR="00775672">
        <w:rPr>
          <w:rFonts w:ascii="Times New Roman" w:hAnsi="Times New Roman" w:cs="Times New Roman"/>
          <w:b/>
          <w:bCs/>
          <w:szCs w:val="24"/>
        </w:rPr>
        <w:t xml:space="preserve"> in Asia, this will be appendix</w:t>
      </w:r>
    </w:p>
    <w:p w14:paraId="5E15C6A6" w14:textId="77777777" w:rsidR="00C025DD" w:rsidRPr="0017434E" w:rsidRDefault="00C025DD" w:rsidP="00C025DD">
      <w:pPr>
        <w:spacing w:after="0"/>
        <w:rPr>
          <w:rFonts w:ascii="Times New Roman" w:hAnsi="Times New Roman" w:cs="Times New Roman"/>
          <w:b/>
          <w:bCs/>
          <w:szCs w:val="24"/>
        </w:rPr>
      </w:pPr>
    </w:p>
    <w:tbl>
      <w:tblPr>
        <w:tblStyle w:val="TableGrid"/>
        <w:tblW w:w="10206" w:type="dxa"/>
        <w:jc w:val="center"/>
        <w:tblLook w:val="04A0" w:firstRow="1" w:lastRow="0" w:firstColumn="1" w:lastColumn="0" w:noHBand="0" w:noVBand="1"/>
      </w:tblPr>
      <w:tblGrid>
        <w:gridCol w:w="1165"/>
        <w:gridCol w:w="3088"/>
        <w:gridCol w:w="2835"/>
        <w:gridCol w:w="3118"/>
      </w:tblGrid>
      <w:tr w:rsidR="00C025DD" w:rsidRPr="00270C34" w14:paraId="23C11FE6" w14:textId="77777777" w:rsidTr="00C025DD">
        <w:trPr>
          <w:tblHeader/>
          <w:jc w:val="center"/>
        </w:trPr>
        <w:tc>
          <w:tcPr>
            <w:tcW w:w="1165" w:type="dxa"/>
            <w:tcBorders>
              <w:top w:val="single" w:sz="12" w:space="0" w:color="auto"/>
              <w:left w:val="nil"/>
              <w:bottom w:val="single" w:sz="12" w:space="0" w:color="auto"/>
              <w:right w:val="nil"/>
            </w:tcBorders>
          </w:tcPr>
          <w:p w14:paraId="0472C2B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Countries</w:t>
            </w:r>
          </w:p>
        </w:tc>
        <w:tc>
          <w:tcPr>
            <w:tcW w:w="3088" w:type="dxa"/>
            <w:tcBorders>
              <w:top w:val="single" w:sz="12" w:space="0" w:color="auto"/>
              <w:left w:val="nil"/>
              <w:bottom w:val="single" w:sz="12" w:space="0" w:color="auto"/>
              <w:right w:val="nil"/>
            </w:tcBorders>
          </w:tcPr>
          <w:p w14:paraId="41A5D73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Financial incentives</w:t>
            </w:r>
          </w:p>
        </w:tc>
        <w:tc>
          <w:tcPr>
            <w:tcW w:w="2835" w:type="dxa"/>
            <w:tcBorders>
              <w:top w:val="single" w:sz="12" w:space="0" w:color="auto"/>
              <w:left w:val="nil"/>
              <w:bottom w:val="single" w:sz="12" w:space="0" w:color="auto"/>
              <w:right w:val="nil"/>
            </w:tcBorders>
          </w:tcPr>
          <w:p w14:paraId="123DBA1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Non-financial incentives</w:t>
            </w:r>
          </w:p>
        </w:tc>
        <w:tc>
          <w:tcPr>
            <w:tcW w:w="3118" w:type="dxa"/>
            <w:tcBorders>
              <w:top w:val="single" w:sz="12" w:space="0" w:color="auto"/>
              <w:left w:val="nil"/>
              <w:bottom w:val="single" w:sz="12" w:space="0" w:color="auto"/>
            </w:tcBorders>
          </w:tcPr>
          <w:p w14:paraId="6519A44E"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Others</w:t>
            </w:r>
          </w:p>
        </w:tc>
      </w:tr>
      <w:tr w:rsidR="00C025DD" w:rsidRPr="00270C34" w14:paraId="7691EBBF" w14:textId="77777777" w:rsidTr="00C025DD">
        <w:trPr>
          <w:jc w:val="center"/>
        </w:trPr>
        <w:tc>
          <w:tcPr>
            <w:tcW w:w="1165" w:type="dxa"/>
            <w:tcBorders>
              <w:top w:val="single" w:sz="12" w:space="0" w:color="auto"/>
              <w:left w:val="nil"/>
              <w:bottom w:val="nil"/>
              <w:right w:val="nil"/>
            </w:tcBorders>
          </w:tcPr>
          <w:p w14:paraId="42F1930C"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China</w:t>
            </w:r>
          </w:p>
        </w:tc>
        <w:tc>
          <w:tcPr>
            <w:tcW w:w="3088" w:type="dxa"/>
            <w:tcBorders>
              <w:top w:val="single" w:sz="12" w:space="0" w:color="auto"/>
              <w:left w:val="nil"/>
              <w:bottom w:val="nil"/>
              <w:right w:val="nil"/>
            </w:tcBorders>
          </w:tcPr>
          <w:p w14:paraId="48A2FAB1"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b/>
                <w:bCs/>
                <w:szCs w:val="24"/>
              </w:rPr>
              <w:t>Purchase Subsidies</w:t>
            </w:r>
          </w:p>
          <w:p w14:paraId="2F782F2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•The 2009 Electric Vehicle Subsidy Scheme (EVSS)</w:t>
            </w:r>
          </w:p>
          <w:p w14:paraId="30B565ED" w14:textId="77777777" w:rsidR="00C025DD" w:rsidRPr="00270C34" w:rsidRDefault="00C025DD" w:rsidP="00C025DD">
            <w:pPr>
              <w:pStyle w:val="ListParagraph"/>
              <w:numPr>
                <w:ilvl w:val="0"/>
                <w:numId w:val="12"/>
              </w:numPr>
              <w:ind w:hanging="211"/>
              <w:rPr>
                <w:rFonts w:ascii="Times New Roman" w:hAnsi="Times New Roman" w:cs="Times New Roman"/>
                <w:szCs w:val="24"/>
              </w:rPr>
            </w:pPr>
            <w:r w:rsidRPr="00270C34">
              <w:rPr>
                <w:rFonts w:ascii="Times New Roman" w:hAnsi="Times New Roman" w:cs="Times New Roman"/>
                <w:szCs w:val="24"/>
              </w:rPr>
              <w:t xml:space="preserve">Phase 1 (2009-2012): </w:t>
            </w:r>
          </w:p>
          <w:p w14:paraId="3A13F383" w14:textId="77777777" w:rsidR="00C025DD" w:rsidRPr="00270C34" w:rsidRDefault="00C025DD" w:rsidP="0017434E">
            <w:pPr>
              <w:ind w:left="329"/>
              <w:rPr>
                <w:rFonts w:ascii="Times New Roman" w:hAnsi="Times New Roman" w:cs="Times New Roman"/>
                <w:szCs w:val="24"/>
              </w:rPr>
            </w:pPr>
            <w:r w:rsidRPr="00270C34">
              <w:rPr>
                <w:rFonts w:ascii="Times New Roman" w:hAnsi="Times New Roman" w:cs="Times New Roman"/>
                <w:szCs w:val="24"/>
              </w:rPr>
              <w:t xml:space="preserve">BEV for public procurement: ¥60,000 </w:t>
            </w:r>
          </w:p>
          <w:p w14:paraId="2A71CE32" w14:textId="77777777" w:rsidR="00C025DD" w:rsidRPr="00270C34" w:rsidRDefault="00C025DD" w:rsidP="0017434E">
            <w:pPr>
              <w:ind w:left="329"/>
              <w:rPr>
                <w:rFonts w:ascii="Times New Roman" w:hAnsi="Times New Roman" w:cs="Times New Roman"/>
                <w:szCs w:val="24"/>
              </w:rPr>
            </w:pPr>
            <w:r w:rsidRPr="00270C34">
              <w:rPr>
                <w:rFonts w:ascii="Times New Roman" w:hAnsi="Times New Roman" w:cs="Times New Roman"/>
                <w:szCs w:val="24"/>
              </w:rPr>
              <w:t xml:space="preserve">Private purchase BEV: 2010-2012: ¥3000/kWh (Maximum: ¥60,000) </w:t>
            </w:r>
          </w:p>
          <w:p w14:paraId="6B001354" w14:textId="77777777" w:rsidR="00C025DD" w:rsidRPr="00270C34" w:rsidRDefault="00C025DD" w:rsidP="00C025DD">
            <w:pPr>
              <w:pStyle w:val="ListParagraph"/>
              <w:numPr>
                <w:ilvl w:val="0"/>
                <w:numId w:val="13"/>
              </w:numPr>
              <w:ind w:left="329" w:hanging="180"/>
              <w:rPr>
                <w:rFonts w:ascii="Times New Roman" w:hAnsi="Times New Roman" w:cs="Times New Roman"/>
                <w:szCs w:val="24"/>
              </w:rPr>
            </w:pPr>
            <w:r w:rsidRPr="00270C34">
              <w:rPr>
                <w:rFonts w:ascii="Times New Roman" w:hAnsi="Times New Roman" w:cs="Times New Roman"/>
                <w:szCs w:val="24"/>
              </w:rPr>
              <w:t>Phase 2 (2013-2015): For public and private purchases, BEV: ¥35,000 (80≤R&lt;150), ¥50,000 (150≤R&lt;250), ¥60,000 (R≥250) in 28 cities</w:t>
            </w:r>
          </w:p>
          <w:p w14:paraId="7CF25C12" w14:textId="77777777" w:rsidR="00C025DD" w:rsidRPr="00270C34" w:rsidRDefault="00C025DD" w:rsidP="0017434E">
            <w:pPr>
              <w:rPr>
                <w:rFonts w:ascii="Times New Roman" w:hAnsi="Times New Roman" w:cs="Times New Roman"/>
                <w:szCs w:val="24"/>
              </w:rPr>
            </w:pPr>
          </w:p>
          <w:p w14:paraId="78C327BB"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•The Notice on financial supportive policies to promote the use of new energy vehicles (2016–2020)</w:t>
            </w:r>
          </w:p>
          <w:p w14:paraId="71D82140"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BEV: ¥ 25,000(100≤R&lt;150), ¥ 45,000(150≤R&lt;250), ¥ 55,000(R≥ 250) with a 20% decrease in 2017-2018 and later cut to 18,000 (250≤R&lt;400), 25000 (R≥ 400) in 2019.</w:t>
            </w:r>
          </w:p>
          <w:p w14:paraId="0B8078E2" w14:textId="77777777" w:rsidR="00C025DD" w:rsidRPr="00270C34" w:rsidRDefault="00C025DD" w:rsidP="0017434E">
            <w:pPr>
              <w:rPr>
                <w:rFonts w:ascii="Times New Roman" w:hAnsi="Times New Roman" w:cs="Times New Roman"/>
                <w:szCs w:val="24"/>
              </w:rPr>
            </w:pPr>
          </w:p>
          <w:p w14:paraId="5AAA277A"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•Notice on Optimizing Fiscal Subsidies for Promoting New Energy Vehicles (2020-)</w:t>
            </w:r>
          </w:p>
          <w:p w14:paraId="4CB9680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Passenger BEV: CNY16,200 (250≤R&lt;400), CNY22,500 (R≥ 400)</w:t>
            </w:r>
          </w:p>
          <w:p w14:paraId="7FD9E123" w14:textId="77777777" w:rsidR="00C025DD" w:rsidRPr="00270C34" w:rsidRDefault="00C025DD" w:rsidP="0017434E">
            <w:pPr>
              <w:rPr>
                <w:rFonts w:ascii="Times New Roman" w:hAnsi="Times New Roman" w:cs="Times New Roman"/>
                <w:szCs w:val="24"/>
              </w:rPr>
            </w:pPr>
          </w:p>
          <w:p w14:paraId="649EE5D0"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Tax</w:t>
            </w:r>
          </w:p>
          <w:p w14:paraId="3EE33E32"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•Exemption from vehicle purchase tax and consumption tax</w:t>
            </w:r>
          </w:p>
          <w:p w14:paraId="2ED5D1A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•Exemption from annual vehicle and vessel tax</w:t>
            </w:r>
          </w:p>
        </w:tc>
        <w:tc>
          <w:tcPr>
            <w:tcW w:w="2835" w:type="dxa"/>
            <w:tcBorders>
              <w:top w:val="single" w:sz="12" w:space="0" w:color="auto"/>
              <w:left w:val="nil"/>
              <w:bottom w:val="nil"/>
              <w:right w:val="nil"/>
            </w:tcBorders>
          </w:tcPr>
          <w:p w14:paraId="5BD8535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•No restrictions on EV purchase </w:t>
            </w:r>
          </w:p>
          <w:p w14:paraId="150358B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•No restrictions on road access</w:t>
            </w:r>
          </w:p>
          <w:p w14:paraId="3C6EA82A"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•Access to bus lanes</w:t>
            </w:r>
          </w:p>
          <w:p w14:paraId="7C3624A0"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•Parking fee reduction and dedicated parking spaces in some cities</w:t>
            </w:r>
          </w:p>
          <w:p w14:paraId="4428185E"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•License plate fee waiver in some cities</w:t>
            </w:r>
          </w:p>
          <w:p w14:paraId="513BACEF" w14:textId="77777777" w:rsidR="00C025DD" w:rsidRPr="00270C34" w:rsidRDefault="00C025DD" w:rsidP="0017434E">
            <w:pPr>
              <w:rPr>
                <w:rFonts w:ascii="Times New Roman" w:hAnsi="Times New Roman" w:cs="Times New Roman"/>
                <w:szCs w:val="24"/>
              </w:rPr>
            </w:pPr>
          </w:p>
        </w:tc>
        <w:tc>
          <w:tcPr>
            <w:tcW w:w="3118" w:type="dxa"/>
            <w:tcBorders>
              <w:top w:val="single" w:sz="12" w:space="0" w:color="auto"/>
              <w:left w:val="nil"/>
              <w:bottom w:val="nil"/>
              <w:right w:val="nil"/>
            </w:tcBorders>
          </w:tcPr>
          <w:p w14:paraId="79661E0B"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b/>
                <w:bCs/>
                <w:szCs w:val="24"/>
              </w:rPr>
              <w:t>R&amp;D investment</w:t>
            </w:r>
          </w:p>
          <w:p w14:paraId="5D9B884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•Peaked in the initial stage (2006 and 2010) </w:t>
            </w:r>
          </w:p>
          <w:p w14:paraId="32C8D900"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•5 aspects: the power system technology platform, the vehicle product, the core component, common basic technology (battery-related), and the public support platform</w:t>
            </w:r>
          </w:p>
          <w:p w14:paraId="5E39A579"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•More could be invested compared to other countries</w:t>
            </w:r>
          </w:p>
          <w:p w14:paraId="648DEFF1"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fldChar w:fldCharType="begin"/>
            </w:r>
            <w:r w:rsidRPr="00270C34">
              <w:rPr>
                <w:rFonts w:ascii="Times New Roman" w:hAnsi="Times New Roman" w:cs="Times New Roman"/>
                <w:b/>
                <w:bCs/>
                <w:szCs w:val="24"/>
              </w:rPr>
              <w:instrText xml:space="preserve"> ADDIN ZOTERO_ITEM CSL_CITATION {"citationID":"GDeyUSF6","properties":{"formattedCitation":"(Duan et al., 2023; Hao et al., 2014; He et al., 2018; Zhang et al., 2017)","plainCitation":"(Duan et al., 2023; Hao et al., 2014; He et al., 2018; Zhang et al., 2017)","noteIndex":0},"citationItems":[{"id":7,"uris":["http://zotero.org/users/12187156/items/EDF9BSCG"],"itemData":{"id":7,"type":"article-journal","abstract":"To assess the environmental impact of promoting the use of electric vehicles in road traffic on emissions of CO2 and air pollution in Xi'an, China, both the proportion of electric vehicles and the power generation mix should be considered. Here, vehicle ownership in 2021 served as the baseline scenario, and the vehicle development trend through 2035 was projected. Using emission factor models for fuel vehicles and the electricity generation required for running electric vehicles, this study estimated the related pollutants' emission inventories at 81 corresponding scenarios, in which differing vehicle electrification paths were coupled with power generation mix. Further, the degree to which different vehicle electrification paths impacted the CO2 and air pollutant emissions was also evaluated. The results show that, to achieve the goal of peak carbon emission in the road transport sector in Xi'an by 2030, the penetration rate of electric vehicles must reach at least 40 % in 2035, and the thermal power generation rate should satisfy the necessary coupling conditions. Although reducing the thermal power generation rate could mitigate the environmental problems, we find that electric vehicle development in Xi'an during 2021–2035 would still exacerbate SO2 emissions despite reducing the thermal power generation rate to 10 %. Finally, to avoid exacerbating the adverse effects on public health from vehicle-related pollutants, the penetration rate of electric vehicles should be at least 40 % in 2035, at which time for the 40 %, 50 %, 60 %, and 70 % scenarios, the corresponding thermal power generation rate should not exceed 10 %, 30 %, 50 %, and 60 %. This study systematically analyzed plausible development paths of electric vehicles from the perspectives of peak carbon emissions, air pollution control, and human health, whose findings can serve as a timely and valuable reference for reducing pollution and carbon in the field of road transport.","container-title":"Science of The Total Environment","DOI":"https://doi.org/10.1016/j.scitotenv.2023.164856","ISSN":"0048-9697","note":"Citation Key: DUAN2023164856","page":"164856","title":"Impact assessment of vehicle electrification pathways on emissions of CO2 and air pollution in Xi'an, China","volume":"893","author":[{"family":"Duan","given":"Shunyang"},{"family":"Qiu","given":"Zhaowen"},{"family":"Liu","given":"Zhen"},{"family":"Liu","given":"Ling"}],"issued":{"date-parts":[["2023"]]},"citation-key":"DUAN2023164856"}},{"id":171,"uris":["http://zotero.org/users/12187156/items/JML76U95"],"itemData":{"id":171,"type":"article-journal","abstract":"To promote the market penetration of electric vehicles (EV), China launched the Electric Vehicle Subsidy Scheme (EVSS) in Jan 2009, followed by an update in Sep 2013, which we named phase I and phase II EVSS, respectively. In this paper, we presented the rationale of China’s two-phase EVSS and estimated their impacts on EV market penetration, with a focus on the ownership cost analysis of battery electric passenger vehicles (BEPV). Based on the ownership cost comparison of five defining BEPV models and their counterpart conventional passenger vehicle (CPV) models, we concluded that in the short term, especially before 2015, China’s EVSS is very necessary for BEPVs to be cost competitive compared with CPVs. The transition from phase I to phase II EVSS will generally reduce subsidy intensity, thus resulting in temporary rise of BEPV ownership cost. However, with the decrease of BEPV manufacturing cost, the ownership cost of BEPV is projected to decrease despite of the phase-out mechanism under phase II EVSS. In the mid term of around 2015–2020, BEPV could become less or not reliant on subsidy to maintain cost competitiveness. However, given the performance disadvantages of BEPV, especially the limited electric range, China’s current EVSS is not sufficient for the BEPV market to take off. Technology improvement associated with battery cost reduction has to play an essential role in starting up China’s BEPV market.","container-title":"Energy Policy","DOI":"https://doi.org/10.1016/j.enpol.2014.05.022","ISSN":"0301-4215","note":"Citation Key: HAO2014722","page":"722-732","title":"China’s electric vehicle subsidy scheme: Rationale and impacts","volume":"73","author":[{"family":"Hao","given":"Han"},{"family":"Ou","given":"Xunmin"},{"family":"Du","given":"Jiuyu"},{"family":"Wang","given":"Hewu"},{"family":"Ouyang","given":"Minggao"}],"issued":{"date-parts":[["2014"]]},"citation-key":"HAO2014722"}},{"id":223,"uris":["http://zotero.org/users/12187156/items/V5JP2ZLC"],"itemData":{"id":223,"type":"document","language":"en","source":"Zotero","title":"Assessment of electric car promotion policies in Chinese cities","URL":"http://theicct.org/sites/default/files/publications/China_city_NEV_assessment_20181018.pdf","author":[{"family":"He","given":"Hui"},{"family":"Jin","given":"Lingzhi"},{"family":"Cui","given":"Hongyang"},{"family":"Zhou","given":"Huan"}],"issued":{"date-parts":[["2018"]]},"citation-key":"heAssessmentElectricCar2018"}},{"id":172,"uris":["http://zotero.org/users/12187156/items/Q45ZXWDR"],"itemData":{"id":172,"type":"article-journal","abstract":"China has implemented numerous policies to develop electric vehicles (EVs). This paper focuses on evaluating the performance of these policies by systematically collecting and sorting them. These policies can be divided into three categories: finance policy, infrastructure promotion, and research and development (R&amp;D) investment. In addition, the defects of EV policy mechanism are defined by being compared with the policy mechanisms in other countries. The results show that EV policy mechanism should be improved in China. For example, the subsidy and taxation policies are limited, and the goal formulation for EV infrastructure and the input for R&amp;D investment are also unreasonable. Moreover, China need to establish uniform standards for the EV charging infrastructure and a charging pricing mechanism for EVs. Finally, we propose valuable suggestions to improve the performance of EV policies according to the empirical analysis.","container-title":"Renewable and Sustainable Energy Reviews","DOI":"https://doi.org/10.1016/j.rser.2016.11.250","ISSN":"1364-0321","note":"Citation Key: ZHANG2017698","page":"698-714","title":"Review of electric vehicle policies in China: Content summary and effect analysis","volume":"70","author":[{"family":"Zhang","given":"Xingping"},{"family":"Liang","given":"Yanni"},{"family":"Yu","given":"Enhai"},{"family":"Rao","given":"Rao"},{"family":"Xie","given":"Jian"}],"issued":{"date-parts":[["2017"]]},"citation-key":"ZHANG2017698"}}],"schema":"https://github.com/citation-style-language/schema/raw/master/csl-citation.json"} </w:instrText>
            </w:r>
            <w:r w:rsidRPr="00270C34">
              <w:rPr>
                <w:rFonts w:ascii="Times New Roman" w:hAnsi="Times New Roman" w:cs="Times New Roman"/>
                <w:b/>
                <w:bCs/>
                <w:szCs w:val="24"/>
              </w:rPr>
              <w:fldChar w:fldCharType="end"/>
            </w:r>
            <w:r w:rsidRPr="00270C34">
              <w:rPr>
                <w:rFonts w:ascii="Times New Roman" w:hAnsi="Times New Roman" w:cs="Times New Roman"/>
                <w:b/>
                <w:bCs/>
                <w:szCs w:val="24"/>
              </w:rPr>
              <w:t xml:space="preserve"> </w:t>
            </w:r>
          </w:p>
          <w:p w14:paraId="343ADA5A"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b/>
                <w:bCs/>
                <w:szCs w:val="24"/>
              </w:rPr>
              <w:t>Charging infrastructure promotion policy</w:t>
            </w:r>
          </w:p>
          <w:p w14:paraId="50D7747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•Construction of charging poles in 20 pilot cities by the Ministry </w:t>
            </w:r>
          </w:p>
          <w:p w14:paraId="749B6419"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•Issuance criteria for the connectors by the Standardize Administration of PRC</w:t>
            </w:r>
          </w:p>
          <w:p w14:paraId="085C0AB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•Supportive electricity price for charging infrastructure by the National Development and Reform Commission</w:t>
            </w:r>
          </w:p>
          <w:p w14:paraId="4E14F802"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•Construction plan based on demand forecasting launched in 2016</w:t>
            </w:r>
          </w:p>
          <w:p w14:paraId="157B4E87"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•Providing subsidies to local government for charging infrastructure construction and operation from 2016-2020</w:t>
            </w:r>
          </w:p>
          <w:p w14:paraId="368056C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•Public charging fee reduction for EV users</w:t>
            </w:r>
          </w:p>
          <w:p w14:paraId="748ED46E"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•Home charger subsidy</w:t>
            </w:r>
          </w:p>
          <w:p w14:paraId="267877A0" w14:textId="77777777" w:rsidR="00C025DD" w:rsidRPr="00270C34" w:rsidRDefault="00C025DD" w:rsidP="0017434E">
            <w:pPr>
              <w:rPr>
                <w:rFonts w:ascii="Times New Roman" w:hAnsi="Times New Roman" w:cs="Times New Roman"/>
                <w:szCs w:val="24"/>
              </w:rPr>
            </w:pPr>
          </w:p>
        </w:tc>
      </w:tr>
      <w:tr w:rsidR="00C025DD" w:rsidRPr="00270C34" w14:paraId="0528FC09" w14:textId="77777777" w:rsidTr="00C025DD">
        <w:trPr>
          <w:jc w:val="center"/>
        </w:trPr>
        <w:tc>
          <w:tcPr>
            <w:tcW w:w="1165" w:type="dxa"/>
            <w:tcBorders>
              <w:top w:val="nil"/>
              <w:left w:val="nil"/>
              <w:bottom w:val="nil"/>
              <w:right w:val="nil"/>
            </w:tcBorders>
          </w:tcPr>
          <w:p w14:paraId="570DE82F" w14:textId="77777777" w:rsidR="00C025DD" w:rsidRPr="00270C34" w:rsidRDefault="00C025DD" w:rsidP="0017434E">
            <w:pPr>
              <w:rPr>
                <w:rFonts w:ascii="Times New Roman" w:hAnsi="Times New Roman" w:cs="Times New Roman"/>
                <w:szCs w:val="24"/>
              </w:rPr>
            </w:pPr>
          </w:p>
          <w:p w14:paraId="4B913F32" w14:textId="77777777" w:rsidR="00C025DD" w:rsidRPr="00270C34" w:rsidRDefault="00C025DD" w:rsidP="0017434E">
            <w:pPr>
              <w:rPr>
                <w:rFonts w:ascii="Times New Roman" w:hAnsi="Times New Roman" w:cs="Times New Roman"/>
                <w:szCs w:val="24"/>
              </w:rPr>
            </w:pPr>
          </w:p>
          <w:p w14:paraId="1E323F20"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Korea</w:t>
            </w:r>
          </w:p>
        </w:tc>
        <w:tc>
          <w:tcPr>
            <w:tcW w:w="3088" w:type="dxa"/>
            <w:tcBorders>
              <w:top w:val="nil"/>
              <w:left w:val="nil"/>
              <w:bottom w:val="nil"/>
              <w:right w:val="nil"/>
            </w:tcBorders>
          </w:tcPr>
          <w:p w14:paraId="08AC7FED" w14:textId="77777777" w:rsidR="00C025DD" w:rsidRPr="00270C34" w:rsidRDefault="00C025DD" w:rsidP="0017434E">
            <w:pPr>
              <w:rPr>
                <w:rFonts w:ascii="Times New Roman" w:hAnsi="Times New Roman" w:cs="Times New Roman"/>
                <w:b/>
                <w:bCs/>
                <w:szCs w:val="24"/>
              </w:rPr>
            </w:pPr>
          </w:p>
          <w:p w14:paraId="5CB45DA5" w14:textId="77777777" w:rsidR="00C025DD" w:rsidRPr="00270C34" w:rsidRDefault="00C025DD" w:rsidP="0017434E">
            <w:pPr>
              <w:rPr>
                <w:rFonts w:ascii="Times New Roman" w:hAnsi="Times New Roman" w:cs="Times New Roman"/>
                <w:b/>
                <w:bCs/>
                <w:szCs w:val="24"/>
              </w:rPr>
            </w:pPr>
          </w:p>
          <w:p w14:paraId="0E7965C6"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Purchase subsidies</w:t>
            </w:r>
          </w:p>
          <w:p w14:paraId="624226C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•The Ceremony of EV Commercialization 2012 </w:t>
            </w:r>
          </w:p>
          <w:p w14:paraId="1ED7B0C9" w14:textId="77777777" w:rsidR="00C025DD" w:rsidRPr="00270C34" w:rsidRDefault="00C025DD" w:rsidP="00C025DD">
            <w:pPr>
              <w:pStyle w:val="ListParagraph"/>
              <w:numPr>
                <w:ilvl w:val="0"/>
                <w:numId w:val="4"/>
              </w:numPr>
              <w:rPr>
                <w:rFonts w:ascii="Times New Roman" w:hAnsi="Times New Roman" w:cs="Times New Roman"/>
                <w:szCs w:val="24"/>
              </w:rPr>
            </w:pPr>
            <w:r w:rsidRPr="00270C34">
              <w:rPr>
                <w:rFonts w:ascii="Times New Roman" w:hAnsi="Times New Roman" w:cs="Times New Roman"/>
                <w:szCs w:val="24"/>
              </w:rPr>
              <w:t xml:space="preserve">direct subsidy of about 14 million Korean won, about US$12,000, for the purchase of an EV, </w:t>
            </w:r>
          </w:p>
          <w:p w14:paraId="53A5E3D6" w14:textId="77777777" w:rsidR="00C025DD" w:rsidRPr="00270C34" w:rsidRDefault="00C025DD" w:rsidP="00C025DD">
            <w:pPr>
              <w:pStyle w:val="ListParagraph"/>
              <w:numPr>
                <w:ilvl w:val="0"/>
                <w:numId w:val="4"/>
              </w:numPr>
              <w:rPr>
                <w:rFonts w:ascii="Times New Roman" w:hAnsi="Times New Roman" w:cs="Times New Roman"/>
                <w:szCs w:val="24"/>
              </w:rPr>
            </w:pPr>
            <w:r w:rsidRPr="00270C34">
              <w:rPr>
                <w:rFonts w:ascii="Times New Roman" w:hAnsi="Times New Roman" w:cs="Times New Roman"/>
                <w:szCs w:val="24"/>
              </w:rPr>
              <w:lastRenderedPageBreak/>
              <w:t xml:space="preserve">A subsidy of about 880,000 Korean won, about US$750, for charging infrastructure </w:t>
            </w:r>
          </w:p>
          <w:p w14:paraId="1E227A43"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•Ministry of Trade, Industry, and Energy (2016-)</w:t>
            </w:r>
          </w:p>
          <w:p w14:paraId="2BB916EF" w14:textId="77777777" w:rsidR="00C025DD" w:rsidRPr="00270C34" w:rsidRDefault="00C025DD" w:rsidP="00C025DD">
            <w:pPr>
              <w:pStyle w:val="ListParagraph"/>
              <w:numPr>
                <w:ilvl w:val="0"/>
                <w:numId w:val="5"/>
              </w:numPr>
              <w:rPr>
                <w:rFonts w:ascii="Times New Roman" w:hAnsi="Times New Roman" w:cs="Times New Roman"/>
                <w:szCs w:val="24"/>
              </w:rPr>
            </w:pPr>
            <w:r w:rsidRPr="00270C34">
              <w:rPr>
                <w:rFonts w:ascii="Times New Roman" w:hAnsi="Times New Roman" w:cs="Times New Roman"/>
                <w:szCs w:val="24"/>
              </w:rPr>
              <w:t>started in 2016 and reached up to 19 million Korean won, about US$16,300 in 2019</w:t>
            </w:r>
          </w:p>
          <w:p w14:paraId="76B1AA4F" w14:textId="77777777" w:rsidR="00C025DD" w:rsidRPr="00270C34" w:rsidRDefault="00C025DD" w:rsidP="00C025DD">
            <w:pPr>
              <w:pStyle w:val="ListParagraph"/>
              <w:numPr>
                <w:ilvl w:val="0"/>
                <w:numId w:val="5"/>
              </w:numPr>
              <w:rPr>
                <w:rFonts w:ascii="Times New Roman" w:hAnsi="Times New Roman" w:cs="Times New Roman"/>
                <w:szCs w:val="24"/>
              </w:rPr>
            </w:pPr>
            <w:r w:rsidRPr="00270C34">
              <w:rPr>
                <w:rFonts w:ascii="Times New Roman" w:hAnsi="Times New Roman" w:cs="Times New Roman"/>
                <w:szCs w:val="24"/>
              </w:rPr>
              <w:t>Providing various kinds of tax cuts not only for automobile tax but also for individual consumption tax, education tax, and acquisition tax</w:t>
            </w:r>
          </w:p>
          <w:p w14:paraId="18DF9096" w14:textId="77777777" w:rsidR="00C025DD" w:rsidRPr="00270C34" w:rsidRDefault="00C025DD" w:rsidP="0017434E">
            <w:pPr>
              <w:rPr>
                <w:rFonts w:ascii="Times New Roman" w:hAnsi="Times New Roman" w:cs="Times New Roman"/>
                <w:szCs w:val="24"/>
              </w:rPr>
            </w:pPr>
          </w:p>
          <w:p w14:paraId="53BA95F2"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Tax</w:t>
            </w:r>
          </w:p>
          <w:p w14:paraId="38173B62" w14:textId="77777777" w:rsidR="00C025DD" w:rsidRPr="00270C34" w:rsidRDefault="00C025DD" w:rsidP="00C025DD">
            <w:pPr>
              <w:pStyle w:val="ListParagraph"/>
              <w:numPr>
                <w:ilvl w:val="0"/>
                <w:numId w:val="15"/>
              </w:numPr>
              <w:ind w:left="164" w:hanging="164"/>
              <w:rPr>
                <w:rFonts w:ascii="Times New Roman" w:hAnsi="Times New Roman" w:cs="Times New Roman"/>
                <w:szCs w:val="24"/>
              </w:rPr>
            </w:pPr>
            <w:r w:rsidRPr="00270C34">
              <w:rPr>
                <w:rFonts w:ascii="Times New Roman" w:hAnsi="Times New Roman" w:cs="Times New Roman"/>
                <w:szCs w:val="24"/>
              </w:rPr>
              <w:t>Deduction in automobile tax, individual consumption tax, acquisition tax, education tax</w:t>
            </w:r>
          </w:p>
          <w:p w14:paraId="6E4DE99A" w14:textId="77777777" w:rsidR="00C025DD" w:rsidRPr="00270C34" w:rsidRDefault="00C025DD" w:rsidP="0017434E">
            <w:pPr>
              <w:rPr>
                <w:rFonts w:ascii="Times New Roman" w:hAnsi="Times New Roman" w:cs="Times New Roman"/>
                <w:szCs w:val="24"/>
              </w:rPr>
            </w:pPr>
          </w:p>
        </w:tc>
        <w:tc>
          <w:tcPr>
            <w:tcW w:w="2835" w:type="dxa"/>
            <w:tcBorders>
              <w:top w:val="nil"/>
              <w:left w:val="nil"/>
              <w:bottom w:val="nil"/>
              <w:right w:val="nil"/>
            </w:tcBorders>
          </w:tcPr>
          <w:p w14:paraId="3E07B254" w14:textId="77777777" w:rsidR="00C025DD" w:rsidRPr="00270C34" w:rsidRDefault="00C025DD" w:rsidP="0017434E">
            <w:pPr>
              <w:ind w:left="187"/>
              <w:rPr>
                <w:rFonts w:ascii="Times New Roman" w:hAnsi="Times New Roman" w:cs="Times New Roman"/>
                <w:szCs w:val="24"/>
              </w:rPr>
            </w:pPr>
          </w:p>
          <w:p w14:paraId="4851243F" w14:textId="77777777" w:rsidR="00C025DD" w:rsidRPr="00270C34" w:rsidRDefault="00C025DD" w:rsidP="0017434E">
            <w:pPr>
              <w:ind w:left="187"/>
              <w:rPr>
                <w:rFonts w:ascii="Times New Roman" w:hAnsi="Times New Roman" w:cs="Times New Roman"/>
                <w:szCs w:val="24"/>
              </w:rPr>
            </w:pPr>
          </w:p>
          <w:p w14:paraId="6BE855A8" w14:textId="77777777" w:rsidR="00C025DD" w:rsidRPr="00270C34" w:rsidRDefault="00C025DD" w:rsidP="00C025DD">
            <w:pPr>
              <w:numPr>
                <w:ilvl w:val="0"/>
                <w:numId w:val="14"/>
              </w:numPr>
              <w:ind w:left="187" w:hanging="187"/>
              <w:rPr>
                <w:rFonts w:ascii="Times New Roman" w:hAnsi="Times New Roman" w:cs="Times New Roman"/>
                <w:szCs w:val="24"/>
              </w:rPr>
            </w:pPr>
            <w:r w:rsidRPr="00270C34">
              <w:rPr>
                <w:rFonts w:ascii="Times New Roman" w:hAnsi="Times New Roman" w:cs="Times New Roman"/>
                <w:szCs w:val="24"/>
              </w:rPr>
              <w:t>Temporary exception of toll fees</w:t>
            </w:r>
          </w:p>
          <w:p w14:paraId="4B2B06E4" w14:textId="77777777" w:rsidR="00C025DD" w:rsidRPr="00270C34" w:rsidRDefault="00C025DD" w:rsidP="00C025DD">
            <w:pPr>
              <w:numPr>
                <w:ilvl w:val="0"/>
                <w:numId w:val="14"/>
              </w:numPr>
              <w:ind w:left="187" w:hanging="187"/>
              <w:rPr>
                <w:rFonts w:ascii="Times New Roman" w:hAnsi="Times New Roman" w:cs="Times New Roman"/>
                <w:szCs w:val="24"/>
              </w:rPr>
            </w:pPr>
            <w:r w:rsidRPr="00270C34">
              <w:rPr>
                <w:rFonts w:ascii="Times New Roman" w:hAnsi="Times New Roman" w:cs="Times New Roman"/>
                <w:szCs w:val="24"/>
              </w:rPr>
              <w:t>Discount on parking fees at public parking lots</w:t>
            </w:r>
          </w:p>
          <w:p w14:paraId="4CB43238" w14:textId="77777777" w:rsidR="00C025DD" w:rsidRPr="00270C34" w:rsidRDefault="00C025DD" w:rsidP="00C025DD">
            <w:pPr>
              <w:numPr>
                <w:ilvl w:val="0"/>
                <w:numId w:val="14"/>
              </w:numPr>
              <w:ind w:left="187" w:hanging="187"/>
              <w:rPr>
                <w:rFonts w:ascii="Times New Roman" w:hAnsi="Times New Roman" w:cs="Times New Roman"/>
                <w:szCs w:val="24"/>
              </w:rPr>
            </w:pPr>
            <w:r w:rsidRPr="00270C34">
              <w:rPr>
                <w:rFonts w:ascii="Times New Roman" w:hAnsi="Times New Roman" w:cs="Times New Roman"/>
                <w:szCs w:val="24"/>
              </w:rPr>
              <w:t xml:space="preserve">Establishment of new EV insurance that reduces the </w:t>
            </w:r>
            <w:r w:rsidRPr="00270C34">
              <w:rPr>
                <w:rFonts w:ascii="Times New Roman" w:hAnsi="Times New Roman" w:cs="Times New Roman"/>
                <w:szCs w:val="24"/>
              </w:rPr>
              <w:lastRenderedPageBreak/>
              <w:t>financial burden of EV drivers</w:t>
            </w:r>
          </w:p>
          <w:p w14:paraId="37F75C92" w14:textId="77777777" w:rsidR="00C025DD" w:rsidRPr="00270C34" w:rsidRDefault="00C025DD" w:rsidP="00C025DD">
            <w:pPr>
              <w:numPr>
                <w:ilvl w:val="0"/>
                <w:numId w:val="14"/>
              </w:numPr>
              <w:ind w:left="187" w:hanging="187"/>
              <w:rPr>
                <w:rFonts w:ascii="Times New Roman" w:hAnsi="Times New Roman" w:cs="Times New Roman"/>
                <w:szCs w:val="24"/>
              </w:rPr>
            </w:pPr>
            <w:r w:rsidRPr="00270C34">
              <w:rPr>
                <w:rFonts w:ascii="Times New Roman" w:hAnsi="Times New Roman" w:cs="Times New Roman"/>
                <w:szCs w:val="24"/>
              </w:rPr>
              <w:t xml:space="preserve">Permission to use bus-exclusive roads on highways for EV drivers. </w:t>
            </w:r>
          </w:p>
          <w:p w14:paraId="27A718CB"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nil"/>
              <w:right w:val="nil"/>
            </w:tcBorders>
          </w:tcPr>
          <w:p w14:paraId="506EEFB9" w14:textId="77777777" w:rsidR="00C025DD" w:rsidRPr="00270C34" w:rsidRDefault="00C025DD" w:rsidP="0017434E">
            <w:pPr>
              <w:rPr>
                <w:rFonts w:ascii="Times New Roman" w:hAnsi="Times New Roman" w:cs="Times New Roman"/>
                <w:b/>
                <w:bCs/>
                <w:szCs w:val="24"/>
              </w:rPr>
            </w:pPr>
          </w:p>
          <w:p w14:paraId="4AEF6D17" w14:textId="77777777" w:rsidR="00C025DD" w:rsidRPr="00270C34" w:rsidRDefault="00C025DD" w:rsidP="0017434E">
            <w:pPr>
              <w:rPr>
                <w:rFonts w:ascii="Times New Roman" w:hAnsi="Times New Roman" w:cs="Times New Roman"/>
                <w:b/>
                <w:bCs/>
                <w:szCs w:val="24"/>
              </w:rPr>
            </w:pPr>
          </w:p>
          <w:p w14:paraId="5E38DFE0"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R&amp;D investment</w:t>
            </w:r>
          </w:p>
          <w:p w14:paraId="46F16A0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Law for Eco-Friendly Cars R&amp;D (2004) aimed to stipulate R&amp;D and environment-friendly vehicles and to boost environment-friendly vehicle industries</w:t>
            </w:r>
          </w:p>
          <w:p w14:paraId="367D0CE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lastRenderedPageBreak/>
              <w:t xml:space="preserve">•The 100 billion Korean won (US$90 million) R&amp;D project for EVs undertaken by CEFV (2011-2021) </w:t>
            </w:r>
          </w:p>
          <w:p w14:paraId="7664872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•Ranked the third among seven leading EV countries in terms of the government’s R&amp;D expenditure on EVs divided by GDP and EV technology level</w:t>
            </w:r>
          </w:p>
          <w:p w14:paraId="09A2CF53" w14:textId="77777777" w:rsidR="00C025DD" w:rsidRPr="00270C34" w:rsidRDefault="00C025DD" w:rsidP="0017434E">
            <w:pPr>
              <w:rPr>
                <w:rFonts w:ascii="Times New Roman" w:hAnsi="Times New Roman" w:cs="Times New Roman"/>
                <w:szCs w:val="24"/>
              </w:rPr>
            </w:pPr>
          </w:p>
          <w:p w14:paraId="45F84DF0"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Strengthening regulations</w:t>
            </w:r>
          </w:p>
          <w:p w14:paraId="61D2BF29"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•Increasing public institutions’ mandatory EV purchase rate from 25% to 40% in 2016</w:t>
            </w:r>
          </w:p>
          <w:p w14:paraId="6CFC72F7"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•Obligation for cities with severe levels of air pollution to purchase a certain proportion of low-emission vehicles including EVs</w:t>
            </w:r>
          </w:p>
          <w:p w14:paraId="2BD35D3A" w14:textId="77777777" w:rsidR="00C025DD" w:rsidRPr="00270C34" w:rsidRDefault="00C025DD" w:rsidP="0017434E">
            <w:pPr>
              <w:rPr>
                <w:rFonts w:ascii="Times New Roman" w:hAnsi="Times New Roman" w:cs="Times New Roman"/>
                <w:szCs w:val="24"/>
              </w:rPr>
            </w:pPr>
          </w:p>
          <w:p w14:paraId="66AC3855"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Charging infrastructure promotion policy</w:t>
            </w:r>
          </w:p>
          <w:p w14:paraId="77FA12E8"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•EV-charging tariff by state-owned power company KEPCO </w:t>
            </w:r>
          </w:p>
          <w:p w14:paraId="4FB43C0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•Government-supplied EV charging infrastructure throughout apartments and areas with high accessibility such as supermarkets, parking lots, and gas stations</w:t>
            </w:r>
          </w:p>
          <w:p w14:paraId="50709C9B" w14:textId="77777777" w:rsidR="00C025DD" w:rsidRPr="00270C34" w:rsidRDefault="00C025DD" w:rsidP="0017434E">
            <w:pPr>
              <w:rPr>
                <w:rFonts w:ascii="Times New Roman" w:hAnsi="Times New Roman" w:cs="Times New Roman"/>
                <w:szCs w:val="24"/>
              </w:rPr>
            </w:pPr>
          </w:p>
          <w:p w14:paraId="0B34D701" w14:textId="77777777" w:rsidR="00C025DD" w:rsidRPr="00270C34" w:rsidRDefault="00C025DD" w:rsidP="0017434E">
            <w:pPr>
              <w:rPr>
                <w:rFonts w:ascii="Times New Roman" w:hAnsi="Times New Roman" w:cs="Times New Roman"/>
                <w:szCs w:val="24"/>
              </w:rPr>
            </w:pPr>
          </w:p>
        </w:tc>
      </w:tr>
      <w:tr w:rsidR="00C025DD" w:rsidRPr="00270C34" w14:paraId="22E3CAA2" w14:textId="77777777" w:rsidTr="00C025DD">
        <w:trPr>
          <w:jc w:val="center"/>
        </w:trPr>
        <w:tc>
          <w:tcPr>
            <w:tcW w:w="1165" w:type="dxa"/>
            <w:tcBorders>
              <w:top w:val="nil"/>
              <w:left w:val="nil"/>
              <w:bottom w:val="nil"/>
              <w:right w:val="nil"/>
            </w:tcBorders>
          </w:tcPr>
          <w:p w14:paraId="1059A15E"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lastRenderedPageBreak/>
              <w:t>Japan</w:t>
            </w:r>
          </w:p>
        </w:tc>
        <w:tc>
          <w:tcPr>
            <w:tcW w:w="3088" w:type="dxa"/>
            <w:tcBorders>
              <w:top w:val="nil"/>
              <w:left w:val="nil"/>
              <w:bottom w:val="nil"/>
              <w:right w:val="nil"/>
            </w:tcBorders>
          </w:tcPr>
          <w:p w14:paraId="59903A2F"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Purchase Subsidies</w:t>
            </w:r>
          </w:p>
          <w:p w14:paraId="0D150F4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•JEVA leasing and purchasing incentive (1978-1996)</w:t>
            </w:r>
          </w:p>
          <w:p w14:paraId="7BF776A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•BPEV Purchasing Incentive Program (1996-2003) subsidized fifty percent of the extra incremental vehicle price compared with ICEV </w:t>
            </w:r>
          </w:p>
          <w:p w14:paraId="5F8F9B10"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•CEV subsidies (2009-) </w:t>
            </w:r>
          </w:p>
          <w:p w14:paraId="233CB039" w14:textId="77777777" w:rsidR="00C025DD" w:rsidRPr="00270C34" w:rsidRDefault="00C025DD" w:rsidP="00C025DD">
            <w:pPr>
              <w:pStyle w:val="ListParagraph"/>
              <w:numPr>
                <w:ilvl w:val="0"/>
                <w:numId w:val="3"/>
              </w:numPr>
              <w:rPr>
                <w:rFonts w:ascii="Times New Roman" w:hAnsi="Times New Roman" w:cs="Times New Roman"/>
                <w:szCs w:val="24"/>
              </w:rPr>
            </w:pPr>
            <w:r w:rsidRPr="00270C34">
              <w:rPr>
                <w:rFonts w:ascii="Times New Roman" w:hAnsi="Times New Roman" w:cs="Times New Roman"/>
                <w:szCs w:val="24"/>
              </w:rPr>
              <w:t>-2013 subsidized fifty percent of the extra incremental vehicle price compared with ICEV with a maximum of 1 million yen</w:t>
            </w:r>
          </w:p>
          <w:p w14:paraId="6A413466" w14:textId="77777777" w:rsidR="00C025DD" w:rsidRPr="00270C34" w:rsidRDefault="00C025DD" w:rsidP="00C025DD">
            <w:pPr>
              <w:pStyle w:val="ListParagraph"/>
              <w:numPr>
                <w:ilvl w:val="0"/>
                <w:numId w:val="3"/>
              </w:numPr>
              <w:rPr>
                <w:rFonts w:ascii="Times New Roman" w:hAnsi="Times New Roman" w:cs="Times New Roman"/>
                <w:szCs w:val="24"/>
              </w:rPr>
            </w:pPr>
            <w:r w:rsidRPr="00270C34">
              <w:rPr>
                <w:rFonts w:ascii="Times New Roman" w:hAnsi="Times New Roman" w:cs="Times New Roman"/>
                <w:szCs w:val="24"/>
              </w:rPr>
              <w:t xml:space="preserve">2013-2015 Subsidized two-thirds of the extra incremental vehicle price compared with ICEV with a maximum of 850 thousand yen </w:t>
            </w:r>
          </w:p>
          <w:p w14:paraId="62842803" w14:textId="77777777" w:rsidR="00C025DD" w:rsidRPr="00270C34" w:rsidRDefault="00C025DD" w:rsidP="00C025DD">
            <w:pPr>
              <w:pStyle w:val="ListParagraph"/>
              <w:numPr>
                <w:ilvl w:val="0"/>
                <w:numId w:val="3"/>
              </w:numPr>
              <w:rPr>
                <w:rFonts w:ascii="Times New Roman" w:hAnsi="Times New Roman" w:cs="Times New Roman"/>
                <w:szCs w:val="24"/>
              </w:rPr>
            </w:pPr>
            <w:r w:rsidRPr="00270C34">
              <w:rPr>
                <w:rFonts w:ascii="Times New Roman" w:hAnsi="Times New Roman" w:cs="Times New Roman"/>
                <w:szCs w:val="24"/>
              </w:rPr>
              <w:lastRenderedPageBreak/>
              <w:t xml:space="preserve">2016- subsidy = battery capacity (kWh)x1100 yen with a maximum of 600 thousand yen then the subsidy was reduced to battery capacity (kWh)x1000 yen with a maximum of 400 thousand in 2017- 2019. The maximum then doubled to 800 thousand yen in 2021 </w:t>
            </w:r>
          </w:p>
          <w:p w14:paraId="02FFD7B5" w14:textId="77777777" w:rsidR="00C025DD" w:rsidRPr="00270C34" w:rsidRDefault="00C025DD" w:rsidP="0017434E">
            <w:pPr>
              <w:rPr>
                <w:rFonts w:ascii="Times New Roman" w:hAnsi="Times New Roman" w:cs="Times New Roman"/>
                <w:b/>
                <w:bCs/>
                <w:szCs w:val="24"/>
              </w:rPr>
            </w:pPr>
          </w:p>
          <w:p w14:paraId="2C02DB59"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 xml:space="preserve">Tax </w:t>
            </w:r>
          </w:p>
          <w:p w14:paraId="04A5BFB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•Exemption from automobile acquisition tax and automobile weight tax</w:t>
            </w:r>
          </w:p>
          <w:p w14:paraId="65B802C0"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•Substantial reduction from annual automobile tax</w:t>
            </w:r>
          </w:p>
          <w:p w14:paraId="5F4E7FF3" w14:textId="77777777" w:rsidR="00C025DD" w:rsidRPr="00270C34" w:rsidRDefault="00C025DD" w:rsidP="0017434E">
            <w:pPr>
              <w:rPr>
                <w:rFonts w:ascii="Times New Roman" w:hAnsi="Times New Roman" w:cs="Times New Roman"/>
                <w:szCs w:val="24"/>
              </w:rPr>
            </w:pPr>
          </w:p>
          <w:p w14:paraId="618F8550" w14:textId="77777777" w:rsidR="00C025DD" w:rsidRPr="00270C34" w:rsidRDefault="00C025DD" w:rsidP="0017434E">
            <w:pPr>
              <w:rPr>
                <w:rFonts w:ascii="Times New Roman" w:hAnsi="Times New Roman" w:cs="Times New Roman"/>
                <w:szCs w:val="24"/>
              </w:rPr>
            </w:pPr>
          </w:p>
          <w:p w14:paraId="59FA2773" w14:textId="77777777" w:rsidR="00C025DD" w:rsidRPr="00270C34" w:rsidRDefault="00C025DD" w:rsidP="0017434E">
            <w:pPr>
              <w:rPr>
                <w:rFonts w:ascii="Times New Roman" w:hAnsi="Times New Roman" w:cs="Times New Roman"/>
                <w:szCs w:val="24"/>
              </w:rPr>
            </w:pPr>
          </w:p>
        </w:tc>
        <w:tc>
          <w:tcPr>
            <w:tcW w:w="2835" w:type="dxa"/>
            <w:tcBorders>
              <w:top w:val="nil"/>
              <w:left w:val="nil"/>
              <w:bottom w:val="nil"/>
              <w:right w:val="nil"/>
            </w:tcBorders>
          </w:tcPr>
          <w:p w14:paraId="6CC85B5D"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nil"/>
              <w:right w:val="nil"/>
            </w:tcBorders>
          </w:tcPr>
          <w:p w14:paraId="5D65F0E6"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R&amp;D investment</w:t>
            </w:r>
          </w:p>
          <w:p w14:paraId="2AD799F9"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•MITI’s R&amp;D project started in 1971. Their idea was to create R&amp;D consortia to stimulate the inter-firm spillover effect.</w:t>
            </w:r>
          </w:p>
          <w:p w14:paraId="2C3AA6F2"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•New Sunshine Programme (1992) lithium batteries research</w:t>
            </w:r>
          </w:p>
          <w:p w14:paraId="6123624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•Advanced Clean Energy (ACE) vehicle program (1997-2003) high-energy efficient hybrid vehicles development</w:t>
            </w:r>
          </w:p>
          <w:p w14:paraId="257F6D1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•Battery’s material development to depend less on rare earth elements (2022)</w:t>
            </w:r>
          </w:p>
          <w:p w14:paraId="24888630" w14:textId="77777777" w:rsidR="00C025DD" w:rsidRPr="00270C34" w:rsidRDefault="00C025DD" w:rsidP="0017434E">
            <w:pPr>
              <w:rPr>
                <w:rFonts w:ascii="Times New Roman" w:hAnsi="Times New Roman" w:cs="Times New Roman"/>
                <w:szCs w:val="24"/>
              </w:rPr>
            </w:pPr>
          </w:p>
          <w:p w14:paraId="2490A4D3"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Charging infrastructure promotion policy</w:t>
            </w:r>
          </w:p>
          <w:p w14:paraId="5C0FEDC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•Subsidy for charging infrastructure installation</w:t>
            </w:r>
          </w:p>
          <w:p w14:paraId="6A218477" w14:textId="77777777" w:rsidR="00C025DD" w:rsidRPr="00270C34" w:rsidRDefault="00C025DD" w:rsidP="0017434E">
            <w:pPr>
              <w:rPr>
                <w:rFonts w:ascii="Times New Roman" w:hAnsi="Times New Roman" w:cs="Times New Roman"/>
                <w:szCs w:val="24"/>
              </w:rPr>
            </w:pPr>
          </w:p>
        </w:tc>
      </w:tr>
      <w:tr w:rsidR="00C025DD" w:rsidRPr="00270C34" w14:paraId="0B71AB7C" w14:textId="77777777" w:rsidTr="00C025DD">
        <w:trPr>
          <w:jc w:val="center"/>
        </w:trPr>
        <w:tc>
          <w:tcPr>
            <w:tcW w:w="1165" w:type="dxa"/>
            <w:tcBorders>
              <w:top w:val="nil"/>
              <w:left w:val="nil"/>
              <w:bottom w:val="nil"/>
              <w:right w:val="nil"/>
            </w:tcBorders>
          </w:tcPr>
          <w:p w14:paraId="17E176EE"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India</w:t>
            </w:r>
          </w:p>
        </w:tc>
        <w:tc>
          <w:tcPr>
            <w:tcW w:w="3088" w:type="dxa"/>
            <w:tcBorders>
              <w:top w:val="nil"/>
              <w:left w:val="nil"/>
              <w:bottom w:val="nil"/>
              <w:right w:val="nil"/>
            </w:tcBorders>
          </w:tcPr>
          <w:p w14:paraId="3F9C4647"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Subsidies</w:t>
            </w:r>
          </w:p>
          <w:p w14:paraId="6940E603"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•The Ministry of New and Renewable Energy (MNRE)’s subsidy (2010-2012) </w:t>
            </w:r>
          </w:p>
          <w:p w14:paraId="79C4E138"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Reduced up to 20% of the price with a limit of Rs. 100,000 for EVs</w:t>
            </w:r>
          </w:p>
          <w:p w14:paraId="11012346"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•The National Electric Mobility Mission Plan (2012-2017)</w:t>
            </w:r>
          </w:p>
          <w:p w14:paraId="73B2E6B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130–140 billion stimulus provided to the EV producer</w:t>
            </w:r>
          </w:p>
          <w:p w14:paraId="31498306"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•Faster Adoption of Manufacturing of (Hybrid &amp;) Electric Vehicle (FAME)</w:t>
            </w:r>
          </w:p>
          <w:p w14:paraId="6C344BED" w14:textId="77777777" w:rsidR="00C025DD" w:rsidRPr="00270C34" w:rsidRDefault="00C025DD" w:rsidP="00C025DD">
            <w:pPr>
              <w:pStyle w:val="ListParagraph"/>
              <w:numPr>
                <w:ilvl w:val="0"/>
                <w:numId w:val="6"/>
              </w:numPr>
              <w:ind w:left="344" w:hanging="180"/>
              <w:rPr>
                <w:rFonts w:ascii="Times New Roman" w:hAnsi="Times New Roman" w:cs="Times New Roman"/>
                <w:szCs w:val="24"/>
              </w:rPr>
            </w:pPr>
            <w:r w:rsidRPr="00270C34">
              <w:rPr>
                <w:rFonts w:ascii="Times New Roman" w:hAnsi="Times New Roman" w:cs="Times New Roman"/>
                <w:szCs w:val="24"/>
              </w:rPr>
              <w:t xml:space="preserve">Phase I (2015-2019): </w:t>
            </w:r>
          </w:p>
          <w:p w14:paraId="2D51BFA1" w14:textId="77777777" w:rsidR="00C025DD" w:rsidRPr="00270C34" w:rsidRDefault="00C025DD" w:rsidP="00C025DD">
            <w:pPr>
              <w:pStyle w:val="ListParagraph"/>
              <w:numPr>
                <w:ilvl w:val="0"/>
                <w:numId w:val="7"/>
              </w:numPr>
              <w:ind w:left="524" w:hanging="180"/>
              <w:rPr>
                <w:rFonts w:ascii="Times New Roman" w:hAnsi="Times New Roman" w:cs="Times New Roman"/>
                <w:szCs w:val="24"/>
              </w:rPr>
            </w:pPr>
            <w:r w:rsidRPr="00270C34">
              <w:rPr>
                <w:rFonts w:ascii="Times New Roman" w:hAnsi="Times New Roman" w:cs="Times New Roman"/>
                <w:szCs w:val="24"/>
              </w:rPr>
              <w:t xml:space="preserve">Level 1: Vehicles with conventional battery technologies (lead) </w:t>
            </w:r>
          </w:p>
          <w:p w14:paraId="34315922" w14:textId="77777777" w:rsidR="00C025DD" w:rsidRPr="00270C34" w:rsidRDefault="00C025DD" w:rsidP="00C025DD">
            <w:pPr>
              <w:pStyle w:val="ListParagraph"/>
              <w:numPr>
                <w:ilvl w:val="0"/>
                <w:numId w:val="7"/>
              </w:numPr>
              <w:ind w:left="524" w:hanging="180"/>
              <w:rPr>
                <w:rFonts w:ascii="Times New Roman" w:hAnsi="Times New Roman" w:cs="Times New Roman"/>
                <w:szCs w:val="24"/>
              </w:rPr>
            </w:pPr>
            <w:r w:rsidRPr="00270C34">
              <w:rPr>
                <w:rFonts w:ascii="Times New Roman" w:hAnsi="Times New Roman" w:cs="Times New Roman"/>
                <w:szCs w:val="24"/>
              </w:rPr>
              <w:t>Level 2: Vehicles with advanced battery technologies (lithium polymer, lithium iron phosphate, etc.)</w:t>
            </w:r>
          </w:p>
          <w:p w14:paraId="6435386E" w14:textId="77777777" w:rsidR="00C025DD" w:rsidRPr="00270C34" w:rsidRDefault="00C025DD" w:rsidP="00C025DD">
            <w:pPr>
              <w:pStyle w:val="ListParagraph"/>
              <w:numPr>
                <w:ilvl w:val="0"/>
                <w:numId w:val="7"/>
              </w:numPr>
              <w:ind w:left="524" w:hanging="180"/>
              <w:rPr>
                <w:rFonts w:ascii="Times New Roman" w:hAnsi="Times New Roman" w:cs="Times New Roman"/>
                <w:szCs w:val="24"/>
              </w:rPr>
            </w:pPr>
            <w:r w:rsidRPr="00270C34">
              <w:rPr>
                <w:rFonts w:ascii="Times New Roman" w:hAnsi="Times New Roman" w:cs="Times New Roman"/>
                <w:szCs w:val="24"/>
              </w:rPr>
              <w:t>Level 2’s vehicle subsidies are around 120% of level 1 incentives to promote technology advancement</w:t>
            </w:r>
          </w:p>
          <w:p w14:paraId="68C2ADF3" w14:textId="77777777" w:rsidR="00C025DD" w:rsidRPr="00270C34" w:rsidRDefault="00C025DD" w:rsidP="00C025DD">
            <w:pPr>
              <w:pStyle w:val="ListParagraph"/>
              <w:numPr>
                <w:ilvl w:val="0"/>
                <w:numId w:val="7"/>
              </w:numPr>
              <w:ind w:left="524" w:hanging="180"/>
              <w:rPr>
                <w:rFonts w:ascii="Times New Roman" w:hAnsi="Times New Roman" w:cs="Times New Roman"/>
                <w:szCs w:val="24"/>
              </w:rPr>
            </w:pPr>
            <w:r w:rsidRPr="00270C34">
              <w:rPr>
                <w:rFonts w:ascii="Times New Roman" w:hAnsi="Times New Roman" w:cs="Times New Roman"/>
                <w:szCs w:val="24"/>
              </w:rPr>
              <w:t xml:space="preserve">Subsidy for 4-wheelers </w:t>
            </w:r>
          </w:p>
          <w:p w14:paraId="0F9822E4" w14:textId="77777777" w:rsidR="00C025DD" w:rsidRPr="00270C34" w:rsidRDefault="00C025DD" w:rsidP="0017434E">
            <w:pPr>
              <w:pStyle w:val="ListParagraph"/>
              <w:ind w:left="524" w:hanging="180"/>
              <w:rPr>
                <w:rFonts w:ascii="Times New Roman" w:hAnsi="Times New Roman" w:cs="Times New Roman"/>
                <w:szCs w:val="24"/>
              </w:rPr>
            </w:pPr>
            <w:r w:rsidRPr="00270C34">
              <w:rPr>
                <w:rFonts w:ascii="Times New Roman" w:hAnsi="Times New Roman" w:cs="Times New Roman"/>
                <w:szCs w:val="24"/>
              </w:rPr>
              <w:t>Level 1: 76000 (length≤4m), 60000 (length&gt;4m)</w:t>
            </w:r>
          </w:p>
          <w:p w14:paraId="5A7F2F9C" w14:textId="77777777" w:rsidR="00C025DD" w:rsidRPr="00270C34" w:rsidRDefault="00C025DD" w:rsidP="0017434E">
            <w:pPr>
              <w:pStyle w:val="ListParagraph"/>
              <w:ind w:left="524" w:hanging="180"/>
              <w:rPr>
                <w:rFonts w:ascii="Times New Roman" w:hAnsi="Times New Roman" w:cs="Times New Roman"/>
                <w:szCs w:val="24"/>
              </w:rPr>
            </w:pPr>
            <w:r w:rsidRPr="00270C34">
              <w:rPr>
                <w:rFonts w:ascii="Times New Roman" w:hAnsi="Times New Roman" w:cs="Times New Roman"/>
                <w:szCs w:val="24"/>
              </w:rPr>
              <w:lastRenderedPageBreak/>
              <w:t>Level 2: 124000 (length≤4m), 138000 (length&gt;4m)</w:t>
            </w:r>
          </w:p>
          <w:p w14:paraId="5C526902" w14:textId="77777777" w:rsidR="00C025DD" w:rsidRPr="00270C34" w:rsidRDefault="00C025DD" w:rsidP="00C025DD">
            <w:pPr>
              <w:pStyle w:val="ListParagraph"/>
              <w:numPr>
                <w:ilvl w:val="0"/>
                <w:numId w:val="8"/>
              </w:numPr>
              <w:ind w:left="344" w:hanging="180"/>
              <w:rPr>
                <w:rFonts w:ascii="Times New Roman" w:hAnsi="Times New Roman" w:cs="Times New Roman"/>
                <w:szCs w:val="24"/>
              </w:rPr>
            </w:pPr>
            <w:r w:rsidRPr="00270C34">
              <w:rPr>
                <w:rFonts w:ascii="Times New Roman" w:hAnsi="Times New Roman" w:cs="Times New Roman"/>
                <w:szCs w:val="24"/>
              </w:rPr>
              <w:t xml:space="preserve">Phase II (2019-2024): </w:t>
            </w:r>
          </w:p>
          <w:p w14:paraId="60935CCC" w14:textId="77777777" w:rsidR="00C025DD" w:rsidRPr="00270C34" w:rsidRDefault="00C025DD" w:rsidP="00C025DD">
            <w:pPr>
              <w:pStyle w:val="ListParagraph"/>
              <w:numPr>
                <w:ilvl w:val="0"/>
                <w:numId w:val="9"/>
              </w:numPr>
              <w:ind w:left="524" w:hanging="180"/>
              <w:rPr>
                <w:rFonts w:ascii="Times New Roman" w:hAnsi="Times New Roman" w:cs="Times New Roman"/>
                <w:szCs w:val="24"/>
              </w:rPr>
            </w:pPr>
            <w:r w:rsidRPr="00270C34">
              <w:rPr>
                <w:rFonts w:ascii="Times New Roman" w:hAnsi="Times New Roman" w:cs="Times New Roman"/>
                <w:szCs w:val="24"/>
              </w:rPr>
              <w:t xml:space="preserve">2019-2021 Rs 10000 per kWh for all eligible vehicles except bus with a cap of 20% of the vehicle’s price </w:t>
            </w:r>
          </w:p>
          <w:p w14:paraId="105BED9B" w14:textId="77777777" w:rsidR="00C025DD" w:rsidRPr="00270C34" w:rsidRDefault="00C025DD" w:rsidP="00C025DD">
            <w:pPr>
              <w:pStyle w:val="ListParagraph"/>
              <w:numPr>
                <w:ilvl w:val="0"/>
                <w:numId w:val="9"/>
              </w:numPr>
              <w:ind w:left="524" w:hanging="180"/>
              <w:rPr>
                <w:rFonts w:ascii="Times New Roman" w:hAnsi="Times New Roman" w:cs="Times New Roman"/>
                <w:szCs w:val="24"/>
              </w:rPr>
            </w:pPr>
            <w:r w:rsidRPr="00270C34">
              <w:rPr>
                <w:rFonts w:ascii="Times New Roman" w:hAnsi="Times New Roman" w:cs="Times New Roman"/>
                <w:szCs w:val="24"/>
              </w:rPr>
              <w:t>2021-2023 subsidy increased to Rs 15000 per kWh with a cap of 40% of the vehicle’s price (only for 2-wheelers)</w:t>
            </w:r>
          </w:p>
          <w:p w14:paraId="31B71193" w14:textId="77777777" w:rsidR="00C025DD" w:rsidRPr="00270C34" w:rsidRDefault="00C025DD" w:rsidP="00C025DD">
            <w:pPr>
              <w:pStyle w:val="ListParagraph"/>
              <w:numPr>
                <w:ilvl w:val="0"/>
                <w:numId w:val="9"/>
              </w:numPr>
              <w:ind w:left="524" w:hanging="180"/>
              <w:rPr>
                <w:rFonts w:ascii="Times New Roman" w:hAnsi="Times New Roman" w:cs="Times New Roman"/>
                <w:szCs w:val="24"/>
              </w:rPr>
            </w:pPr>
            <w:r w:rsidRPr="00270C34">
              <w:rPr>
                <w:rFonts w:ascii="Times New Roman" w:hAnsi="Times New Roman" w:cs="Times New Roman"/>
                <w:szCs w:val="24"/>
              </w:rPr>
              <w:t xml:space="preserve">2023-2024 subsidy decreased to Rs 10000 per kWh with a cap of 15% of the vehicle’s price </w:t>
            </w:r>
          </w:p>
          <w:p w14:paraId="572A0C11" w14:textId="77777777" w:rsidR="00C025DD" w:rsidRPr="00270C34" w:rsidRDefault="00C025DD" w:rsidP="0017434E">
            <w:pPr>
              <w:pStyle w:val="ListParagraph"/>
              <w:ind w:left="524"/>
              <w:rPr>
                <w:rFonts w:ascii="Times New Roman" w:hAnsi="Times New Roman" w:cs="Times New Roman"/>
                <w:szCs w:val="24"/>
              </w:rPr>
            </w:pPr>
          </w:p>
          <w:p w14:paraId="031DD5F3"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 xml:space="preserve">Tax </w:t>
            </w:r>
          </w:p>
          <w:p w14:paraId="2AA582BA"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•Exemption from VAT and road tax for 3 years</w:t>
            </w:r>
          </w:p>
          <w:p w14:paraId="2A94DCEF" w14:textId="77777777" w:rsidR="00C025DD" w:rsidRPr="00270C34" w:rsidRDefault="00C025DD" w:rsidP="0017434E">
            <w:pPr>
              <w:rPr>
                <w:rFonts w:ascii="Times New Roman" w:hAnsi="Times New Roman" w:cs="Times New Roman"/>
                <w:szCs w:val="24"/>
              </w:rPr>
            </w:pPr>
            <w:r>
              <w:rPr>
                <w:rFonts w:ascii="Times New Roman" w:hAnsi="Times New Roman" w:cs="Times New Roman"/>
                <w:szCs w:val="24"/>
              </w:rPr>
              <w:t>•Income tax reduction</w:t>
            </w:r>
          </w:p>
        </w:tc>
        <w:tc>
          <w:tcPr>
            <w:tcW w:w="2835" w:type="dxa"/>
            <w:tcBorders>
              <w:top w:val="nil"/>
              <w:left w:val="nil"/>
              <w:bottom w:val="nil"/>
              <w:right w:val="nil"/>
            </w:tcBorders>
          </w:tcPr>
          <w:p w14:paraId="2BEC929E"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lastRenderedPageBreak/>
              <w:t>•10% dedicated parking space in shopping malls, restaurants and Govt buildings</w:t>
            </w:r>
          </w:p>
          <w:p w14:paraId="2DC1906A"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•Exemption from registration fee </w:t>
            </w:r>
          </w:p>
          <w:p w14:paraId="75CE0440"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nil"/>
              <w:right w:val="nil"/>
            </w:tcBorders>
          </w:tcPr>
          <w:p w14:paraId="7B8611F8"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R&amp;D investment</w:t>
            </w:r>
          </w:p>
          <w:p w14:paraId="616C47B6"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•Bus lightweighting guideline design</w:t>
            </w:r>
          </w:p>
          <w:p w14:paraId="1207EB42"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•HEV simulator</w:t>
            </w:r>
          </w:p>
          <w:p w14:paraId="54D90A28"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•Cast-copper rotor-induction motor</w:t>
            </w:r>
          </w:p>
          <w:p w14:paraId="25678FC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•Solid-state battery</w:t>
            </w:r>
          </w:p>
          <w:p w14:paraId="11047B33" w14:textId="77777777" w:rsidR="00C025DD" w:rsidRPr="00270C34" w:rsidRDefault="00C025DD" w:rsidP="0017434E">
            <w:pPr>
              <w:rPr>
                <w:rFonts w:ascii="Times New Roman" w:hAnsi="Times New Roman" w:cs="Times New Roman"/>
                <w:szCs w:val="24"/>
              </w:rPr>
            </w:pPr>
          </w:p>
          <w:p w14:paraId="73F71131"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Charging infrastructure promotion policy</w:t>
            </w:r>
          </w:p>
          <w:p w14:paraId="685B7172"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•Funds provided by the government for setting up charging infrastructure under FAME phase 2</w:t>
            </w:r>
          </w:p>
          <w:p w14:paraId="171C0AF1"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•Maximum of 70% subsidy for installing charger on highway/expressway </w:t>
            </w:r>
          </w:p>
          <w:p w14:paraId="29DC81F0" w14:textId="77777777" w:rsidR="00C025DD" w:rsidRPr="00270C34" w:rsidRDefault="00C025DD" w:rsidP="0017434E">
            <w:pPr>
              <w:rPr>
                <w:rFonts w:ascii="Times New Roman" w:hAnsi="Times New Roman" w:cs="Times New Roman"/>
                <w:szCs w:val="24"/>
              </w:rPr>
            </w:pPr>
          </w:p>
        </w:tc>
      </w:tr>
      <w:tr w:rsidR="00C025DD" w:rsidRPr="00270C34" w14:paraId="7163C293" w14:textId="77777777" w:rsidTr="00C025DD">
        <w:trPr>
          <w:jc w:val="center"/>
        </w:trPr>
        <w:tc>
          <w:tcPr>
            <w:tcW w:w="1165" w:type="dxa"/>
            <w:tcBorders>
              <w:top w:val="nil"/>
              <w:left w:val="nil"/>
              <w:bottom w:val="nil"/>
              <w:right w:val="nil"/>
            </w:tcBorders>
          </w:tcPr>
          <w:p w14:paraId="22CC589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Israel</w:t>
            </w:r>
          </w:p>
          <w:p w14:paraId="14704B17" w14:textId="77777777" w:rsidR="00C025DD" w:rsidRPr="00270C34" w:rsidRDefault="00C025DD" w:rsidP="0017434E">
            <w:pPr>
              <w:rPr>
                <w:rFonts w:ascii="Times New Roman" w:hAnsi="Times New Roman" w:cs="Times New Roman"/>
                <w:szCs w:val="24"/>
              </w:rPr>
            </w:pPr>
          </w:p>
        </w:tc>
        <w:tc>
          <w:tcPr>
            <w:tcW w:w="3088" w:type="dxa"/>
            <w:tcBorders>
              <w:top w:val="nil"/>
              <w:left w:val="nil"/>
              <w:bottom w:val="nil"/>
              <w:right w:val="nil"/>
            </w:tcBorders>
          </w:tcPr>
          <w:p w14:paraId="32FD72D8"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 xml:space="preserve">Tax </w:t>
            </w:r>
          </w:p>
          <w:p w14:paraId="402B98DE"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•Much lower BEV purchase tax level (10%) compared to ICEV (83%) </w:t>
            </w:r>
          </w:p>
          <w:p w14:paraId="639452AA"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•Company-provided vehicle’s value of use discount for EVs</w:t>
            </w:r>
          </w:p>
          <w:p w14:paraId="4C3431AD" w14:textId="77777777" w:rsidR="00C025DD" w:rsidRPr="00270C34" w:rsidRDefault="00C025DD" w:rsidP="0017434E">
            <w:pPr>
              <w:rPr>
                <w:rFonts w:ascii="Times New Roman" w:hAnsi="Times New Roman" w:cs="Times New Roman"/>
                <w:szCs w:val="24"/>
              </w:rPr>
            </w:pPr>
          </w:p>
        </w:tc>
        <w:tc>
          <w:tcPr>
            <w:tcW w:w="2835" w:type="dxa"/>
            <w:tcBorders>
              <w:top w:val="nil"/>
              <w:left w:val="nil"/>
              <w:bottom w:val="nil"/>
              <w:right w:val="nil"/>
            </w:tcBorders>
          </w:tcPr>
          <w:p w14:paraId="0962A599"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nil"/>
              <w:right w:val="nil"/>
            </w:tcBorders>
          </w:tcPr>
          <w:p w14:paraId="287799B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•establishment of an EV car-share array with designated free parking and charging spaces to provide the public with EV exposure and reduce ICEV ownership</w:t>
            </w:r>
          </w:p>
          <w:p w14:paraId="0F504DE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•Funds provided by the government for setting up charging infrastructure </w:t>
            </w:r>
          </w:p>
          <w:p w14:paraId="16CA7E80" w14:textId="77777777" w:rsidR="00C025DD" w:rsidRPr="00270C34" w:rsidRDefault="00C025DD" w:rsidP="0017434E">
            <w:pPr>
              <w:rPr>
                <w:rFonts w:ascii="Times New Roman" w:hAnsi="Times New Roman" w:cs="Times New Roman"/>
                <w:szCs w:val="24"/>
              </w:rPr>
            </w:pPr>
          </w:p>
        </w:tc>
      </w:tr>
      <w:tr w:rsidR="00C025DD" w:rsidRPr="00270C34" w14:paraId="5ACDF73B" w14:textId="77777777" w:rsidTr="00C025DD">
        <w:trPr>
          <w:jc w:val="center"/>
        </w:trPr>
        <w:tc>
          <w:tcPr>
            <w:tcW w:w="1165" w:type="dxa"/>
            <w:tcBorders>
              <w:top w:val="nil"/>
              <w:left w:val="nil"/>
              <w:bottom w:val="nil"/>
              <w:right w:val="nil"/>
            </w:tcBorders>
          </w:tcPr>
          <w:p w14:paraId="1B2C6596"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Thailand</w:t>
            </w:r>
          </w:p>
          <w:p w14:paraId="1141D96D" w14:textId="77777777" w:rsidR="00C025DD" w:rsidRPr="00270C34" w:rsidRDefault="00C025DD" w:rsidP="0017434E">
            <w:pPr>
              <w:rPr>
                <w:rFonts w:ascii="Times New Roman" w:hAnsi="Times New Roman" w:cs="Times New Roman"/>
                <w:szCs w:val="24"/>
              </w:rPr>
            </w:pPr>
          </w:p>
        </w:tc>
        <w:tc>
          <w:tcPr>
            <w:tcW w:w="3088" w:type="dxa"/>
            <w:tcBorders>
              <w:top w:val="nil"/>
              <w:left w:val="nil"/>
              <w:bottom w:val="nil"/>
              <w:right w:val="nil"/>
            </w:tcBorders>
          </w:tcPr>
          <w:p w14:paraId="263EEB56"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Subsidies (2022-)</w:t>
            </w:r>
          </w:p>
          <w:p w14:paraId="56D719A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•BEVs with a battery capacity between 10-30 kWh: 70,000 baht</w:t>
            </w:r>
          </w:p>
          <w:p w14:paraId="15012771"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•BEVs with a battery capacity of more than 10-30 kWh: 150,000 baht</w:t>
            </w:r>
          </w:p>
          <w:p w14:paraId="6852DDDC"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Tax (2022-)</w:t>
            </w:r>
          </w:p>
          <w:p w14:paraId="4E16298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•Duty tax reduction for CBU BEVs</w:t>
            </w:r>
          </w:p>
          <w:p w14:paraId="4343C309" w14:textId="77777777" w:rsidR="00C025DD" w:rsidRPr="00270C34" w:rsidRDefault="00C025DD" w:rsidP="00C025DD">
            <w:pPr>
              <w:pStyle w:val="ListParagraph"/>
              <w:numPr>
                <w:ilvl w:val="0"/>
                <w:numId w:val="8"/>
              </w:numPr>
              <w:rPr>
                <w:rFonts w:ascii="Times New Roman" w:hAnsi="Times New Roman" w:cs="Times New Roman"/>
                <w:szCs w:val="24"/>
              </w:rPr>
            </w:pPr>
            <w:r w:rsidRPr="00270C34">
              <w:rPr>
                <w:rFonts w:ascii="Times New Roman" w:hAnsi="Times New Roman" w:cs="Times New Roman"/>
                <w:szCs w:val="24"/>
              </w:rPr>
              <w:t>BEVs with battery capacity ≥10 kWh and price &lt;2 million baht: up to 40% reduction</w:t>
            </w:r>
          </w:p>
          <w:p w14:paraId="199E0371" w14:textId="77777777" w:rsidR="00C025DD" w:rsidRPr="00270C34" w:rsidRDefault="00C025DD" w:rsidP="00C025DD">
            <w:pPr>
              <w:pStyle w:val="ListParagraph"/>
              <w:numPr>
                <w:ilvl w:val="0"/>
                <w:numId w:val="8"/>
              </w:numPr>
              <w:rPr>
                <w:rFonts w:ascii="Times New Roman" w:hAnsi="Times New Roman" w:cs="Times New Roman"/>
                <w:szCs w:val="24"/>
              </w:rPr>
            </w:pPr>
            <w:r w:rsidRPr="00270C34">
              <w:rPr>
                <w:rFonts w:ascii="Times New Roman" w:hAnsi="Times New Roman" w:cs="Times New Roman"/>
                <w:szCs w:val="24"/>
              </w:rPr>
              <w:t>BEVs with battery capacity ≥30 kWh and price 2-7 million baht: up to 20% reduction</w:t>
            </w:r>
          </w:p>
          <w:p w14:paraId="5DF6D15A"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•Excise tax reduction from 8% to 2% for passenger cars</w:t>
            </w:r>
          </w:p>
          <w:p w14:paraId="60CA5896"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lastRenderedPageBreak/>
              <w:t>•Exemption of import duties on significant electrical parts between 2022-2025</w:t>
            </w:r>
          </w:p>
          <w:p w14:paraId="4DB56C1A" w14:textId="77777777" w:rsidR="00C025DD" w:rsidRPr="00270C34" w:rsidRDefault="00C025DD" w:rsidP="0017434E">
            <w:pPr>
              <w:rPr>
                <w:rFonts w:ascii="Times New Roman" w:hAnsi="Times New Roman" w:cs="Times New Roman"/>
                <w:szCs w:val="24"/>
              </w:rPr>
            </w:pPr>
          </w:p>
        </w:tc>
        <w:tc>
          <w:tcPr>
            <w:tcW w:w="2835" w:type="dxa"/>
            <w:tcBorders>
              <w:top w:val="nil"/>
              <w:left w:val="nil"/>
              <w:bottom w:val="nil"/>
              <w:right w:val="nil"/>
            </w:tcBorders>
          </w:tcPr>
          <w:p w14:paraId="4400F3B7"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nil"/>
              <w:right w:val="nil"/>
            </w:tcBorders>
          </w:tcPr>
          <w:p w14:paraId="73929E40" w14:textId="77777777" w:rsidR="00C025DD" w:rsidRPr="00270C34" w:rsidRDefault="00C025DD" w:rsidP="0017434E">
            <w:pPr>
              <w:rPr>
                <w:rFonts w:ascii="Times New Roman" w:hAnsi="Times New Roman" w:cs="Times New Roman"/>
                <w:szCs w:val="24"/>
              </w:rPr>
            </w:pPr>
          </w:p>
        </w:tc>
      </w:tr>
      <w:tr w:rsidR="00C025DD" w:rsidRPr="00270C34" w14:paraId="1A1ED988" w14:textId="77777777" w:rsidTr="00C025DD">
        <w:trPr>
          <w:jc w:val="center"/>
        </w:trPr>
        <w:tc>
          <w:tcPr>
            <w:tcW w:w="1165" w:type="dxa"/>
            <w:tcBorders>
              <w:top w:val="nil"/>
              <w:left w:val="nil"/>
              <w:bottom w:val="nil"/>
              <w:right w:val="nil"/>
            </w:tcBorders>
          </w:tcPr>
          <w:p w14:paraId="2A92878C"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Hong Kong</w:t>
            </w:r>
          </w:p>
          <w:p w14:paraId="5266DC07" w14:textId="77777777" w:rsidR="00C025DD" w:rsidRPr="00270C34" w:rsidRDefault="00C025DD" w:rsidP="0017434E">
            <w:pPr>
              <w:rPr>
                <w:rFonts w:ascii="Times New Roman" w:hAnsi="Times New Roman" w:cs="Times New Roman"/>
                <w:szCs w:val="24"/>
              </w:rPr>
            </w:pPr>
          </w:p>
        </w:tc>
        <w:tc>
          <w:tcPr>
            <w:tcW w:w="3088" w:type="dxa"/>
            <w:tcBorders>
              <w:top w:val="nil"/>
              <w:left w:val="nil"/>
              <w:bottom w:val="nil"/>
              <w:right w:val="nil"/>
            </w:tcBorders>
          </w:tcPr>
          <w:p w14:paraId="4F13CE09"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 xml:space="preserve">Tax </w:t>
            </w:r>
          </w:p>
          <w:p w14:paraId="45D412C6"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•First registration tax (FRT) concessions </w:t>
            </w:r>
          </w:p>
          <w:p w14:paraId="73E11828" w14:textId="77777777" w:rsidR="00C025DD" w:rsidRPr="00270C34" w:rsidRDefault="00C025DD" w:rsidP="00C025DD">
            <w:pPr>
              <w:pStyle w:val="ListParagraph"/>
              <w:numPr>
                <w:ilvl w:val="0"/>
                <w:numId w:val="10"/>
              </w:numPr>
              <w:rPr>
                <w:rFonts w:ascii="Times New Roman" w:hAnsi="Times New Roman" w:cs="Times New Roman"/>
                <w:szCs w:val="24"/>
              </w:rPr>
            </w:pPr>
            <w:r w:rsidRPr="00270C34">
              <w:rPr>
                <w:rFonts w:ascii="Times New Roman" w:hAnsi="Times New Roman" w:cs="Times New Roman"/>
                <w:szCs w:val="24"/>
              </w:rPr>
              <w:t>1994-2016: Full exemption</w:t>
            </w:r>
          </w:p>
          <w:p w14:paraId="1D68BBC2" w14:textId="77777777" w:rsidR="00C025DD" w:rsidRPr="00270C34" w:rsidRDefault="00C025DD" w:rsidP="00C025DD">
            <w:pPr>
              <w:pStyle w:val="ListParagraph"/>
              <w:numPr>
                <w:ilvl w:val="0"/>
                <w:numId w:val="10"/>
              </w:numPr>
              <w:rPr>
                <w:rFonts w:ascii="Times New Roman" w:hAnsi="Times New Roman" w:cs="Times New Roman"/>
                <w:szCs w:val="24"/>
              </w:rPr>
            </w:pPr>
            <w:r w:rsidRPr="00270C34">
              <w:rPr>
                <w:rFonts w:ascii="Times New Roman" w:hAnsi="Times New Roman" w:cs="Times New Roman"/>
                <w:szCs w:val="24"/>
              </w:rPr>
              <w:t>2017-2024: Capped at $97,500 for private car</w:t>
            </w:r>
          </w:p>
          <w:p w14:paraId="55F7B374" w14:textId="77777777" w:rsidR="00C025DD" w:rsidRPr="00270C34" w:rsidRDefault="00C025DD" w:rsidP="00C025DD">
            <w:pPr>
              <w:pStyle w:val="ListParagraph"/>
              <w:numPr>
                <w:ilvl w:val="0"/>
                <w:numId w:val="10"/>
              </w:numPr>
              <w:rPr>
                <w:rFonts w:ascii="Times New Roman" w:hAnsi="Times New Roman" w:cs="Times New Roman"/>
                <w:szCs w:val="24"/>
              </w:rPr>
            </w:pPr>
            <w:r w:rsidRPr="00270C34">
              <w:rPr>
                <w:rFonts w:ascii="Times New Roman" w:hAnsi="Times New Roman" w:cs="Times New Roman"/>
                <w:szCs w:val="24"/>
              </w:rPr>
              <w:t>2018-2024: One-for-One Replacement Scheme: PC owners who scrap and deregister their old private car and then first register a new electric private car get higher capped at 250,000 in 2018-2020 and 275,000 from 2021</w:t>
            </w:r>
          </w:p>
          <w:p w14:paraId="1AAC48E7"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•Deduction of the capital expenditure incurred under profits tax for businesses that purchase eligible environment-friendly vehicles (2010-)</w:t>
            </w:r>
          </w:p>
          <w:p w14:paraId="5E757EA3" w14:textId="77777777" w:rsidR="00C025DD" w:rsidRPr="00270C34" w:rsidRDefault="00C025DD" w:rsidP="0017434E">
            <w:pPr>
              <w:rPr>
                <w:rFonts w:ascii="Times New Roman" w:hAnsi="Times New Roman" w:cs="Times New Roman"/>
                <w:szCs w:val="24"/>
              </w:rPr>
            </w:pPr>
          </w:p>
          <w:p w14:paraId="5C88204F"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Government grants</w:t>
            </w:r>
          </w:p>
          <w:p w14:paraId="6D4C628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•New Energy Transport Fund encouraging the transport sectors and charitable/non-profit-making organizations to try out and widely use green innovative and low-carbon transport technologies</w:t>
            </w:r>
          </w:p>
          <w:p w14:paraId="266C70C5" w14:textId="77777777" w:rsidR="00C025DD" w:rsidRPr="00270C34" w:rsidRDefault="00C025DD" w:rsidP="0017434E">
            <w:pPr>
              <w:rPr>
                <w:rFonts w:ascii="Times New Roman" w:hAnsi="Times New Roman" w:cs="Times New Roman"/>
                <w:szCs w:val="24"/>
              </w:rPr>
            </w:pPr>
          </w:p>
        </w:tc>
        <w:tc>
          <w:tcPr>
            <w:tcW w:w="2835" w:type="dxa"/>
            <w:tcBorders>
              <w:top w:val="nil"/>
              <w:left w:val="nil"/>
              <w:bottom w:val="nil"/>
              <w:right w:val="nil"/>
            </w:tcBorders>
          </w:tcPr>
          <w:p w14:paraId="292EF123"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nil"/>
              <w:right w:val="nil"/>
            </w:tcBorders>
          </w:tcPr>
          <w:p w14:paraId="08E58EB4"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Charging infrastructure promotion policy</w:t>
            </w:r>
          </w:p>
          <w:p w14:paraId="69A051B3"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•EV-charging at Home Subsidy Scheme (EHSS) (2019-)</w:t>
            </w:r>
          </w:p>
          <w:p w14:paraId="466B36B7" w14:textId="77777777" w:rsidR="00C025DD" w:rsidRPr="00270C34" w:rsidRDefault="00C025DD" w:rsidP="0017434E">
            <w:pPr>
              <w:rPr>
                <w:rFonts w:ascii="Times New Roman" w:hAnsi="Times New Roman" w:cs="Times New Roman"/>
                <w:szCs w:val="24"/>
              </w:rPr>
            </w:pPr>
          </w:p>
        </w:tc>
      </w:tr>
      <w:tr w:rsidR="00C025DD" w:rsidRPr="00270C34" w14:paraId="097BC3D4" w14:textId="77777777" w:rsidTr="00C025DD">
        <w:trPr>
          <w:jc w:val="center"/>
        </w:trPr>
        <w:tc>
          <w:tcPr>
            <w:tcW w:w="1165" w:type="dxa"/>
            <w:tcBorders>
              <w:top w:val="nil"/>
              <w:left w:val="nil"/>
              <w:bottom w:val="nil"/>
              <w:right w:val="nil"/>
            </w:tcBorders>
          </w:tcPr>
          <w:p w14:paraId="2C8C0216"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Taiwan</w:t>
            </w:r>
          </w:p>
          <w:p w14:paraId="1238CB01" w14:textId="77777777" w:rsidR="00C025DD" w:rsidRPr="00270C34" w:rsidRDefault="00C025DD" w:rsidP="0017434E">
            <w:pPr>
              <w:rPr>
                <w:rFonts w:ascii="Times New Roman" w:hAnsi="Times New Roman" w:cs="Times New Roman"/>
                <w:b/>
                <w:bCs/>
                <w:szCs w:val="24"/>
              </w:rPr>
            </w:pPr>
          </w:p>
        </w:tc>
        <w:tc>
          <w:tcPr>
            <w:tcW w:w="3088" w:type="dxa"/>
            <w:tcBorders>
              <w:top w:val="nil"/>
              <w:left w:val="nil"/>
              <w:bottom w:val="nil"/>
              <w:right w:val="nil"/>
            </w:tcBorders>
          </w:tcPr>
          <w:p w14:paraId="27D0A401"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 xml:space="preserve">Subsidies </w:t>
            </w:r>
          </w:p>
          <w:p w14:paraId="0A308E83"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•Purchase subsidy available only for 2-wheeler (NTD10000 until 2019 and NTD7000 until 2026)</w:t>
            </w:r>
          </w:p>
          <w:p w14:paraId="03D7EA6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•Electric Scooter Industry Environmental Value-Added Subsidy Program (2023-2026)</w:t>
            </w:r>
          </w:p>
          <w:p w14:paraId="0D47DE04" w14:textId="77777777" w:rsidR="00C025DD" w:rsidRPr="00270C34" w:rsidRDefault="00C025DD" w:rsidP="00C025DD">
            <w:pPr>
              <w:pStyle w:val="ListParagraph"/>
              <w:numPr>
                <w:ilvl w:val="0"/>
                <w:numId w:val="11"/>
              </w:numPr>
              <w:rPr>
                <w:rFonts w:ascii="Times New Roman" w:hAnsi="Times New Roman" w:cs="Times New Roman"/>
                <w:szCs w:val="24"/>
              </w:rPr>
            </w:pPr>
            <w:r w:rsidRPr="00270C34">
              <w:rPr>
                <w:rFonts w:ascii="Times New Roman" w:hAnsi="Times New Roman" w:cs="Times New Roman"/>
                <w:szCs w:val="24"/>
              </w:rPr>
              <w:t>Subsidies for the purchase of electric scooters</w:t>
            </w:r>
          </w:p>
          <w:p w14:paraId="191CF135" w14:textId="77777777" w:rsidR="00C025DD" w:rsidRPr="00270C34" w:rsidRDefault="00C025DD" w:rsidP="00C025DD">
            <w:pPr>
              <w:pStyle w:val="ListParagraph"/>
              <w:numPr>
                <w:ilvl w:val="0"/>
                <w:numId w:val="11"/>
              </w:numPr>
              <w:rPr>
                <w:rFonts w:ascii="Times New Roman" w:hAnsi="Times New Roman" w:cs="Times New Roman"/>
                <w:szCs w:val="24"/>
              </w:rPr>
            </w:pPr>
            <w:r w:rsidRPr="00270C34">
              <w:rPr>
                <w:rFonts w:ascii="Times New Roman" w:hAnsi="Times New Roman" w:cs="Times New Roman"/>
                <w:szCs w:val="24"/>
              </w:rPr>
              <w:t>Installation of battery charging and swapping facilities</w:t>
            </w:r>
          </w:p>
          <w:p w14:paraId="065E491C" w14:textId="77777777" w:rsidR="00C025DD" w:rsidRPr="00270C34" w:rsidRDefault="00C025DD" w:rsidP="00C025DD">
            <w:pPr>
              <w:pStyle w:val="ListParagraph"/>
              <w:numPr>
                <w:ilvl w:val="0"/>
                <w:numId w:val="11"/>
              </w:numPr>
              <w:rPr>
                <w:rFonts w:ascii="Times New Roman" w:hAnsi="Times New Roman" w:cs="Times New Roman"/>
                <w:szCs w:val="24"/>
              </w:rPr>
            </w:pPr>
            <w:r w:rsidRPr="00270C34">
              <w:rPr>
                <w:rFonts w:ascii="Times New Roman" w:hAnsi="Times New Roman" w:cs="Times New Roman"/>
                <w:szCs w:val="24"/>
              </w:rPr>
              <w:t>Transformation of traditional scooter shops</w:t>
            </w:r>
          </w:p>
          <w:p w14:paraId="6A277C41"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lastRenderedPageBreak/>
              <w:t>• A subsidy of NT$3.34 million was provided to public bus and long-distance coach operators for each purchase of an electric vehicle</w:t>
            </w:r>
          </w:p>
          <w:p w14:paraId="07D6B597"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 xml:space="preserve">Tax </w:t>
            </w:r>
          </w:p>
          <w:p w14:paraId="53010B8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Exemption from vehicle license tax and fuel tax</w:t>
            </w:r>
          </w:p>
          <w:p w14:paraId="6A23A07D" w14:textId="77777777" w:rsidR="00C025DD" w:rsidRPr="00784758" w:rsidRDefault="00C025DD" w:rsidP="0017434E">
            <w:pPr>
              <w:rPr>
                <w:rFonts w:ascii="Times New Roman" w:hAnsi="Times New Roman" w:cs="Times New Roman"/>
                <w:szCs w:val="24"/>
              </w:rPr>
            </w:pPr>
            <w:r w:rsidRPr="00270C34">
              <w:rPr>
                <w:rFonts w:ascii="Times New Roman" w:hAnsi="Times New Roman" w:cs="Times New Roman"/>
                <w:szCs w:val="24"/>
              </w:rPr>
              <w:t>• Up to NTD 50</w:t>
            </w:r>
            <w:r>
              <w:rPr>
                <w:rFonts w:ascii="Times New Roman" w:hAnsi="Times New Roman" w:cs="Times New Roman"/>
                <w:szCs w:val="24"/>
              </w:rPr>
              <w:t>,000 reduction in commodity tax</w:t>
            </w:r>
          </w:p>
        </w:tc>
        <w:tc>
          <w:tcPr>
            <w:tcW w:w="2835" w:type="dxa"/>
            <w:tcBorders>
              <w:top w:val="nil"/>
              <w:left w:val="nil"/>
              <w:bottom w:val="nil"/>
              <w:right w:val="nil"/>
            </w:tcBorders>
          </w:tcPr>
          <w:p w14:paraId="73D0DDE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lastRenderedPageBreak/>
              <w:t>• Partial exemption or discounts on parking or charging fees for EVs at local government-owned parking lots</w:t>
            </w:r>
          </w:p>
          <w:p w14:paraId="2EDF03B3"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nil"/>
              <w:right w:val="nil"/>
            </w:tcBorders>
          </w:tcPr>
          <w:p w14:paraId="3C9DB6D4" w14:textId="77777777" w:rsidR="00C025DD" w:rsidRPr="00270C34" w:rsidRDefault="00C025DD" w:rsidP="0017434E">
            <w:pPr>
              <w:rPr>
                <w:rFonts w:ascii="Times New Roman" w:hAnsi="Times New Roman" w:cs="Times New Roman"/>
                <w:b/>
                <w:bCs/>
                <w:szCs w:val="24"/>
              </w:rPr>
            </w:pPr>
          </w:p>
        </w:tc>
      </w:tr>
      <w:tr w:rsidR="00C025DD" w:rsidRPr="00270C34" w14:paraId="704B3441" w14:textId="77777777" w:rsidTr="00F70984">
        <w:trPr>
          <w:jc w:val="center"/>
        </w:trPr>
        <w:tc>
          <w:tcPr>
            <w:tcW w:w="1165" w:type="dxa"/>
            <w:tcBorders>
              <w:top w:val="nil"/>
              <w:left w:val="nil"/>
              <w:bottom w:val="nil"/>
              <w:right w:val="nil"/>
            </w:tcBorders>
          </w:tcPr>
          <w:p w14:paraId="6C144333"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Turkey</w:t>
            </w:r>
          </w:p>
          <w:p w14:paraId="6062FBA7" w14:textId="77777777" w:rsidR="00C025DD" w:rsidRPr="00270C34" w:rsidRDefault="00C025DD" w:rsidP="0017434E">
            <w:pPr>
              <w:rPr>
                <w:rFonts w:ascii="Times New Roman" w:hAnsi="Times New Roman" w:cs="Times New Roman"/>
                <w:b/>
                <w:bCs/>
                <w:szCs w:val="24"/>
              </w:rPr>
            </w:pPr>
          </w:p>
        </w:tc>
        <w:tc>
          <w:tcPr>
            <w:tcW w:w="3088" w:type="dxa"/>
            <w:tcBorders>
              <w:top w:val="nil"/>
              <w:left w:val="nil"/>
              <w:bottom w:val="nil"/>
              <w:right w:val="nil"/>
            </w:tcBorders>
          </w:tcPr>
          <w:p w14:paraId="505D26E2"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 xml:space="preserve">Tax </w:t>
            </w:r>
          </w:p>
          <w:p w14:paraId="20A9978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•Low BEV consumption tax (2011-2021: 3-15%, 2021-: 10-60%) compared to ICEVs (45-160%)</w:t>
            </w:r>
          </w:p>
          <w:p w14:paraId="2527C1D5"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•0% motor vehicle tax until 2018 then increased to 25% of ICEVs of equivalent power</w:t>
            </w:r>
          </w:p>
          <w:p w14:paraId="0143D868" w14:textId="77777777" w:rsidR="00C025DD" w:rsidRPr="00270C34" w:rsidRDefault="00C025DD" w:rsidP="0017434E">
            <w:pPr>
              <w:rPr>
                <w:rFonts w:ascii="Times New Roman" w:hAnsi="Times New Roman" w:cs="Times New Roman"/>
                <w:b/>
                <w:bCs/>
                <w:szCs w:val="24"/>
              </w:rPr>
            </w:pPr>
          </w:p>
        </w:tc>
        <w:tc>
          <w:tcPr>
            <w:tcW w:w="2835" w:type="dxa"/>
            <w:tcBorders>
              <w:top w:val="nil"/>
              <w:left w:val="nil"/>
              <w:bottom w:val="nil"/>
              <w:right w:val="nil"/>
            </w:tcBorders>
          </w:tcPr>
          <w:p w14:paraId="22D1C0F6"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nil"/>
              <w:right w:val="nil"/>
            </w:tcBorders>
          </w:tcPr>
          <w:p w14:paraId="63E4532A"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Charging infrastructure</w:t>
            </w:r>
          </w:p>
          <w:p w14:paraId="495767A2"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•Requirement to have at least 1/50 of the maximum vehicle capacity of EVCSs in private and shopping mall car parks</w:t>
            </w:r>
          </w:p>
          <w:p w14:paraId="392F8D44" w14:textId="77777777" w:rsidR="00C025DD" w:rsidRPr="00270C34" w:rsidRDefault="00C025DD" w:rsidP="0017434E">
            <w:pPr>
              <w:rPr>
                <w:rFonts w:ascii="Times New Roman" w:hAnsi="Times New Roman" w:cs="Times New Roman"/>
                <w:b/>
                <w:bCs/>
                <w:szCs w:val="24"/>
              </w:rPr>
            </w:pPr>
          </w:p>
        </w:tc>
      </w:tr>
      <w:tr w:rsidR="00C025DD" w:rsidRPr="00270C34" w14:paraId="24DAB470" w14:textId="77777777" w:rsidTr="00F70984">
        <w:trPr>
          <w:jc w:val="center"/>
        </w:trPr>
        <w:tc>
          <w:tcPr>
            <w:tcW w:w="1165" w:type="dxa"/>
            <w:tcBorders>
              <w:top w:val="nil"/>
              <w:left w:val="nil"/>
              <w:bottom w:val="single" w:sz="4" w:space="0" w:color="auto"/>
              <w:right w:val="nil"/>
            </w:tcBorders>
          </w:tcPr>
          <w:p w14:paraId="1020978E"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UAE </w:t>
            </w:r>
          </w:p>
          <w:p w14:paraId="4D62D277" w14:textId="77777777" w:rsidR="00C025DD" w:rsidRPr="00270C34" w:rsidRDefault="00C025DD" w:rsidP="0017434E">
            <w:pPr>
              <w:rPr>
                <w:rFonts w:ascii="Times New Roman" w:hAnsi="Times New Roman" w:cs="Times New Roman"/>
                <w:b/>
                <w:bCs/>
                <w:szCs w:val="24"/>
              </w:rPr>
            </w:pPr>
          </w:p>
        </w:tc>
        <w:tc>
          <w:tcPr>
            <w:tcW w:w="3088" w:type="dxa"/>
            <w:tcBorders>
              <w:top w:val="nil"/>
              <w:left w:val="nil"/>
              <w:bottom w:val="single" w:sz="4" w:space="0" w:color="auto"/>
              <w:right w:val="nil"/>
            </w:tcBorders>
          </w:tcPr>
          <w:p w14:paraId="6330FBB1" w14:textId="77777777" w:rsidR="00C025DD" w:rsidRPr="00270C34" w:rsidRDefault="00C025DD" w:rsidP="0017434E">
            <w:pPr>
              <w:rPr>
                <w:rFonts w:ascii="Times New Roman" w:hAnsi="Times New Roman" w:cs="Times New Roman"/>
                <w:b/>
                <w:bCs/>
                <w:szCs w:val="24"/>
              </w:rPr>
            </w:pPr>
          </w:p>
        </w:tc>
        <w:tc>
          <w:tcPr>
            <w:tcW w:w="2835" w:type="dxa"/>
            <w:tcBorders>
              <w:top w:val="nil"/>
              <w:left w:val="nil"/>
              <w:bottom w:val="single" w:sz="4" w:space="0" w:color="auto"/>
              <w:right w:val="nil"/>
            </w:tcBorders>
          </w:tcPr>
          <w:p w14:paraId="693494A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•Dedicated free EV parking spaces</w:t>
            </w:r>
          </w:p>
          <w:p w14:paraId="2138E02F"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 xml:space="preserve">•Free Salik tag (sticker holding an electronic chip used to pay toll charges)  </w:t>
            </w:r>
          </w:p>
          <w:p w14:paraId="1DFD200D"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•Free charging through the public EV charging network of the Dubai Electricity and Water Authority</w:t>
            </w:r>
          </w:p>
          <w:p w14:paraId="12C35650"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•Exempted EVs from road tolls</w:t>
            </w:r>
          </w:p>
          <w:p w14:paraId="6AD2E864"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•Reduction of registration fee</w:t>
            </w:r>
          </w:p>
          <w:p w14:paraId="382A4069" w14:textId="77777777" w:rsidR="00C025DD" w:rsidRPr="00270C34" w:rsidRDefault="00C025DD" w:rsidP="0017434E">
            <w:pPr>
              <w:rPr>
                <w:rFonts w:ascii="Times New Roman" w:hAnsi="Times New Roman" w:cs="Times New Roman"/>
                <w:szCs w:val="24"/>
              </w:rPr>
            </w:pPr>
          </w:p>
        </w:tc>
        <w:tc>
          <w:tcPr>
            <w:tcW w:w="3118" w:type="dxa"/>
            <w:tcBorders>
              <w:top w:val="nil"/>
              <w:left w:val="nil"/>
              <w:bottom w:val="single" w:sz="4" w:space="0" w:color="auto"/>
              <w:right w:val="nil"/>
            </w:tcBorders>
          </w:tcPr>
          <w:p w14:paraId="47F5CE31" w14:textId="77777777" w:rsidR="00C025DD" w:rsidRPr="00270C34" w:rsidRDefault="00C025DD" w:rsidP="0017434E">
            <w:pPr>
              <w:rPr>
                <w:rFonts w:ascii="Times New Roman" w:hAnsi="Times New Roman" w:cs="Times New Roman"/>
                <w:b/>
                <w:bCs/>
                <w:szCs w:val="24"/>
              </w:rPr>
            </w:pPr>
            <w:r w:rsidRPr="00270C34">
              <w:rPr>
                <w:rFonts w:ascii="Times New Roman" w:hAnsi="Times New Roman" w:cs="Times New Roman"/>
                <w:b/>
                <w:bCs/>
                <w:szCs w:val="24"/>
              </w:rPr>
              <w:t>Regulation</w:t>
            </w:r>
          </w:p>
          <w:p w14:paraId="3BF403AB" w14:textId="77777777" w:rsidR="00C025DD" w:rsidRPr="00270C34" w:rsidRDefault="00C025DD" w:rsidP="0017434E">
            <w:pPr>
              <w:rPr>
                <w:rFonts w:ascii="Times New Roman" w:hAnsi="Times New Roman" w:cs="Times New Roman"/>
                <w:szCs w:val="24"/>
              </w:rPr>
            </w:pPr>
            <w:r w:rsidRPr="00270C34">
              <w:rPr>
                <w:rFonts w:ascii="Times New Roman" w:hAnsi="Times New Roman" w:cs="Times New Roman"/>
                <w:szCs w:val="24"/>
              </w:rPr>
              <w:t>•Annual 10% mandatory purchase of green vehicles by Dubai Government entities</w:t>
            </w:r>
          </w:p>
          <w:p w14:paraId="1B3D971B" w14:textId="77777777" w:rsidR="00C025DD" w:rsidRPr="00270C34" w:rsidRDefault="00C025DD" w:rsidP="0017434E">
            <w:pPr>
              <w:rPr>
                <w:rFonts w:ascii="Times New Roman" w:hAnsi="Times New Roman" w:cs="Times New Roman"/>
                <w:b/>
                <w:bCs/>
                <w:szCs w:val="24"/>
              </w:rPr>
            </w:pPr>
          </w:p>
        </w:tc>
      </w:tr>
    </w:tbl>
    <w:p w14:paraId="1C9B5137" w14:textId="77777777" w:rsidR="00C513C9" w:rsidRPr="00B024DC" w:rsidRDefault="00C513C9" w:rsidP="00D7509F">
      <w:pPr>
        <w:rPr>
          <w:rFonts w:ascii="Times New Roman" w:hAnsi="Times New Roman" w:cs="Times New Roman"/>
          <w:sz w:val="24"/>
          <w:szCs w:val="24"/>
        </w:rPr>
      </w:pPr>
    </w:p>
    <w:sectPr w:rsidR="00C513C9" w:rsidRPr="00B024DC" w:rsidSect="00B4713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E6E9E"/>
    <w:multiLevelType w:val="hybridMultilevel"/>
    <w:tmpl w:val="D88E7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512FA"/>
    <w:multiLevelType w:val="hybridMultilevel"/>
    <w:tmpl w:val="D1F07B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73973"/>
    <w:multiLevelType w:val="hybridMultilevel"/>
    <w:tmpl w:val="C9BE2C4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00F1E97"/>
    <w:multiLevelType w:val="hybridMultilevel"/>
    <w:tmpl w:val="77987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6F1D71"/>
    <w:multiLevelType w:val="hybridMultilevel"/>
    <w:tmpl w:val="6FFEF4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C37ED"/>
    <w:multiLevelType w:val="hybridMultilevel"/>
    <w:tmpl w:val="240EA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CD3CFC"/>
    <w:multiLevelType w:val="hybridMultilevel"/>
    <w:tmpl w:val="9A7862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0E3ED2"/>
    <w:multiLevelType w:val="hybridMultilevel"/>
    <w:tmpl w:val="938A9B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C86309"/>
    <w:multiLevelType w:val="hybridMultilevel"/>
    <w:tmpl w:val="59322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C74629"/>
    <w:multiLevelType w:val="hybridMultilevel"/>
    <w:tmpl w:val="D230F3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F23B4F"/>
    <w:multiLevelType w:val="hybridMultilevel"/>
    <w:tmpl w:val="091496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E81452"/>
    <w:multiLevelType w:val="hybridMultilevel"/>
    <w:tmpl w:val="63180A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711AAF"/>
    <w:multiLevelType w:val="hybridMultilevel"/>
    <w:tmpl w:val="D1CC0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EE1D64"/>
    <w:multiLevelType w:val="hybridMultilevel"/>
    <w:tmpl w:val="88A24A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3807B9"/>
    <w:multiLevelType w:val="hybridMultilevel"/>
    <w:tmpl w:val="FAC62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52668189">
    <w:abstractNumId w:val="14"/>
  </w:num>
  <w:num w:numId="2" w16cid:durableId="1726760243">
    <w:abstractNumId w:val="5"/>
  </w:num>
  <w:num w:numId="3" w16cid:durableId="1877043181">
    <w:abstractNumId w:val="10"/>
  </w:num>
  <w:num w:numId="4" w16cid:durableId="1382826979">
    <w:abstractNumId w:val="9"/>
  </w:num>
  <w:num w:numId="5" w16cid:durableId="223956728">
    <w:abstractNumId w:val="0"/>
  </w:num>
  <w:num w:numId="6" w16cid:durableId="1978994412">
    <w:abstractNumId w:val="12"/>
  </w:num>
  <w:num w:numId="7" w16cid:durableId="440565713">
    <w:abstractNumId w:val="6"/>
  </w:num>
  <w:num w:numId="8" w16cid:durableId="1454901311">
    <w:abstractNumId w:val="1"/>
  </w:num>
  <w:num w:numId="9" w16cid:durableId="1405683596">
    <w:abstractNumId w:val="7"/>
  </w:num>
  <w:num w:numId="10" w16cid:durableId="158427145">
    <w:abstractNumId w:val="8"/>
  </w:num>
  <w:num w:numId="11" w16cid:durableId="370039209">
    <w:abstractNumId w:val="4"/>
  </w:num>
  <w:num w:numId="12" w16cid:durableId="866992082">
    <w:abstractNumId w:val="11"/>
  </w:num>
  <w:num w:numId="13" w16cid:durableId="1019818131">
    <w:abstractNumId w:val="13"/>
  </w:num>
  <w:num w:numId="14" w16cid:durableId="1189293930">
    <w:abstractNumId w:val="2"/>
  </w:num>
  <w:num w:numId="15" w16cid:durableId="1495563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c1NTQwNzY3MDGxsDRR0lEKTi0uzszPAykwqgUAfx0I4SwAAAA="/>
  </w:docVars>
  <w:rsids>
    <w:rsidRoot w:val="00D7509F"/>
    <w:rsid w:val="00203AAC"/>
    <w:rsid w:val="00240F36"/>
    <w:rsid w:val="002B70BB"/>
    <w:rsid w:val="002E3131"/>
    <w:rsid w:val="00350495"/>
    <w:rsid w:val="003C3809"/>
    <w:rsid w:val="003E1E5B"/>
    <w:rsid w:val="004C2B78"/>
    <w:rsid w:val="00567959"/>
    <w:rsid w:val="0064037C"/>
    <w:rsid w:val="00677E9F"/>
    <w:rsid w:val="00775672"/>
    <w:rsid w:val="00823101"/>
    <w:rsid w:val="00890C20"/>
    <w:rsid w:val="009D2FA2"/>
    <w:rsid w:val="00A04A88"/>
    <w:rsid w:val="00A54D6B"/>
    <w:rsid w:val="00A8524E"/>
    <w:rsid w:val="00B024DC"/>
    <w:rsid w:val="00B036A9"/>
    <w:rsid w:val="00B47136"/>
    <w:rsid w:val="00C025DD"/>
    <w:rsid w:val="00C513C9"/>
    <w:rsid w:val="00D57A3D"/>
    <w:rsid w:val="00D7509F"/>
    <w:rsid w:val="00E14F1B"/>
    <w:rsid w:val="00E94D40"/>
    <w:rsid w:val="00EB713F"/>
    <w:rsid w:val="00EC08EF"/>
    <w:rsid w:val="00F15116"/>
    <w:rsid w:val="00F70984"/>
    <w:rsid w:val="00FE014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9B27B"/>
  <w15:chartTrackingRefBased/>
  <w15:docId w15:val="{A2879297-B31C-45FC-86EE-14CB5BF2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8"/>
        <w:lang w:val="en-US" w:eastAsia="ja-JP"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5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509F"/>
    <w:pPr>
      <w:ind w:left="720"/>
      <w:contextualSpacing/>
    </w:pPr>
  </w:style>
  <w:style w:type="character" w:styleId="CommentReference">
    <w:name w:val="annotation reference"/>
    <w:basedOn w:val="DefaultParagraphFont"/>
    <w:uiPriority w:val="99"/>
    <w:semiHidden/>
    <w:unhideWhenUsed/>
    <w:rsid w:val="00C025DD"/>
    <w:rPr>
      <w:sz w:val="16"/>
      <w:szCs w:val="16"/>
    </w:rPr>
  </w:style>
  <w:style w:type="paragraph" w:styleId="CommentText">
    <w:name w:val="annotation text"/>
    <w:basedOn w:val="Normal"/>
    <w:link w:val="CommentTextChar"/>
    <w:uiPriority w:val="99"/>
    <w:unhideWhenUsed/>
    <w:rsid w:val="00C025DD"/>
    <w:pPr>
      <w:spacing w:line="240" w:lineRule="auto"/>
    </w:pPr>
    <w:rPr>
      <w:sz w:val="20"/>
      <w:szCs w:val="25"/>
    </w:rPr>
  </w:style>
  <w:style w:type="character" w:customStyle="1" w:styleId="CommentTextChar">
    <w:name w:val="Comment Text Char"/>
    <w:basedOn w:val="DefaultParagraphFont"/>
    <w:link w:val="CommentText"/>
    <w:uiPriority w:val="99"/>
    <w:rsid w:val="00C025DD"/>
    <w:rPr>
      <w:sz w:val="20"/>
      <w:szCs w:val="25"/>
    </w:rPr>
  </w:style>
  <w:style w:type="paragraph" w:styleId="BalloonText">
    <w:name w:val="Balloon Text"/>
    <w:basedOn w:val="Normal"/>
    <w:link w:val="BalloonTextChar"/>
    <w:uiPriority w:val="99"/>
    <w:semiHidden/>
    <w:unhideWhenUsed/>
    <w:rsid w:val="00C025D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C025DD"/>
    <w:rPr>
      <w:rFonts w:ascii="Segoe UI" w:hAnsi="Segoe UI" w:cs="Angsana New"/>
      <w:sz w:val="18"/>
      <w:szCs w:val="22"/>
    </w:rPr>
  </w:style>
  <w:style w:type="paragraph" w:styleId="Revision">
    <w:name w:val="Revision"/>
    <w:hidden/>
    <w:uiPriority w:val="99"/>
    <w:semiHidden/>
    <w:rsid w:val="00240F36"/>
    <w:pPr>
      <w:spacing w:after="0" w:line="240" w:lineRule="auto"/>
    </w:pPr>
  </w:style>
  <w:style w:type="paragraph" w:styleId="CommentSubject">
    <w:name w:val="annotation subject"/>
    <w:basedOn w:val="CommentText"/>
    <w:next w:val="CommentText"/>
    <w:link w:val="CommentSubjectChar"/>
    <w:uiPriority w:val="99"/>
    <w:semiHidden/>
    <w:unhideWhenUsed/>
    <w:rsid w:val="00240F36"/>
    <w:rPr>
      <w:b/>
      <w:bCs/>
    </w:rPr>
  </w:style>
  <w:style w:type="character" w:customStyle="1" w:styleId="CommentSubjectChar">
    <w:name w:val="Comment Subject Char"/>
    <w:basedOn w:val="CommentTextChar"/>
    <w:link w:val="CommentSubject"/>
    <w:uiPriority w:val="99"/>
    <w:semiHidden/>
    <w:rsid w:val="00240F36"/>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4048</Words>
  <Characters>24288</Characters>
  <Application>Microsoft Office Word</Application>
  <DocSecurity>0</DocSecurity>
  <Lines>1868</Lines>
  <Paragraphs>658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ゲオアップソン パタラドゥン</dc:creator>
  <cp:keywords/>
  <dc:description/>
  <cp:lastModifiedBy>ADBI</cp:lastModifiedBy>
  <cp:revision>4</cp:revision>
  <dcterms:created xsi:type="dcterms:W3CDTF">2024-10-31T07:06:00Z</dcterms:created>
  <dcterms:modified xsi:type="dcterms:W3CDTF">2024-11-30T22:49:00Z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251ccb1c-b45f-4ef9-a11c-13215fe3a79c</vt:lpwstr>
  </property>
</Properties>
</file>