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BD3AF" w14:textId="15B9DA04" w:rsidR="00927889" w:rsidRPr="00FD5018" w:rsidRDefault="00927889" w:rsidP="00FA606D">
      <w:pPr>
        <w:jc w:val="center"/>
        <w:rPr>
          <w:b/>
          <w:bCs/>
          <w:sz w:val="22"/>
          <w:szCs w:val="20"/>
        </w:rPr>
      </w:pPr>
      <w:r w:rsidRPr="00FD5018">
        <w:rPr>
          <w:b/>
          <w:bCs/>
          <w:sz w:val="20"/>
          <w:szCs w:val="18"/>
        </w:rPr>
        <w:t xml:space="preserve">Table S1. </w:t>
      </w:r>
      <w:r w:rsidRPr="00FD5018">
        <w:rPr>
          <w:sz w:val="20"/>
          <w:szCs w:val="18"/>
        </w:rPr>
        <w:t>Proposed triangular fuzzy numbers for effective factors on the likelihood of failure (LoF). In all of the presented fuzzy classifications, the lower the class, the better the factor status</w:t>
      </w:r>
      <w:r w:rsidR="00FA606D" w:rsidRPr="00FD5018">
        <w:rPr>
          <w:sz w:val="20"/>
          <w:szCs w:val="18"/>
        </w:rPr>
        <w:t>.</w:t>
      </w:r>
    </w:p>
    <w:tbl>
      <w:tblPr>
        <w:tblStyle w:val="TableGrid"/>
        <w:bidiVisual/>
        <w:tblW w:w="14520" w:type="dxa"/>
        <w:jc w:val="center"/>
        <w:tblLook w:val="04A0" w:firstRow="1" w:lastRow="0" w:firstColumn="1" w:lastColumn="0" w:noHBand="0" w:noVBand="1"/>
      </w:tblPr>
      <w:tblGrid>
        <w:gridCol w:w="1727"/>
        <w:gridCol w:w="7433"/>
        <w:gridCol w:w="3564"/>
        <w:gridCol w:w="1796"/>
      </w:tblGrid>
      <w:tr w:rsidR="00153084" w:rsidRPr="004259B8" w14:paraId="3B71B74A" w14:textId="77777777" w:rsidTr="00ED00C7">
        <w:trPr>
          <w:trHeight w:val="262"/>
          <w:tblHeader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7E764BBF" w14:textId="194B4AAB" w:rsidR="00153084" w:rsidRPr="00B64F2D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B64F2D">
              <w:rPr>
                <w:sz w:val="20"/>
                <w:szCs w:val="18"/>
              </w:rPr>
              <w:t xml:space="preserve">Corresponding </w:t>
            </w:r>
            <w:bookmarkStart w:id="0" w:name="_Hlk96886888"/>
            <w:r w:rsidRPr="00B64F2D">
              <w:rPr>
                <w:sz w:val="20"/>
                <w:szCs w:val="18"/>
              </w:rPr>
              <w:t>triangular fuzzy numbers</w:t>
            </w:r>
            <w:bookmarkEnd w:id="0"/>
          </w:p>
        </w:tc>
        <w:tc>
          <w:tcPr>
            <w:tcW w:w="7433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8BAC77" w14:textId="06172FF1" w:rsidR="00153084" w:rsidRPr="00B64F2D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bookmarkStart w:id="1" w:name="_Hlk96886861"/>
            <w:r w:rsidRPr="00B64F2D">
              <w:rPr>
                <w:sz w:val="20"/>
                <w:szCs w:val="18"/>
              </w:rPr>
              <w:t xml:space="preserve">Quantitative/qualitative/nominal </w:t>
            </w:r>
            <w:bookmarkEnd w:id="1"/>
            <w:r w:rsidR="00ED00C7" w:rsidRPr="00B64F2D">
              <w:rPr>
                <w:sz w:val="20"/>
                <w:szCs w:val="18"/>
              </w:rPr>
              <w:t>classification</w:t>
            </w:r>
            <w:r w:rsidRPr="00B64F2D">
              <w:rPr>
                <w:sz w:val="20"/>
                <w:szCs w:val="18"/>
              </w:rPr>
              <w:t xml:space="preserve"> of each </w:t>
            </w:r>
            <w:r w:rsidR="00ED00C7" w:rsidRPr="00B64F2D">
              <w:rPr>
                <w:sz w:val="20"/>
                <w:szCs w:val="18"/>
              </w:rPr>
              <w:t>effective</w:t>
            </w:r>
            <w:r w:rsidRPr="00B64F2D">
              <w:rPr>
                <w:sz w:val="20"/>
                <w:szCs w:val="18"/>
              </w:rPr>
              <w:t xml:space="preserve"> factor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B44EABB" w14:textId="047D5F77" w:rsidR="00153084" w:rsidRPr="00B64F2D" w:rsidRDefault="00ED00C7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B64F2D">
              <w:rPr>
                <w:sz w:val="20"/>
                <w:szCs w:val="18"/>
              </w:rPr>
              <w:t>Effective factors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DEDC3A7" w14:textId="3E5A55C2" w:rsidR="00153084" w:rsidRPr="002D45EA" w:rsidRDefault="00ED00C7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2D45EA">
              <w:rPr>
                <w:sz w:val="20"/>
                <w:szCs w:val="18"/>
              </w:rPr>
              <w:t>Main effective groups</w:t>
            </w:r>
          </w:p>
        </w:tc>
      </w:tr>
      <w:tr w:rsidR="00153084" w:rsidRPr="004259B8" w14:paraId="084CE327" w14:textId="58814754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  <w:hideMark/>
          </w:tcPr>
          <w:p w14:paraId="3D97EC31" w14:textId="42D59834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18"/>
                      <w:szCs w:val="1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sz w:val="18"/>
                          <w:szCs w:val="16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 xml:space="preserve">(0,0,3) 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(2,5,8)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6"/>
                        </w:rPr>
                        <m:t xml:space="preserve"> </m:t>
                      </m:r>
                      <m:ctrlPr>
                        <w:rPr>
                          <w:rFonts w:ascii="Cambria Math" w:eastAsia="Cambria Math" w:hAnsi="Cambria Math" w:cs="Times New Roman"/>
                          <w:sz w:val="18"/>
                          <w:szCs w:val="16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(7,10,10)</m:t>
                      </m:r>
                    </m:e>
                  </m:eqArr>
                </m:e>
              </m:d>
            </m:oMath>
            <w:r w:rsidR="00153084" w:rsidRPr="0092457B">
              <w:rPr>
                <w:sz w:val="20"/>
                <w:szCs w:val="18"/>
              </w:rPr>
              <w:t xml:space="preserve"> </w:t>
            </w:r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2473BEA1" w14:textId="03CD4141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0"/>
                      <w:szCs w:val="1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 xml:space="preserve">2-5 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 xml:space="preserve">&gt;5 </m:t>
                      </m:r>
                      <m:ctrlPr>
                        <w:rPr>
                          <w:rFonts w:ascii="Cambria Math" w:eastAsia="Cambria Math" w:hAnsi="Cambria Math" w:cs="Times New Roman"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Times New Roman"/>
                          <w:sz w:val="20"/>
                          <w:szCs w:val="18"/>
                        </w:rPr>
                        <m:t>&lt;2</m:t>
                      </m:r>
                    </m:e>
                  </m:eqArr>
                </m:e>
              </m:d>
            </m:oMath>
            <w:r w:rsidR="00153084">
              <w:rPr>
                <w:sz w:val="22"/>
                <w:szCs w:val="20"/>
              </w:rPr>
              <w:t xml:space="preserve"> in meter</w:t>
            </w:r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3C1009B4" w14:textId="1D641B30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Pipe depth</w:t>
            </w:r>
          </w:p>
        </w:tc>
        <w:tc>
          <w:tcPr>
            <w:tcW w:w="1796" w:type="dxa"/>
            <w:vMerge w:val="restart"/>
            <w:tcBorders>
              <w:left w:val="nil"/>
              <w:right w:val="nil"/>
            </w:tcBorders>
            <w:vAlign w:val="center"/>
          </w:tcPr>
          <w:p w14:paraId="087F7748" w14:textId="4AEC0DA9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2D45EA">
              <w:rPr>
                <w:sz w:val="20"/>
                <w:szCs w:val="18"/>
              </w:rPr>
              <w:t>Construction factors</w:t>
            </w:r>
          </w:p>
        </w:tc>
      </w:tr>
      <w:tr w:rsidR="00153084" w:rsidRPr="004259B8" w14:paraId="534667A3" w14:textId="2228E0A1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  <w:hideMark/>
          </w:tcPr>
          <w:p w14:paraId="1CA3CEEF" w14:textId="6A065FBB" w:rsidR="00153084" w:rsidRPr="004259B8" w:rsidRDefault="00225153" w:rsidP="003024E7">
            <w:pPr>
              <w:spacing w:after="0"/>
              <w:ind w:firstLine="0"/>
              <w:jc w:val="center"/>
              <w:rPr>
                <w:iCs/>
                <w:sz w:val="20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 xml:space="preserve">(0,0,1.5)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(1,2.5,4)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Cs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3.5,5,6.5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(6,7.5,9)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(8.5,10,10)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744D1CB2" w14:textId="77777777" w:rsidR="00153084" w:rsidRDefault="00225153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0"/>
                      <w:szCs w:val="1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Cs/>
                          <w:sz w:val="20"/>
                          <w:szCs w:val="18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A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B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sz w:val="20"/>
                          <w:szCs w:val="18"/>
                        </w:rPr>
                        <m:t>C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sz w:val="20"/>
                          <w:szCs w:val="18"/>
                        </w:rPr>
                        <m:t>D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sz w:val="20"/>
                          <w:szCs w:val="18"/>
                        </w:rPr>
                        <m:t>E</m:t>
                      </m:r>
                    </m:e>
                  </m:eqArr>
                </m:e>
              </m:d>
            </m:oMath>
            <w:r w:rsidR="00153084">
              <w:rPr>
                <w:sz w:val="20"/>
                <w:szCs w:val="18"/>
              </w:rPr>
              <w:t xml:space="preserve">  </w:t>
            </w:r>
          </w:p>
          <w:p w14:paraId="476BB7F7" w14:textId="4D52E0CF" w:rsidR="00153084" w:rsidRPr="004259B8" w:rsidRDefault="00153084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w:r w:rsidRPr="003A6BDB">
              <w:rPr>
                <w:sz w:val="20"/>
                <w:szCs w:val="20"/>
                <w:lang w:val="en"/>
              </w:rPr>
              <w:t>grade</w:t>
            </w:r>
            <w:r w:rsidRPr="003A6BDB">
              <w:rPr>
                <w:rStyle w:val="jlqj4b"/>
                <w:sz w:val="20"/>
                <w:szCs w:val="20"/>
                <w:lang w:val="en"/>
              </w:rPr>
              <w:t xml:space="preserve"> of </w:t>
            </w:r>
            <w:r>
              <w:rPr>
                <w:rStyle w:val="jlqj4b"/>
                <w:sz w:val="20"/>
                <w:szCs w:val="20"/>
                <w:lang w:val="en"/>
              </w:rPr>
              <w:t>t</w:t>
            </w:r>
            <w:r>
              <w:rPr>
                <w:rStyle w:val="jlqj4b"/>
                <w:sz w:val="20"/>
                <w:lang w:val="en"/>
              </w:rPr>
              <w:t xml:space="preserve">he </w:t>
            </w:r>
            <w:r w:rsidRPr="003A6BDB">
              <w:rPr>
                <w:rStyle w:val="jlqj4b"/>
                <w:sz w:val="20"/>
                <w:szCs w:val="20"/>
                <w:lang w:val="en"/>
              </w:rPr>
              <w:t>contractor executing the project</w:t>
            </w:r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15C57C02" w14:textId="0764F731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Installation condition</w:t>
            </w:r>
          </w:p>
        </w:tc>
        <w:tc>
          <w:tcPr>
            <w:tcW w:w="1796" w:type="dxa"/>
            <w:vMerge/>
            <w:tcBorders>
              <w:left w:val="nil"/>
              <w:right w:val="nil"/>
            </w:tcBorders>
            <w:vAlign w:val="center"/>
          </w:tcPr>
          <w:p w14:paraId="7D64C4F4" w14:textId="5F3CC834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517F0542" w14:textId="10BDC0FD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43E9FA2" w14:textId="4360478C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 xml:space="preserve">(0,0,1.5)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(1,2.5,4)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Cs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3.5,5,6.5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(6,7.5,9)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(8.5,10,10)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0645A482" w14:textId="7F8740AF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1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Plastic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Concrete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Asbestos cement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Vitrified Clay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>Brick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4750A294" w14:textId="0A7D5C2B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Pipe material</w:t>
            </w:r>
          </w:p>
        </w:tc>
        <w:tc>
          <w:tcPr>
            <w:tcW w:w="1796" w:type="dxa"/>
            <w:vMerge/>
            <w:tcBorders>
              <w:left w:val="nil"/>
              <w:right w:val="nil"/>
            </w:tcBorders>
            <w:vAlign w:val="center"/>
          </w:tcPr>
          <w:p w14:paraId="6C26E6CD" w14:textId="62D9D727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757C59B9" w14:textId="7CC4A268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654DD1F4" w14:textId="5F3D48C8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 xml:space="preserve">(0,0,1.5)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(1,2.5,4)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Cs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3.5,5,6.5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(6,7.5,9)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(8.5,10,10)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02C97177" w14:textId="77777777" w:rsidR="00153084" w:rsidRDefault="00225153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sz w:val="20"/>
                      <w:szCs w:val="1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Cs/>
                          <w:sz w:val="20"/>
                          <w:szCs w:val="18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 xml:space="preserve">&lt;25 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25&lt;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sz w:val="20"/>
                              <w:szCs w:val="1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0"/>
                                  <w:szCs w:val="1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18"/>
                                </w:rPr>
                                <m:t>L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18"/>
                                </w:rPr>
                                <m:t>D</m:t>
                              </m:r>
                            </m:den>
                          </m:f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&lt;300</m:t>
                      </m:r>
                      <m:ctrlPr>
                        <w:rPr>
                          <w:rFonts w:ascii="Cambria Math" w:eastAsia="Cambria Math" w:hAnsi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300&lt;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sz w:val="20"/>
                              <w:szCs w:val="1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0"/>
                                  <w:szCs w:val="1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18"/>
                                </w:rPr>
                                <m:t>L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18"/>
                                </w:rPr>
                                <m:t>D</m:t>
                              </m:r>
                            </m:den>
                          </m:f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&lt;600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600&lt;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sz w:val="20"/>
                              <w:szCs w:val="1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0"/>
                                  <w:szCs w:val="1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18"/>
                                </w:rPr>
                                <m:t>L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18"/>
                                </w:rPr>
                                <m:t>D</m:t>
                              </m:r>
                            </m:den>
                          </m:f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18"/>
                        </w:rPr>
                        <m:t>&lt;900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sz w:val="20"/>
                          <w:szCs w:val="18"/>
                        </w:rPr>
                        <m:t>&gt;900</m:t>
                      </m:r>
                    </m:e>
                  </m:eqArr>
                </m:e>
              </m:d>
            </m:oMath>
            <w:r w:rsidR="00153084">
              <w:rPr>
                <w:sz w:val="20"/>
                <w:szCs w:val="18"/>
              </w:rPr>
              <w:t xml:space="preserve">   </w:t>
            </w:r>
          </w:p>
          <w:p w14:paraId="05128753" w14:textId="77777777" w:rsidR="00153084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3A6BDB">
              <w:rPr>
                <w:sz w:val="20"/>
                <w:szCs w:val="18"/>
              </w:rPr>
              <w:t>L: Length of the pipe between 2 consecutive manholes</w:t>
            </w:r>
            <w:r>
              <w:rPr>
                <w:sz w:val="20"/>
                <w:szCs w:val="18"/>
              </w:rPr>
              <w:t xml:space="preserve"> (ranges from 20 to 180 meters)</w:t>
            </w:r>
          </w:p>
          <w:p w14:paraId="6E77102F" w14:textId="32DE2B43" w:rsidR="00153084" w:rsidRPr="004259B8" w:rsidRDefault="00153084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w:r w:rsidRPr="003A6BDB">
              <w:rPr>
                <w:sz w:val="20"/>
                <w:szCs w:val="18"/>
              </w:rPr>
              <w:t>D: Pipe diameter (ranges from 200 to 900 mm)</w:t>
            </w:r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0C3E5B17" w14:textId="38C4BC42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Pipe length to diameter ratio</w:t>
            </w:r>
          </w:p>
        </w:tc>
        <w:tc>
          <w:tcPr>
            <w:tcW w:w="1796" w:type="dxa"/>
            <w:vMerge/>
            <w:tcBorders>
              <w:left w:val="nil"/>
              <w:right w:val="nil"/>
            </w:tcBorders>
            <w:vAlign w:val="center"/>
          </w:tcPr>
          <w:p w14:paraId="2FC5F9CE" w14:textId="1313BFDD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6BEDDBAC" w14:textId="33ACDCEA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1E52DCD0" w14:textId="4466A9D9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 xml:space="preserve">(0,0,1.5)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(1,2.5,4)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Cs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3.5,5,6.5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(6,7.5,9)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(8.5,10,10)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102E64FA" w14:textId="77777777" w:rsidR="00153084" w:rsidRDefault="00225153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0"/>
                      <w:szCs w:val="1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Cs/>
                          <w:sz w:val="20"/>
                          <w:szCs w:val="18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A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B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sz w:val="20"/>
                          <w:szCs w:val="18"/>
                        </w:rPr>
                        <m:t>C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sz w:val="20"/>
                          <w:szCs w:val="18"/>
                        </w:rPr>
                        <m:t>D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sz w:val="20"/>
                          <w:szCs w:val="18"/>
                        </w:rPr>
                        <m:t>E</m:t>
                      </m:r>
                    </m:e>
                  </m:eqArr>
                </m:e>
              </m:d>
            </m:oMath>
            <w:r w:rsidR="00153084">
              <w:rPr>
                <w:sz w:val="20"/>
                <w:szCs w:val="18"/>
              </w:rPr>
              <w:t xml:space="preserve">  </w:t>
            </w:r>
          </w:p>
          <w:p w14:paraId="78DAB7C0" w14:textId="5EE48586" w:rsidR="00153084" w:rsidRPr="004259B8" w:rsidRDefault="00153084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w:r w:rsidRPr="003A6BDB">
              <w:rPr>
                <w:sz w:val="20"/>
                <w:szCs w:val="20"/>
                <w:lang w:val="en"/>
              </w:rPr>
              <w:t>grade</w:t>
            </w:r>
            <w:r w:rsidRPr="003A6BDB">
              <w:rPr>
                <w:rStyle w:val="jlqj4b"/>
                <w:sz w:val="20"/>
                <w:szCs w:val="20"/>
                <w:lang w:val="en"/>
              </w:rPr>
              <w:t xml:space="preserve"> of </w:t>
            </w:r>
            <w:r>
              <w:rPr>
                <w:rStyle w:val="jlqj4b"/>
                <w:sz w:val="20"/>
                <w:szCs w:val="20"/>
                <w:lang w:val="en"/>
              </w:rPr>
              <w:t>t</w:t>
            </w:r>
            <w:r>
              <w:rPr>
                <w:rStyle w:val="jlqj4b"/>
                <w:sz w:val="20"/>
                <w:lang w:val="en"/>
              </w:rPr>
              <w:t xml:space="preserve">he </w:t>
            </w:r>
            <w:r w:rsidRPr="003A6BDB">
              <w:rPr>
                <w:rStyle w:val="jlqj4b"/>
                <w:sz w:val="20"/>
                <w:szCs w:val="20"/>
                <w:lang w:val="en"/>
              </w:rPr>
              <w:t xml:space="preserve">contractor </w:t>
            </w:r>
            <w:r>
              <w:rPr>
                <w:rStyle w:val="jlqj4b"/>
                <w:sz w:val="20"/>
                <w:szCs w:val="20"/>
                <w:lang w:val="en"/>
              </w:rPr>
              <w:t>o</w:t>
            </w:r>
            <w:r>
              <w:rPr>
                <w:rStyle w:val="jlqj4b"/>
                <w:sz w:val="20"/>
                <w:lang w:val="en"/>
              </w:rPr>
              <w:t>perating</w:t>
            </w:r>
            <w:r w:rsidRPr="003A6BDB">
              <w:rPr>
                <w:rStyle w:val="jlqj4b"/>
                <w:sz w:val="20"/>
                <w:szCs w:val="20"/>
                <w:lang w:val="en"/>
              </w:rPr>
              <w:t xml:space="preserve"> the </w:t>
            </w:r>
            <w:r>
              <w:rPr>
                <w:rStyle w:val="jlqj4b"/>
                <w:sz w:val="20"/>
                <w:szCs w:val="20"/>
                <w:lang w:val="en"/>
              </w:rPr>
              <w:t>n</w:t>
            </w:r>
            <w:r>
              <w:rPr>
                <w:rStyle w:val="jlqj4b"/>
                <w:sz w:val="20"/>
                <w:lang w:val="en"/>
              </w:rPr>
              <w:t>etwork</w:t>
            </w:r>
          </w:p>
        </w:tc>
        <w:tc>
          <w:tcPr>
            <w:tcW w:w="356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0DA9EFB" w14:textId="68B4BD9A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Operating condition</w:t>
            </w:r>
          </w:p>
        </w:tc>
        <w:tc>
          <w:tcPr>
            <w:tcW w:w="1796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B541FE" w14:textId="59DCD18B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77C17271" w14:textId="6BD54741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3D1C0A3C" w14:textId="51D9F7BD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10C455BC" w14:textId="7FE35ECC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Cs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Sidewalk, green spaces, and empty grounds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Side road 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>Main road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4FE5AF01" w14:textId="79C835C9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Road type</w:t>
            </w:r>
          </w:p>
        </w:tc>
        <w:tc>
          <w:tcPr>
            <w:tcW w:w="1796" w:type="dxa"/>
            <w:vMerge w:val="restart"/>
            <w:tcBorders>
              <w:left w:val="nil"/>
              <w:right w:val="nil"/>
            </w:tcBorders>
            <w:vAlign w:val="center"/>
          </w:tcPr>
          <w:p w14:paraId="158FE78F" w14:textId="3FC45F41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2D45EA">
              <w:rPr>
                <w:sz w:val="20"/>
                <w:szCs w:val="18"/>
              </w:rPr>
              <w:t>Local external factors</w:t>
            </w:r>
          </w:p>
        </w:tc>
      </w:tr>
      <w:tr w:rsidR="00153084" w:rsidRPr="004259B8" w14:paraId="0BB7D906" w14:textId="68DB886F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40D6CE5F" w14:textId="04427836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141625CF" w14:textId="50B8BD08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Groundwater level is far below the pipe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Groundwater level is in the vicinity of the pipe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Groundwater level is above the pipe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3C4878B3" w14:textId="5719CE8F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 xml:space="preserve">Groundwater level </w:t>
            </w:r>
          </w:p>
        </w:tc>
        <w:tc>
          <w:tcPr>
            <w:tcW w:w="1796" w:type="dxa"/>
            <w:vMerge/>
            <w:tcBorders>
              <w:left w:val="nil"/>
              <w:right w:val="nil"/>
            </w:tcBorders>
            <w:vAlign w:val="center"/>
          </w:tcPr>
          <w:p w14:paraId="0C551EBF" w14:textId="458D2D0E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38AD750E" w14:textId="3A663256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50506E8A" w14:textId="2C54730C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325454C7" w14:textId="5A38BEBC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Gravel, coarse sand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Fine sand and silt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>Clay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396A0CA6" w14:textId="30B53238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Soil type</w:t>
            </w:r>
          </w:p>
        </w:tc>
        <w:tc>
          <w:tcPr>
            <w:tcW w:w="1796" w:type="dxa"/>
            <w:vMerge/>
            <w:tcBorders>
              <w:left w:val="nil"/>
              <w:right w:val="nil"/>
            </w:tcBorders>
            <w:vAlign w:val="center"/>
          </w:tcPr>
          <w:p w14:paraId="04A798D4" w14:textId="114AECE2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5CE44BC1" w14:textId="6099228F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4BBE4184" w14:textId="704016BD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4DFA228A" w14:textId="345F1025" w:rsidR="00153084" w:rsidRDefault="00225153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sz w:val="20"/>
                        <w:szCs w:val="1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Cs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&gt;6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3&lt;d&lt;6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>&lt;3</m:t>
                        </m:r>
                      </m:e>
                    </m:eqArr>
                  </m:e>
                </m:d>
              </m:oMath>
            </m:oMathPara>
          </w:p>
          <w:p w14:paraId="3FD8EB18" w14:textId="100BE5B9" w:rsidR="00153084" w:rsidRPr="004259B8" w:rsidRDefault="00153084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w:r>
              <w:rPr>
                <w:sz w:val="20"/>
                <w:szCs w:val="18"/>
              </w:rPr>
              <w:t>d</w:t>
            </w:r>
            <w:r w:rsidRPr="003A6BDB">
              <w:rPr>
                <w:sz w:val="20"/>
                <w:szCs w:val="18"/>
              </w:rPr>
              <w:t xml:space="preserve">: </w:t>
            </w:r>
            <w:r>
              <w:rPr>
                <w:sz w:val="20"/>
                <w:szCs w:val="18"/>
              </w:rPr>
              <w:t>Distance</w:t>
            </w:r>
            <w:r w:rsidRPr="003A6BD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between surrounding trees and </w:t>
            </w:r>
            <w:r w:rsidRPr="003A6BDB">
              <w:rPr>
                <w:sz w:val="20"/>
                <w:szCs w:val="18"/>
              </w:rPr>
              <w:t>the pipe</w:t>
            </w:r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640F6049" w14:textId="6845263D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 xml:space="preserve">Root penetration </w:t>
            </w:r>
          </w:p>
        </w:tc>
        <w:tc>
          <w:tcPr>
            <w:tcW w:w="1796" w:type="dxa"/>
            <w:vMerge/>
            <w:tcBorders>
              <w:left w:val="nil"/>
              <w:right w:val="nil"/>
            </w:tcBorders>
            <w:vAlign w:val="center"/>
          </w:tcPr>
          <w:p w14:paraId="614FA7A3" w14:textId="5F23FB99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419EF4CB" w14:textId="52A9869B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20DC61C1" w14:textId="1A08EB5D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337898AA" w14:textId="77777777" w:rsidR="00153084" w:rsidRPr="003D5C34" w:rsidRDefault="00225153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sz w:val="20"/>
                        <w:szCs w:val="1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Cs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&lt;5000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5000&lt;Z&lt;10000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>&gt;10000</m:t>
                        </m:r>
                      </m:e>
                    </m:eqArr>
                  </m:e>
                </m:d>
              </m:oMath>
            </m:oMathPara>
          </w:p>
          <w:p w14:paraId="7DCE617F" w14:textId="34857CE9" w:rsidR="00153084" w:rsidRPr="004259B8" w:rsidRDefault="00153084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w:r w:rsidRPr="003D5C34">
              <w:rPr>
                <w:sz w:val="20"/>
                <w:szCs w:val="18"/>
              </w:rPr>
              <w:t xml:space="preserve">Z: Parameter </w:t>
            </w:r>
            <w:r>
              <w:rPr>
                <w:sz w:val="20"/>
                <w:szCs w:val="18"/>
              </w:rPr>
              <w:t xml:space="preserve">obtained from an empirical formula </w:t>
            </w:r>
            <w:r w:rsidRPr="003D5C34">
              <w:rPr>
                <w:sz w:val="20"/>
                <w:szCs w:val="18"/>
              </w:rPr>
              <w:t>presented in Pomeroy (19</w:t>
            </w:r>
            <w:r>
              <w:rPr>
                <w:sz w:val="20"/>
                <w:szCs w:val="18"/>
              </w:rPr>
              <w:t>90</w:t>
            </w:r>
            <w:r w:rsidRPr="003D5C34">
              <w:rPr>
                <w:sz w:val="20"/>
                <w:szCs w:val="18"/>
              </w:rPr>
              <w:t>)</w:t>
            </w:r>
            <w:r w:rsidRPr="00586AC1">
              <w:rPr>
                <w:sz w:val="22"/>
                <w:szCs w:val="20"/>
                <w:vertAlign w:val="superscript"/>
              </w:rPr>
              <w:t>*</w:t>
            </w:r>
          </w:p>
        </w:tc>
        <w:tc>
          <w:tcPr>
            <w:tcW w:w="356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510A37" w14:textId="7FBFD7FF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Released H</w:t>
            </w:r>
            <w:r w:rsidRPr="004259B8">
              <w:rPr>
                <w:sz w:val="20"/>
                <w:szCs w:val="18"/>
                <w:vertAlign w:val="subscript"/>
              </w:rPr>
              <w:t>2</w:t>
            </w:r>
            <w:r w:rsidRPr="004259B8">
              <w:rPr>
                <w:sz w:val="20"/>
                <w:szCs w:val="18"/>
              </w:rPr>
              <w:t>S</w:t>
            </w:r>
          </w:p>
        </w:tc>
        <w:tc>
          <w:tcPr>
            <w:tcW w:w="1796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41A79A8" w14:textId="4F6653B6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6132B4E1" w14:textId="5A258960" w:rsidTr="00ED00C7">
        <w:trPr>
          <w:trHeight w:val="262"/>
          <w:jc w:val="center"/>
        </w:trPr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66157B93" w14:textId="2EFD6E2D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 xml:space="preserve">(0,0,1.5)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(1,2.5,4)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Cs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3.5,5,6.5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(6,7.5,9)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20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20"/>
                          </w:rPr>
                          <m:t>(8.5,10,10)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right w:val="nil"/>
            </w:tcBorders>
            <w:vAlign w:val="center"/>
          </w:tcPr>
          <w:p w14:paraId="3923FCE8" w14:textId="07EBA625" w:rsidR="00153084" w:rsidRPr="00E537E0" w:rsidRDefault="00225153" w:rsidP="003024E7">
            <w:pPr>
              <w:spacing w:after="0"/>
              <w:ind w:firstLine="0"/>
              <w:jc w:val="center"/>
              <w:rPr>
                <w:iCs/>
                <w:sz w:val="22"/>
                <w:szCs w:val="20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Cs/>
                      <w:sz w:val="20"/>
                      <w:szCs w:val="1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Cs/>
                          <w:sz w:val="20"/>
                          <w:szCs w:val="18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0-20% Service life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20-40% Service life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40-60% Service life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60-80% Service life</m:t>
                      </m:r>
                      <m:ctrlPr>
                        <w:rPr>
                          <w:rFonts w:ascii="Cambria Math" w:eastAsia="Cambria Math" w:hAnsi="Cambria Math" w:cs="Cambria Math"/>
                          <w:iCs/>
                          <w:sz w:val="20"/>
                          <w:szCs w:val="18"/>
                        </w:rPr>
                      </m:ctrlP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18"/>
                        </w:rPr>
                        <m:t>&gt;80% Service life</m:t>
                      </m:r>
                    </m:e>
                  </m:eqArr>
                </m:e>
              </m:d>
            </m:oMath>
            <w:r w:rsidR="00153084" w:rsidRPr="00E537E0">
              <w:rPr>
                <w:iCs/>
                <w:sz w:val="20"/>
                <w:szCs w:val="18"/>
              </w:rPr>
              <w:t xml:space="preserve">  </w:t>
            </w:r>
          </w:p>
        </w:tc>
        <w:tc>
          <w:tcPr>
            <w:tcW w:w="3564" w:type="dxa"/>
            <w:tcBorders>
              <w:left w:val="nil"/>
              <w:right w:val="nil"/>
            </w:tcBorders>
            <w:vAlign w:val="center"/>
          </w:tcPr>
          <w:p w14:paraId="4F432D00" w14:textId="717F3BBF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 xml:space="preserve">Pipe age </w:t>
            </w:r>
          </w:p>
        </w:tc>
        <w:tc>
          <w:tcPr>
            <w:tcW w:w="1796" w:type="dxa"/>
            <w:vMerge w:val="restart"/>
            <w:tcBorders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77681289" w14:textId="2282035A" w:rsidR="00153084" w:rsidRPr="002D45EA" w:rsidRDefault="00153084" w:rsidP="00ED00C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2D45EA">
              <w:rPr>
                <w:sz w:val="20"/>
                <w:szCs w:val="18"/>
              </w:rPr>
              <w:t>Other factors</w:t>
            </w:r>
          </w:p>
        </w:tc>
      </w:tr>
      <w:tr w:rsidR="00153084" w:rsidRPr="004259B8" w14:paraId="687F40C2" w14:textId="32D4E3B0" w:rsidTr="00ED00C7">
        <w:trPr>
          <w:trHeight w:val="1034"/>
          <w:jc w:val="center"/>
        </w:trPr>
        <w:tc>
          <w:tcPr>
            <w:tcW w:w="1727" w:type="dxa"/>
            <w:tcBorders>
              <w:left w:val="nil"/>
              <w:bottom w:val="single" w:sz="2" w:space="0" w:color="0D0D0D" w:themeColor="text1" w:themeTint="F2"/>
              <w:right w:val="nil"/>
            </w:tcBorders>
            <w:vAlign w:val="center"/>
          </w:tcPr>
          <w:p w14:paraId="72FCD4DE" w14:textId="78CF6539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33" w:type="dxa"/>
            <w:tcBorders>
              <w:left w:val="nil"/>
              <w:bottom w:val="single" w:sz="4" w:space="0" w:color="0D0D0D" w:themeColor="text1" w:themeTint="F2"/>
              <w:right w:val="nil"/>
            </w:tcBorders>
            <w:vAlign w:val="center"/>
          </w:tcPr>
          <w:p w14:paraId="7EABBE1A" w14:textId="60FD0A6E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Storm sewers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Combined sewers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>Industrial Sewers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564" w:type="dxa"/>
            <w:tcBorders>
              <w:left w:val="nil"/>
              <w:bottom w:val="single" w:sz="4" w:space="0" w:color="0D0D0D" w:themeColor="text1" w:themeTint="F2"/>
              <w:right w:val="nil"/>
            </w:tcBorders>
            <w:vAlign w:val="center"/>
          </w:tcPr>
          <w:p w14:paraId="3F5E2442" w14:textId="34AA2720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Wastewater type</w:t>
            </w:r>
          </w:p>
        </w:tc>
        <w:tc>
          <w:tcPr>
            <w:tcW w:w="1796" w:type="dxa"/>
            <w:vMerge/>
            <w:tcBorders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7295C435" w14:textId="28E81B1E" w:rsidR="00153084" w:rsidRPr="00290855" w:rsidRDefault="00153084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</w:p>
        </w:tc>
      </w:tr>
    </w:tbl>
    <w:p w14:paraId="22EED973" w14:textId="54E5AD24" w:rsidR="00927889" w:rsidRPr="000642B1" w:rsidRDefault="000642B1" w:rsidP="000642B1">
      <w:pPr>
        <w:jc w:val="left"/>
        <w:rPr>
          <w:sz w:val="20"/>
          <w:szCs w:val="18"/>
        </w:rPr>
      </w:pPr>
      <w:r w:rsidRPr="000642B1">
        <w:rPr>
          <w:sz w:val="20"/>
          <w:szCs w:val="18"/>
        </w:rPr>
        <w:t>* Pomeroy, R. (1990). The Problem of Hydrogen Sulphide in Sewers, 2nd ed.; Boon, A.G., Ed.; Clay Pipe Development Association: London, UK.</w:t>
      </w:r>
    </w:p>
    <w:p w14:paraId="162CE9BD" w14:textId="540FB241" w:rsidR="00927889" w:rsidRDefault="00927889" w:rsidP="00927889">
      <w:pPr>
        <w:bidi/>
      </w:pPr>
    </w:p>
    <w:p w14:paraId="79364319" w14:textId="31B90DF8" w:rsidR="00927889" w:rsidRDefault="00927889" w:rsidP="00927889">
      <w:pPr>
        <w:bidi/>
      </w:pPr>
    </w:p>
    <w:p w14:paraId="2359AE8C" w14:textId="428A0754" w:rsidR="00927889" w:rsidRDefault="00927889" w:rsidP="00927889">
      <w:pPr>
        <w:bidi/>
      </w:pPr>
    </w:p>
    <w:p w14:paraId="4447EC85" w14:textId="16497D57" w:rsidR="00927889" w:rsidRDefault="00927889" w:rsidP="00927889">
      <w:pPr>
        <w:bidi/>
      </w:pPr>
    </w:p>
    <w:p w14:paraId="1C5A2FF9" w14:textId="4AEF343B" w:rsidR="00927889" w:rsidRDefault="00927889" w:rsidP="00927889">
      <w:pPr>
        <w:bidi/>
      </w:pPr>
    </w:p>
    <w:p w14:paraId="55B38DEE" w14:textId="6458BCC6" w:rsidR="00927889" w:rsidRDefault="00927889" w:rsidP="00927889">
      <w:pPr>
        <w:bidi/>
      </w:pPr>
    </w:p>
    <w:p w14:paraId="3B4EE58D" w14:textId="5CC92218" w:rsidR="00927889" w:rsidRDefault="00927889" w:rsidP="00927889">
      <w:pPr>
        <w:bidi/>
      </w:pPr>
    </w:p>
    <w:p w14:paraId="2B2DE4B0" w14:textId="1AAAF1FB" w:rsidR="00927889" w:rsidRPr="000A5BF7" w:rsidRDefault="00927889" w:rsidP="00927889">
      <w:pPr>
        <w:bidi/>
        <w:rPr>
          <w:sz w:val="22"/>
          <w:szCs w:val="20"/>
        </w:rPr>
      </w:pPr>
    </w:p>
    <w:p w14:paraId="2B11ECF2" w14:textId="526F93C0" w:rsidR="00927889" w:rsidRPr="000A5BF7" w:rsidRDefault="00FA606D" w:rsidP="00FA606D">
      <w:pPr>
        <w:jc w:val="center"/>
        <w:rPr>
          <w:sz w:val="20"/>
          <w:szCs w:val="18"/>
        </w:rPr>
      </w:pPr>
      <w:r w:rsidRPr="000A5BF7">
        <w:rPr>
          <w:b/>
          <w:bCs/>
          <w:sz w:val="20"/>
          <w:szCs w:val="18"/>
        </w:rPr>
        <w:t>Table S2.</w:t>
      </w:r>
      <w:r w:rsidRPr="000A5BF7">
        <w:rPr>
          <w:sz w:val="20"/>
          <w:szCs w:val="18"/>
        </w:rPr>
        <w:t xml:space="preserve"> Proposed triangular fuzzy numbers for </w:t>
      </w:r>
      <w:r w:rsidR="0069636F" w:rsidRPr="000A5BF7">
        <w:rPr>
          <w:sz w:val="20"/>
          <w:szCs w:val="18"/>
        </w:rPr>
        <w:t>different groups of</w:t>
      </w:r>
      <w:r w:rsidRPr="000A5BF7">
        <w:rPr>
          <w:sz w:val="20"/>
          <w:szCs w:val="18"/>
        </w:rPr>
        <w:t xml:space="preserve"> </w:t>
      </w:r>
      <w:r w:rsidR="0069636F" w:rsidRPr="000A5BF7">
        <w:rPr>
          <w:sz w:val="20"/>
          <w:szCs w:val="18"/>
        </w:rPr>
        <w:t>consequences</w:t>
      </w:r>
      <w:r w:rsidRPr="000A5BF7">
        <w:rPr>
          <w:sz w:val="20"/>
          <w:szCs w:val="18"/>
        </w:rPr>
        <w:t xml:space="preserve"> of failure (</w:t>
      </w:r>
      <w:r w:rsidR="0069636F" w:rsidRPr="000A5BF7">
        <w:rPr>
          <w:sz w:val="20"/>
          <w:szCs w:val="18"/>
        </w:rPr>
        <w:t>C</w:t>
      </w:r>
      <w:r w:rsidRPr="000A5BF7">
        <w:rPr>
          <w:sz w:val="20"/>
          <w:szCs w:val="18"/>
        </w:rPr>
        <w:t>oF). In all of the presented fuzzy classifications, the lower the class, the better the factor status</w:t>
      </w:r>
      <w:r w:rsidRPr="000A5BF7">
        <w:rPr>
          <w:rFonts w:cs="Arial"/>
          <w:sz w:val="20"/>
          <w:szCs w:val="18"/>
          <w:rtl/>
        </w:rPr>
        <w:t>.</w:t>
      </w:r>
    </w:p>
    <w:tbl>
      <w:tblPr>
        <w:tblStyle w:val="TableGrid"/>
        <w:bidiVisual/>
        <w:tblW w:w="14520" w:type="dxa"/>
        <w:jc w:val="center"/>
        <w:tblLook w:val="04A0" w:firstRow="1" w:lastRow="0" w:firstColumn="1" w:lastColumn="0" w:noHBand="0" w:noVBand="1"/>
      </w:tblPr>
      <w:tblGrid>
        <w:gridCol w:w="1727"/>
        <w:gridCol w:w="7465"/>
        <w:gridCol w:w="3864"/>
        <w:gridCol w:w="1464"/>
      </w:tblGrid>
      <w:tr w:rsidR="00802905" w:rsidRPr="004259B8" w14:paraId="552A4A41" w14:textId="77777777" w:rsidTr="00802905">
        <w:trPr>
          <w:trHeight w:val="692"/>
          <w:jc w:val="center"/>
        </w:trPr>
        <w:tc>
          <w:tcPr>
            <w:tcW w:w="1730" w:type="dxa"/>
            <w:tcBorders>
              <w:top w:val="single" w:sz="2" w:space="0" w:color="0D0D0D" w:themeColor="text1" w:themeTint="F2"/>
              <w:left w:val="nil"/>
              <w:right w:val="nil"/>
            </w:tcBorders>
            <w:vAlign w:val="center"/>
          </w:tcPr>
          <w:p w14:paraId="5091515E" w14:textId="0B1AEB08" w:rsidR="00802905" w:rsidRPr="00802905" w:rsidRDefault="00802905" w:rsidP="00802905">
            <w:pPr>
              <w:spacing w:after="0"/>
              <w:ind w:firstLine="0"/>
              <w:jc w:val="center"/>
              <w:rPr>
                <w:rFonts w:eastAsia="Calibri" w:cs="Arial"/>
                <w:sz w:val="20"/>
                <w:szCs w:val="18"/>
              </w:rPr>
            </w:pPr>
            <w:r w:rsidRPr="00802905">
              <w:rPr>
                <w:sz w:val="20"/>
                <w:szCs w:val="18"/>
              </w:rPr>
              <w:t>Corresponding triangular fuzzy numbers</w:t>
            </w:r>
          </w:p>
        </w:tc>
        <w:tc>
          <w:tcPr>
            <w:tcW w:w="7470" w:type="dxa"/>
            <w:tcBorders>
              <w:top w:val="single" w:sz="4" w:space="0" w:color="0D0D0D" w:themeColor="text1" w:themeTint="F2"/>
              <w:left w:val="nil"/>
              <w:right w:val="nil"/>
            </w:tcBorders>
            <w:vAlign w:val="center"/>
          </w:tcPr>
          <w:p w14:paraId="71EB6514" w14:textId="22B74EFA" w:rsidR="00802905" w:rsidRPr="00802905" w:rsidRDefault="00802905" w:rsidP="00802905">
            <w:pPr>
              <w:spacing w:after="0"/>
              <w:ind w:firstLine="0"/>
              <w:jc w:val="center"/>
              <w:rPr>
                <w:rFonts w:eastAsia="Times New Roman" w:cs="Arial"/>
                <w:iCs/>
                <w:sz w:val="20"/>
                <w:szCs w:val="18"/>
              </w:rPr>
            </w:pPr>
            <w:r w:rsidRPr="00802905">
              <w:rPr>
                <w:sz w:val="20"/>
                <w:szCs w:val="18"/>
              </w:rPr>
              <w:t>Quantitative/qualitative/nominal classification of each effective factor</w:t>
            </w:r>
          </w:p>
        </w:tc>
        <w:tc>
          <w:tcPr>
            <w:tcW w:w="3884" w:type="dxa"/>
            <w:tcBorders>
              <w:top w:val="single" w:sz="4" w:space="0" w:color="0D0D0D" w:themeColor="text1" w:themeTint="F2"/>
              <w:left w:val="nil"/>
              <w:right w:val="nil"/>
            </w:tcBorders>
            <w:vAlign w:val="center"/>
          </w:tcPr>
          <w:p w14:paraId="6E91999D" w14:textId="6D5D81B8" w:rsidR="00802905" w:rsidRPr="00802905" w:rsidRDefault="00802905" w:rsidP="00802905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802905">
              <w:rPr>
                <w:sz w:val="20"/>
                <w:szCs w:val="18"/>
              </w:rPr>
              <w:t>Effective factors</w:t>
            </w:r>
          </w:p>
        </w:tc>
        <w:tc>
          <w:tcPr>
            <w:tcW w:w="1436" w:type="dxa"/>
            <w:tcBorders>
              <w:top w:val="single" w:sz="2" w:space="0" w:color="000000" w:themeColor="text1"/>
              <w:left w:val="nil"/>
              <w:right w:val="nil"/>
            </w:tcBorders>
            <w:vAlign w:val="center"/>
          </w:tcPr>
          <w:p w14:paraId="62BF04DC" w14:textId="4902E31F" w:rsidR="00802905" w:rsidRPr="00802905" w:rsidRDefault="00802905" w:rsidP="00802905">
            <w:pPr>
              <w:spacing w:after="0"/>
              <w:ind w:left="113" w:right="113" w:firstLine="0"/>
              <w:jc w:val="center"/>
              <w:rPr>
                <w:sz w:val="20"/>
                <w:szCs w:val="18"/>
              </w:rPr>
            </w:pPr>
            <w:r w:rsidRPr="00802905">
              <w:rPr>
                <w:sz w:val="20"/>
                <w:szCs w:val="18"/>
              </w:rPr>
              <w:t>Main consequence groups</w:t>
            </w:r>
          </w:p>
        </w:tc>
      </w:tr>
      <w:tr w:rsidR="00153084" w:rsidRPr="004259B8" w14:paraId="2D38820F" w14:textId="3D108ECB" w:rsidTr="004C2416">
        <w:trPr>
          <w:trHeight w:val="692"/>
          <w:jc w:val="center"/>
        </w:trPr>
        <w:tc>
          <w:tcPr>
            <w:tcW w:w="1730" w:type="dxa"/>
            <w:tcBorders>
              <w:top w:val="single" w:sz="2" w:space="0" w:color="0D0D0D" w:themeColor="text1" w:themeTint="F2"/>
              <w:left w:val="nil"/>
              <w:right w:val="nil"/>
            </w:tcBorders>
            <w:vAlign w:val="center"/>
            <w:hideMark/>
          </w:tcPr>
          <w:p w14:paraId="4AEACFF3" w14:textId="5D9780D2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top w:val="single" w:sz="4" w:space="0" w:color="0D0D0D" w:themeColor="text1" w:themeTint="F2"/>
              <w:left w:val="nil"/>
              <w:right w:val="nil"/>
            </w:tcBorders>
            <w:vAlign w:val="center"/>
          </w:tcPr>
          <w:p w14:paraId="7608BE2B" w14:textId="053505C1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 xml:space="preserve">Clay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Fine sand, silt, calcareous soil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Gravel, coarse sand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84" w:type="dxa"/>
            <w:tcBorders>
              <w:top w:val="single" w:sz="4" w:space="0" w:color="0D0D0D" w:themeColor="text1" w:themeTint="F2"/>
              <w:left w:val="nil"/>
              <w:right w:val="nil"/>
            </w:tcBorders>
            <w:vAlign w:val="center"/>
          </w:tcPr>
          <w:p w14:paraId="708ACA21" w14:textId="1DA8F697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  <w:rtl/>
              </w:rPr>
            </w:pPr>
            <w:r w:rsidRPr="004259B8">
              <w:rPr>
                <w:sz w:val="20"/>
                <w:szCs w:val="18"/>
              </w:rPr>
              <w:t xml:space="preserve">Soil contamination </w:t>
            </w:r>
            <w:r w:rsidRPr="009E77DA">
              <w:rPr>
                <w:sz w:val="20"/>
                <w:szCs w:val="18"/>
              </w:rPr>
              <w:t>(considering soil permeability)</w:t>
            </w:r>
          </w:p>
        </w:tc>
        <w:tc>
          <w:tcPr>
            <w:tcW w:w="1436" w:type="dxa"/>
            <w:vMerge w:val="restart"/>
            <w:tcBorders>
              <w:top w:val="single" w:sz="2" w:space="0" w:color="000000" w:themeColor="text1"/>
              <w:left w:val="nil"/>
              <w:right w:val="nil"/>
            </w:tcBorders>
            <w:vAlign w:val="center"/>
          </w:tcPr>
          <w:p w14:paraId="6D01B1AD" w14:textId="15EB1021" w:rsidR="00153084" w:rsidRPr="00802905" w:rsidRDefault="00225153" w:rsidP="004C2416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225153">
              <w:rPr>
                <w:sz w:val="20"/>
                <w:szCs w:val="18"/>
              </w:rPr>
              <w:t>Environmental impact</w:t>
            </w:r>
          </w:p>
        </w:tc>
      </w:tr>
      <w:tr w:rsidR="00153084" w:rsidRPr="004259B8" w14:paraId="76D6F0ED" w14:textId="0128AF9A" w:rsidTr="004C2416">
        <w:trPr>
          <w:trHeight w:val="710"/>
          <w:jc w:val="center"/>
        </w:trPr>
        <w:tc>
          <w:tcPr>
            <w:tcW w:w="1730" w:type="dxa"/>
            <w:tcBorders>
              <w:left w:val="nil"/>
              <w:right w:val="nil"/>
            </w:tcBorders>
            <w:vAlign w:val="center"/>
          </w:tcPr>
          <w:p w14:paraId="7F18D601" w14:textId="25D490BB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left w:val="nil"/>
              <w:right w:val="nil"/>
            </w:tcBorders>
            <w:vAlign w:val="center"/>
          </w:tcPr>
          <w:p w14:paraId="3431AD57" w14:textId="4100FEEC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Groundwater level is far below the pipe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Groundwater level is in the vicinity of the pipe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Groundwater level is above the pipe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84" w:type="dxa"/>
            <w:tcBorders>
              <w:left w:val="nil"/>
              <w:right w:val="nil"/>
            </w:tcBorders>
            <w:vAlign w:val="center"/>
          </w:tcPr>
          <w:p w14:paraId="226C46E6" w14:textId="4874641E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Groundwater contamination</w:t>
            </w:r>
          </w:p>
        </w:tc>
        <w:tc>
          <w:tcPr>
            <w:tcW w:w="1436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BEA0696" w14:textId="77777777" w:rsidR="00153084" w:rsidRPr="00802905" w:rsidRDefault="00153084" w:rsidP="004C2416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bookmarkStart w:id="2" w:name="OLE_LINK1"/>
      <w:tr w:rsidR="00153084" w:rsidRPr="004259B8" w14:paraId="06DADB44" w14:textId="4991357E" w:rsidTr="004C2416">
        <w:trPr>
          <w:trHeight w:val="262"/>
          <w:jc w:val="center"/>
        </w:trPr>
        <w:tc>
          <w:tcPr>
            <w:tcW w:w="1730" w:type="dxa"/>
            <w:tcBorders>
              <w:left w:val="nil"/>
              <w:right w:val="nil"/>
            </w:tcBorders>
            <w:vAlign w:val="center"/>
          </w:tcPr>
          <w:p w14:paraId="0AEB7B03" w14:textId="7006FD18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left w:val="nil"/>
              <w:right w:val="nil"/>
            </w:tcBorders>
            <w:vAlign w:val="center"/>
          </w:tcPr>
          <w:p w14:paraId="01930566" w14:textId="5E407C73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Villa houses are predominant in the area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The area has a significant number of residential apartments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There are offices, institutions, and residential apartments in the area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84" w:type="dxa"/>
            <w:tcBorders>
              <w:left w:val="nil"/>
              <w:right w:val="nil"/>
            </w:tcBorders>
            <w:vAlign w:val="center"/>
          </w:tcPr>
          <w:p w14:paraId="2D8E2AB5" w14:textId="70D39F4B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  <w:rtl/>
              </w:rPr>
            </w:pPr>
            <w:r w:rsidRPr="004259B8">
              <w:rPr>
                <w:sz w:val="20"/>
                <w:szCs w:val="18"/>
              </w:rPr>
              <w:t xml:space="preserve">Parking loss </w:t>
            </w:r>
          </w:p>
        </w:tc>
        <w:tc>
          <w:tcPr>
            <w:tcW w:w="1436" w:type="dxa"/>
            <w:vMerge w:val="restart"/>
            <w:tcBorders>
              <w:left w:val="nil"/>
              <w:right w:val="nil"/>
            </w:tcBorders>
            <w:vAlign w:val="center"/>
          </w:tcPr>
          <w:p w14:paraId="35610562" w14:textId="77777777" w:rsidR="00153084" w:rsidRPr="00802905" w:rsidRDefault="00153084" w:rsidP="004C2416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802905">
              <w:rPr>
                <w:sz w:val="20"/>
                <w:szCs w:val="18"/>
              </w:rPr>
              <w:t>Traffic &amp; road</w:t>
            </w:r>
          </w:p>
        </w:tc>
      </w:tr>
      <w:tr w:rsidR="00153084" w:rsidRPr="004259B8" w14:paraId="2F35BF25" w14:textId="301357D7" w:rsidTr="004C2416">
        <w:trPr>
          <w:trHeight w:val="327"/>
          <w:jc w:val="center"/>
        </w:trPr>
        <w:tc>
          <w:tcPr>
            <w:tcW w:w="1730" w:type="dxa"/>
            <w:tcBorders>
              <w:left w:val="nil"/>
              <w:right w:val="nil"/>
            </w:tcBorders>
            <w:vAlign w:val="center"/>
          </w:tcPr>
          <w:p w14:paraId="62B40521" w14:textId="5C1326A7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left w:val="nil"/>
              <w:right w:val="nil"/>
            </w:tcBorders>
            <w:vAlign w:val="center"/>
          </w:tcPr>
          <w:p w14:paraId="1C8BFAD3" w14:textId="6AF32403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Rural roads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Main roads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Freeway and highway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84" w:type="dxa"/>
            <w:tcBorders>
              <w:left w:val="nil"/>
              <w:right w:val="nil"/>
            </w:tcBorders>
            <w:vAlign w:val="center"/>
          </w:tcPr>
          <w:p w14:paraId="75268012" w14:textId="0042C4FE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 xml:space="preserve">Decreasing the lifespan of road asphalt </w:t>
            </w:r>
          </w:p>
        </w:tc>
        <w:tc>
          <w:tcPr>
            <w:tcW w:w="1436" w:type="dxa"/>
            <w:vMerge/>
            <w:tcBorders>
              <w:left w:val="nil"/>
              <w:right w:val="nil"/>
            </w:tcBorders>
            <w:vAlign w:val="center"/>
          </w:tcPr>
          <w:p w14:paraId="24F7B878" w14:textId="77777777" w:rsidR="00153084" w:rsidRPr="00802905" w:rsidRDefault="00153084" w:rsidP="004C2416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514C339F" w14:textId="1AE80CEF" w:rsidTr="004C2416">
        <w:trPr>
          <w:trHeight w:val="262"/>
          <w:jc w:val="center"/>
        </w:trPr>
        <w:tc>
          <w:tcPr>
            <w:tcW w:w="1730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43B4829" w14:textId="4E9237F1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left w:val="nil"/>
              <w:right w:val="nil"/>
            </w:tcBorders>
            <w:vAlign w:val="center"/>
          </w:tcPr>
          <w:p w14:paraId="58E2F02C" w14:textId="1687C2FB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The pipe is not located under any road or it is installed under a local road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The pipe is located under main roads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The pipe is located under freeway or highway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8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C738FCE" w14:textId="77777777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 xml:space="preserve">Traffic density </w:t>
            </w:r>
          </w:p>
        </w:tc>
        <w:tc>
          <w:tcPr>
            <w:tcW w:w="1436" w:type="dxa"/>
            <w:vMerge/>
            <w:tcBorders>
              <w:left w:val="nil"/>
              <w:right w:val="nil"/>
            </w:tcBorders>
            <w:vAlign w:val="center"/>
          </w:tcPr>
          <w:p w14:paraId="23F97410" w14:textId="77777777" w:rsidR="00153084" w:rsidRPr="00802905" w:rsidRDefault="00153084" w:rsidP="004C2416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20A4FB74" w14:textId="1515B35F" w:rsidTr="004C2416">
        <w:trPr>
          <w:trHeight w:val="355"/>
          <w:jc w:val="center"/>
        </w:trPr>
        <w:tc>
          <w:tcPr>
            <w:tcW w:w="1730" w:type="dxa"/>
            <w:tcBorders>
              <w:left w:val="nil"/>
              <w:right w:val="nil"/>
            </w:tcBorders>
            <w:vAlign w:val="center"/>
          </w:tcPr>
          <w:p w14:paraId="30113EDA" w14:textId="324253F8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left w:val="nil"/>
              <w:right w:val="nil"/>
            </w:tcBorders>
            <w:vAlign w:val="center"/>
          </w:tcPr>
          <w:p w14:paraId="423AD494" w14:textId="77777777" w:rsidR="00153084" w:rsidRPr="00E949DE" w:rsidRDefault="00225153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sz w:val="20"/>
                        <w:szCs w:val="1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Cs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&gt;x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0.5x&lt;d&lt;x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>&lt;0.5x</m:t>
                        </m:r>
                      </m:e>
                    </m:eqArr>
                  </m:e>
                </m:d>
              </m:oMath>
            </m:oMathPara>
          </w:p>
          <w:p w14:paraId="65FA19EA" w14:textId="77777777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9E77DA">
              <w:rPr>
                <w:sz w:val="20"/>
                <w:szCs w:val="20"/>
              </w:rPr>
              <w:t>d: Distance between a critical building and the pipe</w:t>
            </w:r>
          </w:p>
          <w:p w14:paraId="3872580F" w14:textId="46C11247" w:rsidR="00153084" w:rsidRPr="004259B8" w:rsidRDefault="00153084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w:r w:rsidRPr="009E77DA">
              <w:rPr>
                <w:sz w:val="20"/>
                <w:szCs w:val="20"/>
              </w:rPr>
              <w:t>x: Safe distance for various critical buildings recommended by Baah et al. (2015)</w:t>
            </w:r>
            <w:r w:rsidRPr="009E77DA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884" w:type="dxa"/>
            <w:tcBorders>
              <w:left w:val="nil"/>
              <w:right w:val="nil"/>
            </w:tcBorders>
            <w:vAlign w:val="center"/>
          </w:tcPr>
          <w:p w14:paraId="5AD5B500" w14:textId="15249B9B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Service interruption of critical buildings</w:t>
            </w:r>
          </w:p>
        </w:tc>
        <w:tc>
          <w:tcPr>
            <w:tcW w:w="1436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80E7367" w14:textId="77777777" w:rsidR="00153084" w:rsidRPr="00802905" w:rsidRDefault="00153084" w:rsidP="004C2416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</w:p>
        </w:tc>
      </w:tr>
      <w:tr w:rsidR="00153084" w:rsidRPr="004259B8" w14:paraId="5F059C33" w14:textId="144CD216" w:rsidTr="004C2416">
        <w:trPr>
          <w:trHeight w:val="1061"/>
          <w:jc w:val="center"/>
        </w:trPr>
        <w:tc>
          <w:tcPr>
            <w:tcW w:w="1730" w:type="dxa"/>
            <w:tcBorders>
              <w:left w:val="nil"/>
              <w:right w:val="nil"/>
            </w:tcBorders>
            <w:vAlign w:val="center"/>
          </w:tcPr>
          <w:p w14:paraId="2E8FD5B0" w14:textId="768E75CF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left w:val="nil"/>
              <w:right w:val="nil"/>
            </w:tcBorders>
            <w:vAlign w:val="center"/>
          </w:tcPr>
          <w:p w14:paraId="117C3BE5" w14:textId="77E719B0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Cs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Cs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Agricultural lands, gardens, and empty grounds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Residential areas </m:t>
                        </m:r>
                        <m:ctrlPr>
                          <w:rPr>
                            <w:rFonts w:ascii="Cambria Math" w:eastAsia="Cambria Math" w:hAnsi="Cambria Math" w:cs="Cambria Math"/>
                            <w:iCs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 xml:space="preserve">Areas with institutions, offices, companies, educational and commercial uses 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84" w:type="dxa"/>
            <w:tcBorders>
              <w:left w:val="nil"/>
              <w:right w:val="nil"/>
            </w:tcBorders>
            <w:vAlign w:val="center"/>
          </w:tcPr>
          <w:p w14:paraId="7AE456FD" w14:textId="15A90D9F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  <w:rtl/>
              </w:rPr>
            </w:pPr>
            <w:r w:rsidRPr="004259B8">
              <w:rPr>
                <w:sz w:val="20"/>
                <w:szCs w:val="18"/>
              </w:rPr>
              <w:t>Drop in people’s work efficiency &amp; comfort</w:t>
            </w:r>
          </w:p>
        </w:tc>
        <w:tc>
          <w:tcPr>
            <w:tcW w:w="1436" w:type="dxa"/>
            <w:vMerge w:val="restart"/>
            <w:tcBorders>
              <w:left w:val="nil"/>
              <w:right w:val="nil"/>
            </w:tcBorders>
            <w:vAlign w:val="center"/>
          </w:tcPr>
          <w:p w14:paraId="2BD5ACAC" w14:textId="69C536E6" w:rsidR="00153084" w:rsidRPr="00802905" w:rsidRDefault="00225153" w:rsidP="004C2416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225153">
              <w:rPr>
                <w:sz w:val="20"/>
                <w:szCs w:val="18"/>
              </w:rPr>
              <w:t>Life quality and public/private property</w:t>
            </w:r>
          </w:p>
        </w:tc>
      </w:tr>
      <w:tr w:rsidR="00153084" w:rsidRPr="004259B8" w14:paraId="210E189E" w14:textId="23BEE24E" w:rsidTr="004C2416">
        <w:trPr>
          <w:trHeight w:val="1178"/>
          <w:jc w:val="center"/>
        </w:trPr>
        <w:tc>
          <w:tcPr>
            <w:tcW w:w="1730" w:type="dxa"/>
            <w:tcBorders>
              <w:left w:val="nil"/>
              <w:right w:val="nil"/>
            </w:tcBorders>
            <w:vAlign w:val="center"/>
          </w:tcPr>
          <w:p w14:paraId="0D0F5A76" w14:textId="74C35677" w:rsidR="00153084" w:rsidRPr="004259B8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 xml:space="preserve">(0,0,3)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(2,5,8)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16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Cambria Math" w:cs="Times New Roman"/>
                            <w:sz w:val="18"/>
                            <w:szCs w:val="16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(7,10,10)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70" w:type="dxa"/>
            <w:tcBorders>
              <w:left w:val="nil"/>
              <w:right w:val="nil"/>
            </w:tcBorders>
            <w:vAlign w:val="center"/>
          </w:tcPr>
          <w:p w14:paraId="6E5F081B" w14:textId="07BE2B2A" w:rsidR="00153084" w:rsidRPr="000B439A" w:rsidRDefault="00225153" w:rsidP="003024E7">
            <w:pPr>
              <w:spacing w:after="0"/>
              <w:ind w:firstLine="0"/>
              <w:jc w:val="center"/>
              <w:rPr>
                <w:sz w:val="22"/>
                <w:szCs w:val="20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sz w:val="22"/>
                        <w:szCs w:val="20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0"/>
                            <w:szCs w:val="1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Residential areas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18"/>
                          </w:rPr>
                          <m:t>Complex landuses (e.g. residential, offices, small shops, etc.)</m:t>
                        </m:r>
                        <m:ctrl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 w:val="20"/>
                            <w:szCs w:val="18"/>
                          </w:rPr>
                          <m:t xml:space="preserve">Large commercial centers such as shopping malls 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84" w:type="dxa"/>
            <w:tcBorders>
              <w:left w:val="nil"/>
              <w:right w:val="nil"/>
            </w:tcBorders>
            <w:vAlign w:val="center"/>
          </w:tcPr>
          <w:p w14:paraId="4625D174" w14:textId="66127D55" w:rsidR="00153084" w:rsidRPr="009E77DA" w:rsidRDefault="00153084" w:rsidP="003024E7">
            <w:pPr>
              <w:spacing w:after="0"/>
              <w:ind w:firstLine="0"/>
              <w:jc w:val="center"/>
              <w:rPr>
                <w:sz w:val="20"/>
                <w:szCs w:val="18"/>
              </w:rPr>
            </w:pPr>
            <w:r w:rsidRPr="004259B8">
              <w:rPr>
                <w:sz w:val="20"/>
                <w:szCs w:val="18"/>
              </w:rPr>
              <w:t>Damage to nearby buildings</w:t>
            </w:r>
          </w:p>
        </w:tc>
        <w:tc>
          <w:tcPr>
            <w:tcW w:w="1436" w:type="dxa"/>
            <w:vMerge/>
            <w:tcBorders>
              <w:left w:val="nil"/>
              <w:right w:val="nil"/>
            </w:tcBorders>
            <w:vAlign w:val="center"/>
          </w:tcPr>
          <w:p w14:paraId="7A2D2609" w14:textId="77777777" w:rsidR="00153084" w:rsidRPr="00290855" w:rsidRDefault="00153084" w:rsidP="003024E7">
            <w:pPr>
              <w:ind w:firstLine="0"/>
              <w:jc w:val="center"/>
              <w:rPr>
                <w:sz w:val="22"/>
                <w:szCs w:val="20"/>
              </w:rPr>
            </w:pPr>
          </w:p>
        </w:tc>
      </w:tr>
    </w:tbl>
    <w:bookmarkEnd w:id="2"/>
    <w:p w14:paraId="49D25049" w14:textId="63328119" w:rsidR="00577FAF" w:rsidRPr="000C522E" w:rsidRDefault="00577FAF" w:rsidP="003E2771">
      <w:pPr>
        <w:ind w:left="450" w:firstLine="0"/>
        <w:rPr>
          <w:sz w:val="20"/>
          <w:szCs w:val="18"/>
        </w:rPr>
      </w:pPr>
      <w:r w:rsidRPr="000C522E">
        <w:rPr>
          <w:sz w:val="20"/>
          <w:szCs w:val="18"/>
        </w:rPr>
        <w:t>**</w:t>
      </w:r>
      <w:r w:rsidR="00782352" w:rsidRPr="000C522E">
        <w:rPr>
          <w:sz w:val="20"/>
          <w:szCs w:val="18"/>
        </w:rPr>
        <w:t xml:space="preserve"> Baah, K., Dubey, B., Harvey, R., &amp; McBean, E. (2015). A risk-based approach to sanitary sewer pipe asset management. Science of the Total Environment, 505, 1011-1017.</w:t>
      </w:r>
    </w:p>
    <w:sectPr w:rsidR="00577FAF" w:rsidRPr="000C522E" w:rsidSect="006D6AD0">
      <w:headerReference w:type="default" r:id="rId6"/>
      <w:footerReference w:type="default" r:id="rId7"/>
      <w:pgSz w:w="16838" w:h="23811" w:code="8"/>
      <w:pgMar w:top="1008" w:right="1152" w:bottom="1008" w:left="115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391F3" w14:textId="77777777" w:rsidR="00653BE4" w:rsidRDefault="00653BE4" w:rsidP="009079AC">
      <w:pPr>
        <w:spacing w:after="0" w:line="240" w:lineRule="auto"/>
      </w:pPr>
      <w:r>
        <w:separator/>
      </w:r>
    </w:p>
  </w:endnote>
  <w:endnote w:type="continuationSeparator" w:id="0">
    <w:p w14:paraId="1C994966" w14:textId="77777777" w:rsidR="00653BE4" w:rsidRDefault="00653BE4" w:rsidP="00907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058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05BA5D" w14:textId="30749697" w:rsidR="009079AC" w:rsidRDefault="009079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8CECD6" w14:textId="77777777" w:rsidR="009079AC" w:rsidRDefault="00907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13248" w14:textId="77777777" w:rsidR="00653BE4" w:rsidRDefault="00653BE4" w:rsidP="009079AC">
      <w:pPr>
        <w:spacing w:after="0" w:line="240" w:lineRule="auto"/>
      </w:pPr>
      <w:r>
        <w:separator/>
      </w:r>
    </w:p>
  </w:footnote>
  <w:footnote w:type="continuationSeparator" w:id="0">
    <w:p w14:paraId="6F284638" w14:textId="77777777" w:rsidR="00653BE4" w:rsidRDefault="00653BE4" w:rsidP="00907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8389" w14:textId="0E42D5CD" w:rsidR="009079AC" w:rsidRDefault="00EA4625" w:rsidP="00927889">
    <w:pPr>
      <w:pStyle w:val="Header"/>
      <w:jc w:val="center"/>
      <w:rPr>
        <w:rFonts w:cs="Times New Roman"/>
        <w:szCs w:val="20"/>
      </w:rPr>
    </w:pPr>
    <w:r w:rsidRPr="00EA4625">
      <w:rPr>
        <w:b/>
        <w:bCs/>
        <w:szCs w:val="20"/>
      </w:rPr>
      <w:t>Supplemental Materials</w:t>
    </w:r>
    <w:r w:rsidR="009E77DA">
      <w:rPr>
        <w:b/>
        <w:bCs/>
        <w:szCs w:val="20"/>
      </w:rPr>
      <w:t xml:space="preserve"> A.</w:t>
    </w:r>
    <w:r w:rsidR="009E77DA" w:rsidRPr="00C140B9">
      <w:rPr>
        <w:szCs w:val="20"/>
      </w:rPr>
      <w:t xml:space="preserve"> </w:t>
    </w:r>
  </w:p>
  <w:p w14:paraId="4F7AFD92" w14:textId="77777777" w:rsidR="009E77DA" w:rsidRDefault="009E77DA" w:rsidP="009E77D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A0MDe0NDExMLEwNTVU0lEKTi0uzszPAymwqAUAJMXs9iwAAAA="/>
  </w:docVars>
  <w:rsids>
    <w:rsidRoot w:val="002E6ABE"/>
    <w:rsid w:val="0003798C"/>
    <w:rsid w:val="000642B1"/>
    <w:rsid w:val="000A5BF7"/>
    <w:rsid w:val="000B1E40"/>
    <w:rsid w:val="000B439A"/>
    <w:rsid w:val="000C522E"/>
    <w:rsid w:val="000C795D"/>
    <w:rsid w:val="00123B83"/>
    <w:rsid w:val="00153084"/>
    <w:rsid w:val="00195728"/>
    <w:rsid w:val="00221CFE"/>
    <w:rsid w:val="00225153"/>
    <w:rsid w:val="00290855"/>
    <w:rsid w:val="002D0EAD"/>
    <w:rsid w:val="002D45EA"/>
    <w:rsid w:val="002E59AC"/>
    <w:rsid w:val="002E6ABE"/>
    <w:rsid w:val="003024E7"/>
    <w:rsid w:val="00312B21"/>
    <w:rsid w:val="003A6BDB"/>
    <w:rsid w:val="003D5C34"/>
    <w:rsid w:val="003E2771"/>
    <w:rsid w:val="003F235F"/>
    <w:rsid w:val="003F4D3C"/>
    <w:rsid w:val="004014EC"/>
    <w:rsid w:val="0041280C"/>
    <w:rsid w:val="004259B8"/>
    <w:rsid w:val="00466EF7"/>
    <w:rsid w:val="0047207D"/>
    <w:rsid w:val="004962D7"/>
    <w:rsid w:val="004A3C81"/>
    <w:rsid w:val="004C2416"/>
    <w:rsid w:val="005005B1"/>
    <w:rsid w:val="00502870"/>
    <w:rsid w:val="00544FE3"/>
    <w:rsid w:val="0056566D"/>
    <w:rsid w:val="00572717"/>
    <w:rsid w:val="00577FAF"/>
    <w:rsid w:val="00586AC1"/>
    <w:rsid w:val="005B2D59"/>
    <w:rsid w:val="006118CC"/>
    <w:rsid w:val="00617A53"/>
    <w:rsid w:val="00653BE4"/>
    <w:rsid w:val="00655562"/>
    <w:rsid w:val="0069636F"/>
    <w:rsid w:val="006D6AD0"/>
    <w:rsid w:val="006D7E5C"/>
    <w:rsid w:val="00701E83"/>
    <w:rsid w:val="0071471C"/>
    <w:rsid w:val="007766C7"/>
    <w:rsid w:val="00782352"/>
    <w:rsid w:val="007B536F"/>
    <w:rsid w:val="007C7C56"/>
    <w:rsid w:val="007E277F"/>
    <w:rsid w:val="00802905"/>
    <w:rsid w:val="008030D9"/>
    <w:rsid w:val="008100D6"/>
    <w:rsid w:val="0087338F"/>
    <w:rsid w:val="00876E41"/>
    <w:rsid w:val="00884B53"/>
    <w:rsid w:val="00886FC3"/>
    <w:rsid w:val="008E0135"/>
    <w:rsid w:val="009079AC"/>
    <w:rsid w:val="0092457B"/>
    <w:rsid w:val="00927889"/>
    <w:rsid w:val="00936D82"/>
    <w:rsid w:val="00940BB9"/>
    <w:rsid w:val="009742CD"/>
    <w:rsid w:val="009912CC"/>
    <w:rsid w:val="009E77DA"/>
    <w:rsid w:val="009F71DC"/>
    <w:rsid w:val="00A22F56"/>
    <w:rsid w:val="00A24E08"/>
    <w:rsid w:val="00AD6C8C"/>
    <w:rsid w:val="00AE0AF3"/>
    <w:rsid w:val="00AE6C07"/>
    <w:rsid w:val="00B354E0"/>
    <w:rsid w:val="00B57A1A"/>
    <w:rsid w:val="00B64F2D"/>
    <w:rsid w:val="00BC4AEC"/>
    <w:rsid w:val="00BF7596"/>
    <w:rsid w:val="00C06153"/>
    <w:rsid w:val="00CA4C52"/>
    <w:rsid w:val="00CD2600"/>
    <w:rsid w:val="00CD66EB"/>
    <w:rsid w:val="00D11C03"/>
    <w:rsid w:val="00D271C3"/>
    <w:rsid w:val="00D56DD9"/>
    <w:rsid w:val="00D76C37"/>
    <w:rsid w:val="00DE4446"/>
    <w:rsid w:val="00E035F9"/>
    <w:rsid w:val="00E537E0"/>
    <w:rsid w:val="00E62197"/>
    <w:rsid w:val="00E949DE"/>
    <w:rsid w:val="00EA4625"/>
    <w:rsid w:val="00EC5BE4"/>
    <w:rsid w:val="00ED00C7"/>
    <w:rsid w:val="00ED614D"/>
    <w:rsid w:val="00ED7555"/>
    <w:rsid w:val="00EF38AB"/>
    <w:rsid w:val="00F66D02"/>
    <w:rsid w:val="00F72051"/>
    <w:rsid w:val="00F85967"/>
    <w:rsid w:val="00FA606D"/>
    <w:rsid w:val="00FD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F78695"/>
  <w15:chartTrackingRefBased/>
  <w15:docId w15:val="{47221534-E15B-4836-ADBE-ADAF70E5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ABE"/>
    <w:pPr>
      <w:spacing w:after="200" w:line="360" w:lineRule="auto"/>
      <w:ind w:firstLine="720"/>
      <w:jc w:val="lowKashida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6ABE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2E6ABE"/>
    <w:pPr>
      <w:numPr>
        <w:ilvl w:val="1"/>
      </w:numPr>
      <w:bidi/>
      <w:spacing w:after="360" w:line="240" w:lineRule="auto"/>
      <w:ind w:firstLine="720"/>
      <w:jc w:val="center"/>
    </w:pPr>
    <w:rPr>
      <w:rFonts w:eastAsiaTheme="majorEastAsia" w:cs="B Nazanin"/>
      <w:iCs/>
      <w:spacing w:val="15"/>
      <w:sz w:val="20"/>
      <w:szCs w:val="24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2E6ABE"/>
    <w:rPr>
      <w:rFonts w:ascii="Times New Roman" w:eastAsiaTheme="majorEastAsia" w:hAnsi="Times New Roman" w:cs="B Nazanin"/>
      <w:iCs/>
      <w:spacing w:val="15"/>
      <w:sz w:val="20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870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F71DC"/>
    <w:rPr>
      <w:color w:val="808080"/>
    </w:rPr>
  </w:style>
  <w:style w:type="character" w:customStyle="1" w:styleId="jlqj4b">
    <w:name w:val="jlqj4b"/>
    <w:basedOn w:val="DefaultParagraphFont"/>
    <w:rsid w:val="00F85967"/>
  </w:style>
  <w:style w:type="character" w:customStyle="1" w:styleId="mgabyb">
    <w:name w:val="mgabyb"/>
    <w:basedOn w:val="DefaultParagraphFont"/>
    <w:rsid w:val="00EC5BE4"/>
  </w:style>
  <w:style w:type="paragraph" w:styleId="ListParagraph">
    <w:name w:val="List Paragraph"/>
    <w:basedOn w:val="Normal"/>
    <w:uiPriority w:val="34"/>
    <w:qFormat/>
    <w:rsid w:val="00586A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9A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0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9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Bardia Roghani</cp:lastModifiedBy>
  <cp:revision>106</cp:revision>
  <dcterms:created xsi:type="dcterms:W3CDTF">2021-03-22T17:19:00Z</dcterms:created>
  <dcterms:modified xsi:type="dcterms:W3CDTF">2023-06-03T06:42:00Z</dcterms:modified>
</cp:coreProperties>
</file>