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9B1" w:rsidRDefault="008B79B1" w:rsidP="008B79B1">
      <w:pPr>
        <w:rPr>
          <w:b/>
        </w:rPr>
      </w:pPr>
      <w:r>
        <w:rPr>
          <w:b/>
        </w:rPr>
        <w:t xml:space="preserve">SUPPLEMENTARY MATERIALS </w:t>
      </w:r>
    </w:p>
    <w:p w:rsidR="008B79B1" w:rsidRDefault="008B79B1" w:rsidP="008B79B1">
      <w:pPr>
        <w:rPr>
          <w:b/>
        </w:rPr>
      </w:pPr>
    </w:p>
    <w:p w:rsidR="008B79B1" w:rsidRPr="00A8089A" w:rsidRDefault="008B79B1" w:rsidP="008B79B1">
      <w:pPr>
        <w:rPr>
          <w:b/>
        </w:rPr>
      </w:pPr>
      <w:r w:rsidRPr="00A8089A">
        <w:rPr>
          <w:b/>
        </w:rPr>
        <w:t xml:space="preserve">Supplementary Table </w:t>
      </w:r>
      <w:r w:rsidR="00290BFC">
        <w:rPr>
          <w:b/>
        </w:rPr>
        <w:t>S</w:t>
      </w:r>
      <w:r>
        <w:rPr>
          <w:b/>
        </w:rPr>
        <w:t>1</w:t>
      </w:r>
      <w:r w:rsidRPr="00A8089A">
        <w:rPr>
          <w:b/>
        </w:rPr>
        <w:t xml:space="preserve"> </w:t>
      </w:r>
      <w:r w:rsidRPr="0045082D">
        <w:t>ICD-10-CM diagnosis codes and medications</w:t>
      </w:r>
      <w:r w:rsidRPr="00A8089A">
        <w:rPr>
          <w:b/>
        </w:rPr>
        <w:t xml:space="preserve"> </w:t>
      </w:r>
    </w:p>
    <w:p w:rsidR="008B79B1" w:rsidRPr="00A8089A" w:rsidRDefault="008B79B1" w:rsidP="008B79B1"/>
    <w:tbl>
      <w:tblPr>
        <w:tblW w:w="10254" w:type="dxa"/>
        <w:tblInd w:w="-426" w:type="dxa"/>
        <w:tblLook w:val="04A0" w:firstRow="1" w:lastRow="0" w:firstColumn="1" w:lastColumn="0" w:noHBand="0" w:noVBand="1"/>
      </w:tblPr>
      <w:tblGrid>
        <w:gridCol w:w="2835"/>
        <w:gridCol w:w="2635"/>
        <w:gridCol w:w="4784"/>
      </w:tblGrid>
      <w:tr w:rsidR="008B79B1" w:rsidRPr="00A8089A" w:rsidTr="008B79B1">
        <w:tc>
          <w:tcPr>
            <w:tcW w:w="10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ICD-10-CM diagnosis codes for COPD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Code</w:t>
            </w: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Type</w:t>
            </w: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Description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J40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Bronchitis, not specified as acute or chronic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J410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Simple chronic bronchitis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J411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Mucopurulent chronic bronchitis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J418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Mixed simple and mucopurulent chronic bronchitis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J42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Unspecified chronic bronchitis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J430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 xml:space="preserve">Unilateral pulmonary emphysema </w:t>
            </w:r>
            <w:r>
              <w:br/>
            </w:r>
            <w:r w:rsidRPr="00A8089A">
              <w:t>(MacLeod’s syndrome)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J431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Panlobular emphysema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J432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Centrilobular emphysema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J438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Other emphysema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J439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Emphysema, unspecified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J440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Chronic obstructive pulmonary disease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J441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Chronic obstructive pulmonary disease with (acute) exacerbation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J449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ICD-10 Dx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Chronic obstructive pulmonary disease, unspecified</w:t>
            </w:r>
          </w:p>
        </w:tc>
      </w:tr>
      <w:tr w:rsidR="008B79B1" w:rsidRPr="00A8089A" w:rsidTr="008B79B1">
        <w:tc>
          <w:tcPr>
            <w:tcW w:w="102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COPD medications</w:t>
            </w:r>
          </w:p>
        </w:tc>
      </w:tr>
      <w:tr w:rsidR="008B79B1" w:rsidRPr="00E22355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Subclass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E22355" w:rsidRDefault="008B79B1" w:rsidP="00DB25A9">
            <w:pPr>
              <w:rPr>
                <w:b/>
              </w:rPr>
            </w:pPr>
            <w:r w:rsidRPr="00E22355">
              <w:rPr>
                <w:b/>
              </w:rPr>
              <w:t>Medication</w:t>
            </w:r>
          </w:p>
        </w:tc>
      </w:tr>
      <w:tr w:rsidR="008B79B1" w:rsidRPr="00A8089A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Anticholinergic/</w:t>
            </w:r>
          </w:p>
          <w:p w:rsidR="008B79B1" w:rsidRPr="00A8089A" w:rsidRDefault="008B79B1" w:rsidP="00DB25A9">
            <w:r w:rsidRPr="00A8089A">
              <w:t>SABA combination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Ipratropium/albuterol</w:t>
            </w:r>
          </w:p>
        </w:tc>
      </w:tr>
      <w:tr w:rsidR="008B79B1" w:rsidRPr="00A8089A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Anticholinergics</w:t>
            </w:r>
          </w:p>
          <w:p w:rsidR="008B79B1" w:rsidRPr="00A8089A" w:rsidRDefault="008B79B1" w:rsidP="00DB25A9">
            <w:r w:rsidRPr="00A8089A">
              <w:t>(LAMA</w:t>
            </w:r>
          </w:p>
          <w:p w:rsidR="008B79B1" w:rsidRPr="00A8089A" w:rsidRDefault="008B79B1" w:rsidP="00DB25A9">
            <w:r w:rsidRPr="00A8089A">
              <w:t>monotherapy)</w:t>
            </w:r>
            <w:bookmarkStart w:id="0" w:name="_GoBack"/>
            <w:bookmarkEnd w:id="0"/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Aclidinium</w:t>
            </w:r>
          </w:p>
          <w:p w:rsidR="008B79B1" w:rsidRPr="00A8089A" w:rsidRDefault="008B79B1" w:rsidP="00DB25A9">
            <w:r w:rsidRPr="00A8089A">
              <w:t>Tiotropium</w:t>
            </w:r>
          </w:p>
          <w:p w:rsidR="008B79B1" w:rsidRPr="00A8089A" w:rsidRDefault="008B79B1" w:rsidP="00DB25A9">
            <w:r w:rsidRPr="00A8089A">
              <w:t>Umeclidinium</w:t>
            </w:r>
          </w:p>
        </w:tc>
      </w:tr>
      <w:tr w:rsidR="008B79B1" w:rsidRPr="00A8089A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0B43AB">
              <w:t>ICS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>
              <w:t>Beclomethasone</w:t>
            </w:r>
          </w:p>
          <w:p w:rsidR="008B79B1" w:rsidRPr="00A8089A" w:rsidRDefault="008B79B1" w:rsidP="00DB25A9">
            <w:r>
              <w:t>Budesonide</w:t>
            </w:r>
          </w:p>
          <w:p w:rsidR="008B79B1" w:rsidRPr="00A8089A" w:rsidRDefault="008B79B1" w:rsidP="00DB25A9">
            <w:r w:rsidRPr="00A8089A">
              <w:t>Ciclesonide</w:t>
            </w:r>
          </w:p>
          <w:p w:rsidR="008B79B1" w:rsidRPr="00A8089A" w:rsidRDefault="008B79B1" w:rsidP="00DB25A9">
            <w:r w:rsidRPr="00A8089A">
              <w:t>Dexamethasone</w:t>
            </w:r>
          </w:p>
          <w:p w:rsidR="008B79B1" w:rsidRPr="00A8089A" w:rsidRDefault="008B79B1" w:rsidP="00DB25A9">
            <w:r w:rsidRPr="00A8089A">
              <w:t>Flunisolide</w:t>
            </w:r>
          </w:p>
          <w:p w:rsidR="008B79B1" w:rsidRPr="00A8089A" w:rsidRDefault="008B79B1" w:rsidP="00DB25A9">
            <w:r w:rsidRPr="00A8089A">
              <w:t>Fluticasone</w:t>
            </w:r>
          </w:p>
          <w:p w:rsidR="008B79B1" w:rsidRPr="00A8089A" w:rsidRDefault="008B79B1" w:rsidP="00DB25A9">
            <w:r w:rsidRPr="00A8089A">
              <w:t>Mometasone</w:t>
            </w:r>
          </w:p>
          <w:p w:rsidR="008B79B1" w:rsidRPr="00A8089A" w:rsidRDefault="008B79B1" w:rsidP="00DB25A9">
            <w:r w:rsidRPr="00A8089A">
              <w:t>Triamcinolone</w:t>
            </w:r>
          </w:p>
        </w:tc>
      </w:tr>
      <w:tr w:rsidR="008B79B1" w:rsidRPr="00A8089A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LABA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Arformoterol</w:t>
            </w:r>
          </w:p>
          <w:p w:rsidR="008B79B1" w:rsidRPr="00A8089A" w:rsidRDefault="008B79B1" w:rsidP="00DB25A9">
            <w:r w:rsidRPr="00A8089A">
              <w:t>Formoterol</w:t>
            </w:r>
          </w:p>
          <w:p w:rsidR="008B79B1" w:rsidRPr="00A8089A" w:rsidRDefault="008B79B1" w:rsidP="00DB25A9">
            <w:r w:rsidRPr="00A8089A">
              <w:t>Olodaterol</w:t>
            </w:r>
          </w:p>
          <w:p w:rsidR="008B79B1" w:rsidRPr="00A8089A" w:rsidRDefault="008B79B1" w:rsidP="00DB25A9">
            <w:r w:rsidRPr="00A8089A">
              <w:t>Salmeterol</w:t>
            </w:r>
          </w:p>
          <w:p w:rsidR="008B79B1" w:rsidRPr="00A8089A" w:rsidRDefault="008B79B1" w:rsidP="00DB25A9">
            <w:r w:rsidRPr="00A8089A">
              <w:t>Indacaterol</w:t>
            </w:r>
          </w:p>
        </w:tc>
      </w:tr>
      <w:tr w:rsidR="008B79B1" w:rsidRPr="00A8089A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0B43AB" w:rsidRDefault="008B79B1" w:rsidP="00DB25A9">
            <w:r w:rsidRPr="000B43AB">
              <w:t>LAMA/LABA combination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Umeclidinium/vilanterol</w:t>
            </w:r>
          </w:p>
          <w:p w:rsidR="008B79B1" w:rsidRPr="00A8089A" w:rsidRDefault="008B79B1" w:rsidP="00DB25A9">
            <w:r w:rsidRPr="00A8089A">
              <w:t>Tiotropium/olodaterol</w:t>
            </w:r>
          </w:p>
          <w:p w:rsidR="008B79B1" w:rsidRPr="00A8089A" w:rsidRDefault="008B79B1" w:rsidP="00DB25A9">
            <w:r w:rsidRPr="00A8089A">
              <w:t>Glycopyrrolate/indacaterol</w:t>
            </w:r>
          </w:p>
        </w:tc>
      </w:tr>
      <w:tr w:rsidR="008B79B1" w:rsidRPr="00A8089A" w:rsidTr="008B79B1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0B43AB" w:rsidRDefault="008B79B1" w:rsidP="00DB25A9">
            <w:r w:rsidRPr="000B43AB">
              <w:t>ICS/LABA combination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r w:rsidRPr="00A8089A">
              <w:t>Fluticasone/salmeterol</w:t>
            </w:r>
          </w:p>
          <w:p w:rsidR="008B79B1" w:rsidRPr="00A8089A" w:rsidRDefault="008B79B1" w:rsidP="00DB25A9">
            <w:r w:rsidRPr="00A8089A">
              <w:t>Budesonide/formoterol</w:t>
            </w:r>
          </w:p>
          <w:p w:rsidR="008B79B1" w:rsidRPr="00A8089A" w:rsidRDefault="008B79B1" w:rsidP="00DB25A9">
            <w:r w:rsidRPr="00A8089A">
              <w:t>Fluticasone/vilanterol</w:t>
            </w:r>
          </w:p>
          <w:p w:rsidR="008B79B1" w:rsidRPr="00A8089A" w:rsidRDefault="008B79B1" w:rsidP="00DB25A9">
            <w:r w:rsidRPr="00A8089A">
              <w:t>Mometasone/formoterol</w:t>
            </w:r>
          </w:p>
        </w:tc>
      </w:tr>
    </w:tbl>
    <w:p w:rsidR="008B79B1" w:rsidRDefault="008B79B1" w:rsidP="008B79B1">
      <w:pPr>
        <w:rPr>
          <w:szCs w:val="20"/>
          <w:lang w:eastAsia="en-GB"/>
        </w:rPr>
      </w:pPr>
      <w:r w:rsidRPr="0045082D">
        <w:rPr>
          <w:i/>
          <w:szCs w:val="20"/>
          <w:lang w:eastAsia="en-GB"/>
        </w:rPr>
        <w:t>ICD-10-CM</w:t>
      </w:r>
      <w:r w:rsidRPr="00E97DA8">
        <w:rPr>
          <w:szCs w:val="20"/>
          <w:lang w:eastAsia="en-GB"/>
        </w:rPr>
        <w:t xml:space="preserve"> International Classification of Disease, 10</w:t>
      </w:r>
      <w:r w:rsidRPr="00E97DA8">
        <w:rPr>
          <w:szCs w:val="20"/>
          <w:vertAlign w:val="superscript"/>
          <w:lang w:eastAsia="en-GB"/>
        </w:rPr>
        <w:t>th</w:t>
      </w:r>
      <w:r w:rsidRPr="00E97DA8">
        <w:rPr>
          <w:szCs w:val="20"/>
          <w:lang w:eastAsia="en-GB"/>
        </w:rPr>
        <w:t xml:space="preserve"> Revision</w:t>
      </w:r>
      <w:r>
        <w:rPr>
          <w:szCs w:val="20"/>
          <w:lang w:eastAsia="en-GB"/>
        </w:rPr>
        <w:t>-</w:t>
      </w:r>
      <w:r w:rsidRPr="00E97DA8">
        <w:rPr>
          <w:szCs w:val="20"/>
          <w:lang w:eastAsia="en-GB"/>
        </w:rPr>
        <w:t>Clinical Modification</w:t>
      </w:r>
      <w:r w:rsidR="001363A0">
        <w:rPr>
          <w:szCs w:val="20"/>
          <w:lang w:eastAsia="en-GB"/>
        </w:rPr>
        <w:t>;</w:t>
      </w:r>
      <w:r w:rsidRPr="00E97DA8">
        <w:rPr>
          <w:szCs w:val="20"/>
          <w:lang w:eastAsia="en-GB"/>
        </w:rPr>
        <w:t xml:space="preserve"> </w:t>
      </w:r>
      <w:r w:rsidRPr="0045082D">
        <w:rPr>
          <w:i/>
          <w:szCs w:val="20"/>
          <w:lang w:eastAsia="en-GB"/>
        </w:rPr>
        <w:t>ICS</w:t>
      </w:r>
      <w:r w:rsidRPr="00E97DA8">
        <w:rPr>
          <w:szCs w:val="20"/>
          <w:lang w:eastAsia="en-GB"/>
        </w:rPr>
        <w:t xml:space="preserve"> inhaled corticosteroid</w:t>
      </w:r>
      <w:r w:rsidR="001363A0">
        <w:rPr>
          <w:szCs w:val="20"/>
          <w:lang w:eastAsia="en-GB"/>
        </w:rPr>
        <w:t>;</w:t>
      </w:r>
      <w:r w:rsidRPr="00E97DA8">
        <w:rPr>
          <w:szCs w:val="20"/>
          <w:lang w:eastAsia="en-GB"/>
        </w:rPr>
        <w:t xml:space="preserve"> </w:t>
      </w:r>
      <w:r w:rsidRPr="0045082D">
        <w:rPr>
          <w:i/>
          <w:szCs w:val="20"/>
          <w:lang w:eastAsia="en-GB"/>
        </w:rPr>
        <w:t>LABA</w:t>
      </w:r>
      <w:r w:rsidRPr="00E97DA8">
        <w:rPr>
          <w:szCs w:val="20"/>
          <w:lang w:eastAsia="en-GB"/>
        </w:rPr>
        <w:t xml:space="preserve"> long-acting β</w:t>
      </w:r>
      <w:r w:rsidRPr="00E97DA8">
        <w:rPr>
          <w:szCs w:val="20"/>
          <w:vertAlign w:val="subscript"/>
          <w:lang w:eastAsia="en-GB"/>
        </w:rPr>
        <w:t>2</w:t>
      </w:r>
      <w:r w:rsidRPr="00E97DA8">
        <w:rPr>
          <w:szCs w:val="20"/>
          <w:lang w:eastAsia="en-GB"/>
        </w:rPr>
        <w:t>-agonist</w:t>
      </w:r>
      <w:r w:rsidR="001363A0">
        <w:rPr>
          <w:szCs w:val="20"/>
          <w:lang w:eastAsia="en-GB"/>
        </w:rPr>
        <w:t>;</w:t>
      </w:r>
      <w:r w:rsidRPr="00E97DA8">
        <w:rPr>
          <w:szCs w:val="20"/>
          <w:lang w:eastAsia="en-GB"/>
        </w:rPr>
        <w:t xml:space="preserve"> </w:t>
      </w:r>
      <w:r w:rsidRPr="0045082D">
        <w:rPr>
          <w:i/>
          <w:szCs w:val="20"/>
          <w:lang w:eastAsia="en-GB"/>
        </w:rPr>
        <w:t>LAMA</w:t>
      </w:r>
      <w:r w:rsidRPr="00E97DA8">
        <w:rPr>
          <w:szCs w:val="20"/>
          <w:lang w:eastAsia="en-GB"/>
        </w:rPr>
        <w:t xml:space="preserve"> long-acting muscarinic antagonist</w:t>
      </w:r>
      <w:r w:rsidR="001363A0">
        <w:rPr>
          <w:szCs w:val="20"/>
          <w:lang w:eastAsia="en-GB"/>
        </w:rPr>
        <w:t>;</w:t>
      </w:r>
      <w:r w:rsidRPr="00E97DA8">
        <w:rPr>
          <w:szCs w:val="20"/>
          <w:lang w:eastAsia="en-GB"/>
        </w:rPr>
        <w:t xml:space="preserve"> </w:t>
      </w:r>
      <w:r w:rsidRPr="0045082D">
        <w:rPr>
          <w:i/>
          <w:szCs w:val="20"/>
          <w:lang w:eastAsia="en-GB"/>
        </w:rPr>
        <w:t>MMMC</w:t>
      </w:r>
      <w:r w:rsidRPr="00E97DA8">
        <w:rPr>
          <w:szCs w:val="20"/>
          <w:lang w:eastAsia="en-GB"/>
        </w:rPr>
        <w:t xml:space="preserve"> mainstream Medicaid managed care</w:t>
      </w:r>
      <w:r w:rsidR="00C139A3">
        <w:rPr>
          <w:szCs w:val="20"/>
          <w:lang w:eastAsia="en-GB"/>
        </w:rPr>
        <w:t>;</w:t>
      </w:r>
      <w:r w:rsidRPr="00E97DA8">
        <w:rPr>
          <w:szCs w:val="20"/>
          <w:lang w:eastAsia="en-GB"/>
        </w:rPr>
        <w:t xml:space="preserve"> </w:t>
      </w:r>
      <w:r w:rsidRPr="0045082D">
        <w:rPr>
          <w:i/>
          <w:szCs w:val="20"/>
          <w:lang w:eastAsia="en-GB"/>
        </w:rPr>
        <w:t>SABA</w:t>
      </w:r>
      <w:r w:rsidRPr="00E97DA8">
        <w:rPr>
          <w:szCs w:val="20"/>
          <w:lang w:eastAsia="en-GB"/>
        </w:rPr>
        <w:t xml:space="preserve"> short-acting β</w:t>
      </w:r>
      <w:r w:rsidRPr="00E97DA8">
        <w:rPr>
          <w:szCs w:val="20"/>
          <w:vertAlign w:val="subscript"/>
          <w:lang w:eastAsia="en-GB"/>
        </w:rPr>
        <w:t>2</w:t>
      </w:r>
      <w:r w:rsidRPr="00E97DA8">
        <w:rPr>
          <w:szCs w:val="20"/>
          <w:lang w:eastAsia="en-GB"/>
        </w:rPr>
        <w:t>-agonist</w:t>
      </w:r>
    </w:p>
    <w:p w:rsidR="008B79B1" w:rsidRPr="0045082D" w:rsidRDefault="008B79B1" w:rsidP="008B79B1">
      <w:r>
        <w:rPr>
          <w:b/>
        </w:rPr>
        <w:lastRenderedPageBreak/>
        <w:t xml:space="preserve">Supplementary </w:t>
      </w:r>
      <w:r w:rsidRPr="00A8089A">
        <w:rPr>
          <w:b/>
        </w:rPr>
        <w:t xml:space="preserve">Table </w:t>
      </w:r>
      <w:r w:rsidR="00290BFC">
        <w:rPr>
          <w:b/>
        </w:rPr>
        <w:t>S</w:t>
      </w:r>
      <w:r>
        <w:rPr>
          <w:b/>
        </w:rPr>
        <w:t>2</w:t>
      </w:r>
      <w:r w:rsidRPr="00A8089A">
        <w:rPr>
          <w:b/>
        </w:rPr>
        <w:t xml:space="preserve"> </w:t>
      </w:r>
      <w:r w:rsidRPr="0045082D">
        <w:t>Baseline comparison of respondents and non-respondents claim-based characteristics</w:t>
      </w:r>
    </w:p>
    <w:p w:rsidR="008B79B1" w:rsidRPr="00A8089A" w:rsidRDefault="008B79B1" w:rsidP="008B79B1">
      <w:pPr>
        <w:rPr>
          <w:b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552"/>
        <w:gridCol w:w="1843"/>
        <w:gridCol w:w="1700"/>
        <w:gridCol w:w="2127"/>
        <w:gridCol w:w="1417"/>
      </w:tblGrid>
      <w:tr w:rsidR="008B79B1" w:rsidRPr="00A8089A" w:rsidTr="00DB25A9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Total</w:t>
            </w: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(N=</w:t>
            </w:r>
            <w:r>
              <w:rPr>
                <w:rFonts w:ascii="Calibri" w:hAnsi="Calibri"/>
                <w:b/>
                <w:sz w:val="22"/>
                <w:szCs w:val="22"/>
              </w:rPr>
              <w:t>2,275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Respondents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br/>
              <w:t>(n=</w:t>
            </w:r>
            <w:r>
              <w:rPr>
                <w:rFonts w:ascii="Calibri" w:hAnsi="Calibri"/>
                <w:b/>
                <w:sz w:val="22"/>
                <w:szCs w:val="22"/>
              </w:rPr>
              <w:t>654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Non-respondents</w:t>
            </w: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(n=</w:t>
            </w:r>
            <w:r>
              <w:rPr>
                <w:rFonts w:ascii="Calibri" w:hAnsi="Calibri"/>
                <w:b/>
                <w:sz w:val="22"/>
                <w:szCs w:val="22"/>
              </w:rPr>
              <w:t>1,621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jc w:val="center"/>
              <w:rPr>
                <w:b/>
              </w:rPr>
            </w:pPr>
            <w:r w:rsidRPr="002576C9">
              <w:rPr>
                <w:b/>
                <w:i/>
              </w:rPr>
              <w:t>P</w:t>
            </w:r>
            <w:r w:rsidRPr="00A8089A">
              <w:rPr>
                <w:b/>
              </w:rPr>
              <w:t>-value</w:t>
            </w:r>
          </w:p>
        </w:tc>
      </w:tr>
      <w:tr w:rsidR="008B79B1" w:rsidRPr="00A8089A" w:rsidTr="00DB25A9"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Age (years)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 xml:space="preserve">, mean (SD)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72.1 (10.0)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71.5 (9.0)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72.3 (10.4)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0.071</w:t>
            </w: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Female, n (%)</w:t>
            </w:r>
          </w:p>
        </w:tc>
        <w:tc>
          <w:tcPr>
            <w:tcW w:w="1843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1,343 (59.0)</w:t>
            </w:r>
          </w:p>
        </w:tc>
        <w:tc>
          <w:tcPr>
            <w:tcW w:w="1700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386 (59.0)</w:t>
            </w:r>
          </w:p>
        </w:tc>
        <w:tc>
          <w:tcPr>
            <w:tcW w:w="212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957 (59.0)</w:t>
            </w:r>
          </w:p>
        </w:tc>
        <w:tc>
          <w:tcPr>
            <w:tcW w:w="14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0.994</w:t>
            </w: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Insurance type, n (%)</w:t>
            </w:r>
          </w:p>
        </w:tc>
        <w:tc>
          <w:tcPr>
            <w:tcW w:w="1843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Pr="00AE5A6D" w:rsidRDefault="008B79B1" w:rsidP="00DB25A9">
            <w:pPr>
              <w:pStyle w:val="Default"/>
              <w:ind w:firstLine="313"/>
              <w:rPr>
                <w:rFonts w:ascii="Calibri" w:hAnsi="Calibri"/>
                <w:sz w:val="22"/>
                <w:szCs w:val="22"/>
              </w:rPr>
            </w:pPr>
            <w:r w:rsidRPr="00AE5A6D">
              <w:rPr>
                <w:rFonts w:ascii="Calibri" w:hAnsi="Calibri"/>
                <w:sz w:val="22"/>
                <w:szCs w:val="22"/>
              </w:rPr>
              <w:t>Commercial</w:t>
            </w:r>
          </w:p>
        </w:tc>
        <w:tc>
          <w:tcPr>
            <w:tcW w:w="1843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295 (13.0)</w:t>
            </w:r>
          </w:p>
        </w:tc>
        <w:tc>
          <w:tcPr>
            <w:tcW w:w="1700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 (10.7)</w:t>
            </w:r>
          </w:p>
        </w:tc>
        <w:tc>
          <w:tcPr>
            <w:tcW w:w="212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225 (13.9)</w:t>
            </w:r>
          </w:p>
        </w:tc>
        <w:tc>
          <w:tcPr>
            <w:tcW w:w="141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0.041</w:t>
            </w: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Pr="00AE5A6D" w:rsidRDefault="008B79B1" w:rsidP="00DB25A9">
            <w:pPr>
              <w:pStyle w:val="Default"/>
              <w:ind w:firstLine="313"/>
              <w:rPr>
                <w:rFonts w:ascii="Calibri" w:hAnsi="Calibri"/>
                <w:sz w:val="22"/>
                <w:szCs w:val="22"/>
              </w:rPr>
            </w:pPr>
            <w:r w:rsidRPr="00AE5A6D">
              <w:rPr>
                <w:rFonts w:ascii="Calibri" w:hAnsi="Calibri"/>
                <w:sz w:val="22"/>
                <w:szCs w:val="22"/>
              </w:rPr>
              <w:t>Medicare Advantage</w:t>
            </w:r>
          </w:p>
        </w:tc>
        <w:tc>
          <w:tcPr>
            <w:tcW w:w="1843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1,980 (87.0)</w:t>
            </w:r>
          </w:p>
        </w:tc>
        <w:tc>
          <w:tcPr>
            <w:tcW w:w="1700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584 (89.3)</w:t>
            </w:r>
          </w:p>
        </w:tc>
        <w:tc>
          <w:tcPr>
            <w:tcW w:w="212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1,396 (86.1)</w:t>
            </w:r>
          </w:p>
        </w:tc>
        <w:tc>
          <w:tcPr>
            <w:tcW w:w="141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0.041</w:t>
            </w: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Pr="00245831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245831">
              <w:rPr>
                <w:rFonts w:ascii="Calibri" w:hAnsi="Calibri"/>
                <w:b/>
                <w:sz w:val="22"/>
                <w:szCs w:val="22"/>
              </w:rPr>
              <w:t>Geographic region, n (%)</w:t>
            </w:r>
          </w:p>
          <w:p w:rsidR="008B79B1" w:rsidRPr="00245831" w:rsidRDefault="008B79B1" w:rsidP="00DB25A9">
            <w:pPr>
              <w:pStyle w:val="Default"/>
              <w:ind w:firstLine="313"/>
              <w:rPr>
                <w:rFonts w:ascii="Calibri" w:hAnsi="Calibri"/>
                <w:sz w:val="22"/>
                <w:szCs w:val="22"/>
              </w:rPr>
            </w:pPr>
            <w:r w:rsidRPr="00245831">
              <w:rPr>
                <w:rFonts w:ascii="Calibri" w:hAnsi="Calibri"/>
                <w:sz w:val="22"/>
                <w:szCs w:val="22"/>
              </w:rPr>
              <w:t>Northeast</w:t>
            </w:r>
          </w:p>
        </w:tc>
        <w:tc>
          <w:tcPr>
            <w:tcW w:w="1843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476 (20.9)</w:t>
            </w:r>
          </w:p>
        </w:tc>
        <w:tc>
          <w:tcPr>
            <w:tcW w:w="1700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 (18.0)</w:t>
            </w:r>
          </w:p>
        </w:tc>
        <w:tc>
          <w:tcPr>
            <w:tcW w:w="212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358 (22.1)</w:t>
            </w:r>
          </w:p>
        </w:tc>
        <w:tc>
          <w:tcPr>
            <w:tcW w:w="1417" w:type="dxa"/>
            <w:shd w:val="clear" w:color="auto" w:fill="auto"/>
          </w:tcPr>
          <w:p w:rsidR="008B79B1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0.032</w:t>
            </w: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Pr="00245831" w:rsidRDefault="008B79B1" w:rsidP="00DB25A9">
            <w:pPr>
              <w:pStyle w:val="Default"/>
              <w:ind w:firstLine="313"/>
              <w:rPr>
                <w:rFonts w:ascii="Calibri" w:hAnsi="Calibri"/>
                <w:sz w:val="22"/>
                <w:szCs w:val="22"/>
              </w:rPr>
            </w:pPr>
            <w:r w:rsidRPr="00245831">
              <w:rPr>
                <w:rFonts w:ascii="Calibri" w:hAnsi="Calibri"/>
                <w:sz w:val="22"/>
                <w:szCs w:val="22"/>
              </w:rPr>
              <w:t>Midwest</w:t>
            </w:r>
          </w:p>
        </w:tc>
        <w:tc>
          <w:tcPr>
            <w:tcW w:w="1843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607 (26.7)</w:t>
            </w:r>
          </w:p>
        </w:tc>
        <w:tc>
          <w:tcPr>
            <w:tcW w:w="1700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178 (27.2)</w:t>
            </w:r>
          </w:p>
        </w:tc>
        <w:tc>
          <w:tcPr>
            <w:tcW w:w="212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429 (26.5)</w:t>
            </w:r>
          </w:p>
        </w:tc>
        <w:tc>
          <w:tcPr>
            <w:tcW w:w="14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0.714</w:t>
            </w:r>
          </w:p>
        </w:tc>
      </w:tr>
      <w:tr w:rsidR="008B79B1" w:rsidRPr="00A8089A" w:rsidTr="00DB25A9">
        <w:tc>
          <w:tcPr>
            <w:tcW w:w="2552" w:type="dxa"/>
            <w:shd w:val="clear" w:color="auto" w:fill="auto"/>
          </w:tcPr>
          <w:p w:rsidR="008B79B1" w:rsidRPr="00245831" w:rsidRDefault="008B79B1" w:rsidP="00DB25A9">
            <w:pPr>
              <w:pStyle w:val="Default"/>
              <w:ind w:left="284" w:firstLine="29"/>
              <w:rPr>
                <w:rFonts w:ascii="Calibri" w:hAnsi="Calibri"/>
                <w:sz w:val="22"/>
                <w:szCs w:val="22"/>
              </w:rPr>
            </w:pPr>
            <w:r w:rsidRPr="00245831">
              <w:rPr>
                <w:rFonts w:ascii="Calibri" w:hAnsi="Calibri"/>
                <w:sz w:val="22"/>
                <w:szCs w:val="22"/>
              </w:rPr>
              <w:t>South</w:t>
            </w:r>
          </w:p>
        </w:tc>
        <w:tc>
          <w:tcPr>
            <w:tcW w:w="1843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955 (42.0)</w:t>
            </w:r>
          </w:p>
        </w:tc>
        <w:tc>
          <w:tcPr>
            <w:tcW w:w="1700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292 (44.7)</w:t>
            </w:r>
          </w:p>
        </w:tc>
        <w:tc>
          <w:tcPr>
            <w:tcW w:w="212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663 (40.9)</w:t>
            </w:r>
          </w:p>
        </w:tc>
        <w:tc>
          <w:tcPr>
            <w:tcW w:w="14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0.101</w:t>
            </w:r>
          </w:p>
        </w:tc>
      </w:tr>
      <w:tr w:rsidR="008B79B1" w:rsidRPr="00A8089A" w:rsidTr="00DB25A9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8B79B1" w:rsidRPr="00245831" w:rsidRDefault="008B79B1" w:rsidP="00DB25A9">
            <w:pPr>
              <w:pStyle w:val="Default"/>
              <w:ind w:left="313" w:firstLine="29"/>
              <w:rPr>
                <w:rFonts w:ascii="Calibri" w:hAnsi="Calibri"/>
                <w:sz w:val="22"/>
                <w:szCs w:val="22"/>
              </w:rPr>
            </w:pPr>
            <w:r w:rsidRPr="00245831">
              <w:rPr>
                <w:rFonts w:ascii="Calibri" w:hAnsi="Calibri"/>
                <w:sz w:val="22"/>
                <w:szCs w:val="22"/>
              </w:rPr>
              <w:t>West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237 (10.4)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 (10.1)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171 (10.6)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0.747</w:t>
            </w:r>
          </w:p>
        </w:tc>
      </w:tr>
    </w:tbl>
    <w:p w:rsidR="008B79B1" w:rsidRDefault="008B79B1" w:rsidP="008B79B1">
      <w:r w:rsidRPr="0045082D">
        <w:rPr>
          <w:i/>
        </w:rPr>
        <w:t>SD</w:t>
      </w:r>
      <w:r>
        <w:t xml:space="preserve"> standard deviation</w:t>
      </w:r>
    </w:p>
    <w:p w:rsidR="008B79B1" w:rsidRDefault="008B79B1" w:rsidP="008B79B1"/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</w:p>
    <w:p w:rsidR="008B79B1" w:rsidRDefault="008B79B1" w:rsidP="008B79B1">
      <w:pPr>
        <w:rPr>
          <w:b/>
        </w:rPr>
      </w:pPr>
      <w:r>
        <w:rPr>
          <w:b/>
        </w:rPr>
        <w:br w:type="page"/>
      </w:r>
    </w:p>
    <w:p w:rsidR="008B79B1" w:rsidRDefault="008B79B1" w:rsidP="008B79B1">
      <w:pPr>
        <w:rPr>
          <w:b/>
        </w:rPr>
      </w:pPr>
      <w:r>
        <w:rPr>
          <w:b/>
        </w:rPr>
        <w:lastRenderedPageBreak/>
        <w:t xml:space="preserve">Supplementary </w:t>
      </w:r>
      <w:r w:rsidRPr="00A8089A">
        <w:rPr>
          <w:b/>
        </w:rPr>
        <w:t xml:space="preserve">Table </w:t>
      </w:r>
      <w:r w:rsidR="00290BFC">
        <w:rPr>
          <w:b/>
        </w:rPr>
        <w:t>S</w:t>
      </w:r>
      <w:r>
        <w:rPr>
          <w:b/>
        </w:rPr>
        <w:t>3</w:t>
      </w:r>
      <w:r w:rsidRPr="00A8089A">
        <w:rPr>
          <w:b/>
        </w:rPr>
        <w:t xml:space="preserve"> </w:t>
      </w:r>
      <w:r w:rsidRPr="0045082D">
        <w:t>Association between all-cause healthcare resource utilization during the 12</w:t>
      </w:r>
      <w:r w:rsidR="00C139A3">
        <w:noBreakHyphen/>
      </w:r>
      <w:r w:rsidRPr="0045082D">
        <w:t>month baseline period and burden of illness</w:t>
      </w:r>
    </w:p>
    <w:p w:rsidR="008B79B1" w:rsidRPr="00A8089A" w:rsidRDefault="008B79B1" w:rsidP="008B79B1">
      <w:pPr>
        <w:rPr>
          <w:b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1616"/>
        <w:gridCol w:w="1617"/>
        <w:gridCol w:w="1445"/>
        <w:gridCol w:w="992"/>
      </w:tblGrid>
      <w:tr w:rsidR="008B79B1" w:rsidRPr="00A8089A" w:rsidTr="00DB25A9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Total</w:t>
            </w: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(N=433)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Low Impact</w:t>
            </w: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(CAT 0–9)</w:t>
            </w:r>
            <w:r>
              <w:rPr>
                <w:rFonts w:ascii="Calibri" w:hAnsi="Calibri"/>
                <w:b/>
                <w:sz w:val="22"/>
                <w:szCs w:val="22"/>
              </w:rPr>
              <w:br/>
              <w:t>(n=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>63)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High Impact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br/>
              <w:t>(CAT 10–40)</w:t>
            </w:r>
          </w:p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(n=370)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jc w:val="center"/>
              <w:rPr>
                <w:b/>
              </w:rPr>
            </w:pPr>
            <w:r w:rsidRPr="002576C9">
              <w:rPr>
                <w:b/>
                <w:i/>
              </w:rPr>
              <w:t>P</w:t>
            </w:r>
            <w:r w:rsidRPr="00A8089A">
              <w:rPr>
                <w:b/>
              </w:rPr>
              <w:t>-value</w:t>
            </w:r>
          </w:p>
        </w:tc>
      </w:tr>
      <w:tr w:rsidR="008B79B1" w:rsidRPr="00A8089A" w:rsidTr="00DB25A9"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 xml:space="preserve">Count of unique medications, mean (SD) 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12.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(6.7)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10.</w:t>
            </w:r>
            <w:r>
              <w:rPr>
                <w:rFonts w:ascii="Calibri" w:hAnsi="Calibri"/>
                <w:sz w:val="22"/>
                <w:szCs w:val="22"/>
              </w:rPr>
              <w:t>3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(4.5)</w:t>
            </w:r>
          </w:p>
        </w:tc>
        <w:tc>
          <w:tcPr>
            <w:tcW w:w="1445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13.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(6.9)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A8089A">
              <w:rPr>
                <w:rFonts w:ascii="Calibri" w:hAnsi="Calibri"/>
                <w:color w:val="auto"/>
                <w:sz w:val="22"/>
                <w:szCs w:val="22"/>
              </w:rPr>
              <w:t>&lt;0.001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Ambulatory visits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proportion of patients, n (%)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433 (100.0)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63 (100.0)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370 (100.0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-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23.0 (16.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23.3 (18.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23.0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(16.3)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0.884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 among patients with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≥1 visit,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23.0 (16.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23.3 (18.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23.0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(16.3)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0.884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firstLine="175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>Office visits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60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proportion of patients, n (%)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425 (98.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62 (98.4)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363 (98.1)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1.000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60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14.9 (12.</w:t>
            </w:r>
            <w:r>
              <w:rPr>
                <w:rFonts w:ascii="Calibri" w:hAnsi="Calibri"/>
                <w:sz w:val="22"/>
                <w:szCs w:val="22"/>
              </w:rPr>
              <w:t>4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16.1 (16.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14.7 (11.</w:t>
            </w:r>
            <w:r>
              <w:rPr>
                <w:rFonts w:ascii="Calibri" w:hAnsi="Calibri"/>
                <w:sz w:val="22"/>
                <w:szCs w:val="22"/>
              </w:rPr>
              <w:t>5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0.530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60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 xml:space="preserve">number among patients with 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A8089A">
              <w:rPr>
                <w:rFonts w:ascii="Calibri" w:hAnsi="Calibri"/>
                <w:sz w:val="22"/>
                <w:szCs w:val="22"/>
              </w:rPr>
              <w:t>≥1 visit,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15.2 (12.3)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16.</w:t>
            </w:r>
            <w:r>
              <w:rPr>
                <w:rFonts w:ascii="Calibri" w:hAnsi="Calibri"/>
                <w:sz w:val="22"/>
                <w:szCs w:val="22"/>
              </w:rPr>
              <w:t>4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(16.8)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15.0 (11.</w:t>
            </w:r>
            <w:r>
              <w:rPr>
                <w:rFonts w:ascii="Calibri" w:hAnsi="Calibri"/>
                <w:sz w:val="22"/>
                <w:szCs w:val="22"/>
              </w:rPr>
              <w:t>4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0.541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firstLine="175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>Outpatient visits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60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proportion of patients, n (%)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341 (78.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52 (82.5)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289 (78.1)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0.507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60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8.1 (10.6)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7.2 (6.6)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8.</w:t>
            </w:r>
            <w:r>
              <w:rPr>
                <w:rFonts w:ascii="Calibri" w:hAnsi="Calibri"/>
                <w:sz w:val="22"/>
                <w:szCs w:val="22"/>
              </w:rPr>
              <w:t>3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(11.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0.294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60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 xml:space="preserve">number among patients with 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A8089A">
              <w:rPr>
                <w:rFonts w:ascii="Calibri" w:hAnsi="Calibri"/>
                <w:sz w:val="22"/>
                <w:szCs w:val="22"/>
              </w:rPr>
              <w:t>≥1 visit,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10.3 (1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A8089A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8.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(6.</w:t>
            </w:r>
            <w:r>
              <w:rPr>
                <w:rFonts w:ascii="Calibri" w:hAnsi="Calibri"/>
                <w:sz w:val="22"/>
                <w:szCs w:val="22"/>
              </w:rPr>
              <w:t>3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10.6 (11.6)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0.094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E</w:t>
            </w:r>
            <w:r>
              <w:rPr>
                <w:rFonts w:ascii="Calibri" w:hAnsi="Calibri"/>
                <w:b/>
                <w:sz w:val="22"/>
                <w:szCs w:val="22"/>
              </w:rPr>
              <w:t>D</w:t>
            </w:r>
            <w:r w:rsidRPr="00A8089A">
              <w:rPr>
                <w:rFonts w:ascii="Calibri" w:hAnsi="Calibri"/>
                <w:b/>
                <w:sz w:val="22"/>
                <w:szCs w:val="22"/>
              </w:rPr>
              <w:t xml:space="preserve"> visits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B79B1" w:rsidRPr="0044772D" w:rsidTr="00DB25A9">
        <w:tc>
          <w:tcPr>
            <w:tcW w:w="3969" w:type="dxa"/>
            <w:shd w:val="clear" w:color="auto" w:fill="auto"/>
          </w:tcPr>
          <w:p w:rsidR="008B79B1" w:rsidRPr="0044772D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proportion of patients, n (%)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196 (45.</w:t>
            </w:r>
            <w:r>
              <w:rPr>
                <w:rFonts w:ascii="Calibri" w:hAnsi="Calibri"/>
                <w:sz w:val="22"/>
                <w:szCs w:val="22"/>
              </w:rPr>
              <w:t>3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25 (39.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171 (46.2)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</w:t>
            </w:r>
            <w:r>
              <w:rPr>
                <w:rFonts w:ascii="Calibri" w:hAnsi="Calibri"/>
                <w:sz w:val="22"/>
                <w:szCs w:val="22"/>
              </w:rPr>
              <w:t>412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1.0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(1.</w:t>
            </w:r>
            <w:r>
              <w:rPr>
                <w:rFonts w:ascii="Calibri" w:hAnsi="Calibri"/>
                <w:sz w:val="22"/>
                <w:szCs w:val="22"/>
              </w:rPr>
              <w:t>8)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0.7 (1.0)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1.0 (1.8)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0.054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 xml:space="preserve">number among patients with 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A8089A">
              <w:rPr>
                <w:rFonts w:ascii="Calibri" w:hAnsi="Calibri"/>
                <w:sz w:val="22"/>
                <w:szCs w:val="22"/>
              </w:rPr>
              <w:t>≥1 visit,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2.1 (2.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(0.9)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2.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(2.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0.086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A8089A">
              <w:rPr>
                <w:rFonts w:ascii="Calibri" w:hAnsi="Calibri"/>
                <w:b/>
                <w:sz w:val="22"/>
                <w:szCs w:val="22"/>
              </w:rPr>
              <w:t>IP stays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(all patients)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proportion of patients, n (%)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98 (22.6)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16 (25.4)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82 (22.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0.625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0.3 (0.7)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0.4 (0.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0.3 (0.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0.382</w:t>
            </w: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duration, days,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2.9 (10.1)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6.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(21.</w:t>
            </w:r>
            <w:r>
              <w:rPr>
                <w:rFonts w:ascii="Calibri" w:hAnsi="Calibri"/>
                <w:sz w:val="22"/>
                <w:szCs w:val="22"/>
              </w:rPr>
              <w:t>4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2.</w:t>
            </w:r>
            <w:r>
              <w:rPr>
                <w:rFonts w:ascii="Calibri" w:hAnsi="Calibri"/>
                <w:sz w:val="22"/>
                <w:szCs w:val="22"/>
              </w:rPr>
              <w:t>3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(6.3)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A8089A">
              <w:rPr>
                <w:rFonts w:ascii="Calibri" w:hAnsi="Calibri"/>
                <w:sz w:val="22"/>
                <w:szCs w:val="22"/>
              </w:rPr>
              <w:t>0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8B79B1" w:rsidRPr="00355B9B" w:rsidTr="00DB25A9">
        <w:tc>
          <w:tcPr>
            <w:tcW w:w="3969" w:type="dxa"/>
            <w:shd w:val="clear" w:color="auto" w:fill="auto"/>
          </w:tcPr>
          <w:p w:rsidR="008B79B1" w:rsidRPr="00355B9B" w:rsidRDefault="00B869CE" w:rsidP="00355B9B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355B9B">
              <w:rPr>
                <w:rFonts w:ascii="Calibri" w:hAnsi="Calibri"/>
                <w:b/>
                <w:sz w:val="22"/>
                <w:szCs w:val="22"/>
              </w:rPr>
              <w:t xml:space="preserve">  </w:t>
            </w:r>
            <w:r w:rsidR="008B79B1" w:rsidRPr="00355B9B">
              <w:rPr>
                <w:rFonts w:ascii="Calibri" w:hAnsi="Calibri"/>
                <w:b/>
                <w:sz w:val="22"/>
                <w:szCs w:val="22"/>
              </w:rPr>
              <w:t xml:space="preserve">IP stays (patients with ≥1 </w:t>
            </w:r>
            <w:proofErr w:type="gramStart"/>
            <w:r w:rsidR="008B79B1" w:rsidRPr="00355B9B">
              <w:rPr>
                <w:rFonts w:ascii="Calibri" w:hAnsi="Calibri"/>
                <w:b/>
                <w:sz w:val="22"/>
                <w:szCs w:val="22"/>
              </w:rPr>
              <w:t>admission)</w:t>
            </w:r>
            <w:r w:rsidR="000133F6" w:rsidRPr="00355B9B">
              <w:rPr>
                <w:rFonts w:ascii="Calibri" w:hAnsi="Calibri"/>
                <w:b/>
                <w:sz w:val="22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616" w:type="dxa"/>
            <w:shd w:val="clear" w:color="auto" w:fill="auto"/>
          </w:tcPr>
          <w:p w:rsidR="008B79B1" w:rsidRPr="00355B9B" w:rsidRDefault="008B79B1" w:rsidP="00355B9B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8B79B1" w:rsidRPr="00355B9B" w:rsidRDefault="008B79B1" w:rsidP="00355B9B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45" w:type="dxa"/>
            <w:shd w:val="clear" w:color="auto" w:fill="auto"/>
          </w:tcPr>
          <w:p w:rsidR="008B79B1" w:rsidRPr="00355B9B" w:rsidRDefault="008B79B1" w:rsidP="00355B9B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B79B1" w:rsidRPr="00355B9B" w:rsidRDefault="008B79B1" w:rsidP="00DB25A9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B79B1" w:rsidRPr="00A8089A" w:rsidTr="00DB25A9">
        <w:tc>
          <w:tcPr>
            <w:tcW w:w="3969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number, mean (SD)</w:t>
            </w:r>
          </w:p>
        </w:tc>
        <w:tc>
          <w:tcPr>
            <w:tcW w:w="1616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1.4 (0.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617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1.</w:t>
            </w:r>
            <w:r>
              <w:rPr>
                <w:rFonts w:ascii="Calibri" w:hAnsi="Calibri"/>
                <w:sz w:val="22"/>
                <w:szCs w:val="22"/>
              </w:rPr>
              <w:t>6</w:t>
            </w:r>
            <w:r w:rsidRPr="00A8089A">
              <w:rPr>
                <w:rFonts w:ascii="Calibri" w:hAnsi="Calibri"/>
                <w:sz w:val="22"/>
                <w:szCs w:val="22"/>
              </w:rPr>
              <w:t xml:space="preserve"> (0.7)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45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1.4 (0.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Pr="00A8089A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 w:rsidRPr="00A8089A">
              <w:rPr>
                <w:rFonts w:ascii="Calibri" w:hAnsi="Calibri"/>
                <w:sz w:val="22"/>
                <w:szCs w:val="22"/>
              </w:rPr>
              <w:t>0.4</w:t>
            </w:r>
            <w:r>
              <w:rPr>
                <w:rFonts w:ascii="Calibri" w:hAnsi="Calibri"/>
                <w:sz w:val="22"/>
                <w:szCs w:val="22"/>
              </w:rPr>
              <w:t>72</w:t>
            </w:r>
          </w:p>
        </w:tc>
      </w:tr>
      <w:tr w:rsidR="008B79B1" w:rsidRPr="00A8089A" w:rsidTr="00DB25A9"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ind w:left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</w:t>
            </w:r>
            <w:r w:rsidRPr="00A8089A">
              <w:rPr>
                <w:rFonts w:ascii="Calibri" w:hAnsi="Calibri"/>
                <w:sz w:val="22"/>
                <w:szCs w:val="22"/>
              </w:rPr>
              <w:t>uration, days, mean (SD)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13.0 (18.0)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26.8 (36.4)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10.3 (10.0)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8B79B1" w:rsidRPr="00A8089A" w:rsidRDefault="008B79B1" w:rsidP="00DB25A9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0.092</w:t>
            </w:r>
          </w:p>
        </w:tc>
      </w:tr>
    </w:tbl>
    <w:p w:rsidR="008B79B1" w:rsidRPr="00841581" w:rsidRDefault="000133F6" w:rsidP="008B79B1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vertAlign w:val="superscript"/>
        </w:rPr>
        <w:t>a</w:t>
      </w:r>
      <w:r w:rsidR="008B79B1">
        <w:rPr>
          <w:rFonts w:asciiTheme="minorHAnsi" w:hAnsiTheme="minorHAnsi" w:cstheme="minorHAnsi"/>
        </w:rPr>
        <w:t>A</w:t>
      </w:r>
      <w:proofErr w:type="spellEnd"/>
      <w:r w:rsidR="008B79B1">
        <w:rPr>
          <w:rFonts w:asciiTheme="minorHAnsi" w:hAnsiTheme="minorHAnsi" w:cstheme="minorHAnsi"/>
        </w:rPr>
        <w:t xml:space="preserve"> </w:t>
      </w:r>
      <w:proofErr w:type="spellStart"/>
      <w:r w:rsidR="008B79B1" w:rsidRPr="00841581">
        <w:rPr>
          <w:rFonts w:asciiTheme="minorHAnsi" w:hAnsiTheme="minorHAnsi" w:cstheme="minorHAnsi"/>
        </w:rPr>
        <w:t>subanalysis</w:t>
      </w:r>
      <w:proofErr w:type="spellEnd"/>
      <w:r w:rsidR="008B79B1" w:rsidRPr="00841581">
        <w:rPr>
          <w:rFonts w:asciiTheme="minorHAnsi" w:hAnsiTheme="minorHAnsi" w:cstheme="minorHAnsi"/>
        </w:rPr>
        <w:t xml:space="preserve"> was carried out on 9</w:t>
      </w:r>
      <w:r w:rsidR="008B79B1">
        <w:rPr>
          <w:rFonts w:asciiTheme="minorHAnsi" w:hAnsiTheme="minorHAnsi" w:cstheme="minorHAnsi"/>
        </w:rPr>
        <w:t>8</w:t>
      </w:r>
      <w:r w:rsidR="008B79B1" w:rsidRPr="00841581">
        <w:rPr>
          <w:rFonts w:asciiTheme="minorHAnsi" w:hAnsiTheme="minorHAnsi" w:cstheme="minorHAnsi"/>
        </w:rPr>
        <w:t xml:space="preserve"> patients who required ≥1 inpatient stay during the 12-month baseline period.</w:t>
      </w:r>
    </w:p>
    <w:p w:rsidR="008B79B1" w:rsidRDefault="008B79B1" w:rsidP="008B79B1">
      <w:r w:rsidRPr="0045082D">
        <w:rPr>
          <w:i/>
        </w:rPr>
        <w:t>CAT</w:t>
      </w:r>
      <w:r w:rsidR="00B20BF6">
        <w:t xml:space="preserve"> </w:t>
      </w:r>
      <w:r w:rsidRPr="00A8089A">
        <w:t>COPD Assessment Test</w:t>
      </w:r>
      <w:r w:rsidR="00C139A3">
        <w:t>;</w:t>
      </w:r>
      <w:r w:rsidRPr="00A8089A">
        <w:t xml:space="preserve"> </w:t>
      </w:r>
      <w:r w:rsidRPr="0045082D">
        <w:rPr>
          <w:i/>
        </w:rPr>
        <w:t>COPD</w:t>
      </w:r>
      <w:r w:rsidRPr="00A8089A">
        <w:t xml:space="preserve"> chronic obstructive pulmonary disease</w:t>
      </w:r>
      <w:r w:rsidR="00C139A3">
        <w:t>;</w:t>
      </w:r>
      <w:r w:rsidRPr="00A8089A">
        <w:t xml:space="preserve"> </w:t>
      </w:r>
      <w:r w:rsidRPr="0045082D">
        <w:rPr>
          <w:i/>
        </w:rPr>
        <w:t>ED</w:t>
      </w:r>
      <w:r w:rsidRPr="00A8089A">
        <w:t xml:space="preserve"> emergency </w:t>
      </w:r>
      <w:r>
        <w:t>department</w:t>
      </w:r>
      <w:r w:rsidR="00C139A3">
        <w:t>;</w:t>
      </w:r>
      <w:r w:rsidRPr="00A8089A">
        <w:t xml:space="preserve"> </w:t>
      </w:r>
      <w:r w:rsidRPr="0045082D">
        <w:rPr>
          <w:i/>
        </w:rPr>
        <w:t>IP</w:t>
      </w:r>
      <w:r w:rsidRPr="00A8089A">
        <w:t xml:space="preserve"> inpatient</w:t>
      </w:r>
      <w:r w:rsidR="00C139A3">
        <w:t>;</w:t>
      </w:r>
      <w:r w:rsidRPr="00A8089A">
        <w:t xml:space="preserve"> </w:t>
      </w:r>
      <w:r w:rsidRPr="0045082D">
        <w:rPr>
          <w:i/>
        </w:rPr>
        <w:t>SD</w:t>
      </w:r>
      <w:r w:rsidRPr="00A8089A">
        <w:t xml:space="preserve"> standard deviation</w:t>
      </w:r>
    </w:p>
    <w:p w:rsidR="008B79B1" w:rsidRDefault="008B79B1" w:rsidP="008B79B1"/>
    <w:p w:rsidR="008B79B1" w:rsidRDefault="008B79B1" w:rsidP="008B79B1"/>
    <w:p w:rsidR="008B79B1" w:rsidRDefault="008B79B1" w:rsidP="008B79B1"/>
    <w:p w:rsidR="008B79B1" w:rsidRDefault="008B79B1" w:rsidP="008B79B1"/>
    <w:p w:rsidR="008B79B1" w:rsidRPr="00A8089A" w:rsidRDefault="008B79B1" w:rsidP="008B79B1">
      <w:pPr>
        <w:spacing w:line="480" w:lineRule="auto"/>
        <w:rPr>
          <w:b/>
        </w:rPr>
      </w:pPr>
    </w:p>
    <w:p w:rsidR="008B79B1" w:rsidRDefault="008B79B1" w:rsidP="008B79B1"/>
    <w:p w:rsidR="00D11608" w:rsidRDefault="00D11608"/>
    <w:sectPr w:rsidR="00D11608" w:rsidSect="00B25128">
      <w:headerReference w:type="default" r:id="rId6"/>
      <w:footerReference w:type="default" r:id="rId7"/>
      <w:pgSz w:w="11906" w:h="16838"/>
      <w:pgMar w:top="851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E99" w:rsidRDefault="00B869CE">
      <w:r>
        <w:separator/>
      </w:r>
    </w:p>
  </w:endnote>
  <w:endnote w:type="continuationSeparator" w:id="0">
    <w:p w:rsidR="00DA0E99" w:rsidRDefault="00B8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F96" w:rsidRDefault="008B79B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251A">
      <w:rPr>
        <w:noProof/>
      </w:rPr>
      <w:t>1</w:t>
    </w:r>
    <w:r>
      <w:rPr>
        <w:noProof/>
      </w:rPr>
      <w:fldChar w:fldCharType="end"/>
    </w:r>
  </w:p>
  <w:p w:rsidR="00664F96" w:rsidRDefault="008141F8">
    <w:pPr>
      <w:pStyle w:val="Footer"/>
    </w:pPr>
  </w:p>
  <w:p w:rsidR="00664F96" w:rsidRDefault="008141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E99" w:rsidRDefault="00B869CE">
      <w:r>
        <w:separator/>
      </w:r>
    </w:p>
  </w:footnote>
  <w:footnote w:type="continuationSeparator" w:id="0">
    <w:p w:rsidR="00DA0E99" w:rsidRDefault="00B86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F96" w:rsidRDefault="008141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9B1"/>
    <w:rsid w:val="000068A8"/>
    <w:rsid w:val="00007265"/>
    <w:rsid w:val="000133F6"/>
    <w:rsid w:val="000229C9"/>
    <w:rsid w:val="0002472D"/>
    <w:rsid w:val="00027BEE"/>
    <w:rsid w:val="00033DB9"/>
    <w:rsid w:val="0003470D"/>
    <w:rsid w:val="00050CD9"/>
    <w:rsid w:val="00066CB4"/>
    <w:rsid w:val="00071C27"/>
    <w:rsid w:val="00074311"/>
    <w:rsid w:val="0007766F"/>
    <w:rsid w:val="00087883"/>
    <w:rsid w:val="000968C5"/>
    <w:rsid w:val="00097452"/>
    <w:rsid w:val="000A1D16"/>
    <w:rsid w:val="000A3FD5"/>
    <w:rsid w:val="000B3A8C"/>
    <w:rsid w:val="000B5859"/>
    <w:rsid w:val="000C2C66"/>
    <w:rsid w:val="000C5F2E"/>
    <w:rsid w:val="000D571A"/>
    <w:rsid w:val="000E0045"/>
    <w:rsid w:val="000E0BDD"/>
    <w:rsid w:val="000E6F43"/>
    <w:rsid w:val="000F2B6D"/>
    <w:rsid w:val="0010197A"/>
    <w:rsid w:val="001033B1"/>
    <w:rsid w:val="00107564"/>
    <w:rsid w:val="00112EFC"/>
    <w:rsid w:val="0011353D"/>
    <w:rsid w:val="001162E9"/>
    <w:rsid w:val="0013019C"/>
    <w:rsid w:val="001335EF"/>
    <w:rsid w:val="001361D3"/>
    <w:rsid w:val="001363A0"/>
    <w:rsid w:val="001368AA"/>
    <w:rsid w:val="0014395E"/>
    <w:rsid w:val="0014697B"/>
    <w:rsid w:val="00147FA3"/>
    <w:rsid w:val="00150CE2"/>
    <w:rsid w:val="0015516B"/>
    <w:rsid w:val="00162E85"/>
    <w:rsid w:val="0017365F"/>
    <w:rsid w:val="001771C1"/>
    <w:rsid w:val="00177BE3"/>
    <w:rsid w:val="00194C1E"/>
    <w:rsid w:val="00194DF1"/>
    <w:rsid w:val="001A4095"/>
    <w:rsid w:val="001B0356"/>
    <w:rsid w:val="001B1FFA"/>
    <w:rsid w:val="001B2212"/>
    <w:rsid w:val="001B3E90"/>
    <w:rsid w:val="001B4DAF"/>
    <w:rsid w:val="001C1A27"/>
    <w:rsid w:val="001C7F44"/>
    <w:rsid w:val="001D0649"/>
    <w:rsid w:val="001D1F69"/>
    <w:rsid w:val="001D31E8"/>
    <w:rsid w:val="001D7072"/>
    <w:rsid w:val="001E1776"/>
    <w:rsid w:val="001E37C1"/>
    <w:rsid w:val="001F4739"/>
    <w:rsid w:val="001F7AB0"/>
    <w:rsid w:val="00202C4B"/>
    <w:rsid w:val="00202F83"/>
    <w:rsid w:val="00211B4A"/>
    <w:rsid w:val="00215CA6"/>
    <w:rsid w:val="00226955"/>
    <w:rsid w:val="0022754B"/>
    <w:rsid w:val="00235055"/>
    <w:rsid w:val="00262D5D"/>
    <w:rsid w:val="00265652"/>
    <w:rsid w:val="00273217"/>
    <w:rsid w:val="0027342B"/>
    <w:rsid w:val="002753AA"/>
    <w:rsid w:val="002768FC"/>
    <w:rsid w:val="002774E6"/>
    <w:rsid w:val="00290BFC"/>
    <w:rsid w:val="002A7A1C"/>
    <w:rsid w:val="002B47D7"/>
    <w:rsid w:val="002B6950"/>
    <w:rsid w:val="002C16F7"/>
    <w:rsid w:val="002C3C04"/>
    <w:rsid w:val="002C4BD3"/>
    <w:rsid w:val="002F251A"/>
    <w:rsid w:val="002F3FE0"/>
    <w:rsid w:val="002F4B3D"/>
    <w:rsid w:val="00300D8B"/>
    <w:rsid w:val="003060CC"/>
    <w:rsid w:val="00307715"/>
    <w:rsid w:val="00314ACB"/>
    <w:rsid w:val="003158E6"/>
    <w:rsid w:val="003265DA"/>
    <w:rsid w:val="00334B13"/>
    <w:rsid w:val="00335C7F"/>
    <w:rsid w:val="00340AB4"/>
    <w:rsid w:val="00355B9B"/>
    <w:rsid w:val="00364AE6"/>
    <w:rsid w:val="00374179"/>
    <w:rsid w:val="003770D4"/>
    <w:rsid w:val="00392324"/>
    <w:rsid w:val="00393E78"/>
    <w:rsid w:val="003A60D0"/>
    <w:rsid w:val="003A7B09"/>
    <w:rsid w:val="003B39EF"/>
    <w:rsid w:val="003B7DF2"/>
    <w:rsid w:val="003C00BE"/>
    <w:rsid w:val="003C227A"/>
    <w:rsid w:val="003C6947"/>
    <w:rsid w:val="003D29BD"/>
    <w:rsid w:val="003E4EF4"/>
    <w:rsid w:val="003E63CB"/>
    <w:rsid w:val="003F026A"/>
    <w:rsid w:val="003F2A5B"/>
    <w:rsid w:val="003F30C2"/>
    <w:rsid w:val="00412D49"/>
    <w:rsid w:val="00414CCF"/>
    <w:rsid w:val="00421382"/>
    <w:rsid w:val="004247BA"/>
    <w:rsid w:val="00424C6A"/>
    <w:rsid w:val="00433204"/>
    <w:rsid w:val="004425BB"/>
    <w:rsid w:val="00445724"/>
    <w:rsid w:val="0045082D"/>
    <w:rsid w:val="004533E4"/>
    <w:rsid w:val="00464D90"/>
    <w:rsid w:val="00465F1B"/>
    <w:rsid w:val="004943B1"/>
    <w:rsid w:val="00497EEA"/>
    <w:rsid w:val="004A422C"/>
    <w:rsid w:val="004A493B"/>
    <w:rsid w:val="004B7536"/>
    <w:rsid w:val="004B79DF"/>
    <w:rsid w:val="004C6CE2"/>
    <w:rsid w:val="004D2E63"/>
    <w:rsid w:val="004D6B78"/>
    <w:rsid w:val="004F2E63"/>
    <w:rsid w:val="004F77A4"/>
    <w:rsid w:val="00504C2D"/>
    <w:rsid w:val="00506BF5"/>
    <w:rsid w:val="00513771"/>
    <w:rsid w:val="00513E28"/>
    <w:rsid w:val="00516FFB"/>
    <w:rsid w:val="00517B07"/>
    <w:rsid w:val="00522A17"/>
    <w:rsid w:val="00523660"/>
    <w:rsid w:val="00523E92"/>
    <w:rsid w:val="00527044"/>
    <w:rsid w:val="00530DE0"/>
    <w:rsid w:val="005320A1"/>
    <w:rsid w:val="00547316"/>
    <w:rsid w:val="00550B33"/>
    <w:rsid w:val="00552032"/>
    <w:rsid w:val="00561E1C"/>
    <w:rsid w:val="00570DD7"/>
    <w:rsid w:val="00575207"/>
    <w:rsid w:val="00576CFC"/>
    <w:rsid w:val="00596795"/>
    <w:rsid w:val="005A143A"/>
    <w:rsid w:val="005A239D"/>
    <w:rsid w:val="005A2E5A"/>
    <w:rsid w:val="005A32C4"/>
    <w:rsid w:val="005A3786"/>
    <w:rsid w:val="005C1B0E"/>
    <w:rsid w:val="005C69E5"/>
    <w:rsid w:val="005D343B"/>
    <w:rsid w:val="005E25AD"/>
    <w:rsid w:val="00605EAB"/>
    <w:rsid w:val="0060743B"/>
    <w:rsid w:val="0061677D"/>
    <w:rsid w:val="00616F29"/>
    <w:rsid w:val="00625B61"/>
    <w:rsid w:val="0062660E"/>
    <w:rsid w:val="00627C90"/>
    <w:rsid w:val="00632D0D"/>
    <w:rsid w:val="00637371"/>
    <w:rsid w:val="006476F1"/>
    <w:rsid w:val="00665AB5"/>
    <w:rsid w:val="00693FDD"/>
    <w:rsid w:val="006C3602"/>
    <w:rsid w:val="006D771B"/>
    <w:rsid w:val="006E1AB7"/>
    <w:rsid w:val="006E35AD"/>
    <w:rsid w:val="006E7B39"/>
    <w:rsid w:val="006F6840"/>
    <w:rsid w:val="0070031B"/>
    <w:rsid w:val="00707DA8"/>
    <w:rsid w:val="00724834"/>
    <w:rsid w:val="00725F58"/>
    <w:rsid w:val="00741202"/>
    <w:rsid w:val="007523C1"/>
    <w:rsid w:val="00760D59"/>
    <w:rsid w:val="00761A82"/>
    <w:rsid w:val="00766B4C"/>
    <w:rsid w:val="007737C4"/>
    <w:rsid w:val="00776B18"/>
    <w:rsid w:val="00777F9C"/>
    <w:rsid w:val="00780E83"/>
    <w:rsid w:val="00783F97"/>
    <w:rsid w:val="007906AD"/>
    <w:rsid w:val="00791D94"/>
    <w:rsid w:val="007A1AEF"/>
    <w:rsid w:val="007A2873"/>
    <w:rsid w:val="007A4474"/>
    <w:rsid w:val="007A6C2B"/>
    <w:rsid w:val="007C2CE5"/>
    <w:rsid w:val="007D01D0"/>
    <w:rsid w:val="007D5D0D"/>
    <w:rsid w:val="007E1F77"/>
    <w:rsid w:val="007E2440"/>
    <w:rsid w:val="007E5140"/>
    <w:rsid w:val="007E62A1"/>
    <w:rsid w:val="007F12F4"/>
    <w:rsid w:val="007F4287"/>
    <w:rsid w:val="007F532B"/>
    <w:rsid w:val="007F766C"/>
    <w:rsid w:val="007F7A75"/>
    <w:rsid w:val="00806272"/>
    <w:rsid w:val="00811FC8"/>
    <w:rsid w:val="008141F8"/>
    <w:rsid w:val="00816A3C"/>
    <w:rsid w:val="0082414A"/>
    <w:rsid w:val="0082610A"/>
    <w:rsid w:val="0082635A"/>
    <w:rsid w:val="00827EB5"/>
    <w:rsid w:val="00830436"/>
    <w:rsid w:val="00837D9E"/>
    <w:rsid w:val="0084435B"/>
    <w:rsid w:val="008461C2"/>
    <w:rsid w:val="00855870"/>
    <w:rsid w:val="00860EDA"/>
    <w:rsid w:val="00861E7F"/>
    <w:rsid w:val="00863D31"/>
    <w:rsid w:val="0086662B"/>
    <w:rsid w:val="00870E9C"/>
    <w:rsid w:val="008758CB"/>
    <w:rsid w:val="00882295"/>
    <w:rsid w:val="00884216"/>
    <w:rsid w:val="008867FA"/>
    <w:rsid w:val="00886E0C"/>
    <w:rsid w:val="008876A5"/>
    <w:rsid w:val="008A068A"/>
    <w:rsid w:val="008A138E"/>
    <w:rsid w:val="008A1922"/>
    <w:rsid w:val="008A3C87"/>
    <w:rsid w:val="008A4942"/>
    <w:rsid w:val="008B4C1B"/>
    <w:rsid w:val="008B79B1"/>
    <w:rsid w:val="008C2829"/>
    <w:rsid w:val="008D6C59"/>
    <w:rsid w:val="008E7DBD"/>
    <w:rsid w:val="0090227C"/>
    <w:rsid w:val="00915DFE"/>
    <w:rsid w:val="0091613F"/>
    <w:rsid w:val="0092305C"/>
    <w:rsid w:val="0093264D"/>
    <w:rsid w:val="009371F3"/>
    <w:rsid w:val="00947F9F"/>
    <w:rsid w:val="009513C8"/>
    <w:rsid w:val="00951734"/>
    <w:rsid w:val="00954F7E"/>
    <w:rsid w:val="0096006E"/>
    <w:rsid w:val="009665CE"/>
    <w:rsid w:val="00974756"/>
    <w:rsid w:val="00983AE3"/>
    <w:rsid w:val="00983D56"/>
    <w:rsid w:val="009925CC"/>
    <w:rsid w:val="009A1041"/>
    <w:rsid w:val="009A5A90"/>
    <w:rsid w:val="009B1005"/>
    <w:rsid w:val="009F036C"/>
    <w:rsid w:val="009F7B78"/>
    <w:rsid w:val="00A025A1"/>
    <w:rsid w:val="00A06C4D"/>
    <w:rsid w:val="00A1333B"/>
    <w:rsid w:val="00A22F3E"/>
    <w:rsid w:val="00A36123"/>
    <w:rsid w:val="00A36DC2"/>
    <w:rsid w:val="00A41BA8"/>
    <w:rsid w:val="00A4311B"/>
    <w:rsid w:val="00A4336D"/>
    <w:rsid w:val="00A71AB1"/>
    <w:rsid w:val="00A72EFE"/>
    <w:rsid w:val="00A84478"/>
    <w:rsid w:val="00AA4147"/>
    <w:rsid w:val="00AA5F92"/>
    <w:rsid w:val="00AD1498"/>
    <w:rsid w:val="00AD2146"/>
    <w:rsid w:val="00AE3849"/>
    <w:rsid w:val="00AE4C46"/>
    <w:rsid w:val="00B0276D"/>
    <w:rsid w:val="00B150B8"/>
    <w:rsid w:val="00B20BF6"/>
    <w:rsid w:val="00B25128"/>
    <w:rsid w:val="00B43882"/>
    <w:rsid w:val="00B43CA0"/>
    <w:rsid w:val="00B457E9"/>
    <w:rsid w:val="00B53360"/>
    <w:rsid w:val="00B550EB"/>
    <w:rsid w:val="00B64879"/>
    <w:rsid w:val="00B666DE"/>
    <w:rsid w:val="00B801C3"/>
    <w:rsid w:val="00B822A9"/>
    <w:rsid w:val="00B822F0"/>
    <w:rsid w:val="00B82AF7"/>
    <w:rsid w:val="00B869CE"/>
    <w:rsid w:val="00BA3963"/>
    <w:rsid w:val="00BA6C9C"/>
    <w:rsid w:val="00BA6D77"/>
    <w:rsid w:val="00BB0D70"/>
    <w:rsid w:val="00BB2E12"/>
    <w:rsid w:val="00BC4E1D"/>
    <w:rsid w:val="00BD0657"/>
    <w:rsid w:val="00BD5BE8"/>
    <w:rsid w:val="00BF3317"/>
    <w:rsid w:val="00BF4D55"/>
    <w:rsid w:val="00C00BFD"/>
    <w:rsid w:val="00C02F48"/>
    <w:rsid w:val="00C1224B"/>
    <w:rsid w:val="00C139A3"/>
    <w:rsid w:val="00C15E4E"/>
    <w:rsid w:val="00C2048F"/>
    <w:rsid w:val="00C21F70"/>
    <w:rsid w:val="00C26ED0"/>
    <w:rsid w:val="00C3166E"/>
    <w:rsid w:val="00C418A6"/>
    <w:rsid w:val="00C41ACC"/>
    <w:rsid w:val="00C4276C"/>
    <w:rsid w:val="00C43894"/>
    <w:rsid w:val="00C51BDB"/>
    <w:rsid w:val="00C52C7E"/>
    <w:rsid w:val="00C53D68"/>
    <w:rsid w:val="00C54E32"/>
    <w:rsid w:val="00C60A08"/>
    <w:rsid w:val="00C749B7"/>
    <w:rsid w:val="00C8446A"/>
    <w:rsid w:val="00C862B9"/>
    <w:rsid w:val="00C86F98"/>
    <w:rsid w:val="00C9043C"/>
    <w:rsid w:val="00C93365"/>
    <w:rsid w:val="00C96979"/>
    <w:rsid w:val="00C97A21"/>
    <w:rsid w:val="00CA3497"/>
    <w:rsid w:val="00CA4D63"/>
    <w:rsid w:val="00CB19AB"/>
    <w:rsid w:val="00CD0432"/>
    <w:rsid w:val="00CD427D"/>
    <w:rsid w:val="00CD54EB"/>
    <w:rsid w:val="00CE4369"/>
    <w:rsid w:val="00CF1AE4"/>
    <w:rsid w:val="00CF68F6"/>
    <w:rsid w:val="00D0421A"/>
    <w:rsid w:val="00D06128"/>
    <w:rsid w:val="00D10196"/>
    <w:rsid w:val="00D11608"/>
    <w:rsid w:val="00D1771A"/>
    <w:rsid w:val="00D21FF1"/>
    <w:rsid w:val="00D22675"/>
    <w:rsid w:val="00D328E7"/>
    <w:rsid w:val="00D361C9"/>
    <w:rsid w:val="00D364BC"/>
    <w:rsid w:val="00D37EBA"/>
    <w:rsid w:val="00D46E70"/>
    <w:rsid w:val="00D600B5"/>
    <w:rsid w:val="00D630A9"/>
    <w:rsid w:val="00D715B4"/>
    <w:rsid w:val="00D73679"/>
    <w:rsid w:val="00D75E79"/>
    <w:rsid w:val="00D76E32"/>
    <w:rsid w:val="00D90B30"/>
    <w:rsid w:val="00DA0E99"/>
    <w:rsid w:val="00DA7AA5"/>
    <w:rsid w:val="00DB3CDB"/>
    <w:rsid w:val="00DB41D7"/>
    <w:rsid w:val="00DC5997"/>
    <w:rsid w:val="00DC695C"/>
    <w:rsid w:val="00DC7E2D"/>
    <w:rsid w:val="00E04124"/>
    <w:rsid w:val="00E04ED1"/>
    <w:rsid w:val="00E16F59"/>
    <w:rsid w:val="00E31114"/>
    <w:rsid w:val="00E346EB"/>
    <w:rsid w:val="00E354BA"/>
    <w:rsid w:val="00E37932"/>
    <w:rsid w:val="00E451A8"/>
    <w:rsid w:val="00E5567B"/>
    <w:rsid w:val="00E561D1"/>
    <w:rsid w:val="00E6204A"/>
    <w:rsid w:val="00E73CFB"/>
    <w:rsid w:val="00E81855"/>
    <w:rsid w:val="00E8669E"/>
    <w:rsid w:val="00E86ECE"/>
    <w:rsid w:val="00E91A43"/>
    <w:rsid w:val="00E97364"/>
    <w:rsid w:val="00EA22BE"/>
    <w:rsid w:val="00EA2505"/>
    <w:rsid w:val="00EB5D8F"/>
    <w:rsid w:val="00EC7EC4"/>
    <w:rsid w:val="00ED00E3"/>
    <w:rsid w:val="00ED5B33"/>
    <w:rsid w:val="00EF0B52"/>
    <w:rsid w:val="00EF7F78"/>
    <w:rsid w:val="00F02A8F"/>
    <w:rsid w:val="00F11FF5"/>
    <w:rsid w:val="00F15FBF"/>
    <w:rsid w:val="00F21BF5"/>
    <w:rsid w:val="00F23B90"/>
    <w:rsid w:val="00F269CF"/>
    <w:rsid w:val="00F33236"/>
    <w:rsid w:val="00F54E92"/>
    <w:rsid w:val="00F70D62"/>
    <w:rsid w:val="00F955C4"/>
    <w:rsid w:val="00FA735A"/>
    <w:rsid w:val="00FC24DB"/>
    <w:rsid w:val="00FC45D1"/>
    <w:rsid w:val="00FD02C4"/>
    <w:rsid w:val="00FD3E27"/>
    <w:rsid w:val="00FD3EAE"/>
    <w:rsid w:val="00FD7E6B"/>
    <w:rsid w:val="00FE04CB"/>
    <w:rsid w:val="00FE59E1"/>
    <w:rsid w:val="00FF4CF1"/>
    <w:rsid w:val="00FF7617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299C2"/>
  <w15:chartTrackingRefBased/>
  <w15:docId w15:val="{411E8239-6B3C-4BFB-A28C-D980FDCD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79B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B79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9B1"/>
    <w:rPr>
      <w:rFonts w:ascii="Calibri" w:eastAsia="Calibri" w:hAnsi="Calibri" w:cs="Times New Roman"/>
    </w:rPr>
  </w:style>
  <w:style w:type="paragraph" w:customStyle="1" w:styleId="Default">
    <w:name w:val="Default"/>
    <w:rsid w:val="008B79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8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8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Chesters</dc:creator>
  <cp:keywords/>
  <dc:description/>
  <cp:lastModifiedBy>Katie</cp:lastModifiedBy>
  <cp:revision>2</cp:revision>
  <dcterms:created xsi:type="dcterms:W3CDTF">2019-03-27T11:44:00Z</dcterms:created>
  <dcterms:modified xsi:type="dcterms:W3CDTF">2019-03-27T11:44:00Z</dcterms:modified>
</cp:coreProperties>
</file>