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AC6" w:rsidRPr="00F52682" w:rsidRDefault="000E7AC6" w:rsidP="000E7AC6">
      <w:pPr>
        <w:pStyle w:val="TOCHeading"/>
        <w:spacing w:before="0" w:line="480" w:lineRule="auto"/>
        <w:jc w:val="center"/>
        <w:rPr>
          <w:rFonts w:cs="Times New Roman"/>
          <w:b w:val="0"/>
          <w:szCs w:val="24"/>
        </w:rPr>
      </w:pPr>
      <w:r w:rsidRPr="00F52682">
        <w:rPr>
          <w:rFonts w:cs="Times New Roman"/>
          <w:szCs w:val="24"/>
        </w:rPr>
        <w:t>Appendix</w:t>
      </w:r>
    </w:p>
    <w:p w:rsidR="000E7AC6" w:rsidRPr="00F52682" w:rsidRDefault="000E7AC6" w:rsidP="000E7AC6">
      <w:pPr>
        <w:spacing w:line="480" w:lineRule="auto"/>
        <w:rPr>
          <w:rFonts w:eastAsiaTheme="majorEastAsia"/>
          <w:b/>
        </w:rPr>
      </w:pPr>
    </w:p>
    <w:p w:rsidR="000E7AC6" w:rsidRPr="00F52682" w:rsidRDefault="000E7AC6" w:rsidP="000E7AC6">
      <w:pPr>
        <w:pStyle w:val="Heading1"/>
        <w:spacing w:before="0" w:line="480" w:lineRule="auto"/>
      </w:pPr>
      <w:r w:rsidRPr="00F52682">
        <w:br w:type="page"/>
      </w:r>
      <w:bookmarkStart w:id="0" w:name="_Toc21458223"/>
      <w:bookmarkStart w:id="1" w:name="_Toc15909082"/>
      <w:r w:rsidRPr="00F52682">
        <w:t>Appendix 1. Sample search strategy for Pubmed</w:t>
      </w:r>
      <w:bookmarkEnd w:id="0"/>
      <w:r w:rsidRPr="00F52682">
        <w:t xml:space="preserve"> </w:t>
      </w:r>
      <w:bookmarkEnd w:id="1"/>
    </w:p>
    <w:tbl>
      <w:tblPr>
        <w:tblW w:w="9776" w:type="dxa"/>
        <w:tblLook w:val="04A0" w:firstRow="1" w:lastRow="0" w:firstColumn="1" w:lastColumn="0" w:noHBand="0" w:noVBand="1"/>
      </w:tblPr>
      <w:tblGrid>
        <w:gridCol w:w="456"/>
        <w:gridCol w:w="9320"/>
      </w:tblGrid>
      <w:tr w:rsidR="000E7AC6" w:rsidRPr="00F52682" w:rsidTr="00A0522B">
        <w:tc>
          <w:tcPr>
            <w:tcW w:w="439" w:type="dxa"/>
          </w:tcPr>
          <w:p w:rsidR="000E7AC6" w:rsidRPr="00F52682" w:rsidRDefault="000E7AC6" w:rsidP="00A0522B">
            <w:pPr>
              <w:spacing w:line="480" w:lineRule="auto"/>
            </w:pPr>
            <w:r w:rsidRPr="00F52682">
              <w:t>1</w:t>
            </w:r>
          </w:p>
        </w:tc>
        <w:tc>
          <w:tcPr>
            <w:tcW w:w="9337" w:type="dxa"/>
          </w:tcPr>
          <w:p w:rsidR="000E7AC6" w:rsidRPr="00F52682" w:rsidRDefault="000E7AC6" w:rsidP="00A0522B">
            <w:pPr>
              <w:spacing w:line="480" w:lineRule="auto"/>
            </w:pPr>
            <w:r w:rsidRPr="00F52682">
              <w:t>"pulmonary disease, chronic obstructive"[MeSH Terms]</w:t>
            </w:r>
          </w:p>
        </w:tc>
      </w:tr>
      <w:tr w:rsidR="000E7AC6" w:rsidRPr="00F52682" w:rsidTr="00A0522B">
        <w:tc>
          <w:tcPr>
            <w:tcW w:w="439" w:type="dxa"/>
          </w:tcPr>
          <w:p w:rsidR="000E7AC6" w:rsidRPr="00F52682" w:rsidRDefault="000E7AC6" w:rsidP="00A0522B">
            <w:pPr>
              <w:spacing w:line="480" w:lineRule="auto"/>
            </w:pPr>
            <w:r w:rsidRPr="00F52682">
              <w:t>2</w:t>
            </w:r>
          </w:p>
        </w:tc>
        <w:tc>
          <w:tcPr>
            <w:tcW w:w="9337" w:type="dxa"/>
          </w:tcPr>
          <w:p w:rsidR="000E7AC6" w:rsidRPr="00F52682" w:rsidRDefault="000E7AC6" w:rsidP="00A0522B">
            <w:pPr>
              <w:spacing w:line="480" w:lineRule="auto"/>
            </w:pPr>
            <w:r w:rsidRPr="00F52682">
              <w:t>"COPD"[All Fields]</w:t>
            </w:r>
          </w:p>
        </w:tc>
      </w:tr>
      <w:tr w:rsidR="000E7AC6" w:rsidRPr="00F52682" w:rsidTr="00A0522B">
        <w:tc>
          <w:tcPr>
            <w:tcW w:w="439" w:type="dxa"/>
          </w:tcPr>
          <w:p w:rsidR="000E7AC6" w:rsidRPr="00F52682" w:rsidRDefault="000E7AC6" w:rsidP="00A0522B">
            <w:pPr>
              <w:spacing w:line="480" w:lineRule="auto"/>
            </w:pPr>
            <w:r w:rsidRPr="00F52682">
              <w:t>3</w:t>
            </w:r>
          </w:p>
        </w:tc>
        <w:tc>
          <w:tcPr>
            <w:tcW w:w="9337" w:type="dxa"/>
          </w:tcPr>
          <w:p w:rsidR="000E7AC6" w:rsidRPr="00F52682" w:rsidRDefault="000E7AC6" w:rsidP="00A0522B">
            <w:pPr>
              <w:spacing w:line="480" w:lineRule="auto"/>
            </w:pPr>
            <w:r w:rsidRPr="00F52682">
              <w:t>"Chronic obstructive pulmonary disease"[All Fields]</w:t>
            </w:r>
          </w:p>
        </w:tc>
      </w:tr>
      <w:tr w:rsidR="000E7AC6" w:rsidRPr="00F52682" w:rsidTr="00A0522B">
        <w:tc>
          <w:tcPr>
            <w:tcW w:w="439" w:type="dxa"/>
          </w:tcPr>
          <w:p w:rsidR="000E7AC6" w:rsidRPr="00F52682" w:rsidRDefault="000E7AC6" w:rsidP="00A0522B">
            <w:pPr>
              <w:spacing w:line="480" w:lineRule="auto"/>
            </w:pPr>
            <w:r w:rsidRPr="00F52682">
              <w:t>4</w:t>
            </w:r>
          </w:p>
        </w:tc>
        <w:tc>
          <w:tcPr>
            <w:tcW w:w="9337" w:type="dxa"/>
          </w:tcPr>
          <w:p w:rsidR="000E7AC6" w:rsidRPr="00F52682" w:rsidRDefault="000E7AC6" w:rsidP="00A0522B">
            <w:pPr>
              <w:spacing w:line="480" w:lineRule="auto"/>
            </w:pPr>
            <w:r w:rsidRPr="00F52682">
              <w:t>"COAD"[All Fields]</w:t>
            </w:r>
          </w:p>
        </w:tc>
      </w:tr>
      <w:tr w:rsidR="000E7AC6" w:rsidRPr="00F52682" w:rsidTr="00A0522B">
        <w:tc>
          <w:tcPr>
            <w:tcW w:w="439" w:type="dxa"/>
          </w:tcPr>
          <w:p w:rsidR="000E7AC6" w:rsidRPr="00F52682" w:rsidRDefault="000E7AC6" w:rsidP="00A0522B">
            <w:pPr>
              <w:spacing w:line="480" w:lineRule="auto"/>
            </w:pPr>
            <w:r w:rsidRPr="00F52682">
              <w:t>5</w:t>
            </w:r>
          </w:p>
        </w:tc>
        <w:tc>
          <w:tcPr>
            <w:tcW w:w="9337" w:type="dxa"/>
          </w:tcPr>
          <w:p w:rsidR="000E7AC6" w:rsidRPr="00F52682" w:rsidRDefault="000E7AC6" w:rsidP="00A0522B">
            <w:pPr>
              <w:spacing w:line="480" w:lineRule="auto"/>
            </w:pPr>
            <w:r w:rsidRPr="00F52682">
              <w:t>"Chronic obstructive airway disease"[All Fields]</w:t>
            </w:r>
          </w:p>
        </w:tc>
      </w:tr>
      <w:tr w:rsidR="000E7AC6" w:rsidRPr="00F52682" w:rsidTr="00A0522B">
        <w:tc>
          <w:tcPr>
            <w:tcW w:w="439" w:type="dxa"/>
          </w:tcPr>
          <w:p w:rsidR="000E7AC6" w:rsidRPr="00F52682" w:rsidRDefault="000E7AC6" w:rsidP="00A0522B">
            <w:pPr>
              <w:spacing w:line="480" w:lineRule="auto"/>
            </w:pPr>
            <w:r w:rsidRPr="00F52682">
              <w:t>6</w:t>
            </w:r>
          </w:p>
        </w:tc>
        <w:tc>
          <w:tcPr>
            <w:tcW w:w="9337" w:type="dxa"/>
          </w:tcPr>
          <w:p w:rsidR="000E7AC6" w:rsidRPr="00F52682" w:rsidRDefault="000E7AC6" w:rsidP="00A0522B">
            <w:pPr>
              <w:spacing w:line="480" w:lineRule="auto"/>
            </w:pPr>
            <w:r w:rsidRPr="00F52682">
              <w:t>"Chronic obstructive lung disease"[All Fields]</w:t>
            </w:r>
          </w:p>
        </w:tc>
      </w:tr>
      <w:tr w:rsidR="000E7AC6" w:rsidRPr="00F52682" w:rsidTr="00A0522B">
        <w:tc>
          <w:tcPr>
            <w:tcW w:w="439" w:type="dxa"/>
          </w:tcPr>
          <w:p w:rsidR="000E7AC6" w:rsidRPr="00F52682" w:rsidRDefault="000E7AC6" w:rsidP="00A0522B">
            <w:pPr>
              <w:spacing w:line="480" w:lineRule="auto"/>
            </w:pPr>
            <w:r w:rsidRPr="00F52682">
              <w:t>7</w:t>
            </w:r>
          </w:p>
        </w:tc>
        <w:tc>
          <w:tcPr>
            <w:tcW w:w="9337" w:type="dxa"/>
          </w:tcPr>
          <w:p w:rsidR="000E7AC6" w:rsidRPr="00F52682" w:rsidRDefault="000E7AC6" w:rsidP="00A0522B">
            <w:pPr>
              <w:spacing w:line="480" w:lineRule="auto"/>
            </w:pPr>
            <w:r w:rsidRPr="00F52682">
              <w:t>“Chronic”[All Fields] AND “Obstruction”[All Fields] AND (“Airflow”[All Fields] OR “Airway”[All Fields])</w:t>
            </w:r>
          </w:p>
        </w:tc>
      </w:tr>
      <w:tr w:rsidR="000E7AC6" w:rsidRPr="00F52682" w:rsidTr="00A0522B">
        <w:tc>
          <w:tcPr>
            <w:tcW w:w="439" w:type="dxa"/>
          </w:tcPr>
          <w:p w:rsidR="000E7AC6" w:rsidRPr="00F52682" w:rsidRDefault="000E7AC6" w:rsidP="00A0522B">
            <w:pPr>
              <w:spacing w:line="480" w:lineRule="auto"/>
            </w:pPr>
            <w:r w:rsidRPr="00F52682">
              <w:t>8</w:t>
            </w:r>
          </w:p>
        </w:tc>
        <w:tc>
          <w:tcPr>
            <w:tcW w:w="9337" w:type="dxa"/>
          </w:tcPr>
          <w:p w:rsidR="000E7AC6" w:rsidRPr="00F52682" w:rsidRDefault="000E7AC6" w:rsidP="00A0522B">
            <w:pPr>
              <w:spacing w:line="480" w:lineRule="auto"/>
            </w:pPr>
            <w:r w:rsidRPr="00F52682">
              <w:t xml:space="preserve">#1 OR #2 OR #3 OR #4 OR #5 OR #6 OR #7 </w:t>
            </w:r>
          </w:p>
        </w:tc>
      </w:tr>
      <w:tr w:rsidR="000E7AC6" w:rsidRPr="00F52682" w:rsidTr="00A0522B">
        <w:tc>
          <w:tcPr>
            <w:tcW w:w="439" w:type="dxa"/>
          </w:tcPr>
          <w:p w:rsidR="000E7AC6" w:rsidRPr="00F52682" w:rsidRDefault="000E7AC6" w:rsidP="00A0522B">
            <w:pPr>
              <w:spacing w:line="480" w:lineRule="auto"/>
            </w:pPr>
            <w:r w:rsidRPr="00F52682">
              <w:t>9</w:t>
            </w:r>
          </w:p>
        </w:tc>
        <w:tc>
          <w:tcPr>
            <w:tcW w:w="9337" w:type="dxa"/>
          </w:tcPr>
          <w:p w:rsidR="000E7AC6" w:rsidRPr="00F52682" w:rsidRDefault="000E7AC6" w:rsidP="00A0522B">
            <w:pPr>
              <w:spacing w:line="480" w:lineRule="auto"/>
            </w:pPr>
            <w:r w:rsidRPr="00F52682">
              <w:t>“PCT”[All Fields]</w:t>
            </w:r>
          </w:p>
        </w:tc>
      </w:tr>
      <w:tr w:rsidR="000E7AC6" w:rsidRPr="00F52682" w:rsidTr="00A0522B">
        <w:tc>
          <w:tcPr>
            <w:tcW w:w="439" w:type="dxa"/>
          </w:tcPr>
          <w:p w:rsidR="000E7AC6" w:rsidRPr="00F52682" w:rsidRDefault="000E7AC6" w:rsidP="00A0522B">
            <w:pPr>
              <w:spacing w:line="480" w:lineRule="auto"/>
            </w:pPr>
            <w:r w:rsidRPr="00F52682">
              <w:t>10</w:t>
            </w:r>
          </w:p>
        </w:tc>
        <w:tc>
          <w:tcPr>
            <w:tcW w:w="9337" w:type="dxa"/>
          </w:tcPr>
          <w:p w:rsidR="000E7AC6" w:rsidRPr="00F52682" w:rsidRDefault="000E7AC6" w:rsidP="00A0522B">
            <w:pPr>
              <w:spacing w:line="480" w:lineRule="auto"/>
            </w:pPr>
            <w:r w:rsidRPr="00F52682">
              <w:t>"Calcitonin"[MeSH Terms] OR "Calcitonin"[All Fields] OR "Procalcitonin"[All Fields]</w:t>
            </w:r>
          </w:p>
        </w:tc>
      </w:tr>
      <w:tr w:rsidR="000E7AC6" w:rsidRPr="00F52682" w:rsidTr="00A0522B">
        <w:tc>
          <w:tcPr>
            <w:tcW w:w="439" w:type="dxa"/>
          </w:tcPr>
          <w:p w:rsidR="000E7AC6" w:rsidRPr="00F52682" w:rsidRDefault="000E7AC6" w:rsidP="00A0522B">
            <w:pPr>
              <w:spacing w:line="480" w:lineRule="auto"/>
            </w:pPr>
            <w:r w:rsidRPr="00F52682">
              <w:t>11</w:t>
            </w:r>
          </w:p>
        </w:tc>
        <w:tc>
          <w:tcPr>
            <w:tcW w:w="9337" w:type="dxa"/>
          </w:tcPr>
          <w:p w:rsidR="000E7AC6" w:rsidRPr="00F52682" w:rsidRDefault="000E7AC6" w:rsidP="00A0522B">
            <w:pPr>
              <w:spacing w:line="480" w:lineRule="auto"/>
            </w:pPr>
            <w:r w:rsidRPr="00F52682">
              <w:t>“Pro-calcitonin”[All Fields]</w:t>
            </w:r>
          </w:p>
        </w:tc>
      </w:tr>
      <w:tr w:rsidR="000E7AC6" w:rsidRPr="00F52682" w:rsidTr="00A0522B">
        <w:tc>
          <w:tcPr>
            <w:tcW w:w="439" w:type="dxa"/>
          </w:tcPr>
          <w:p w:rsidR="000E7AC6" w:rsidRPr="00F52682" w:rsidRDefault="000E7AC6" w:rsidP="00A0522B">
            <w:pPr>
              <w:spacing w:line="480" w:lineRule="auto"/>
            </w:pPr>
            <w:r w:rsidRPr="00F52682">
              <w:t>12</w:t>
            </w:r>
          </w:p>
        </w:tc>
        <w:tc>
          <w:tcPr>
            <w:tcW w:w="9337" w:type="dxa"/>
          </w:tcPr>
          <w:p w:rsidR="000E7AC6" w:rsidRPr="00F52682" w:rsidRDefault="000E7AC6" w:rsidP="00A0522B">
            <w:pPr>
              <w:spacing w:line="480" w:lineRule="auto"/>
            </w:pPr>
            <w:r w:rsidRPr="00F52682">
              <w:t>“Pro calcitonin”[All Fields]</w:t>
            </w:r>
          </w:p>
        </w:tc>
      </w:tr>
      <w:tr w:rsidR="000E7AC6" w:rsidRPr="00F52682" w:rsidTr="00A0522B">
        <w:tc>
          <w:tcPr>
            <w:tcW w:w="439" w:type="dxa"/>
          </w:tcPr>
          <w:p w:rsidR="000E7AC6" w:rsidRPr="00F52682" w:rsidRDefault="000E7AC6" w:rsidP="00A0522B">
            <w:pPr>
              <w:spacing w:line="480" w:lineRule="auto"/>
            </w:pPr>
            <w:r w:rsidRPr="00F52682">
              <w:t>13</w:t>
            </w:r>
          </w:p>
        </w:tc>
        <w:tc>
          <w:tcPr>
            <w:tcW w:w="9337" w:type="dxa"/>
          </w:tcPr>
          <w:p w:rsidR="000E7AC6" w:rsidRPr="00F52682" w:rsidRDefault="000E7AC6" w:rsidP="00A0522B">
            <w:pPr>
              <w:spacing w:line="480" w:lineRule="auto"/>
            </w:pPr>
            <w:r w:rsidRPr="00F52682">
              <w:t>"Calcitonin precursor"[All Fields]</w:t>
            </w:r>
          </w:p>
        </w:tc>
      </w:tr>
      <w:tr w:rsidR="000E7AC6" w:rsidRPr="00F52682" w:rsidTr="00A0522B">
        <w:tc>
          <w:tcPr>
            <w:tcW w:w="439" w:type="dxa"/>
          </w:tcPr>
          <w:p w:rsidR="000E7AC6" w:rsidRPr="00F52682" w:rsidRDefault="000E7AC6" w:rsidP="00A0522B">
            <w:pPr>
              <w:spacing w:line="480" w:lineRule="auto"/>
            </w:pPr>
            <w:r w:rsidRPr="00F52682">
              <w:t>14</w:t>
            </w:r>
          </w:p>
        </w:tc>
        <w:tc>
          <w:tcPr>
            <w:tcW w:w="9337" w:type="dxa"/>
          </w:tcPr>
          <w:p w:rsidR="000E7AC6" w:rsidRPr="00F52682" w:rsidRDefault="000E7AC6" w:rsidP="00A0522B">
            <w:pPr>
              <w:spacing w:line="480" w:lineRule="auto"/>
            </w:pPr>
            <w:r w:rsidRPr="00F52682">
              <w:t>"Calcitonin precursors"[All Fields]</w:t>
            </w:r>
          </w:p>
        </w:tc>
      </w:tr>
      <w:tr w:rsidR="000E7AC6" w:rsidRPr="00F52682" w:rsidTr="00A0522B">
        <w:tc>
          <w:tcPr>
            <w:tcW w:w="439" w:type="dxa"/>
          </w:tcPr>
          <w:p w:rsidR="000E7AC6" w:rsidRPr="00F52682" w:rsidRDefault="000E7AC6" w:rsidP="00A0522B">
            <w:pPr>
              <w:spacing w:line="480" w:lineRule="auto"/>
            </w:pPr>
            <w:r w:rsidRPr="00F52682">
              <w:t>15</w:t>
            </w:r>
          </w:p>
        </w:tc>
        <w:tc>
          <w:tcPr>
            <w:tcW w:w="9337" w:type="dxa"/>
          </w:tcPr>
          <w:p w:rsidR="000E7AC6" w:rsidRPr="00F52682" w:rsidRDefault="000E7AC6" w:rsidP="00A0522B">
            <w:pPr>
              <w:spacing w:line="480" w:lineRule="auto"/>
            </w:pPr>
            <w:r w:rsidRPr="00F52682">
              <w:t>#9 OR #10 OR #11 OR #12 OR #13 OR #14</w:t>
            </w:r>
          </w:p>
        </w:tc>
      </w:tr>
      <w:tr w:rsidR="000E7AC6" w:rsidRPr="00F52682" w:rsidTr="00A0522B">
        <w:tc>
          <w:tcPr>
            <w:tcW w:w="439" w:type="dxa"/>
          </w:tcPr>
          <w:p w:rsidR="000E7AC6" w:rsidRPr="00F52682" w:rsidRDefault="000E7AC6" w:rsidP="00A0522B">
            <w:pPr>
              <w:spacing w:line="480" w:lineRule="auto"/>
            </w:pPr>
            <w:r w:rsidRPr="00F52682">
              <w:t>16</w:t>
            </w:r>
          </w:p>
        </w:tc>
        <w:tc>
          <w:tcPr>
            <w:tcW w:w="9337" w:type="dxa"/>
          </w:tcPr>
          <w:p w:rsidR="000E7AC6" w:rsidRPr="00F52682" w:rsidRDefault="000E7AC6" w:rsidP="00A0522B">
            <w:pPr>
              <w:spacing w:line="480" w:lineRule="auto"/>
            </w:pPr>
            <w:r w:rsidRPr="00F52682">
              <w:t>#8 AND #15</w:t>
            </w:r>
          </w:p>
        </w:tc>
      </w:tr>
    </w:tbl>
    <w:p w:rsidR="000E7AC6" w:rsidRPr="00F52682" w:rsidRDefault="000E7AC6" w:rsidP="000E7AC6">
      <w:pPr>
        <w:spacing w:line="480" w:lineRule="auto"/>
        <w:jc w:val="both"/>
      </w:pPr>
    </w:p>
    <w:p w:rsidR="000E7AC6" w:rsidRPr="00F52682" w:rsidRDefault="000E7AC6" w:rsidP="000E7AC6">
      <w:pPr>
        <w:pStyle w:val="Heading1"/>
        <w:spacing w:before="0" w:line="480" w:lineRule="auto"/>
        <w:rPr>
          <w:sz w:val="26"/>
        </w:rPr>
      </w:pPr>
      <w:r w:rsidRPr="00F52682">
        <w:br w:type="page"/>
      </w:r>
      <w:bookmarkStart w:id="2" w:name="_Toc15909087"/>
      <w:bookmarkStart w:id="3" w:name="_Toc21458225"/>
      <w:r w:rsidRPr="00F52682">
        <w:t>Appendix 2. Excluded studies</w:t>
      </w:r>
      <w:bookmarkEnd w:id="2"/>
      <w:bookmarkEnd w:id="3"/>
    </w:p>
    <w:tbl>
      <w:tblPr>
        <w:tblW w:w="9776" w:type="dxa"/>
        <w:tblLook w:val="04A0" w:firstRow="1" w:lastRow="0" w:firstColumn="1" w:lastColumn="0" w:noHBand="0" w:noVBand="1"/>
      </w:tblPr>
      <w:tblGrid>
        <w:gridCol w:w="570"/>
        <w:gridCol w:w="7194"/>
        <w:gridCol w:w="2012"/>
      </w:tblGrid>
      <w:tr w:rsidR="000E7AC6" w:rsidRPr="00F52682" w:rsidTr="00A0522B">
        <w:tc>
          <w:tcPr>
            <w:tcW w:w="562" w:type="dxa"/>
          </w:tcPr>
          <w:p w:rsidR="000E7AC6" w:rsidRPr="00F52682" w:rsidRDefault="000E7AC6" w:rsidP="00A0522B">
            <w:pPr>
              <w:spacing w:line="480" w:lineRule="auto"/>
              <w:rPr>
                <w:b/>
                <w:szCs w:val="20"/>
              </w:rPr>
            </w:pPr>
            <w:r w:rsidRPr="00F52682">
              <w:rPr>
                <w:b/>
                <w:szCs w:val="20"/>
              </w:rPr>
              <w:t>No.</w:t>
            </w:r>
          </w:p>
        </w:tc>
        <w:tc>
          <w:tcPr>
            <w:tcW w:w="7201" w:type="dxa"/>
          </w:tcPr>
          <w:p w:rsidR="000E7AC6" w:rsidRPr="00F52682" w:rsidRDefault="000E7AC6" w:rsidP="00A0522B">
            <w:pPr>
              <w:spacing w:line="480" w:lineRule="auto"/>
              <w:rPr>
                <w:b/>
                <w:szCs w:val="20"/>
              </w:rPr>
            </w:pPr>
            <w:r w:rsidRPr="00F52682">
              <w:rPr>
                <w:b/>
                <w:szCs w:val="20"/>
              </w:rPr>
              <w:t>Excluded studies</w:t>
            </w:r>
          </w:p>
        </w:tc>
        <w:tc>
          <w:tcPr>
            <w:tcW w:w="2013" w:type="dxa"/>
          </w:tcPr>
          <w:p w:rsidR="000E7AC6" w:rsidRPr="00F52682" w:rsidRDefault="000E7AC6" w:rsidP="00A0522B">
            <w:pPr>
              <w:spacing w:line="480" w:lineRule="auto"/>
              <w:rPr>
                <w:b/>
                <w:szCs w:val="20"/>
              </w:rPr>
            </w:pPr>
            <w:r w:rsidRPr="00F52682">
              <w:rPr>
                <w:b/>
                <w:szCs w:val="20"/>
              </w:rPr>
              <w:t>Reasons for exclusion</w:t>
            </w:r>
          </w:p>
        </w:tc>
      </w:tr>
      <w:tr w:rsidR="000E7AC6" w:rsidRPr="00F52682" w:rsidTr="00A0522B">
        <w:tc>
          <w:tcPr>
            <w:tcW w:w="562" w:type="dxa"/>
          </w:tcPr>
          <w:p w:rsidR="000E7AC6" w:rsidRPr="00F52682" w:rsidRDefault="000E7AC6" w:rsidP="00A0522B">
            <w:pPr>
              <w:spacing w:line="480" w:lineRule="auto"/>
              <w:rPr>
                <w:szCs w:val="20"/>
              </w:rPr>
            </w:pPr>
            <w:r w:rsidRPr="00F52682">
              <w:rPr>
                <w:szCs w:val="20"/>
              </w:rPr>
              <w:t>1</w:t>
            </w:r>
          </w:p>
        </w:tc>
        <w:tc>
          <w:tcPr>
            <w:tcW w:w="7201" w:type="dxa"/>
          </w:tcPr>
          <w:p w:rsidR="000E7AC6" w:rsidRPr="00F52682" w:rsidRDefault="000E7AC6" w:rsidP="00A0522B">
            <w:pPr>
              <w:spacing w:line="480" w:lineRule="auto"/>
              <w:rPr>
                <w:szCs w:val="20"/>
              </w:rPr>
            </w:pPr>
            <w:r w:rsidRPr="00F52682">
              <w:rPr>
                <w:szCs w:val="20"/>
              </w:rPr>
              <w:t>Effectiveness and safety of procalcitonin-guided antibiotic therapy in lower respiratory tract infections in "real life": an international, multicenter poststudy survey (ProREAL). Arch Intern Med 172(9): 715-722.</w:t>
            </w:r>
          </w:p>
        </w:tc>
        <w:tc>
          <w:tcPr>
            <w:tcW w:w="2013" w:type="dxa"/>
          </w:tcPr>
          <w:p w:rsidR="000E7AC6" w:rsidRPr="00F52682" w:rsidRDefault="000E7AC6" w:rsidP="00A0522B">
            <w:pPr>
              <w:spacing w:line="480" w:lineRule="auto"/>
              <w:rPr>
                <w:szCs w:val="20"/>
              </w:rPr>
            </w:pPr>
            <w:r w:rsidRPr="00F52682">
              <w:rPr>
                <w:szCs w:val="20"/>
              </w:rPr>
              <w:t>No COPD-specific data available</w:t>
            </w:r>
          </w:p>
        </w:tc>
      </w:tr>
      <w:tr w:rsidR="000E7AC6" w:rsidRPr="00F52682" w:rsidTr="00A0522B">
        <w:tc>
          <w:tcPr>
            <w:tcW w:w="562" w:type="dxa"/>
          </w:tcPr>
          <w:p w:rsidR="000E7AC6" w:rsidRPr="00F52682" w:rsidRDefault="000E7AC6" w:rsidP="00A0522B">
            <w:pPr>
              <w:spacing w:line="480" w:lineRule="auto"/>
              <w:rPr>
                <w:szCs w:val="20"/>
              </w:rPr>
            </w:pPr>
            <w:r w:rsidRPr="00F52682">
              <w:rPr>
                <w:szCs w:val="20"/>
              </w:rPr>
              <w:t>2</w:t>
            </w:r>
          </w:p>
        </w:tc>
        <w:tc>
          <w:tcPr>
            <w:tcW w:w="7201" w:type="dxa"/>
          </w:tcPr>
          <w:p w:rsidR="000E7AC6" w:rsidRPr="00F52682" w:rsidRDefault="000E7AC6" w:rsidP="00A0522B">
            <w:pPr>
              <w:spacing w:line="480" w:lineRule="auto"/>
              <w:rPr>
                <w:szCs w:val="20"/>
              </w:rPr>
            </w:pPr>
            <w:r w:rsidRPr="00F52682">
              <w:rPr>
                <w:szCs w:val="20"/>
              </w:rPr>
              <w:t>Utility of unique procalcitonin dosage in patients with acute exacerbation of chronic obstructive pulmonary disease in emergency wards. Clinical Microbiology and Infection 15: S190-S191.</w:t>
            </w:r>
          </w:p>
        </w:tc>
        <w:tc>
          <w:tcPr>
            <w:tcW w:w="2013" w:type="dxa"/>
          </w:tcPr>
          <w:p w:rsidR="000E7AC6" w:rsidRPr="00F52682" w:rsidRDefault="000E7AC6" w:rsidP="00A0522B">
            <w:pPr>
              <w:spacing w:line="480" w:lineRule="auto"/>
              <w:rPr>
                <w:szCs w:val="20"/>
              </w:rPr>
            </w:pPr>
            <w:r w:rsidRPr="00F52682">
              <w:rPr>
                <w:szCs w:val="20"/>
              </w:rPr>
              <w:t>Not relevant</w:t>
            </w:r>
          </w:p>
        </w:tc>
      </w:tr>
      <w:tr w:rsidR="000E7AC6" w:rsidRPr="00F52682" w:rsidTr="00A0522B">
        <w:tc>
          <w:tcPr>
            <w:tcW w:w="562" w:type="dxa"/>
          </w:tcPr>
          <w:p w:rsidR="000E7AC6" w:rsidRPr="00F52682" w:rsidRDefault="000E7AC6" w:rsidP="00A0522B">
            <w:pPr>
              <w:spacing w:line="480" w:lineRule="auto"/>
              <w:rPr>
                <w:szCs w:val="20"/>
              </w:rPr>
            </w:pPr>
            <w:r w:rsidRPr="00F52682">
              <w:rPr>
                <w:szCs w:val="20"/>
              </w:rPr>
              <w:t>3</w:t>
            </w:r>
          </w:p>
        </w:tc>
        <w:tc>
          <w:tcPr>
            <w:tcW w:w="7201" w:type="dxa"/>
          </w:tcPr>
          <w:p w:rsidR="000E7AC6" w:rsidRPr="00F52682" w:rsidRDefault="000E7AC6" w:rsidP="00A0522B">
            <w:pPr>
              <w:spacing w:line="480" w:lineRule="auto"/>
              <w:rPr>
                <w:szCs w:val="20"/>
              </w:rPr>
            </w:pPr>
            <w:r w:rsidRPr="00F52682">
              <w:rPr>
                <w:szCs w:val="20"/>
              </w:rPr>
              <w:t>Efficacy and safety of procalcitonin-guided antibiotic therapy in lower respiratory tract infections. Antibiotics (Basel) 2(1): 1-10.</w:t>
            </w:r>
          </w:p>
        </w:tc>
        <w:tc>
          <w:tcPr>
            <w:tcW w:w="2013" w:type="dxa"/>
          </w:tcPr>
          <w:p w:rsidR="000E7AC6" w:rsidRPr="00F52682" w:rsidRDefault="000E7AC6" w:rsidP="00A0522B">
            <w:pPr>
              <w:spacing w:line="480" w:lineRule="auto"/>
              <w:rPr>
                <w:szCs w:val="20"/>
              </w:rPr>
            </w:pPr>
            <w:r w:rsidRPr="00F52682">
              <w:rPr>
                <w:szCs w:val="20"/>
              </w:rPr>
              <w:t>No COPD-specific data available</w:t>
            </w:r>
          </w:p>
        </w:tc>
      </w:tr>
      <w:tr w:rsidR="000E7AC6" w:rsidRPr="00F52682" w:rsidTr="00A0522B">
        <w:tc>
          <w:tcPr>
            <w:tcW w:w="562" w:type="dxa"/>
          </w:tcPr>
          <w:p w:rsidR="000E7AC6" w:rsidRPr="00F52682" w:rsidRDefault="000E7AC6" w:rsidP="00A0522B">
            <w:pPr>
              <w:spacing w:line="480" w:lineRule="auto"/>
              <w:rPr>
                <w:szCs w:val="20"/>
              </w:rPr>
            </w:pPr>
            <w:r w:rsidRPr="00F52682">
              <w:rPr>
                <w:szCs w:val="20"/>
              </w:rPr>
              <w:t>4</w:t>
            </w:r>
          </w:p>
        </w:tc>
        <w:tc>
          <w:tcPr>
            <w:tcW w:w="7201" w:type="dxa"/>
          </w:tcPr>
          <w:p w:rsidR="000E7AC6" w:rsidRPr="00F52682" w:rsidRDefault="000E7AC6" w:rsidP="00A0522B">
            <w:pPr>
              <w:spacing w:line="480" w:lineRule="auto"/>
              <w:rPr>
                <w:szCs w:val="20"/>
              </w:rPr>
            </w:pPr>
            <w:r w:rsidRPr="00F52682">
              <w:rPr>
                <w:szCs w:val="20"/>
              </w:rPr>
              <w:t>Point-of-care procalcitonin test to reduce antibiotics in COPD exacerbation: A quasi-randomized control trial. European Respiratory Journal 46.</w:t>
            </w:r>
          </w:p>
        </w:tc>
        <w:tc>
          <w:tcPr>
            <w:tcW w:w="2013" w:type="dxa"/>
          </w:tcPr>
          <w:p w:rsidR="000E7AC6" w:rsidRPr="00F52682" w:rsidRDefault="000E7AC6" w:rsidP="00A0522B">
            <w:pPr>
              <w:spacing w:line="480" w:lineRule="auto"/>
              <w:rPr>
                <w:szCs w:val="20"/>
              </w:rPr>
            </w:pPr>
            <w:r w:rsidRPr="00F52682">
              <w:rPr>
                <w:szCs w:val="20"/>
              </w:rPr>
              <w:t>Duplicate</w:t>
            </w:r>
          </w:p>
        </w:tc>
      </w:tr>
      <w:tr w:rsidR="000E7AC6" w:rsidRPr="00F52682" w:rsidTr="00A0522B">
        <w:tc>
          <w:tcPr>
            <w:tcW w:w="562" w:type="dxa"/>
          </w:tcPr>
          <w:p w:rsidR="000E7AC6" w:rsidRPr="00F52682" w:rsidRDefault="000E7AC6" w:rsidP="00A0522B">
            <w:pPr>
              <w:spacing w:line="480" w:lineRule="auto"/>
              <w:rPr>
                <w:szCs w:val="20"/>
              </w:rPr>
            </w:pPr>
            <w:r w:rsidRPr="00F52682">
              <w:rPr>
                <w:szCs w:val="20"/>
              </w:rPr>
              <w:t>5</w:t>
            </w:r>
          </w:p>
        </w:tc>
        <w:tc>
          <w:tcPr>
            <w:tcW w:w="7201" w:type="dxa"/>
          </w:tcPr>
          <w:p w:rsidR="000E7AC6" w:rsidRPr="00F52682" w:rsidRDefault="000E7AC6" w:rsidP="00A0522B">
            <w:pPr>
              <w:spacing w:line="480" w:lineRule="auto"/>
              <w:rPr>
                <w:szCs w:val="20"/>
              </w:rPr>
            </w:pPr>
            <w:r w:rsidRPr="00F52682">
              <w:rPr>
                <w:szCs w:val="20"/>
              </w:rPr>
              <w:t>Antibiotic treatment interruption of suspected lower respiratory tract infections based on a single procalcitonin measurement at hospital admission--a randomized trial. Clin Microbiol Infect 15(5): 481-487.</w:t>
            </w:r>
          </w:p>
        </w:tc>
        <w:tc>
          <w:tcPr>
            <w:tcW w:w="2013" w:type="dxa"/>
          </w:tcPr>
          <w:p w:rsidR="000E7AC6" w:rsidRPr="00F52682" w:rsidRDefault="000E7AC6" w:rsidP="00A0522B">
            <w:pPr>
              <w:spacing w:line="480" w:lineRule="auto"/>
              <w:rPr>
                <w:szCs w:val="20"/>
              </w:rPr>
            </w:pPr>
            <w:r w:rsidRPr="00F52682">
              <w:rPr>
                <w:szCs w:val="20"/>
              </w:rPr>
              <w:t xml:space="preserve">No </w:t>
            </w:r>
            <w:r>
              <w:rPr>
                <w:szCs w:val="20"/>
              </w:rPr>
              <w:t>COPD exacerbations</w:t>
            </w:r>
            <w:r w:rsidRPr="00F52682">
              <w:rPr>
                <w:szCs w:val="20"/>
              </w:rPr>
              <w:t xml:space="preserve"> data available</w:t>
            </w:r>
          </w:p>
        </w:tc>
      </w:tr>
      <w:tr w:rsidR="000E7AC6" w:rsidRPr="00F52682" w:rsidTr="00A0522B">
        <w:tc>
          <w:tcPr>
            <w:tcW w:w="562" w:type="dxa"/>
          </w:tcPr>
          <w:p w:rsidR="000E7AC6" w:rsidRPr="00F52682" w:rsidRDefault="000E7AC6" w:rsidP="00A0522B">
            <w:pPr>
              <w:spacing w:line="480" w:lineRule="auto"/>
              <w:rPr>
                <w:szCs w:val="20"/>
              </w:rPr>
            </w:pPr>
            <w:r w:rsidRPr="00F52682">
              <w:rPr>
                <w:szCs w:val="20"/>
              </w:rPr>
              <w:t>6</w:t>
            </w:r>
          </w:p>
        </w:tc>
        <w:tc>
          <w:tcPr>
            <w:tcW w:w="7201" w:type="dxa"/>
          </w:tcPr>
          <w:p w:rsidR="000E7AC6" w:rsidRPr="00F52682" w:rsidRDefault="000E7AC6" w:rsidP="00A0522B">
            <w:pPr>
              <w:spacing w:line="480" w:lineRule="auto"/>
              <w:rPr>
                <w:szCs w:val="20"/>
              </w:rPr>
            </w:pPr>
            <w:r w:rsidRPr="00F52682">
              <w:rPr>
                <w:szCs w:val="20"/>
              </w:rPr>
              <w:t>Hospital procalcitonin testing and antibiotic treatment of patients admitted for chronic obstructive pulmonary disease exacerbation. Ann Am Thorac Soc 14(12): 1779-1785.</w:t>
            </w:r>
          </w:p>
        </w:tc>
        <w:tc>
          <w:tcPr>
            <w:tcW w:w="2013" w:type="dxa"/>
          </w:tcPr>
          <w:p w:rsidR="000E7AC6" w:rsidRPr="00F52682" w:rsidRDefault="000E7AC6" w:rsidP="00A0522B">
            <w:pPr>
              <w:spacing w:line="480" w:lineRule="auto"/>
              <w:rPr>
                <w:szCs w:val="20"/>
              </w:rPr>
            </w:pPr>
            <w:r w:rsidRPr="00F52682">
              <w:rPr>
                <w:szCs w:val="20"/>
              </w:rPr>
              <w:t>No PCT-guided protocol intervention</w:t>
            </w:r>
          </w:p>
        </w:tc>
      </w:tr>
      <w:tr w:rsidR="000E7AC6" w:rsidRPr="00F52682" w:rsidTr="00A0522B">
        <w:tc>
          <w:tcPr>
            <w:tcW w:w="562" w:type="dxa"/>
          </w:tcPr>
          <w:p w:rsidR="000E7AC6" w:rsidRPr="00F52682" w:rsidRDefault="000E7AC6" w:rsidP="00A0522B">
            <w:pPr>
              <w:spacing w:line="480" w:lineRule="auto"/>
              <w:rPr>
                <w:szCs w:val="20"/>
              </w:rPr>
            </w:pPr>
            <w:r w:rsidRPr="00F52682">
              <w:rPr>
                <w:szCs w:val="20"/>
              </w:rPr>
              <w:t>7</w:t>
            </w:r>
          </w:p>
        </w:tc>
        <w:tc>
          <w:tcPr>
            <w:tcW w:w="7201" w:type="dxa"/>
          </w:tcPr>
          <w:p w:rsidR="000E7AC6" w:rsidRPr="00F52682" w:rsidRDefault="000E7AC6" w:rsidP="00A0522B">
            <w:pPr>
              <w:spacing w:line="480" w:lineRule="auto"/>
              <w:rPr>
                <w:szCs w:val="20"/>
              </w:rPr>
            </w:pPr>
            <w:r w:rsidRPr="00F52682">
              <w:rPr>
                <w:szCs w:val="20"/>
              </w:rPr>
              <w:t>Impact of procalcitonin-guided antibiotic management in chronic obstructive pulmonary disease exacerbation and community-acquired pneumonia. Open Forum Infectious Diseases. 2019;6:S483-S484.</w:t>
            </w:r>
          </w:p>
        </w:tc>
        <w:tc>
          <w:tcPr>
            <w:tcW w:w="2013" w:type="dxa"/>
          </w:tcPr>
          <w:p w:rsidR="000E7AC6" w:rsidRPr="00F52682" w:rsidRDefault="000E7AC6" w:rsidP="00A0522B">
            <w:pPr>
              <w:spacing w:line="480" w:lineRule="auto"/>
              <w:rPr>
                <w:szCs w:val="20"/>
              </w:rPr>
            </w:pPr>
            <w:r w:rsidRPr="00F52682">
              <w:rPr>
                <w:szCs w:val="20"/>
              </w:rPr>
              <w:t xml:space="preserve">Include patients without </w:t>
            </w:r>
            <w:r>
              <w:rPr>
                <w:szCs w:val="20"/>
              </w:rPr>
              <w:t>COPD exacerbations</w:t>
            </w:r>
          </w:p>
        </w:tc>
      </w:tr>
    </w:tbl>
    <w:p w:rsidR="000E7AC6" w:rsidRPr="00F52682" w:rsidRDefault="000E7AC6" w:rsidP="000E7AC6">
      <w:pPr>
        <w:spacing w:line="480" w:lineRule="auto"/>
      </w:pPr>
    </w:p>
    <w:p w:rsidR="000E7AC6" w:rsidRPr="00F52682" w:rsidRDefault="000E7AC6" w:rsidP="000E7AC6">
      <w:pPr>
        <w:spacing w:line="480" w:lineRule="auto"/>
      </w:pPr>
      <w:r w:rsidRPr="00F52682">
        <w:br w:type="page"/>
      </w:r>
    </w:p>
    <w:p w:rsidR="000E7AC6" w:rsidRPr="00F52682" w:rsidRDefault="000E7AC6" w:rsidP="000E7AC6">
      <w:pPr>
        <w:pStyle w:val="Heading1"/>
        <w:spacing w:before="0" w:line="480" w:lineRule="auto"/>
        <w:sectPr w:rsidR="000E7AC6" w:rsidRPr="00F52682" w:rsidSect="006D4318">
          <w:footerReference w:type="default" r:id="rId7"/>
          <w:pgSz w:w="12240" w:h="15840"/>
          <w:pgMar w:top="1440" w:right="1080" w:bottom="1440" w:left="1080" w:header="708" w:footer="708" w:gutter="0"/>
          <w:cols w:space="708"/>
          <w:docGrid w:linePitch="360"/>
        </w:sectPr>
      </w:pPr>
    </w:p>
    <w:p w:rsidR="000E7AC6" w:rsidRPr="00F52682" w:rsidRDefault="000E7AC6" w:rsidP="000E7AC6">
      <w:pPr>
        <w:spacing w:line="480" w:lineRule="auto"/>
        <w:rPr>
          <w:b/>
          <w:sz w:val="32"/>
          <w:szCs w:val="32"/>
        </w:rPr>
      </w:pPr>
      <w:bookmarkStart w:id="4" w:name="_Toc15909090"/>
      <w:bookmarkStart w:id="5" w:name="_Toc21458226"/>
      <w:r>
        <w:rPr>
          <w:b/>
          <w:sz w:val="32"/>
          <w:szCs w:val="32"/>
        </w:rPr>
        <w:t>Appendix 3</w:t>
      </w:r>
      <w:r w:rsidRPr="00F52682">
        <w:rPr>
          <w:b/>
          <w:sz w:val="32"/>
          <w:szCs w:val="32"/>
        </w:rPr>
        <w:t xml:space="preserve"> - Characteristics of included studies</w:t>
      </w:r>
    </w:p>
    <w:tbl>
      <w:tblPr>
        <w:tblW w:w="0" w:type="auto"/>
        <w:tblLook w:val="04A0" w:firstRow="1" w:lastRow="0" w:firstColumn="1" w:lastColumn="0" w:noHBand="0" w:noVBand="1"/>
      </w:tblPr>
      <w:tblGrid>
        <w:gridCol w:w="963"/>
        <w:gridCol w:w="1218"/>
        <w:gridCol w:w="1123"/>
        <w:gridCol w:w="2338"/>
        <w:gridCol w:w="723"/>
        <w:gridCol w:w="1063"/>
        <w:gridCol w:w="1018"/>
        <w:gridCol w:w="928"/>
        <w:gridCol w:w="999"/>
        <w:gridCol w:w="894"/>
        <w:gridCol w:w="1000"/>
        <w:gridCol w:w="909"/>
      </w:tblGrid>
      <w:tr w:rsidR="000E7AC6" w:rsidRPr="00F52682" w:rsidTr="00A0522B">
        <w:trPr>
          <w:trHeight w:val="20"/>
        </w:trPr>
        <w:tc>
          <w:tcPr>
            <w:tcW w:w="9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b/>
                <w:bCs/>
                <w:sz w:val="16"/>
                <w:szCs w:val="16"/>
              </w:rPr>
            </w:pPr>
            <w:r w:rsidRPr="00FA3942">
              <w:rPr>
                <w:b/>
                <w:bCs/>
                <w:sz w:val="16"/>
                <w:szCs w:val="16"/>
              </w:rPr>
              <w:t>Reference</w:t>
            </w:r>
          </w:p>
        </w:tc>
        <w:tc>
          <w:tcPr>
            <w:tcW w:w="12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b/>
                <w:bCs/>
                <w:sz w:val="16"/>
                <w:szCs w:val="16"/>
              </w:rPr>
            </w:pPr>
            <w:r w:rsidRPr="00FA3942">
              <w:rPr>
                <w:b/>
                <w:bCs/>
                <w:sz w:val="16"/>
                <w:szCs w:val="16"/>
              </w:rPr>
              <w:t>Study design, Primary outcome,  and Country</w:t>
            </w:r>
          </w:p>
        </w:tc>
        <w:tc>
          <w:tcPr>
            <w:tcW w:w="11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b/>
                <w:bCs/>
                <w:sz w:val="16"/>
                <w:szCs w:val="16"/>
              </w:rPr>
            </w:pPr>
            <w:r w:rsidRPr="00FA3942">
              <w:rPr>
                <w:b/>
                <w:bCs/>
                <w:sz w:val="16"/>
                <w:szCs w:val="16"/>
              </w:rPr>
              <w:t>Participants and Study setting</w:t>
            </w:r>
          </w:p>
        </w:tc>
        <w:tc>
          <w:tcPr>
            <w:tcW w:w="330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b/>
                <w:bCs/>
                <w:sz w:val="16"/>
                <w:szCs w:val="16"/>
              </w:rPr>
            </w:pPr>
            <w:r w:rsidRPr="00FA3942">
              <w:rPr>
                <w:b/>
                <w:bCs/>
                <w:sz w:val="16"/>
                <w:szCs w:val="16"/>
              </w:rPr>
              <w:t>PCT-based protocol</w:t>
            </w:r>
          </w:p>
        </w:tc>
        <w:tc>
          <w:tcPr>
            <w:tcW w:w="72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b/>
                <w:bCs/>
                <w:sz w:val="16"/>
                <w:szCs w:val="16"/>
              </w:rPr>
            </w:pPr>
            <w:r w:rsidRPr="00FA3942">
              <w:rPr>
                <w:b/>
                <w:bCs/>
                <w:sz w:val="16"/>
                <w:szCs w:val="16"/>
              </w:rPr>
              <w:t>Sample size</w:t>
            </w:r>
          </w:p>
        </w:tc>
        <w:tc>
          <w:tcPr>
            <w:tcW w:w="1118" w:type="dxa"/>
            <w:vMerge w:val="restart"/>
            <w:tcBorders>
              <w:top w:val="single" w:sz="4" w:space="0" w:color="auto"/>
              <w:left w:val="nil"/>
              <w:right w:val="single" w:sz="4" w:space="0" w:color="auto"/>
            </w:tcBorders>
          </w:tcPr>
          <w:p w:rsidR="000E7AC6" w:rsidRPr="00FA3942" w:rsidRDefault="000E7AC6" w:rsidP="00A0522B">
            <w:pPr>
              <w:spacing w:line="480" w:lineRule="auto"/>
              <w:rPr>
                <w:b/>
                <w:bCs/>
                <w:sz w:val="16"/>
                <w:szCs w:val="16"/>
              </w:rPr>
            </w:pPr>
            <w:r w:rsidRPr="00FA3942">
              <w:rPr>
                <w:b/>
                <w:bCs/>
                <w:sz w:val="16"/>
                <w:szCs w:val="16"/>
              </w:rPr>
              <w:t>Anthonisen criteria</w:t>
            </w:r>
          </w:p>
        </w:tc>
        <w:tc>
          <w:tcPr>
            <w:tcW w:w="1112" w:type="dxa"/>
            <w:vMerge w:val="restart"/>
            <w:tcBorders>
              <w:top w:val="single" w:sz="4" w:space="0" w:color="auto"/>
              <w:left w:val="single" w:sz="4" w:space="0" w:color="auto"/>
              <w:right w:val="single" w:sz="4" w:space="0" w:color="auto"/>
            </w:tcBorders>
          </w:tcPr>
          <w:p w:rsidR="000E7AC6" w:rsidRPr="00FA3942" w:rsidRDefault="000E7AC6" w:rsidP="00A0522B">
            <w:pPr>
              <w:spacing w:line="480" w:lineRule="auto"/>
              <w:rPr>
                <w:b/>
                <w:bCs/>
                <w:sz w:val="16"/>
                <w:szCs w:val="16"/>
              </w:rPr>
            </w:pPr>
            <w:r w:rsidRPr="00FA3942">
              <w:rPr>
                <w:b/>
                <w:bCs/>
                <w:sz w:val="16"/>
                <w:szCs w:val="16"/>
              </w:rPr>
              <w:t>Initial PCT levels</w:t>
            </w:r>
          </w:p>
        </w:tc>
        <w:tc>
          <w:tcPr>
            <w:tcW w:w="928" w:type="dxa"/>
            <w:vMerge w:val="restart"/>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b/>
                <w:bCs/>
                <w:sz w:val="16"/>
                <w:szCs w:val="16"/>
              </w:rPr>
            </w:pPr>
            <w:r w:rsidRPr="00FA3942">
              <w:rPr>
                <w:b/>
                <w:bCs/>
                <w:sz w:val="16"/>
                <w:szCs w:val="16"/>
              </w:rPr>
              <w:t>First-dose antibiotics</w:t>
            </w:r>
          </w:p>
        </w:tc>
        <w:tc>
          <w:tcPr>
            <w:tcW w:w="1894" w:type="dxa"/>
            <w:gridSpan w:val="2"/>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16"/>
                <w:szCs w:val="16"/>
              </w:rPr>
            </w:pPr>
            <w:r w:rsidRPr="00FA3942">
              <w:rPr>
                <w:b/>
                <w:bCs/>
                <w:sz w:val="16"/>
                <w:szCs w:val="16"/>
              </w:rPr>
              <w:t>GOLD stage</w:t>
            </w:r>
          </w:p>
        </w:tc>
        <w:tc>
          <w:tcPr>
            <w:tcW w:w="1911" w:type="dxa"/>
            <w:gridSpan w:val="2"/>
            <w:tcBorders>
              <w:top w:val="single" w:sz="4" w:space="0" w:color="auto"/>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16"/>
                <w:szCs w:val="16"/>
              </w:rPr>
            </w:pPr>
            <w:r w:rsidRPr="00FA3942">
              <w:rPr>
                <w:b/>
                <w:bCs/>
                <w:sz w:val="16"/>
                <w:szCs w:val="16"/>
              </w:rPr>
              <w:t>Baseline FEV1% predicted</w:t>
            </w:r>
          </w:p>
        </w:tc>
      </w:tr>
      <w:tr w:rsidR="000E7AC6" w:rsidRPr="00F52682" w:rsidTr="00A0522B">
        <w:trPr>
          <w:trHeight w:val="20"/>
        </w:trPr>
        <w:tc>
          <w:tcPr>
            <w:tcW w:w="9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7AC6" w:rsidRPr="00FA3942" w:rsidRDefault="000E7AC6" w:rsidP="00A0522B">
            <w:pPr>
              <w:spacing w:line="480" w:lineRule="auto"/>
              <w:rPr>
                <w:b/>
                <w:bCs/>
                <w:sz w:val="16"/>
                <w:szCs w:val="16"/>
              </w:rPr>
            </w:pPr>
          </w:p>
        </w:tc>
        <w:tc>
          <w:tcPr>
            <w:tcW w:w="12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7AC6" w:rsidRPr="00FA3942" w:rsidRDefault="000E7AC6" w:rsidP="00A0522B">
            <w:pPr>
              <w:spacing w:line="480" w:lineRule="auto"/>
              <w:rPr>
                <w:b/>
                <w:bCs/>
                <w:sz w:val="16"/>
                <w:szCs w:val="16"/>
              </w:rPr>
            </w:pPr>
          </w:p>
        </w:tc>
        <w:tc>
          <w:tcPr>
            <w:tcW w:w="116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7AC6" w:rsidRPr="00FA3942" w:rsidRDefault="000E7AC6" w:rsidP="00A0522B">
            <w:pPr>
              <w:spacing w:line="480" w:lineRule="auto"/>
              <w:rPr>
                <w:b/>
                <w:bCs/>
                <w:sz w:val="16"/>
                <w:szCs w:val="16"/>
              </w:rPr>
            </w:pPr>
          </w:p>
        </w:tc>
        <w:tc>
          <w:tcPr>
            <w:tcW w:w="33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7AC6" w:rsidRPr="00FA3942" w:rsidRDefault="000E7AC6" w:rsidP="00A0522B">
            <w:pPr>
              <w:spacing w:line="480" w:lineRule="auto"/>
              <w:rPr>
                <w:b/>
                <w:bCs/>
                <w:sz w:val="16"/>
                <w:szCs w:val="16"/>
              </w:rPr>
            </w:pPr>
          </w:p>
        </w:tc>
        <w:tc>
          <w:tcPr>
            <w:tcW w:w="7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7AC6" w:rsidRPr="00FA3942" w:rsidRDefault="000E7AC6" w:rsidP="00A0522B">
            <w:pPr>
              <w:spacing w:line="480" w:lineRule="auto"/>
              <w:rPr>
                <w:b/>
                <w:bCs/>
                <w:sz w:val="16"/>
                <w:szCs w:val="16"/>
              </w:rPr>
            </w:pPr>
          </w:p>
        </w:tc>
        <w:tc>
          <w:tcPr>
            <w:tcW w:w="1118" w:type="dxa"/>
            <w:vMerge/>
            <w:tcBorders>
              <w:left w:val="nil"/>
              <w:bottom w:val="single" w:sz="4" w:space="0" w:color="auto"/>
              <w:right w:val="single" w:sz="4" w:space="0" w:color="auto"/>
            </w:tcBorders>
          </w:tcPr>
          <w:p w:rsidR="000E7AC6" w:rsidRPr="00FA3942" w:rsidRDefault="000E7AC6" w:rsidP="00A0522B">
            <w:pPr>
              <w:spacing w:line="480" w:lineRule="auto"/>
              <w:jc w:val="center"/>
              <w:rPr>
                <w:sz w:val="16"/>
                <w:szCs w:val="16"/>
              </w:rPr>
            </w:pPr>
          </w:p>
        </w:tc>
        <w:tc>
          <w:tcPr>
            <w:tcW w:w="1112" w:type="dxa"/>
            <w:vMerge/>
            <w:tcBorders>
              <w:left w:val="single" w:sz="4" w:space="0" w:color="auto"/>
              <w:bottom w:val="single" w:sz="4" w:space="0" w:color="auto"/>
              <w:right w:val="single" w:sz="4" w:space="0" w:color="auto"/>
            </w:tcBorders>
          </w:tcPr>
          <w:p w:rsidR="000E7AC6" w:rsidRPr="00FA3942" w:rsidRDefault="000E7AC6" w:rsidP="00A0522B">
            <w:pPr>
              <w:spacing w:line="480" w:lineRule="auto"/>
              <w:jc w:val="center"/>
              <w:rPr>
                <w:sz w:val="16"/>
                <w:szCs w:val="16"/>
              </w:rPr>
            </w:pPr>
          </w:p>
        </w:tc>
        <w:tc>
          <w:tcPr>
            <w:tcW w:w="928" w:type="dxa"/>
            <w:vMerge/>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jc w:val="center"/>
              <w:rPr>
                <w:sz w:val="16"/>
                <w:szCs w:val="16"/>
              </w:rPr>
            </w:pPr>
          </w:p>
        </w:tc>
        <w:tc>
          <w:tcPr>
            <w:tcW w:w="999"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16"/>
                <w:szCs w:val="16"/>
              </w:rPr>
            </w:pPr>
            <w:r w:rsidRPr="00FA3942">
              <w:rPr>
                <w:sz w:val="16"/>
                <w:szCs w:val="16"/>
              </w:rPr>
              <w:t>Intervention</w:t>
            </w:r>
          </w:p>
        </w:tc>
        <w:tc>
          <w:tcPr>
            <w:tcW w:w="895"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16"/>
                <w:szCs w:val="16"/>
              </w:rPr>
            </w:pPr>
            <w:r w:rsidRPr="00FA3942">
              <w:rPr>
                <w:sz w:val="16"/>
                <w:szCs w:val="16"/>
              </w:rPr>
              <w:t>Control</w:t>
            </w:r>
          </w:p>
        </w:tc>
        <w:tc>
          <w:tcPr>
            <w:tcW w:w="1002"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16"/>
                <w:szCs w:val="16"/>
              </w:rPr>
            </w:pPr>
            <w:r w:rsidRPr="00FA3942">
              <w:rPr>
                <w:sz w:val="16"/>
                <w:szCs w:val="16"/>
              </w:rPr>
              <w:t>Intervention</w:t>
            </w:r>
          </w:p>
        </w:tc>
        <w:tc>
          <w:tcPr>
            <w:tcW w:w="909"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16"/>
                <w:szCs w:val="16"/>
              </w:rPr>
            </w:pPr>
            <w:r w:rsidRPr="00FA3942">
              <w:rPr>
                <w:sz w:val="16"/>
                <w:szCs w:val="16"/>
              </w:rPr>
              <w:t>Control</w:t>
            </w:r>
          </w:p>
        </w:tc>
      </w:tr>
      <w:tr w:rsidR="000E7AC6" w:rsidRPr="00F52682" w:rsidTr="00A0522B">
        <w:trPr>
          <w:trHeight w:val="20"/>
        </w:trPr>
        <w:tc>
          <w:tcPr>
            <w:tcW w:w="963"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Bremmer 2018[1]</w:t>
            </w:r>
          </w:p>
        </w:tc>
        <w:tc>
          <w:tcPr>
            <w:tcW w:w="1270"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Retrospective cohort study, duration of antibiotics, U.S.</w:t>
            </w:r>
          </w:p>
        </w:tc>
        <w:tc>
          <w:tcPr>
            <w:tcW w:w="1164"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COPD exacerbation,</w:t>
            </w:r>
          </w:p>
          <w:p w:rsidR="000E7AC6" w:rsidRPr="00FA3942" w:rsidRDefault="000E7AC6" w:rsidP="00A0522B">
            <w:pPr>
              <w:spacing w:line="480" w:lineRule="auto"/>
              <w:rPr>
                <w:sz w:val="16"/>
                <w:szCs w:val="16"/>
              </w:rPr>
            </w:pPr>
            <w:r w:rsidRPr="00FA3942">
              <w:rPr>
                <w:sz w:val="16"/>
                <w:szCs w:val="16"/>
              </w:rPr>
              <w:t>Hospital</w:t>
            </w:r>
          </w:p>
        </w:tc>
        <w:tc>
          <w:tcPr>
            <w:tcW w:w="3307"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&lt;0.1 μg·L</w:t>
            </w:r>
            <w:r w:rsidRPr="00FA3942">
              <w:rPr>
                <w:sz w:val="16"/>
                <w:szCs w:val="16"/>
                <w:vertAlign w:val="superscript"/>
              </w:rPr>
              <w:t>-1</w:t>
            </w:r>
            <w:r w:rsidRPr="00FA3942">
              <w:rPr>
                <w:sz w:val="16"/>
                <w:szCs w:val="16"/>
              </w:rPr>
              <w:t>: strongly discouraged; 0.1-0.25 μg·L</w:t>
            </w:r>
            <w:r w:rsidRPr="00FA3942">
              <w:rPr>
                <w:sz w:val="16"/>
                <w:szCs w:val="16"/>
                <w:vertAlign w:val="superscript"/>
              </w:rPr>
              <w:t>-1</w:t>
            </w:r>
            <w:r w:rsidRPr="00FA3942">
              <w:rPr>
                <w:sz w:val="16"/>
                <w:szCs w:val="16"/>
              </w:rPr>
              <w:t>: discouraged; 0.25-0.5 μg·L</w:t>
            </w:r>
            <w:r w:rsidRPr="00FA3942">
              <w:rPr>
                <w:sz w:val="16"/>
                <w:szCs w:val="16"/>
                <w:vertAlign w:val="superscript"/>
              </w:rPr>
              <w:t>-1</w:t>
            </w:r>
            <w:r w:rsidRPr="00FA3942">
              <w:rPr>
                <w:sz w:val="16"/>
                <w:szCs w:val="16"/>
              </w:rPr>
              <w:t>: recommended; &gt;0.5 μg·L</w:t>
            </w:r>
            <w:r w:rsidRPr="00FA3942">
              <w:rPr>
                <w:sz w:val="16"/>
                <w:szCs w:val="16"/>
                <w:vertAlign w:val="superscript"/>
              </w:rPr>
              <w:t>-1</w:t>
            </w:r>
            <w:r w:rsidRPr="00FA3942">
              <w:rPr>
                <w:sz w:val="16"/>
                <w:szCs w:val="16"/>
              </w:rPr>
              <w:t>l: strongly recommended. PCT was obtained within 24 hr of admission. If antibiotics were withheld, we recommended repeating PCT testing 6–24 hr later.</w:t>
            </w:r>
          </w:p>
        </w:tc>
        <w:tc>
          <w:tcPr>
            <w:tcW w:w="723"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305</w:t>
            </w:r>
          </w:p>
        </w:tc>
        <w:tc>
          <w:tcPr>
            <w:tcW w:w="1118" w:type="dxa"/>
            <w:tcBorders>
              <w:top w:val="single" w:sz="4" w:space="0" w:color="auto"/>
              <w:left w:val="nil"/>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NR</w:t>
            </w:r>
          </w:p>
        </w:tc>
        <w:tc>
          <w:tcPr>
            <w:tcW w:w="1112"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16/139 have elevated PCT (&gt;0.25 μg·L</w:t>
            </w:r>
            <w:r w:rsidRPr="00FA3942">
              <w:rPr>
                <w:sz w:val="16"/>
                <w:szCs w:val="16"/>
                <w:vertAlign w:val="superscript"/>
              </w:rPr>
              <w:t>-1</w:t>
            </w:r>
            <w:r w:rsidRPr="00FA3942">
              <w:rPr>
                <w:sz w:val="16"/>
                <w:szCs w:val="16"/>
              </w:rPr>
              <w:t>)</w:t>
            </w:r>
          </w:p>
        </w:tc>
        <w:tc>
          <w:tcPr>
            <w:tcW w:w="928"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Yes</w:t>
            </w:r>
          </w:p>
        </w:tc>
        <w:tc>
          <w:tcPr>
            <w:tcW w:w="999"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895"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1002"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909"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r>
      <w:tr w:rsidR="000E7AC6" w:rsidRPr="00F52682" w:rsidTr="00A0522B">
        <w:trPr>
          <w:trHeight w:val="1646"/>
        </w:trPr>
        <w:tc>
          <w:tcPr>
            <w:tcW w:w="963"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Christ-Crain 2004[</w:t>
            </w:r>
            <w:r>
              <w:rPr>
                <w:sz w:val="16"/>
                <w:szCs w:val="16"/>
              </w:rPr>
              <w:t>2</w:t>
            </w:r>
            <w:r w:rsidRPr="00FA3942">
              <w:rPr>
                <w:sz w:val="16"/>
                <w:szCs w:val="16"/>
              </w:rPr>
              <w:t>]</w:t>
            </w:r>
          </w:p>
        </w:tc>
        <w:tc>
          <w:tcPr>
            <w:tcW w:w="1270"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Single-blind, cluster randomized controlled study, antibiotic exposure, Switzerland</w:t>
            </w:r>
          </w:p>
        </w:tc>
        <w:tc>
          <w:tcPr>
            <w:tcW w:w="1164"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COPD exacerbation,</w:t>
            </w:r>
          </w:p>
          <w:p w:rsidR="000E7AC6" w:rsidRPr="00FA3942" w:rsidRDefault="000E7AC6" w:rsidP="00A0522B">
            <w:pPr>
              <w:spacing w:line="480" w:lineRule="auto"/>
              <w:rPr>
                <w:sz w:val="16"/>
                <w:szCs w:val="16"/>
              </w:rPr>
            </w:pPr>
            <w:r w:rsidRPr="00FA3942">
              <w:rPr>
                <w:sz w:val="16"/>
                <w:szCs w:val="16"/>
              </w:rPr>
              <w:t>Hospital</w:t>
            </w:r>
          </w:p>
        </w:tc>
        <w:tc>
          <w:tcPr>
            <w:tcW w:w="3307"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&lt;0.1 μg·L</w:t>
            </w:r>
            <w:r w:rsidRPr="00FA3942">
              <w:rPr>
                <w:sz w:val="16"/>
                <w:szCs w:val="16"/>
                <w:vertAlign w:val="superscript"/>
              </w:rPr>
              <w:t>-1</w:t>
            </w:r>
            <w:r w:rsidRPr="00FA3942">
              <w:rPr>
                <w:sz w:val="16"/>
                <w:szCs w:val="16"/>
              </w:rPr>
              <w:t>: strongly discouraged; 0.1-0.25 μg·L</w:t>
            </w:r>
            <w:r w:rsidRPr="00FA3942">
              <w:rPr>
                <w:sz w:val="16"/>
                <w:szCs w:val="16"/>
                <w:vertAlign w:val="superscript"/>
              </w:rPr>
              <w:t>-1</w:t>
            </w:r>
            <w:r w:rsidRPr="00FA3942">
              <w:rPr>
                <w:sz w:val="16"/>
                <w:szCs w:val="16"/>
              </w:rPr>
              <w:t>: discouraged; 0.25-0.5 μg·L</w:t>
            </w:r>
            <w:r w:rsidRPr="00FA3942">
              <w:rPr>
                <w:sz w:val="16"/>
                <w:szCs w:val="16"/>
                <w:vertAlign w:val="superscript"/>
              </w:rPr>
              <w:t>-1</w:t>
            </w:r>
            <w:r w:rsidRPr="00FA3942">
              <w:rPr>
                <w:sz w:val="16"/>
                <w:szCs w:val="16"/>
              </w:rPr>
              <w:t>: advised; &gt;0.5 μg·L</w:t>
            </w:r>
            <w:r w:rsidRPr="00FA3942">
              <w:rPr>
                <w:sz w:val="16"/>
                <w:szCs w:val="16"/>
                <w:vertAlign w:val="superscript"/>
              </w:rPr>
              <w:t>-1</w:t>
            </w:r>
            <w:r w:rsidRPr="00FA3942">
              <w:rPr>
                <w:sz w:val="16"/>
                <w:szCs w:val="16"/>
              </w:rPr>
              <w:t>: strongly recommended. For patients on antimicrobial therapy at the time of admission, we recommended discontinuation of antibiotics if procalcitonin concentrations were less than 0.25 μg·L</w:t>
            </w:r>
            <w:r w:rsidRPr="00FA3942">
              <w:rPr>
                <w:sz w:val="16"/>
                <w:szCs w:val="16"/>
                <w:vertAlign w:val="superscript"/>
              </w:rPr>
              <w:t>-1</w:t>
            </w:r>
            <w:r w:rsidRPr="00FA3942">
              <w:rPr>
                <w:sz w:val="16"/>
                <w:szCs w:val="16"/>
              </w:rPr>
              <w:t>. Re-evaluation 6–24 hr after admission was possible in patients in whom antibiotics were withheld.</w:t>
            </w:r>
          </w:p>
        </w:tc>
        <w:tc>
          <w:tcPr>
            <w:tcW w:w="723"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60</w:t>
            </w:r>
          </w:p>
        </w:tc>
        <w:tc>
          <w:tcPr>
            <w:tcW w:w="1118" w:type="dxa"/>
            <w:tcBorders>
              <w:top w:val="single" w:sz="4" w:space="0" w:color="auto"/>
              <w:left w:val="nil"/>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55/60 have dyspnea; 34/60 have purulent sputum; 53/60 have increased sputum production</w:t>
            </w:r>
          </w:p>
        </w:tc>
        <w:tc>
          <w:tcPr>
            <w:tcW w:w="1112"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0.15±0.23</w:t>
            </w:r>
            <w:r w:rsidRPr="00FA3942">
              <w:rPr>
                <w:rFonts w:asciiTheme="minorEastAsia" w:hAnsiTheme="minorEastAsia"/>
                <w:sz w:val="16"/>
                <w:szCs w:val="16"/>
                <w:vertAlign w:val="superscript"/>
              </w:rPr>
              <w:t>a</w:t>
            </w:r>
            <w:r w:rsidRPr="00FA3942">
              <w:rPr>
                <w:sz w:val="16"/>
                <w:szCs w:val="16"/>
              </w:rPr>
              <w:t xml:space="preserve"> μg·L</w:t>
            </w:r>
            <w:r w:rsidRPr="00FA3942">
              <w:rPr>
                <w:sz w:val="16"/>
                <w:szCs w:val="16"/>
                <w:vertAlign w:val="superscript"/>
              </w:rPr>
              <w:t>-1</w:t>
            </w:r>
          </w:p>
        </w:tc>
        <w:tc>
          <w:tcPr>
            <w:tcW w:w="928"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Yes</w:t>
            </w:r>
          </w:p>
        </w:tc>
        <w:tc>
          <w:tcPr>
            <w:tcW w:w="999"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895"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1002"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45.2±15.8</w:t>
            </w:r>
            <w:r w:rsidRPr="00FA3942">
              <w:rPr>
                <w:sz w:val="16"/>
                <w:szCs w:val="16"/>
                <w:vertAlign w:val="superscript"/>
              </w:rPr>
              <w:t>a</w:t>
            </w:r>
          </w:p>
        </w:tc>
        <w:tc>
          <w:tcPr>
            <w:tcW w:w="909"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44.3±18.8</w:t>
            </w:r>
            <w:r w:rsidRPr="00FA3942">
              <w:rPr>
                <w:sz w:val="16"/>
                <w:szCs w:val="16"/>
                <w:vertAlign w:val="superscript"/>
              </w:rPr>
              <w:t>a</w:t>
            </w:r>
          </w:p>
        </w:tc>
      </w:tr>
      <w:tr w:rsidR="000E7AC6" w:rsidRPr="00F52682" w:rsidTr="00A0522B">
        <w:trPr>
          <w:trHeight w:val="20"/>
        </w:trPr>
        <w:tc>
          <w:tcPr>
            <w:tcW w:w="963"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Corti 2016[</w:t>
            </w:r>
            <w:r>
              <w:rPr>
                <w:sz w:val="16"/>
                <w:szCs w:val="16"/>
              </w:rPr>
              <w:t>3</w:t>
            </w:r>
            <w:r w:rsidRPr="00FA3942">
              <w:rPr>
                <w:sz w:val="16"/>
                <w:szCs w:val="16"/>
              </w:rPr>
              <w:t>]</w:t>
            </w:r>
          </w:p>
        </w:tc>
        <w:tc>
          <w:tcPr>
            <w:tcW w:w="1270"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Randomized controlled study, antibiotic exposure, Denmark</w:t>
            </w:r>
          </w:p>
        </w:tc>
        <w:tc>
          <w:tcPr>
            <w:tcW w:w="1164"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COPD exacerbation,</w:t>
            </w:r>
          </w:p>
          <w:p w:rsidR="000E7AC6" w:rsidRPr="00FA3942" w:rsidRDefault="000E7AC6" w:rsidP="00A0522B">
            <w:pPr>
              <w:spacing w:line="480" w:lineRule="auto"/>
              <w:rPr>
                <w:sz w:val="16"/>
                <w:szCs w:val="16"/>
              </w:rPr>
            </w:pPr>
            <w:r w:rsidRPr="00FA3942">
              <w:rPr>
                <w:sz w:val="16"/>
                <w:szCs w:val="16"/>
              </w:rPr>
              <w:t>Hospital</w:t>
            </w:r>
          </w:p>
        </w:tc>
        <w:tc>
          <w:tcPr>
            <w:tcW w:w="3307"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&lt;0.15 μg·L</w:t>
            </w:r>
            <w:r w:rsidRPr="00FA3942">
              <w:rPr>
                <w:sz w:val="16"/>
                <w:szCs w:val="16"/>
                <w:vertAlign w:val="superscript"/>
              </w:rPr>
              <w:t>-1</w:t>
            </w:r>
            <w:r w:rsidRPr="00FA3942">
              <w:rPr>
                <w:sz w:val="16"/>
                <w:szCs w:val="16"/>
              </w:rPr>
              <w:t>: strongly discouraged; 0.15-0.25 μg·L</w:t>
            </w:r>
            <w:r w:rsidRPr="00FA3942">
              <w:rPr>
                <w:sz w:val="16"/>
                <w:szCs w:val="16"/>
                <w:vertAlign w:val="superscript"/>
              </w:rPr>
              <w:t>-1</w:t>
            </w:r>
            <w:r w:rsidRPr="00FA3942">
              <w:rPr>
                <w:sz w:val="16"/>
                <w:szCs w:val="16"/>
              </w:rPr>
              <w:t>: discouraged; &gt;0.25 μg·L</w:t>
            </w:r>
            <w:r w:rsidRPr="00FA3942">
              <w:rPr>
                <w:sz w:val="16"/>
                <w:szCs w:val="16"/>
                <w:vertAlign w:val="superscript"/>
              </w:rPr>
              <w:t>-1</w:t>
            </w:r>
            <w:r w:rsidRPr="00FA3942">
              <w:rPr>
                <w:sz w:val="16"/>
                <w:szCs w:val="16"/>
              </w:rPr>
              <w:t>: encouraged. Blood samples for PCT measurements were collected within 24 hr of admission and on days 3, 5, and 7 of admission. In patients with PCT over 5 μg·L</w:t>
            </w:r>
            <w:r w:rsidRPr="00FA3942">
              <w:rPr>
                <w:sz w:val="16"/>
                <w:szCs w:val="16"/>
                <w:vertAlign w:val="superscript"/>
              </w:rPr>
              <w:t>-1</w:t>
            </w:r>
            <w:r w:rsidRPr="00FA3942">
              <w:rPr>
                <w:sz w:val="16"/>
                <w:szCs w:val="16"/>
              </w:rPr>
              <w:t xml:space="preserve"> on admission, the algorithm recommended stopping antibiotics when PCT levels decreased by 80% of the peak value. </w:t>
            </w:r>
          </w:p>
        </w:tc>
        <w:tc>
          <w:tcPr>
            <w:tcW w:w="723"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120</w:t>
            </w:r>
          </w:p>
        </w:tc>
        <w:tc>
          <w:tcPr>
            <w:tcW w:w="1118" w:type="dxa"/>
            <w:tcBorders>
              <w:top w:val="single" w:sz="4" w:space="0" w:color="auto"/>
              <w:left w:val="nil"/>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44/120 have purulent sputum;</w:t>
            </w:r>
          </w:p>
          <w:p w:rsidR="000E7AC6" w:rsidRPr="00FA3942" w:rsidRDefault="000E7AC6" w:rsidP="00A0522B">
            <w:pPr>
              <w:spacing w:line="480" w:lineRule="auto"/>
              <w:rPr>
                <w:sz w:val="16"/>
                <w:szCs w:val="16"/>
              </w:rPr>
            </w:pPr>
            <w:r w:rsidRPr="00FA3942">
              <w:rPr>
                <w:sz w:val="16"/>
                <w:szCs w:val="16"/>
              </w:rPr>
              <w:t xml:space="preserve">61/120 have increased sputum; 113/120 have dyspnea </w:t>
            </w:r>
          </w:p>
        </w:tc>
        <w:tc>
          <w:tcPr>
            <w:tcW w:w="1112"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0.06 (0, 0.25)</w:t>
            </w:r>
            <w:r w:rsidRPr="00FA3942">
              <w:rPr>
                <w:sz w:val="16"/>
                <w:szCs w:val="16"/>
                <w:vertAlign w:val="superscript"/>
              </w:rPr>
              <w:t>b</w:t>
            </w:r>
            <w:r w:rsidRPr="00FA3942">
              <w:rPr>
                <w:sz w:val="16"/>
                <w:szCs w:val="16"/>
              </w:rPr>
              <w:t xml:space="preserve"> μg·L</w:t>
            </w:r>
            <w:r w:rsidRPr="00FA3942">
              <w:rPr>
                <w:sz w:val="16"/>
                <w:szCs w:val="16"/>
                <w:vertAlign w:val="superscript"/>
              </w:rPr>
              <w:t>-1</w:t>
            </w:r>
          </w:p>
        </w:tc>
        <w:tc>
          <w:tcPr>
            <w:tcW w:w="928"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No</w:t>
            </w:r>
          </w:p>
        </w:tc>
        <w:tc>
          <w:tcPr>
            <w:tcW w:w="999"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III or IV</w:t>
            </w:r>
          </w:p>
        </w:tc>
        <w:tc>
          <w:tcPr>
            <w:tcW w:w="895"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III or IV</w:t>
            </w:r>
          </w:p>
        </w:tc>
        <w:tc>
          <w:tcPr>
            <w:tcW w:w="1002"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43 (32, 54)</w:t>
            </w:r>
            <w:r w:rsidRPr="00FA3942">
              <w:rPr>
                <w:sz w:val="16"/>
                <w:szCs w:val="16"/>
                <w:vertAlign w:val="superscript"/>
              </w:rPr>
              <w:t>b</w:t>
            </w:r>
          </w:p>
        </w:tc>
        <w:tc>
          <w:tcPr>
            <w:tcW w:w="909"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35 (28, 51)</w:t>
            </w:r>
            <w:r w:rsidRPr="00FA3942">
              <w:rPr>
                <w:sz w:val="16"/>
                <w:szCs w:val="16"/>
                <w:vertAlign w:val="superscript"/>
              </w:rPr>
              <w:t>b</w:t>
            </w:r>
          </w:p>
        </w:tc>
      </w:tr>
      <w:tr w:rsidR="000E7AC6" w:rsidRPr="00F52682" w:rsidTr="00A0522B">
        <w:trPr>
          <w:trHeight w:val="20"/>
        </w:trPr>
        <w:tc>
          <w:tcPr>
            <w:tcW w:w="963"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Daubin 2018[</w:t>
            </w:r>
            <w:r>
              <w:rPr>
                <w:sz w:val="16"/>
                <w:szCs w:val="16"/>
              </w:rPr>
              <w:t>4</w:t>
            </w:r>
            <w:r w:rsidRPr="00FA3942">
              <w:rPr>
                <w:sz w:val="16"/>
                <w:szCs w:val="16"/>
              </w:rPr>
              <w:t>]</w:t>
            </w:r>
          </w:p>
        </w:tc>
        <w:tc>
          <w:tcPr>
            <w:tcW w:w="1270"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Randomized controlled study, 3-month mortality, France</w:t>
            </w:r>
          </w:p>
        </w:tc>
        <w:tc>
          <w:tcPr>
            <w:tcW w:w="1164"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COPD exacerbation,</w:t>
            </w:r>
          </w:p>
          <w:p w:rsidR="000E7AC6" w:rsidRPr="00FA3942" w:rsidRDefault="000E7AC6" w:rsidP="00A0522B">
            <w:pPr>
              <w:spacing w:line="480" w:lineRule="auto"/>
              <w:rPr>
                <w:sz w:val="16"/>
                <w:szCs w:val="16"/>
              </w:rPr>
            </w:pPr>
            <w:r w:rsidRPr="00FA3942">
              <w:rPr>
                <w:sz w:val="16"/>
                <w:szCs w:val="16"/>
              </w:rPr>
              <w:t>ICU</w:t>
            </w:r>
          </w:p>
        </w:tc>
        <w:tc>
          <w:tcPr>
            <w:tcW w:w="3307"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&lt;0.1 μg·L</w:t>
            </w:r>
            <w:r w:rsidRPr="00FA3942">
              <w:rPr>
                <w:sz w:val="16"/>
                <w:szCs w:val="16"/>
                <w:vertAlign w:val="superscript"/>
              </w:rPr>
              <w:t>-1</w:t>
            </w:r>
            <w:r w:rsidRPr="00FA3942">
              <w:rPr>
                <w:sz w:val="16"/>
                <w:szCs w:val="16"/>
              </w:rPr>
              <w:t>: strongly discouraged; 0.1-0.25 μg·L</w:t>
            </w:r>
            <w:r w:rsidRPr="00FA3942">
              <w:rPr>
                <w:sz w:val="16"/>
                <w:szCs w:val="16"/>
                <w:vertAlign w:val="superscript"/>
              </w:rPr>
              <w:t>-1</w:t>
            </w:r>
            <w:r w:rsidRPr="00FA3942">
              <w:rPr>
                <w:sz w:val="16"/>
                <w:szCs w:val="16"/>
              </w:rPr>
              <w:t>: encouraged; &gt;0.25 μg·L</w:t>
            </w:r>
            <w:r w:rsidRPr="00FA3942">
              <w:rPr>
                <w:sz w:val="16"/>
                <w:szCs w:val="16"/>
                <w:vertAlign w:val="superscript"/>
              </w:rPr>
              <w:t>-1</w:t>
            </w:r>
            <w:r w:rsidRPr="00FA3942">
              <w:rPr>
                <w:sz w:val="16"/>
                <w:szCs w:val="16"/>
              </w:rPr>
              <w:t>: strongly encouraged. Circulating PCT levels were sequentially assessed at inclusion (PCT-H0), at 6 h after inclusion (PCT-H6), and on days 1, 3 and 5 after inclusion. In addition, the investigators were encouraged to discontinue antibiotics when the PCT concentration was less than 90% of the peak concentration.</w:t>
            </w:r>
          </w:p>
        </w:tc>
        <w:tc>
          <w:tcPr>
            <w:tcW w:w="723"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302</w:t>
            </w:r>
          </w:p>
        </w:tc>
        <w:tc>
          <w:tcPr>
            <w:tcW w:w="1118" w:type="dxa"/>
            <w:tcBorders>
              <w:top w:val="single" w:sz="4" w:space="0" w:color="auto"/>
              <w:left w:val="nil"/>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NR</w:t>
            </w:r>
          </w:p>
        </w:tc>
        <w:tc>
          <w:tcPr>
            <w:tcW w:w="1112"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0.28 (0.1, 0.9)</w:t>
            </w:r>
            <w:r w:rsidRPr="00FA3942">
              <w:rPr>
                <w:sz w:val="16"/>
                <w:szCs w:val="16"/>
                <w:vertAlign w:val="superscript"/>
              </w:rPr>
              <w:t>b</w:t>
            </w:r>
            <w:r w:rsidRPr="00FA3942">
              <w:rPr>
                <w:sz w:val="16"/>
                <w:szCs w:val="16"/>
              </w:rPr>
              <w:t xml:space="preserve"> μg·L</w:t>
            </w:r>
            <w:r w:rsidRPr="00FA3942">
              <w:rPr>
                <w:sz w:val="16"/>
                <w:szCs w:val="16"/>
                <w:vertAlign w:val="superscript"/>
              </w:rPr>
              <w:t xml:space="preserve">-1 </w:t>
            </w:r>
            <w:r w:rsidRPr="00FA3942">
              <w:rPr>
                <w:sz w:val="16"/>
                <w:szCs w:val="16"/>
              </w:rPr>
              <w:t>for PCT group; 0.19 (0.08, 0.79)</w:t>
            </w:r>
            <w:r w:rsidRPr="00FA3942">
              <w:rPr>
                <w:sz w:val="16"/>
                <w:szCs w:val="16"/>
                <w:vertAlign w:val="superscript"/>
              </w:rPr>
              <w:t>b</w:t>
            </w:r>
            <w:r w:rsidRPr="00FA3942">
              <w:rPr>
                <w:sz w:val="16"/>
                <w:szCs w:val="16"/>
              </w:rPr>
              <w:t xml:space="preserve"> μg·L</w:t>
            </w:r>
            <w:r w:rsidRPr="00FA3942">
              <w:rPr>
                <w:sz w:val="16"/>
                <w:szCs w:val="16"/>
                <w:vertAlign w:val="superscript"/>
              </w:rPr>
              <w:t xml:space="preserve">-1 </w:t>
            </w:r>
            <w:r w:rsidRPr="00FA3942">
              <w:rPr>
                <w:sz w:val="16"/>
                <w:szCs w:val="16"/>
              </w:rPr>
              <w:t>for control group</w:t>
            </w:r>
          </w:p>
        </w:tc>
        <w:tc>
          <w:tcPr>
            <w:tcW w:w="928"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Yes/no</w:t>
            </w:r>
          </w:p>
        </w:tc>
        <w:tc>
          <w:tcPr>
            <w:tcW w:w="999"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0: 4%; I: 4%; II: 16.6%; III: 27.2%; IV: 38.4%; Unknown: 9.9%</w:t>
            </w:r>
          </w:p>
        </w:tc>
        <w:tc>
          <w:tcPr>
            <w:tcW w:w="895"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0: 3%; I: 5.3%; II: 14.6%; III: 33.1%; IV: 35.1%; Unknown: 9.3%</w:t>
            </w:r>
          </w:p>
        </w:tc>
        <w:tc>
          <w:tcPr>
            <w:tcW w:w="1002"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41±15.5</w:t>
            </w:r>
            <w:r w:rsidRPr="00FA3942">
              <w:rPr>
                <w:sz w:val="16"/>
                <w:szCs w:val="16"/>
                <w:vertAlign w:val="superscript"/>
              </w:rPr>
              <w:t>a</w:t>
            </w:r>
          </w:p>
        </w:tc>
        <w:tc>
          <w:tcPr>
            <w:tcW w:w="909"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39±16.5</w:t>
            </w:r>
            <w:r w:rsidRPr="00FA3942">
              <w:rPr>
                <w:sz w:val="16"/>
                <w:szCs w:val="16"/>
                <w:vertAlign w:val="superscript"/>
              </w:rPr>
              <w:t>a</w:t>
            </w:r>
          </w:p>
        </w:tc>
      </w:tr>
      <w:tr w:rsidR="000E7AC6" w:rsidRPr="00F52682" w:rsidTr="00A0522B">
        <w:trPr>
          <w:trHeight w:val="20"/>
        </w:trPr>
        <w:tc>
          <w:tcPr>
            <w:tcW w:w="963"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Huang 2018[</w:t>
            </w:r>
            <w:r>
              <w:rPr>
                <w:sz w:val="16"/>
                <w:szCs w:val="16"/>
              </w:rPr>
              <w:t>5</w:t>
            </w:r>
            <w:r w:rsidRPr="00FA3942">
              <w:rPr>
                <w:sz w:val="16"/>
                <w:szCs w:val="16"/>
              </w:rPr>
              <w:t>]</w:t>
            </w:r>
          </w:p>
        </w:tc>
        <w:tc>
          <w:tcPr>
            <w:tcW w:w="1270"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Randomized controlled study, antibiotic exposure, U.S.</w:t>
            </w:r>
          </w:p>
        </w:tc>
        <w:tc>
          <w:tcPr>
            <w:tcW w:w="1164"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COPD exacerbation, Emergency Department</w:t>
            </w:r>
          </w:p>
        </w:tc>
        <w:tc>
          <w:tcPr>
            <w:tcW w:w="3307"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&lt;0.1 μg·L</w:t>
            </w:r>
            <w:r w:rsidRPr="00FA3942">
              <w:rPr>
                <w:sz w:val="16"/>
                <w:szCs w:val="16"/>
                <w:vertAlign w:val="superscript"/>
              </w:rPr>
              <w:t>-1</w:t>
            </w:r>
            <w:r w:rsidRPr="00FA3942">
              <w:rPr>
                <w:sz w:val="16"/>
                <w:szCs w:val="16"/>
              </w:rPr>
              <w:t>: strongly discouraged; 0.1-0.25 μg·L</w:t>
            </w:r>
            <w:r w:rsidRPr="00FA3942">
              <w:rPr>
                <w:sz w:val="16"/>
                <w:szCs w:val="16"/>
                <w:vertAlign w:val="superscript"/>
              </w:rPr>
              <w:t>-1</w:t>
            </w:r>
            <w:r w:rsidRPr="00FA3942">
              <w:rPr>
                <w:sz w:val="16"/>
                <w:szCs w:val="16"/>
              </w:rPr>
              <w:t>: discouraged; 0.25-0.5 μg·L</w:t>
            </w:r>
            <w:r w:rsidRPr="00FA3942">
              <w:rPr>
                <w:sz w:val="16"/>
                <w:szCs w:val="16"/>
                <w:vertAlign w:val="superscript"/>
              </w:rPr>
              <w:t>-1</w:t>
            </w:r>
            <w:r w:rsidRPr="00FA3942">
              <w:rPr>
                <w:sz w:val="16"/>
                <w:szCs w:val="16"/>
              </w:rPr>
              <w:t>: advised; &gt;0.5 μg·L</w:t>
            </w:r>
            <w:r w:rsidRPr="00FA3942">
              <w:rPr>
                <w:sz w:val="16"/>
                <w:szCs w:val="16"/>
                <w:vertAlign w:val="superscript"/>
              </w:rPr>
              <w:t>-1</w:t>
            </w:r>
            <w:r w:rsidRPr="00FA3942">
              <w:rPr>
                <w:sz w:val="16"/>
                <w:szCs w:val="16"/>
              </w:rPr>
              <w:t xml:space="preserve">: strongly recommended. </w:t>
            </w:r>
          </w:p>
        </w:tc>
        <w:tc>
          <w:tcPr>
            <w:tcW w:w="723"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524</w:t>
            </w:r>
          </w:p>
        </w:tc>
        <w:tc>
          <w:tcPr>
            <w:tcW w:w="1118" w:type="dxa"/>
            <w:tcBorders>
              <w:top w:val="single" w:sz="4" w:space="0" w:color="auto"/>
              <w:left w:val="nil"/>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NR</w:t>
            </w:r>
          </w:p>
        </w:tc>
        <w:tc>
          <w:tcPr>
            <w:tcW w:w="1112"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&lt;0.1 μg·L</w:t>
            </w:r>
            <w:r w:rsidRPr="00FA3942">
              <w:rPr>
                <w:sz w:val="16"/>
                <w:szCs w:val="16"/>
                <w:vertAlign w:val="superscript"/>
              </w:rPr>
              <w:t>-1</w:t>
            </w:r>
            <w:r w:rsidRPr="00FA3942">
              <w:rPr>
                <w:sz w:val="16"/>
                <w:szCs w:val="16"/>
              </w:rPr>
              <w:t>: 389/507; 0.1-0.25 μg·L</w:t>
            </w:r>
            <w:r w:rsidRPr="00FA3942">
              <w:rPr>
                <w:sz w:val="16"/>
                <w:szCs w:val="16"/>
                <w:vertAlign w:val="superscript"/>
              </w:rPr>
              <w:t>-1</w:t>
            </w:r>
            <w:r w:rsidRPr="00FA3942">
              <w:rPr>
                <w:sz w:val="16"/>
                <w:szCs w:val="16"/>
              </w:rPr>
              <w:t>: 73/507; 0.25-0.5 μg·L</w:t>
            </w:r>
            <w:r w:rsidRPr="00FA3942">
              <w:rPr>
                <w:sz w:val="16"/>
                <w:szCs w:val="16"/>
                <w:vertAlign w:val="superscript"/>
              </w:rPr>
              <w:t>-1</w:t>
            </w:r>
            <w:r w:rsidRPr="00FA3942">
              <w:rPr>
                <w:sz w:val="16"/>
                <w:szCs w:val="16"/>
              </w:rPr>
              <w:t>: 18/507; &gt;0.5 μg·L</w:t>
            </w:r>
            <w:r w:rsidRPr="00FA3942">
              <w:rPr>
                <w:sz w:val="16"/>
                <w:szCs w:val="16"/>
                <w:vertAlign w:val="superscript"/>
              </w:rPr>
              <w:t>-1</w:t>
            </w:r>
            <w:r w:rsidRPr="00FA3942">
              <w:rPr>
                <w:sz w:val="16"/>
                <w:szCs w:val="16"/>
              </w:rPr>
              <w:t xml:space="preserve">: 27/507. </w:t>
            </w:r>
          </w:p>
        </w:tc>
        <w:tc>
          <w:tcPr>
            <w:tcW w:w="928"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No</w:t>
            </w:r>
          </w:p>
        </w:tc>
        <w:tc>
          <w:tcPr>
            <w:tcW w:w="999"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895"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1002"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909"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r>
      <w:tr w:rsidR="000E7AC6" w:rsidRPr="00F52682" w:rsidTr="00A0522B">
        <w:trPr>
          <w:trHeight w:val="20"/>
        </w:trPr>
        <w:tc>
          <w:tcPr>
            <w:tcW w:w="963"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Liu 2015[</w:t>
            </w:r>
            <w:r>
              <w:rPr>
                <w:sz w:val="16"/>
                <w:szCs w:val="16"/>
              </w:rPr>
              <w:t>6</w:t>
            </w:r>
            <w:r w:rsidRPr="00FA3942">
              <w:rPr>
                <w:sz w:val="16"/>
                <w:szCs w:val="16"/>
              </w:rPr>
              <w:t>]</w:t>
            </w:r>
          </w:p>
        </w:tc>
        <w:tc>
          <w:tcPr>
            <w:tcW w:w="1270"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Randomized controlled study, NR, China</w:t>
            </w:r>
          </w:p>
        </w:tc>
        <w:tc>
          <w:tcPr>
            <w:tcW w:w="1164"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COPD exacerbation,</w:t>
            </w:r>
          </w:p>
          <w:p w:rsidR="000E7AC6" w:rsidRPr="00FA3942" w:rsidRDefault="000E7AC6" w:rsidP="00A0522B">
            <w:pPr>
              <w:spacing w:line="480" w:lineRule="auto"/>
              <w:rPr>
                <w:sz w:val="16"/>
                <w:szCs w:val="16"/>
              </w:rPr>
            </w:pPr>
            <w:r w:rsidRPr="00FA3942">
              <w:rPr>
                <w:sz w:val="16"/>
                <w:szCs w:val="16"/>
              </w:rPr>
              <w:t>Hospital</w:t>
            </w:r>
          </w:p>
        </w:tc>
        <w:tc>
          <w:tcPr>
            <w:tcW w:w="3307"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&lt;0.25 μg·L</w:t>
            </w:r>
            <w:r w:rsidRPr="00FA3942">
              <w:rPr>
                <w:sz w:val="16"/>
                <w:szCs w:val="16"/>
                <w:vertAlign w:val="superscript"/>
              </w:rPr>
              <w:t>-1</w:t>
            </w:r>
            <w:r w:rsidRPr="00FA3942">
              <w:rPr>
                <w:sz w:val="16"/>
                <w:szCs w:val="16"/>
              </w:rPr>
              <w:t>: discouraged; &gt;0.25 μg·L</w:t>
            </w:r>
            <w:r w:rsidRPr="00FA3942">
              <w:rPr>
                <w:sz w:val="16"/>
                <w:szCs w:val="16"/>
                <w:vertAlign w:val="superscript"/>
              </w:rPr>
              <w:t>-1</w:t>
            </w:r>
            <w:r w:rsidRPr="00FA3942">
              <w:rPr>
                <w:sz w:val="16"/>
                <w:szCs w:val="16"/>
              </w:rPr>
              <w:t xml:space="preserve">: recommended. PCT was obtained at 1,4,7 and 10 day after admission. </w:t>
            </w:r>
          </w:p>
        </w:tc>
        <w:tc>
          <w:tcPr>
            <w:tcW w:w="723"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108</w:t>
            </w:r>
          </w:p>
        </w:tc>
        <w:tc>
          <w:tcPr>
            <w:tcW w:w="1118" w:type="dxa"/>
            <w:tcBorders>
              <w:top w:val="single" w:sz="4" w:space="0" w:color="auto"/>
              <w:left w:val="nil"/>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 xml:space="preserve">Type I: 67/108; Type II: 30/108; Type III: 11/108 </w:t>
            </w:r>
          </w:p>
        </w:tc>
        <w:tc>
          <w:tcPr>
            <w:tcW w:w="1112"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37/52 have elevated PCT (&gt;0.25 μg·L</w:t>
            </w:r>
            <w:r w:rsidRPr="00FA3942">
              <w:rPr>
                <w:sz w:val="16"/>
                <w:szCs w:val="16"/>
                <w:vertAlign w:val="superscript"/>
              </w:rPr>
              <w:t>-1</w:t>
            </w:r>
            <w:r w:rsidRPr="00FA3942">
              <w:rPr>
                <w:sz w:val="16"/>
                <w:szCs w:val="16"/>
              </w:rPr>
              <w:t>)</w:t>
            </w:r>
          </w:p>
        </w:tc>
        <w:tc>
          <w:tcPr>
            <w:tcW w:w="928"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No</w:t>
            </w:r>
          </w:p>
        </w:tc>
        <w:tc>
          <w:tcPr>
            <w:tcW w:w="999"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II: 13.5%; III: 65.4%; IV: 21.1%</w:t>
            </w:r>
          </w:p>
        </w:tc>
        <w:tc>
          <w:tcPr>
            <w:tcW w:w="895"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II: 17.9%; III: 67.1%; IV: 25%</w:t>
            </w:r>
          </w:p>
        </w:tc>
        <w:tc>
          <w:tcPr>
            <w:tcW w:w="1002"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909"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r>
      <w:tr w:rsidR="000E7AC6" w:rsidRPr="00F52682" w:rsidTr="00A0522B">
        <w:trPr>
          <w:trHeight w:val="20"/>
        </w:trPr>
        <w:tc>
          <w:tcPr>
            <w:tcW w:w="963"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Medveczky 2011[</w:t>
            </w:r>
            <w:r>
              <w:rPr>
                <w:sz w:val="16"/>
                <w:szCs w:val="16"/>
              </w:rPr>
              <w:t>7</w:t>
            </w:r>
            <w:r w:rsidRPr="00FA3942">
              <w:rPr>
                <w:sz w:val="16"/>
                <w:szCs w:val="16"/>
              </w:rPr>
              <w:t>]</w:t>
            </w:r>
          </w:p>
        </w:tc>
        <w:tc>
          <w:tcPr>
            <w:tcW w:w="1270"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Prospective cohort study, antibiotic exposure, UK</w:t>
            </w:r>
          </w:p>
        </w:tc>
        <w:tc>
          <w:tcPr>
            <w:tcW w:w="1164"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COPD exacerbation,</w:t>
            </w:r>
          </w:p>
          <w:p w:rsidR="000E7AC6" w:rsidRPr="00FA3942" w:rsidRDefault="000E7AC6" w:rsidP="00A0522B">
            <w:pPr>
              <w:spacing w:line="480" w:lineRule="auto"/>
              <w:rPr>
                <w:sz w:val="16"/>
                <w:szCs w:val="16"/>
              </w:rPr>
            </w:pPr>
            <w:r w:rsidRPr="00FA3942">
              <w:rPr>
                <w:sz w:val="16"/>
                <w:szCs w:val="16"/>
              </w:rPr>
              <w:t>Hospital</w:t>
            </w:r>
          </w:p>
        </w:tc>
        <w:tc>
          <w:tcPr>
            <w:tcW w:w="3307"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Antibiotic use was discouraged if initial PCT level &lt;0.25 μg·L</w:t>
            </w:r>
            <w:r w:rsidRPr="00FA3942">
              <w:rPr>
                <w:sz w:val="16"/>
                <w:szCs w:val="16"/>
                <w:vertAlign w:val="superscript"/>
              </w:rPr>
              <w:t>-1</w:t>
            </w:r>
            <w:r w:rsidRPr="00FA3942">
              <w:rPr>
                <w:sz w:val="16"/>
                <w:szCs w:val="16"/>
              </w:rPr>
              <w:t xml:space="preserve"> or 80-90% fall of peak PCT value after 72 hr. </w:t>
            </w:r>
          </w:p>
        </w:tc>
        <w:tc>
          <w:tcPr>
            <w:tcW w:w="723"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30</w:t>
            </w:r>
          </w:p>
        </w:tc>
        <w:tc>
          <w:tcPr>
            <w:tcW w:w="1118" w:type="dxa"/>
            <w:tcBorders>
              <w:top w:val="single" w:sz="4" w:space="0" w:color="auto"/>
              <w:left w:val="nil"/>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NR</w:t>
            </w:r>
          </w:p>
        </w:tc>
        <w:tc>
          <w:tcPr>
            <w:tcW w:w="1112"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NR</w:t>
            </w:r>
          </w:p>
        </w:tc>
        <w:tc>
          <w:tcPr>
            <w:tcW w:w="928"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Yes</w:t>
            </w:r>
          </w:p>
        </w:tc>
        <w:tc>
          <w:tcPr>
            <w:tcW w:w="999"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895"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1002"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909"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r>
      <w:tr w:rsidR="000E7AC6" w:rsidRPr="00F52682" w:rsidTr="00A0522B">
        <w:trPr>
          <w:trHeight w:val="20"/>
        </w:trPr>
        <w:tc>
          <w:tcPr>
            <w:tcW w:w="963"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Nangia 2012[</w:t>
            </w:r>
            <w:r>
              <w:rPr>
                <w:sz w:val="16"/>
                <w:szCs w:val="16"/>
              </w:rPr>
              <w:t>8</w:t>
            </w:r>
            <w:r w:rsidRPr="00FA3942">
              <w:rPr>
                <w:sz w:val="16"/>
                <w:szCs w:val="16"/>
              </w:rPr>
              <w:t>]</w:t>
            </w:r>
          </w:p>
        </w:tc>
        <w:tc>
          <w:tcPr>
            <w:tcW w:w="1270"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Randomized controlled study, antibiotic exposure, India</w:t>
            </w:r>
          </w:p>
        </w:tc>
        <w:tc>
          <w:tcPr>
            <w:tcW w:w="1164"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COPD exacerbation,</w:t>
            </w:r>
          </w:p>
          <w:p w:rsidR="000E7AC6" w:rsidRPr="00FA3942" w:rsidRDefault="000E7AC6" w:rsidP="00A0522B">
            <w:pPr>
              <w:spacing w:line="480" w:lineRule="auto"/>
              <w:rPr>
                <w:sz w:val="16"/>
                <w:szCs w:val="16"/>
              </w:rPr>
            </w:pPr>
            <w:r w:rsidRPr="00FA3942">
              <w:rPr>
                <w:sz w:val="16"/>
                <w:szCs w:val="16"/>
              </w:rPr>
              <w:t>Hospital</w:t>
            </w:r>
          </w:p>
        </w:tc>
        <w:tc>
          <w:tcPr>
            <w:tcW w:w="3307"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723"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100</w:t>
            </w:r>
          </w:p>
        </w:tc>
        <w:tc>
          <w:tcPr>
            <w:tcW w:w="1118" w:type="dxa"/>
            <w:tcBorders>
              <w:top w:val="single" w:sz="4" w:space="0" w:color="auto"/>
              <w:left w:val="nil"/>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NR</w:t>
            </w:r>
          </w:p>
        </w:tc>
        <w:tc>
          <w:tcPr>
            <w:tcW w:w="1112"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NR</w:t>
            </w:r>
          </w:p>
        </w:tc>
        <w:tc>
          <w:tcPr>
            <w:tcW w:w="928"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Yes</w:t>
            </w:r>
          </w:p>
        </w:tc>
        <w:tc>
          <w:tcPr>
            <w:tcW w:w="999"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895"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1002"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909"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r>
      <w:tr w:rsidR="000E7AC6" w:rsidRPr="00F52682" w:rsidTr="00A0522B">
        <w:trPr>
          <w:trHeight w:val="20"/>
        </w:trPr>
        <w:tc>
          <w:tcPr>
            <w:tcW w:w="963"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Picart 2016[</w:t>
            </w:r>
            <w:r>
              <w:rPr>
                <w:sz w:val="16"/>
                <w:szCs w:val="16"/>
              </w:rPr>
              <w:t>9</w:t>
            </w:r>
            <w:r w:rsidRPr="00FA3942">
              <w:rPr>
                <w:sz w:val="16"/>
                <w:szCs w:val="16"/>
              </w:rPr>
              <w:t>]</w:t>
            </w:r>
          </w:p>
        </w:tc>
        <w:tc>
          <w:tcPr>
            <w:tcW w:w="1270"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Retrospective before-after study, antibiotic exposure, Reunion</w:t>
            </w:r>
          </w:p>
        </w:tc>
        <w:tc>
          <w:tcPr>
            <w:tcW w:w="1164"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COPD exacerbation,</w:t>
            </w:r>
          </w:p>
          <w:p w:rsidR="000E7AC6" w:rsidRPr="00FA3942" w:rsidRDefault="000E7AC6" w:rsidP="00A0522B">
            <w:pPr>
              <w:spacing w:line="480" w:lineRule="auto"/>
              <w:rPr>
                <w:sz w:val="16"/>
                <w:szCs w:val="16"/>
              </w:rPr>
            </w:pPr>
            <w:r w:rsidRPr="00FA3942">
              <w:rPr>
                <w:sz w:val="16"/>
                <w:szCs w:val="16"/>
              </w:rPr>
              <w:t>Hospital</w:t>
            </w:r>
          </w:p>
        </w:tc>
        <w:tc>
          <w:tcPr>
            <w:tcW w:w="3307"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&lt;0.25 μg·L</w:t>
            </w:r>
            <w:r w:rsidRPr="00FA3942">
              <w:rPr>
                <w:sz w:val="16"/>
                <w:szCs w:val="16"/>
                <w:vertAlign w:val="superscript"/>
              </w:rPr>
              <w:t>-1</w:t>
            </w:r>
            <w:r w:rsidRPr="00FA3942">
              <w:rPr>
                <w:sz w:val="16"/>
                <w:szCs w:val="16"/>
              </w:rPr>
              <w:t>: discouraged; &gt;0.25 μg·L</w:t>
            </w:r>
            <w:r w:rsidRPr="00FA3942">
              <w:rPr>
                <w:sz w:val="16"/>
                <w:szCs w:val="16"/>
                <w:vertAlign w:val="superscript"/>
              </w:rPr>
              <w:t>-1</w:t>
            </w:r>
            <w:r w:rsidRPr="00FA3942">
              <w:rPr>
                <w:sz w:val="16"/>
                <w:szCs w:val="16"/>
              </w:rPr>
              <w:t xml:space="preserve">: recommended. PCT level &lt;20% of initial PCT: discontinue antibiotics. PCT was obtained at 1, 2-3 and 4-5 day after admission. </w:t>
            </w:r>
          </w:p>
        </w:tc>
        <w:tc>
          <w:tcPr>
            <w:tcW w:w="723"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245</w:t>
            </w:r>
          </w:p>
        </w:tc>
        <w:tc>
          <w:tcPr>
            <w:tcW w:w="1118" w:type="dxa"/>
            <w:tcBorders>
              <w:top w:val="single" w:sz="4" w:space="0" w:color="auto"/>
              <w:left w:val="nil"/>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35/245 have purulent sputum</w:t>
            </w:r>
          </w:p>
          <w:p w:rsidR="000E7AC6" w:rsidRPr="00FA3942" w:rsidRDefault="000E7AC6" w:rsidP="00A0522B">
            <w:pPr>
              <w:spacing w:line="480" w:lineRule="auto"/>
              <w:rPr>
                <w:sz w:val="16"/>
                <w:szCs w:val="16"/>
              </w:rPr>
            </w:pPr>
          </w:p>
        </w:tc>
        <w:tc>
          <w:tcPr>
            <w:tcW w:w="1112"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47/231 have elevated PCT (&gt;0.25 μg·L</w:t>
            </w:r>
            <w:r w:rsidRPr="00FA3942">
              <w:rPr>
                <w:sz w:val="16"/>
                <w:szCs w:val="16"/>
                <w:vertAlign w:val="superscript"/>
              </w:rPr>
              <w:t>-1</w:t>
            </w:r>
            <w:r w:rsidRPr="00FA3942">
              <w:rPr>
                <w:sz w:val="16"/>
                <w:szCs w:val="16"/>
              </w:rPr>
              <w:t>)</w:t>
            </w:r>
          </w:p>
        </w:tc>
        <w:tc>
          <w:tcPr>
            <w:tcW w:w="928"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Yes</w:t>
            </w:r>
          </w:p>
        </w:tc>
        <w:tc>
          <w:tcPr>
            <w:tcW w:w="999"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I: 0.8%; II: 5%; III: 19%; IV: 46.3%; Unknown: 28.9%</w:t>
            </w:r>
          </w:p>
        </w:tc>
        <w:tc>
          <w:tcPr>
            <w:tcW w:w="895"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I: 3.2%; II: 8.9%; III: 20.2%; IV: 40.3%; Unknown: 27.4%</w:t>
            </w:r>
          </w:p>
        </w:tc>
        <w:tc>
          <w:tcPr>
            <w:tcW w:w="1002"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909"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r>
      <w:tr w:rsidR="000E7AC6" w:rsidRPr="00F52682" w:rsidTr="00A0522B">
        <w:trPr>
          <w:trHeight w:val="20"/>
        </w:trPr>
        <w:tc>
          <w:tcPr>
            <w:tcW w:w="963"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Sabrine 2018[1</w:t>
            </w:r>
            <w:r>
              <w:rPr>
                <w:sz w:val="16"/>
                <w:szCs w:val="16"/>
              </w:rPr>
              <w:t>0</w:t>
            </w:r>
            <w:r w:rsidRPr="00FA3942">
              <w:rPr>
                <w:sz w:val="16"/>
                <w:szCs w:val="16"/>
              </w:rPr>
              <w:t>]</w:t>
            </w:r>
          </w:p>
        </w:tc>
        <w:tc>
          <w:tcPr>
            <w:tcW w:w="1270"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Retrospective, before-after study, NR, Tunisia</w:t>
            </w:r>
          </w:p>
        </w:tc>
        <w:tc>
          <w:tcPr>
            <w:tcW w:w="1164"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 xml:space="preserve">COPD exacerbation, </w:t>
            </w:r>
          </w:p>
          <w:p w:rsidR="000E7AC6" w:rsidRPr="00FA3942" w:rsidRDefault="000E7AC6" w:rsidP="00A0522B">
            <w:pPr>
              <w:spacing w:line="480" w:lineRule="auto"/>
              <w:rPr>
                <w:sz w:val="16"/>
                <w:szCs w:val="16"/>
              </w:rPr>
            </w:pPr>
            <w:r w:rsidRPr="00FA3942">
              <w:rPr>
                <w:sz w:val="16"/>
                <w:szCs w:val="16"/>
              </w:rPr>
              <w:t>ICU requiring mechanical ventilation</w:t>
            </w:r>
          </w:p>
        </w:tc>
        <w:tc>
          <w:tcPr>
            <w:tcW w:w="3307"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&lt;0.25 μg·L</w:t>
            </w:r>
            <w:r w:rsidRPr="00FA3942">
              <w:rPr>
                <w:sz w:val="16"/>
                <w:szCs w:val="16"/>
                <w:vertAlign w:val="superscript"/>
              </w:rPr>
              <w:t>-1</w:t>
            </w:r>
            <w:r w:rsidRPr="00FA3942">
              <w:rPr>
                <w:sz w:val="16"/>
                <w:szCs w:val="16"/>
              </w:rPr>
              <w:t>: discouraged; &gt;0.25 μg·L</w:t>
            </w:r>
            <w:r w:rsidRPr="00FA3942">
              <w:rPr>
                <w:sz w:val="16"/>
                <w:szCs w:val="16"/>
                <w:vertAlign w:val="superscript"/>
              </w:rPr>
              <w:t>-1</w:t>
            </w:r>
            <w:r w:rsidRPr="00FA3942">
              <w:rPr>
                <w:sz w:val="16"/>
                <w:szCs w:val="16"/>
              </w:rPr>
              <w:t xml:space="preserve">: recommended. </w:t>
            </w:r>
          </w:p>
        </w:tc>
        <w:tc>
          <w:tcPr>
            <w:tcW w:w="723"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92</w:t>
            </w:r>
          </w:p>
        </w:tc>
        <w:tc>
          <w:tcPr>
            <w:tcW w:w="1118" w:type="dxa"/>
            <w:tcBorders>
              <w:top w:val="single" w:sz="4" w:space="0" w:color="auto"/>
              <w:left w:val="nil"/>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NR</w:t>
            </w:r>
          </w:p>
        </w:tc>
        <w:tc>
          <w:tcPr>
            <w:tcW w:w="1112"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NR</w:t>
            </w:r>
          </w:p>
        </w:tc>
        <w:tc>
          <w:tcPr>
            <w:tcW w:w="928"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No</w:t>
            </w:r>
          </w:p>
        </w:tc>
        <w:tc>
          <w:tcPr>
            <w:tcW w:w="999"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895"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1002"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909"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r>
      <w:tr w:rsidR="000E7AC6" w:rsidRPr="00F52682" w:rsidTr="00A0522B">
        <w:trPr>
          <w:trHeight w:val="20"/>
        </w:trPr>
        <w:tc>
          <w:tcPr>
            <w:tcW w:w="963"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Schuetz 2009[</w:t>
            </w:r>
            <w:r>
              <w:rPr>
                <w:sz w:val="16"/>
                <w:szCs w:val="16"/>
              </w:rPr>
              <w:t>11</w:t>
            </w:r>
            <w:r w:rsidRPr="00FA3942">
              <w:rPr>
                <w:sz w:val="16"/>
                <w:szCs w:val="16"/>
              </w:rPr>
              <w:t>]</w:t>
            </w:r>
          </w:p>
        </w:tc>
        <w:tc>
          <w:tcPr>
            <w:tcW w:w="1270"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Randomized controlled study, adverse clinical outcomes including death, re-infection Switzerland</w:t>
            </w:r>
          </w:p>
        </w:tc>
        <w:tc>
          <w:tcPr>
            <w:tcW w:w="1164"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COPD exacerbation, Emergency department</w:t>
            </w:r>
          </w:p>
        </w:tc>
        <w:tc>
          <w:tcPr>
            <w:tcW w:w="3307"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&lt;0.1 μg·L</w:t>
            </w:r>
            <w:r w:rsidRPr="00FA3942">
              <w:rPr>
                <w:sz w:val="16"/>
                <w:szCs w:val="16"/>
                <w:vertAlign w:val="superscript"/>
              </w:rPr>
              <w:t>-1</w:t>
            </w:r>
            <w:r w:rsidRPr="00FA3942">
              <w:rPr>
                <w:sz w:val="16"/>
                <w:szCs w:val="16"/>
              </w:rPr>
              <w:t>: strongly discouraged; 0.1-0.25 μg·L</w:t>
            </w:r>
            <w:r w:rsidRPr="00FA3942">
              <w:rPr>
                <w:sz w:val="16"/>
                <w:szCs w:val="16"/>
                <w:vertAlign w:val="superscript"/>
              </w:rPr>
              <w:t>-1</w:t>
            </w:r>
            <w:r w:rsidRPr="00FA3942">
              <w:rPr>
                <w:sz w:val="16"/>
                <w:szCs w:val="16"/>
              </w:rPr>
              <w:t>: discouraged; 0.25-0.5 μg·L</w:t>
            </w:r>
            <w:r w:rsidRPr="00FA3942">
              <w:rPr>
                <w:sz w:val="16"/>
                <w:szCs w:val="16"/>
                <w:vertAlign w:val="superscript"/>
              </w:rPr>
              <w:t>-1</w:t>
            </w:r>
            <w:r w:rsidRPr="00FA3942">
              <w:rPr>
                <w:sz w:val="16"/>
                <w:szCs w:val="16"/>
              </w:rPr>
              <w:t>: recommended; &gt;0.5 μg·L</w:t>
            </w:r>
            <w:r w:rsidRPr="00FA3942">
              <w:rPr>
                <w:sz w:val="16"/>
                <w:szCs w:val="16"/>
                <w:vertAlign w:val="superscript"/>
              </w:rPr>
              <w:t>-1</w:t>
            </w:r>
            <w:r w:rsidRPr="00FA3942">
              <w:rPr>
                <w:sz w:val="16"/>
                <w:szCs w:val="16"/>
              </w:rPr>
              <w:t>: strongly recommended. If antibiotics were withheld, PCT measurement was repeated after 6 to 24 hr. In patients in the PCT group with increased PCT values and antibiotic therapy, PCT measurements were repeated after 3, 5, and 7 days and antibiotic treatment was discontinued using the same cutoff ranges. In patients with high PCT values on admission (ie,  10 μg·L</w:t>
            </w:r>
            <w:r w:rsidRPr="00FA3942">
              <w:rPr>
                <w:sz w:val="16"/>
                <w:szCs w:val="16"/>
                <w:vertAlign w:val="superscript"/>
              </w:rPr>
              <w:t>-1</w:t>
            </w:r>
            <w:r w:rsidRPr="00FA3942">
              <w:rPr>
                <w:sz w:val="16"/>
                <w:szCs w:val="16"/>
              </w:rPr>
              <w:t>), the algorithm recommended stopping antibiotics if PCT levels decreased by 80% and we strongly recommended stopping antibiotics if PCT levels decreased by 90% of the initial value.</w:t>
            </w:r>
          </w:p>
        </w:tc>
        <w:tc>
          <w:tcPr>
            <w:tcW w:w="723"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228</w:t>
            </w:r>
          </w:p>
        </w:tc>
        <w:tc>
          <w:tcPr>
            <w:tcW w:w="1118" w:type="dxa"/>
            <w:tcBorders>
              <w:top w:val="single" w:sz="4" w:space="0" w:color="auto"/>
              <w:left w:val="nil"/>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Type I or II</w:t>
            </w:r>
          </w:p>
        </w:tc>
        <w:tc>
          <w:tcPr>
            <w:tcW w:w="1112"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NR</w:t>
            </w:r>
          </w:p>
        </w:tc>
        <w:tc>
          <w:tcPr>
            <w:tcW w:w="928"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Yes</w:t>
            </w:r>
          </w:p>
        </w:tc>
        <w:tc>
          <w:tcPr>
            <w:tcW w:w="999"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895"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1002"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c>
          <w:tcPr>
            <w:tcW w:w="909"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NR</w:t>
            </w:r>
          </w:p>
        </w:tc>
      </w:tr>
      <w:tr w:rsidR="000E7AC6" w:rsidRPr="00F52682" w:rsidTr="00A0522B">
        <w:trPr>
          <w:trHeight w:val="20"/>
        </w:trPr>
        <w:tc>
          <w:tcPr>
            <w:tcW w:w="963"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Stolz 2007[</w:t>
            </w:r>
            <w:r>
              <w:rPr>
                <w:sz w:val="16"/>
                <w:szCs w:val="16"/>
              </w:rPr>
              <w:t>12</w:t>
            </w:r>
            <w:r w:rsidRPr="00FA3942">
              <w:rPr>
                <w:sz w:val="16"/>
                <w:szCs w:val="16"/>
              </w:rPr>
              <w:t>]</w:t>
            </w:r>
          </w:p>
        </w:tc>
        <w:tc>
          <w:tcPr>
            <w:tcW w:w="1270"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Randomized controlled study, antibiotic exposure at index hospitalization and within 6 months for COPD exacerbation, Switzerland</w:t>
            </w:r>
          </w:p>
        </w:tc>
        <w:tc>
          <w:tcPr>
            <w:tcW w:w="1164"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COPD exacerbation,</w:t>
            </w:r>
          </w:p>
          <w:p w:rsidR="000E7AC6" w:rsidRPr="00FA3942" w:rsidRDefault="000E7AC6" w:rsidP="00A0522B">
            <w:pPr>
              <w:spacing w:line="480" w:lineRule="auto"/>
              <w:rPr>
                <w:sz w:val="16"/>
                <w:szCs w:val="16"/>
              </w:rPr>
            </w:pPr>
            <w:r w:rsidRPr="00FA3942">
              <w:rPr>
                <w:sz w:val="16"/>
                <w:szCs w:val="16"/>
              </w:rPr>
              <w:t>Hospital</w:t>
            </w:r>
          </w:p>
        </w:tc>
        <w:tc>
          <w:tcPr>
            <w:tcW w:w="3307"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&lt;0.1 μg·L</w:t>
            </w:r>
            <w:r w:rsidRPr="00FA3942">
              <w:rPr>
                <w:sz w:val="16"/>
                <w:szCs w:val="16"/>
                <w:vertAlign w:val="superscript"/>
              </w:rPr>
              <w:t>-1</w:t>
            </w:r>
            <w:r w:rsidRPr="00FA3942">
              <w:rPr>
                <w:sz w:val="16"/>
                <w:szCs w:val="16"/>
              </w:rPr>
              <w:t>: discouraged; 0.1-0.25 μg·L</w:t>
            </w:r>
            <w:r w:rsidRPr="00FA3942">
              <w:rPr>
                <w:sz w:val="16"/>
                <w:szCs w:val="16"/>
                <w:vertAlign w:val="superscript"/>
              </w:rPr>
              <w:t>-1</w:t>
            </w:r>
            <w:r w:rsidRPr="00FA3942">
              <w:rPr>
                <w:sz w:val="16"/>
                <w:szCs w:val="16"/>
              </w:rPr>
              <w:t>: discouraged or encouraged; &gt;0.25 μg·L</w:t>
            </w:r>
            <w:r w:rsidRPr="00FA3942">
              <w:rPr>
                <w:sz w:val="16"/>
                <w:szCs w:val="16"/>
                <w:vertAlign w:val="superscript"/>
              </w:rPr>
              <w:t>-1</w:t>
            </w:r>
            <w:r w:rsidRPr="00FA3942">
              <w:rPr>
                <w:sz w:val="16"/>
                <w:szCs w:val="16"/>
              </w:rPr>
              <w:t>: encouraged. Reevaluation of circulating procalcitonin levels and clinical status was recommended after 6 to 24 hr if antibiotic therapy was withheld.</w:t>
            </w:r>
          </w:p>
        </w:tc>
        <w:tc>
          <w:tcPr>
            <w:tcW w:w="723"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208</w:t>
            </w:r>
          </w:p>
        </w:tc>
        <w:tc>
          <w:tcPr>
            <w:tcW w:w="1118" w:type="dxa"/>
            <w:tcBorders>
              <w:top w:val="single" w:sz="4" w:space="0" w:color="auto"/>
              <w:left w:val="nil"/>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120/208 have purulent sputum;</w:t>
            </w:r>
          </w:p>
          <w:p w:rsidR="000E7AC6" w:rsidRPr="00FA3942" w:rsidRDefault="000E7AC6" w:rsidP="00A0522B">
            <w:pPr>
              <w:spacing w:line="480" w:lineRule="auto"/>
              <w:rPr>
                <w:sz w:val="16"/>
                <w:szCs w:val="16"/>
              </w:rPr>
            </w:pPr>
            <w:r w:rsidRPr="00FA3942">
              <w:rPr>
                <w:sz w:val="16"/>
                <w:szCs w:val="16"/>
              </w:rPr>
              <w:t>144/208 have increased sputum; 193/208 have dyspnea</w:t>
            </w:r>
          </w:p>
        </w:tc>
        <w:tc>
          <w:tcPr>
            <w:tcW w:w="1112"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0.096 (0.07, 0.2)</w:t>
            </w:r>
            <w:r w:rsidRPr="00FA3942">
              <w:rPr>
                <w:sz w:val="16"/>
                <w:szCs w:val="16"/>
                <w:vertAlign w:val="superscript"/>
              </w:rPr>
              <w:t>b</w:t>
            </w:r>
            <w:r w:rsidRPr="00FA3942">
              <w:rPr>
                <w:sz w:val="16"/>
                <w:szCs w:val="16"/>
              </w:rPr>
              <w:t xml:space="preserve"> μg·L</w:t>
            </w:r>
            <w:r w:rsidRPr="00FA3942">
              <w:rPr>
                <w:sz w:val="16"/>
                <w:szCs w:val="16"/>
                <w:vertAlign w:val="superscript"/>
              </w:rPr>
              <w:t>-1</w:t>
            </w:r>
          </w:p>
        </w:tc>
        <w:tc>
          <w:tcPr>
            <w:tcW w:w="928"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Yes</w:t>
            </w:r>
          </w:p>
        </w:tc>
        <w:tc>
          <w:tcPr>
            <w:tcW w:w="999"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I: 5.9%; II: 14.7%; III: 46.1%; IV: 33.3%</w:t>
            </w:r>
          </w:p>
        </w:tc>
        <w:tc>
          <w:tcPr>
            <w:tcW w:w="895"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I: 4.7%; II: 23.6%; III: 48.1%; IV: 23.6%</w:t>
            </w:r>
          </w:p>
        </w:tc>
        <w:tc>
          <w:tcPr>
            <w:tcW w:w="1002"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38.7±17.7</w:t>
            </w:r>
            <w:r w:rsidRPr="00FA3942">
              <w:rPr>
                <w:sz w:val="16"/>
                <w:szCs w:val="16"/>
                <w:vertAlign w:val="superscript"/>
              </w:rPr>
              <w:t>a</w:t>
            </w:r>
          </w:p>
        </w:tc>
        <w:tc>
          <w:tcPr>
            <w:tcW w:w="909"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43.5±16.4</w:t>
            </w:r>
            <w:r w:rsidRPr="00FA3942">
              <w:rPr>
                <w:sz w:val="16"/>
                <w:szCs w:val="16"/>
                <w:vertAlign w:val="superscript"/>
              </w:rPr>
              <w:t>a</w:t>
            </w:r>
          </w:p>
        </w:tc>
      </w:tr>
      <w:tr w:rsidR="000E7AC6" w:rsidRPr="00F52682" w:rsidTr="00A0522B">
        <w:trPr>
          <w:trHeight w:val="20"/>
        </w:trPr>
        <w:tc>
          <w:tcPr>
            <w:tcW w:w="963" w:type="dxa"/>
            <w:tcBorders>
              <w:top w:val="nil"/>
              <w:left w:val="single" w:sz="4" w:space="0" w:color="auto"/>
              <w:bottom w:val="single" w:sz="4" w:space="0" w:color="auto"/>
              <w:right w:val="single" w:sz="4" w:space="0" w:color="auto"/>
            </w:tcBorders>
            <w:shd w:val="clear" w:color="auto" w:fill="auto"/>
          </w:tcPr>
          <w:p w:rsidR="000E7AC6" w:rsidRPr="00FA3942" w:rsidRDefault="000E7AC6" w:rsidP="00A0522B">
            <w:pPr>
              <w:spacing w:line="480" w:lineRule="auto"/>
              <w:rPr>
                <w:sz w:val="16"/>
                <w:szCs w:val="16"/>
              </w:rPr>
            </w:pPr>
            <w:r w:rsidRPr="00FA3942">
              <w:rPr>
                <w:sz w:val="16"/>
                <w:szCs w:val="16"/>
              </w:rPr>
              <w:t>Townsend 2018[1</w:t>
            </w:r>
            <w:r>
              <w:rPr>
                <w:sz w:val="16"/>
                <w:szCs w:val="16"/>
              </w:rPr>
              <w:t>3</w:t>
            </w:r>
            <w:r w:rsidRPr="00FA3942">
              <w:rPr>
                <w:sz w:val="16"/>
                <w:szCs w:val="16"/>
              </w:rPr>
              <w:t>]</w:t>
            </w:r>
          </w:p>
        </w:tc>
        <w:tc>
          <w:tcPr>
            <w:tcW w:w="1270" w:type="dxa"/>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rPr>
                <w:sz w:val="16"/>
                <w:szCs w:val="16"/>
              </w:rPr>
            </w:pPr>
            <w:r w:rsidRPr="00FA3942">
              <w:rPr>
                <w:sz w:val="16"/>
                <w:szCs w:val="16"/>
              </w:rPr>
              <w:t>Pre-post controlled intervention study, antibiotic exposure, U.S.</w:t>
            </w:r>
          </w:p>
        </w:tc>
        <w:tc>
          <w:tcPr>
            <w:tcW w:w="1164" w:type="dxa"/>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rPr>
                <w:sz w:val="16"/>
                <w:szCs w:val="16"/>
              </w:rPr>
            </w:pPr>
            <w:r w:rsidRPr="00FA3942">
              <w:rPr>
                <w:sz w:val="16"/>
                <w:szCs w:val="16"/>
              </w:rPr>
              <w:t xml:space="preserve">COPD exacerbation, </w:t>
            </w:r>
          </w:p>
          <w:p w:rsidR="000E7AC6" w:rsidRPr="00FA3942" w:rsidRDefault="000E7AC6" w:rsidP="00A0522B">
            <w:pPr>
              <w:spacing w:line="480" w:lineRule="auto"/>
              <w:rPr>
                <w:sz w:val="16"/>
                <w:szCs w:val="16"/>
              </w:rPr>
            </w:pPr>
            <w:r w:rsidRPr="00FA3942">
              <w:rPr>
                <w:sz w:val="16"/>
                <w:szCs w:val="16"/>
              </w:rPr>
              <w:t>Hospital</w:t>
            </w:r>
          </w:p>
        </w:tc>
        <w:tc>
          <w:tcPr>
            <w:tcW w:w="3307" w:type="dxa"/>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rPr>
                <w:sz w:val="16"/>
                <w:szCs w:val="16"/>
              </w:rPr>
            </w:pPr>
            <w:r w:rsidRPr="00FA3942">
              <w:rPr>
                <w:sz w:val="16"/>
                <w:szCs w:val="16"/>
              </w:rPr>
              <w:t>&lt;0.1 μg·L</w:t>
            </w:r>
            <w:r w:rsidRPr="00FA3942">
              <w:rPr>
                <w:sz w:val="16"/>
                <w:szCs w:val="16"/>
                <w:vertAlign w:val="superscript"/>
              </w:rPr>
              <w:t>-1</w:t>
            </w:r>
            <w:r w:rsidRPr="00FA3942">
              <w:rPr>
                <w:sz w:val="16"/>
                <w:szCs w:val="16"/>
              </w:rPr>
              <w:t>: strongly discouraged; 0.1-0.25 μg·L</w:t>
            </w:r>
            <w:r w:rsidRPr="00FA3942">
              <w:rPr>
                <w:sz w:val="16"/>
                <w:szCs w:val="16"/>
                <w:vertAlign w:val="superscript"/>
              </w:rPr>
              <w:t>-1</w:t>
            </w:r>
            <w:r w:rsidRPr="00FA3942">
              <w:rPr>
                <w:sz w:val="16"/>
                <w:szCs w:val="16"/>
              </w:rPr>
              <w:t>: discouraged; 0.25-0.5 μg·L</w:t>
            </w:r>
            <w:r w:rsidRPr="00FA3942">
              <w:rPr>
                <w:sz w:val="16"/>
                <w:szCs w:val="16"/>
                <w:vertAlign w:val="superscript"/>
              </w:rPr>
              <w:t>-1</w:t>
            </w:r>
            <w:r w:rsidRPr="00FA3942">
              <w:rPr>
                <w:sz w:val="16"/>
                <w:szCs w:val="16"/>
              </w:rPr>
              <w:t>: advised; &gt;0.5 μg·L</w:t>
            </w:r>
            <w:r w:rsidRPr="00FA3942">
              <w:rPr>
                <w:sz w:val="16"/>
                <w:szCs w:val="16"/>
                <w:vertAlign w:val="superscript"/>
              </w:rPr>
              <w:t>-1</w:t>
            </w:r>
            <w:r w:rsidRPr="00FA3942">
              <w:rPr>
                <w:sz w:val="16"/>
                <w:szCs w:val="16"/>
              </w:rPr>
              <w:t xml:space="preserve">: strongly recommended. Repeat PCT levels daily in ICU or every 48 hr on the floor. </w:t>
            </w:r>
          </w:p>
        </w:tc>
        <w:tc>
          <w:tcPr>
            <w:tcW w:w="723" w:type="dxa"/>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rPr>
                <w:sz w:val="16"/>
                <w:szCs w:val="16"/>
              </w:rPr>
            </w:pPr>
            <w:r w:rsidRPr="00FA3942">
              <w:rPr>
                <w:sz w:val="16"/>
                <w:szCs w:val="16"/>
              </w:rPr>
              <w:t>100</w:t>
            </w:r>
          </w:p>
        </w:tc>
        <w:tc>
          <w:tcPr>
            <w:tcW w:w="1118" w:type="dxa"/>
            <w:tcBorders>
              <w:top w:val="single" w:sz="4" w:space="0" w:color="auto"/>
              <w:left w:val="nil"/>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All had at least one symptom</w:t>
            </w:r>
          </w:p>
        </w:tc>
        <w:tc>
          <w:tcPr>
            <w:tcW w:w="1112"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7/36 have elevated PCT (&gt;0.25 μg·L</w:t>
            </w:r>
            <w:r w:rsidRPr="00FA3942">
              <w:rPr>
                <w:sz w:val="16"/>
                <w:szCs w:val="16"/>
                <w:vertAlign w:val="superscript"/>
              </w:rPr>
              <w:t>-1</w:t>
            </w:r>
            <w:r w:rsidRPr="00FA3942">
              <w:rPr>
                <w:sz w:val="16"/>
                <w:szCs w:val="16"/>
              </w:rPr>
              <w:t>); 0.07 (0.05– 0.17)</w:t>
            </w:r>
            <w:r w:rsidRPr="00FA3942">
              <w:rPr>
                <w:sz w:val="16"/>
                <w:szCs w:val="16"/>
                <w:vertAlign w:val="superscript"/>
              </w:rPr>
              <w:t xml:space="preserve"> b</w:t>
            </w:r>
            <w:r w:rsidRPr="00FA3942">
              <w:rPr>
                <w:sz w:val="16"/>
                <w:szCs w:val="16"/>
              </w:rPr>
              <w:t xml:space="preserve"> μg·L</w:t>
            </w:r>
            <w:r w:rsidRPr="00FA3942">
              <w:rPr>
                <w:sz w:val="16"/>
                <w:szCs w:val="16"/>
                <w:vertAlign w:val="superscript"/>
              </w:rPr>
              <w:t>-1</w:t>
            </w:r>
          </w:p>
        </w:tc>
        <w:tc>
          <w:tcPr>
            <w:tcW w:w="928"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Yes</w:t>
            </w:r>
          </w:p>
        </w:tc>
        <w:tc>
          <w:tcPr>
            <w:tcW w:w="999" w:type="dxa"/>
            <w:tcBorders>
              <w:top w:val="nil"/>
              <w:left w:val="single" w:sz="4" w:space="0" w:color="auto"/>
              <w:bottom w:val="single" w:sz="4" w:space="0" w:color="auto"/>
              <w:right w:val="single" w:sz="4" w:space="0" w:color="auto"/>
            </w:tcBorders>
            <w:shd w:val="clear" w:color="auto" w:fill="auto"/>
          </w:tcPr>
          <w:p w:rsidR="000E7AC6" w:rsidRPr="00FA3942" w:rsidRDefault="000E7AC6" w:rsidP="00A0522B">
            <w:pPr>
              <w:spacing w:line="480" w:lineRule="auto"/>
              <w:rPr>
                <w:sz w:val="16"/>
                <w:szCs w:val="16"/>
              </w:rPr>
            </w:pPr>
            <w:r w:rsidRPr="00FA3942">
              <w:rPr>
                <w:sz w:val="16"/>
                <w:szCs w:val="16"/>
              </w:rPr>
              <w:t xml:space="preserve">NR </w:t>
            </w:r>
          </w:p>
        </w:tc>
        <w:tc>
          <w:tcPr>
            <w:tcW w:w="895" w:type="dxa"/>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rPr>
                <w:sz w:val="16"/>
                <w:szCs w:val="16"/>
              </w:rPr>
            </w:pPr>
            <w:r w:rsidRPr="00FA3942">
              <w:rPr>
                <w:sz w:val="16"/>
                <w:szCs w:val="16"/>
              </w:rPr>
              <w:t>NR</w:t>
            </w:r>
          </w:p>
        </w:tc>
        <w:tc>
          <w:tcPr>
            <w:tcW w:w="1002" w:type="dxa"/>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rPr>
                <w:sz w:val="16"/>
                <w:szCs w:val="16"/>
              </w:rPr>
            </w:pPr>
            <w:r w:rsidRPr="00FA3942">
              <w:rPr>
                <w:sz w:val="16"/>
                <w:szCs w:val="16"/>
              </w:rPr>
              <w:t>NR</w:t>
            </w:r>
          </w:p>
        </w:tc>
        <w:tc>
          <w:tcPr>
            <w:tcW w:w="909" w:type="dxa"/>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rPr>
                <w:sz w:val="16"/>
                <w:szCs w:val="16"/>
              </w:rPr>
            </w:pPr>
            <w:r w:rsidRPr="00FA3942">
              <w:rPr>
                <w:sz w:val="16"/>
                <w:szCs w:val="16"/>
              </w:rPr>
              <w:t>NR</w:t>
            </w:r>
          </w:p>
        </w:tc>
      </w:tr>
      <w:tr w:rsidR="000E7AC6" w:rsidRPr="00F52682" w:rsidTr="00A0522B">
        <w:trPr>
          <w:trHeight w:val="20"/>
        </w:trPr>
        <w:tc>
          <w:tcPr>
            <w:tcW w:w="963"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Verduri 2015[</w:t>
            </w:r>
            <w:r>
              <w:rPr>
                <w:sz w:val="16"/>
                <w:szCs w:val="16"/>
              </w:rPr>
              <w:t>14</w:t>
            </w:r>
            <w:r w:rsidRPr="00FA3942">
              <w:rPr>
                <w:sz w:val="16"/>
                <w:szCs w:val="16"/>
              </w:rPr>
              <w:t>]</w:t>
            </w:r>
          </w:p>
        </w:tc>
        <w:tc>
          <w:tcPr>
            <w:tcW w:w="1270"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Randomized controlled study, rate of COPD exacerbations at 6 months, Italy</w:t>
            </w:r>
          </w:p>
        </w:tc>
        <w:tc>
          <w:tcPr>
            <w:tcW w:w="1164"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COPD exacerbation,</w:t>
            </w:r>
          </w:p>
          <w:p w:rsidR="000E7AC6" w:rsidRPr="00FA3942" w:rsidRDefault="000E7AC6" w:rsidP="00A0522B">
            <w:pPr>
              <w:spacing w:line="480" w:lineRule="auto"/>
              <w:rPr>
                <w:sz w:val="16"/>
                <w:szCs w:val="16"/>
              </w:rPr>
            </w:pPr>
            <w:r w:rsidRPr="00FA3942">
              <w:rPr>
                <w:sz w:val="16"/>
                <w:szCs w:val="16"/>
              </w:rPr>
              <w:t>Hospital</w:t>
            </w:r>
          </w:p>
        </w:tc>
        <w:tc>
          <w:tcPr>
            <w:tcW w:w="3307"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Patients continued antibiotic treatment for 10 days if one or more of the PCT values on the first 3 days of hospitalization were &gt;0.25 μg·L</w:t>
            </w:r>
            <w:r w:rsidRPr="00FA3942">
              <w:rPr>
                <w:sz w:val="16"/>
                <w:szCs w:val="16"/>
                <w:vertAlign w:val="superscript"/>
              </w:rPr>
              <w:t>-1</w:t>
            </w:r>
            <w:r w:rsidRPr="00FA3942">
              <w:rPr>
                <w:sz w:val="16"/>
                <w:szCs w:val="16"/>
              </w:rPr>
              <w:t>. When PCT values were &lt;0.25 μg·L</w:t>
            </w:r>
            <w:r w:rsidRPr="00FA3942">
              <w:rPr>
                <w:sz w:val="16"/>
                <w:szCs w:val="16"/>
                <w:vertAlign w:val="superscript"/>
              </w:rPr>
              <w:t xml:space="preserve">-1 </w:t>
            </w:r>
            <w:r w:rsidRPr="00FA3942">
              <w:rPr>
                <w:sz w:val="16"/>
                <w:szCs w:val="16"/>
              </w:rPr>
              <w:t>but &gt;0.1 μg·L</w:t>
            </w:r>
            <w:r w:rsidRPr="00FA3942">
              <w:rPr>
                <w:sz w:val="16"/>
                <w:szCs w:val="16"/>
                <w:vertAlign w:val="superscript"/>
              </w:rPr>
              <w:t xml:space="preserve">-1 </w:t>
            </w:r>
            <w:r w:rsidRPr="00FA3942">
              <w:rPr>
                <w:sz w:val="16"/>
                <w:szCs w:val="16"/>
              </w:rPr>
              <w:t>on any occasion, antibiotic treatment was continued for 10 days, but only if patients were clinically unstable or had acute respiratory failure; otherwise, treatment was stopped on Day 3. If all PCT values were consistently &lt;0.1 μg·L</w:t>
            </w:r>
            <w:r w:rsidRPr="00FA3942">
              <w:rPr>
                <w:sz w:val="16"/>
                <w:szCs w:val="16"/>
                <w:vertAlign w:val="superscript"/>
              </w:rPr>
              <w:t>-1</w:t>
            </w:r>
            <w:r w:rsidRPr="00FA3942">
              <w:rPr>
                <w:sz w:val="16"/>
                <w:szCs w:val="16"/>
              </w:rPr>
              <w:t>, treatment was stopped on Day 3.</w:t>
            </w:r>
          </w:p>
        </w:tc>
        <w:tc>
          <w:tcPr>
            <w:tcW w:w="723"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178</w:t>
            </w:r>
          </w:p>
        </w:tc>
        <w:tc>
          <w:tcPr>
            <w:tcW w:w="1118" w:type="dxa"/>
            <w:tcBorders>
              <w:top w:val="single" w:sz="4" w:space="0" w:color="auto"/>
              <w:left w:val="nil"/>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128/169 have purulent sputum;</w:t>
            </w:r>
          </w:p>
          <w:p w:rsidR="000E7AC6" w:rsidRPr="00FA3942" w:rsidRDefault="000E7AC6" w:rsidP="00A0522B">
            <w:pPr>
              <w:spacing w:line="480" w:lineRule="auto"/>
              <w:rPr>
                <w:sz w:val="16"/>
                <w:szCs w:val="16"/>
              </w:rPr>
            </w:pPr>
            <w:r w:rsidRPr="00FA3942">
              <w:rPr>
                <w:sz w:val="16"/>
                <w:szCs w:val="16"/>
              </w:rPr>
              <w:t>144/170 have increased sputum; 169/173 have dyspnea</w:t>
            </w:r>
          </w:p>
        </w:tc>
        <w:tc>
          <w:tcPr>
            <w:tcW w:w="1112"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0.41±2.7</w:t>
            </w:r>
            <w:r w:rsidRPr="00FA3942">
              <w:rPr>
                <w:rFonts w:asciiTheme="minorEastAsia" w:hAnsiTheme="minorEastAsia"/>
                <w:sz w:val="16"/>
                <w:szCs w:val="16"/>
                <w:vertAlign w:val="superscript"/>
              </w:rPr>
              <w:t>a</w:t>
            </w:r>
            <w:r w:rsidRPr="00FA3942">
              <w:rPr>
                <w:sz w:val="16"/>
                <w:szCs w:val="16"/>
              </w:rPr>
              <w:t xml:space="preserve"> μg·L</w:t>
            </w:r>
            <w:r w:rsidRPr="00FA3942">
              <w:rPr>
                <w:sz w:val="16"/>
                <w:szCs w:val="16"/>
                <w:vertAlign w:val="superscript"/>
              </w:rPr>
              <w:t>-1</w:t>
            </w:r>
            <w:r w:rsidRPr="00FA3942">
              <w:rPr>
                <w:sz w:val="16"/>
                <w:szCs w:val="16"/>
              </w:rPr>
              <w:t xml:space="preserve"> </w:t>
            </w:r>
          </w:p>
        </w:tc>
        <w:tc>
          <w:tcPr>
            <w:tcW w:w="928" w:type="dxa"/>
            <w:tcBorders>
              <w:top w:val="single" w:sz="4" w:space="0" w:color="auto"/>
              <w:left w:val="single" w:sz="4" w:space="0" w:color="auto"/>
              <w:bottom w:val="single" w:sz="4" w:space="0" w:color="auto"/>
              <w:right w:val="single" w:sz="4" w:space="0" w:color="auto"/>
            </w:tcBorders>
          </w:tcPr>
          <w:p w:rsidR="000E7AC6" w:rsidRPr="00FA3942" w:rsidRDefault="000E7AC6" w:rsidP="00A0522B">
            <w:pPr>
              <w:spacing w:line="480" w:lineRule="auto"/>
              <w:rPr>
                <w:sz w:val="16"/>
                <w:szCs w:val="16"/>
              </w:rPr>
            </w:pPr>
            <w:r w:rsidRPr="00FA3942">
              <w:rPr>
                <w:sz w:val="16"/>
                <w:szCs w:val="16"/>
              </w:rPr>
              <w:t>Yes</w:t>
            </w:r>
          </w:p>
        </w:tc>
        <w:tc>
          <w:tcPr>
            <w:tcW w:w="999" w:type="dxa"/>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I: 2.4%; II: 24.7%; III: 47.1%; IV: 25.9%</w:t>
            </w:r>
          </w:p>
        </w:tc>
        <w:tc>
          <w:tcPr>
            <w:tcW w:w="895"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I: 1.2%; II: 28.1%; III: 37.8%; IV: 32.9%</w:t>
            </w:r>
          </w:p>
        </w:tc>
        <w:tc>
          <w:tcPr>
            <w:tcW w:w="1002"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41.3</w:t>
            </w:r>
            <w:r w:rsidRPr="00FA3942">
              <w:rPr>
                <w:sz w:val="16"/>
                <w:szCs w:val="16"/>
                <w:vertAlign w:val="superscript"/>
              </w:rPr>
              <w:t>c</w:t>
            </w:r>
          </w:p>
        </w:tc>
        <w:tc>
          <w:tcPr>
            <w:tcW w:w="909" w:type="dxa"/>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16"/>
                <w:szCs w:val="16"/>
              </w:rPr>
            </w:pPr>
            <w:r w:rsidRPr="00FA3942">
              <w:rPr>
                <w:sz w:val="16"/>
                <w:szCs w:val="16"/>
              </w:rPr>
              <w:t>42.7</w:t>
            </w:r>
            <w:r w:rsidRPr="00FA3942">
              <w:rPr>
                <w:sz w:val="16"/>
                <w:szCs w:val="16"/>
                <w:vertAlign w:val="superscript"/>
              </w:rPr>
              <w:t>c</w:t>
            </w:r>
          </w:p>
        </w:tc>
      </w:tr>
    </w:tbl>
    <w:p w:rsidR="000E7AC6" w:rsidRPr="00F52682" w:rsidRDefault="000E7AC6" w:rsidP="000E7AC6">
      <w:pPr>
        <w:spacing w:line="480" w:lineRule="auto"/>
        <w:rPr>
          <w:sz w:val="20"/>
        </w:rPr>
      </w:pPr>
      <w:r w:rsidRPr="00F52682">
        <w:rPr>
          <w:sz w:val="20"/>
        </w:rPr>
        <w:t>PCT: Procalcitonin; GOLD: Global Initiative for Chronic Obstructive Lung Disease; FEV1: Forced Expiratory Volume; NR: Not reported; ICU: Intensive Care Units</w:t>
      </w:r>
    </w:p>
    <w:p w:rsidR="000E7AC6" w:rsidRDefault="000E7AC6" w:rsidP="000E7AC6">
      <w:pPr>
        <w:spacing w:line="480" w:lineRule="auto"/>
        <w:rPr>
          <w:sz w:val="20"/>
        </w:rPr>
      </w:pPr>
      <w:r w:rsidRPr="00F52682">
        <w:rPr>
          <w:sz w:val="20"/>
          <w:vertAlign w:val="superscript"/>
        </w:rPr>
        <w:t>a</w:t>
      </w:r>
      <w:r w:rsidRPr="00F52682">
        <w:rPr>
          <w:sz w:val="20"/>
        </w:rPr>
        <w:t xml:space="preserve">Mean ± standard deviation; </w:t>
      </w:r>
      <w:r w:rsidRPr="00F52682">
        <w:rPr>
          <w:sz w:val="20"/>
          <w:vertAlign w:val="superscript"/>
        </w:rPr>
        <w:t>b</w:t>
      </w:r>
      <w:r w:rsidRPr="00F52682">
        <w:rPr>
          <w:sz w:val="20"/>
        </w:rPr>
        <w:t xml:space="preserve">Median (Interquartile range); </w:t>
      </w:r>
      <w:r w:rsidRPr="00F52682">
        <w:rPr>
          <w:sz w:val="20"/>
          <w:vertAlign w:val="superscript"/>
        </w:rPr>
        <w:t>c</w:t>
      </w:r>
      <w:r w:rsidRPr="00F52682">
        <w:rPr>
          <w:sz w:val="20"/>
        </w:rPr>
        <w:t>Mean</w:t>
      </w:r>
    </w:p>
    <w:p w:rsidR="000E7AC6" w:rsidRDefault="000E7AC6" w:rsidP="000E7AC6">
      <w:pPr>
        <w:spacing w:line="480" w:lineRule="auto"/>
        <w:rPr>
          <w:sz w:val="20"/>
        </w:rPr>
      </w:pPr>
    </w:p>
    <w:p w:rsidR="000E7AC6" w:rsidRPr="00F52682" w:rsidRDefault="000E7AC6" w:rsidP="000E7AC6">
      <w:pPr>
        <w:spacing w:line="480" w:lineRule="auto"/>
        <w:rPr>
          <w:b/>
        </w:rPr>
      </w:pPr>
      <w:r w:rsidRPr="00F52682">
        <w:rPr>
          <w:b/>
        </w:rPr>
        <w:t>Reference:</w:t>
      </w:r>
    </w:p>
    <w:p w:rsidR="000E7AC6" w:rsidRPr="00F52682" w:rsidRDefault="000E7AC6" w:rsidP="000E7AC6">
      <w:pPr>
        <w:pStyle w:val="EndNoteBibliography"/>
        <w:spacing w:line="480" w:lineRule="auto"/>
        <w:ind w:left="720" w:hanging="720"/>
      </w:pPr>
      <w:r w:rsidRPr="00F52682">
        <w:t>1.</w:t>
      </w:r>
      <w:r w:rsidRPr="00F52682">
        <w:tab/>
        <w:t>Bremmer DN, DiSilvio BE, Hammer C, et al. Impact of procalcitonin guidance on management of adults hospitalized with chronic obstructive pulmonary disease exacerbations. Journal of General Internal Medicine. 2018;33(5):692-697.</w:t>
      </w:r>
    </w:p>
    <w:p w:rsidR="000E7AC6" w:rsidRPr="00F52682" w:rsidRDefault="000E7AC6" w:rsidP="000E7AC6">
      <w:pPr>
        <w:pStyle w:val="EndNoteBibliography"/>
        <w:spacing w:line="480" w:lineRule="auto"/>
        <w:ind w:left="720" w:hanging="720"/>
      </w:pPr>
      <w:r w:rsidRPr="00F52682">
        <w:t>2.</w:t>
      </w:r>
      <w:r w:rsidRPr="00F52682">
        <w:tab/>
        <w:t>Christ-Crain M, Jaccard-Stolz D, Bingisser R, et al. Effect of procalcitonin-guided treatment on antibiotic use and outcome in lower respiratory tract infections: cluster-randomised, single-blinded intervention trial. Lancet. 2004;363(9409):600-607.</w:t>
      </w:r>
    </w:p>
    <w:p w:rsidR="000E7AC6" w:rsidRPr="00F52682" w:rsidRDefault="000E7AC6" w:rsidP="000E7AC6">
      <w:pPr>
        <w:pStyle w:val="EndNoteBibliography"/>
        <w:spacing w:line="480" w:lineRule="auto"/>
        <w:ind w:left="720" w:hanging="720"/>
      </w:pPr>
      <w:r w:rsidRPr="00F52682">
        <w:t>3.</w:t>
      </w:r>
      <w:r w:rsidRPr="00F52682">
        <w:tab/>
        <w:t>Corti C, Fally M, Fabricius-Bjerre A, et al. Point-of-care procalcitonin test to reduce antibiotic exposure in patients hospitalized with acute exacerbation of COPD. International Journal of Chronic Obstructive Pulmonary Disease. 2016;11:1381-1389.</w:t>
      </w:r>
    </w:p>
    <w:p w:rsidR="000E7AC6" w:rsidRPr="00F52682" w:rsidRDefault="000E7AC6" w:rsidP="000E7AC6">
      <w:pPr>
        <w:pStyle w:val="EndNoteBibliography"/>
        <w:spacing w:line="480" w:lineRule="auto"/>
        <w:ind w:left="720" w:hanging="720"/>
      </w:pPr>
      <w:r w:rsidRPr="00F52682">
        <w:t>4.</w:t>
      </w:r>
      <w:r w:rsidRPr="00F52682">
        <w:tab/>
        <w:t>Daubin C, Valette X, Thiolliere F, et al. Procalcitonin algorithm to guide initial antibiotic therapy in acute exacerbations of COPD admitted to the ICU: a randomized multicenter study. Intensive Care Medicine. 2018;44(4):428-437.</w:t>
      </w:r>
    </w:p>
    <w:p w:rsidR="000E7AC6" w:rsidRPr="00F52682" w:rsidRDefault="000E7AC6" w:rsidP="000E7AC6">
      <w:pPr>
        <w:pStyle w:val="EndNoteBibliography"/>
        <w:spacing w:line="480" w:lineRule="auto"/>
        <w:ind w:left="720" w:hanging="720"/>
      </w:pPr>
      <w:r w:rsidRPr="00F52682">
        <w:t>5.</w:t>
      </w:r>
      <w:r w:rsidRPr="00F52682">
        <w:tab/>
        <w:t>Huang DT, Yealy DM, Filbin MR, et al. Procalcitonin-guided use of antibiotics for lower respiratory tract infection. The New England Journal of Medicine. 2018;379(3):236-249.</w:t>
      </w:r>
    </w:p>
    <w:p w:rsidR="000E7AC6" w:rsidRPr="00F52682" w:rsidRDefault="000E7AC6" w:rsidP="000E7AC6">
      <w:pPr>
        <w:pStyle w:val="EndNoteBibliography"/>
        <w:spacing w:line="480" w:lineRule="auto"/>
        <w:ind w:left="720" w:hanging="720"/>
      </w:pPr>
      <w:r w:rsidRPr="00F52682">
        <w:t>6.</w:t>
      </w:r>
      <w:r w:rsidRPr="00F52682">
        <w:tab/>
        <w:t>Liu SS, Zhang YB. The value of serum procalcitonin level in guiding the use of antibiotic in patients with acute exacerbation of chronic obstructive pulmonary disease. Chinese Journal of Antibiotics. 2015;40(6):459-463.</w:t>
      </w:r>
    </w:p>
    <w:p w:rsidR="000E7AC6" w:rsidRPr="00F52682" w:rsidRDefault="000E7AC6" w:rsidP="000E7AC6">
      <w:pPr>
        <w:pStyle w:val="EndNoteBibliography"/>
        <w:spacing w:line="480" w:lineRule="auto"/>
        <w:ind w:left="720" w:hanging="720"/>
      </w:pPr>
      <w:r w:rsidRPr="00F52682">
        <w:t>7.</w:t>
      </w:r>
      <w:r w:rsidRPr="00F52682">
        <w:tab/>
        <w:t>Medveczky T, Jackson M. Procalcitonin use in acute exacerbations of COPD. Paper presented at: European Respiratory Society Annual Congress; 2011 Sep 24-28; Amsterdam, Netherlands.</w:t>
      </w:r>
    </w:p>
    <w:p w:rsidR="000E7AC6" w:rsidRPr="00F52682" w:rsidRDefault="000E7AC6" w:rsidP="000E7AC6">
      <w:pPr>
        <w:pStyle w:val="EndNoteBibliography"/>
        <w:spacing w:line="480" w:lineRule="auto"/>
        <w:ind w:left="720" w:hanging="720"/>
      </w:pPr>
      <w:r w:rsidRPr="00F52682">
        <w:t>8.</w:t>
      </w:r>
      <w:r w:rsidRPr="00F52682">
        <w:tab/>
        <w:t>Nangia V, Gandhi K. Use of procalcitonin to guide the antibiotic therapy in patients with an acute exacerbation of COPD in a resource-limited setting: A case-control study. Paper presented at: 22nd European Congress of Clinical Microbiology and Infectious Diseases; 2012 Mar 31-Apr 3; London, United Kindom.</w:t>
      </w:r>
    </w:p>
    <w:p w:rsidR="000E7AC6" w:rsidRPr="00F52682" w:rsidRDefault="000E7AC6" w:rsidP="000E7AC6">
      <w:pPr>
        <w:pStyle w:val="EndNoteBibliography"/>
        <w:spacing w:line="480" w:lineRule="auto"/>
        <w:ind w:left="720" w:hanging="720"/>
      </w:pPr>
      <w:r w:rsidRPr="00F52682">
        <w:t>9.</w:t>
      </w:r>
      <w:r w:rsidRPr="00F52682">
        <w:tab/>
        <w:t>Picart J, Moiton MP, Gauzere BA, et al. Introduction of a PCT-based algorithm to guide antibiotic prescription in COPD exacerbation. Medecine et Maladies Infectieuses. 2016;46(8):429-435.</w:t>
      </w:r>
    </w:p>
    <w:p w:rsidR="000E7AC6" w:rsidRPr="00F52682" w:rsidRDefault="000E7AC6" w:rsidP="000E7AC6">
      <w:pPr>
        <w:pStyle w:val="EndNoteBibliography"/>
        <w:spacing w:line="480" w:lineRule="auto"/>
        <w:ind w:left="720" w:hanging="720"/>
      </w:pPr>
      <w:r w:rsidRPr="00F52682">
        <w:t>10.</w:t>
      </w:r>
      <w:r w:rsidRPr="00F52682">
        <w:tab/>
        <w:t>Sabrine N, Nejla T, Habiba S, et al. Procalcitonin guided antibiotic therapy during severe acute exacerbation of chronic obstructive pulmonary disease requiring mechanical ventilation: a before after study. Paper presented at: French Intensive Care Society, International Congress; 2018 Jan 24-26; Paris, France.</w:t>
      </w:r>
    </w:p>
    <w:p w:rsidR="000E7AC6" w:rsidRPr="00F52682" w:rsidRDefault="000E7AC6" w:rsidP="000E7AC6">
      <w:pPr>
        <w:pStyle w:val="EndNoteBibliography"/>
        <w:spacing w:line="480" w:lineRule="auto"/>
        <w:ind w:left="720" w:hanging="720"/>
      </w:pPr>
      <w:r w:rsidRPr="00F52682">
        <w:t>11.</w:t>
      </w:r>
      <w:r w:rsidRPr="00F52682">
        <w:tab/>
        <w:t>Schuetz P, Christ-Crain M, Thomann R, et al. Effect of procalcitonin-based guidelines vs standard guidelines on antibiotic use in lower respiratory tract infections: the ProHOSP randomized controlled trial. Jama. 2009;302(10):1059-1066.</w:t>
      </w:r>
    </w:p>
    <w:p w:rsidR="000E7AC6" w:rsidRPr="00F52682" w:rsidRDefault="000E7AC6" w:rsidP="000E7AC6">
      <w:pPr>
        <w:pStyle w:val="EndNoteBibliography"/>
        <w:spacing w:line="480" w:lineRule="auto"/>
        <w:ind w:left="720" w:hanging="720"/>
      </w:pPr>
      <w:r w:rsidRPr="00F52682">
        <w:t>12.</w:t>
      </w:r>
      <w:r w:rsidRPr="00F52682">
        <w:tab/>
        <w:t>Stolz D, Christ-Crain M, Bingisser R, et al. Antibiotic treatment of exacerbations of COPD: a randomized, controlled trial comparing procalcitonin-guidance with standard therapy. Chest. 2007;131(1):9-19.</w:t>
      </w:r>
    </w:p>
    <w:p w:rsidR="000E7AC6" w:rsidRPr="00F52682" w:rsidRDefault="000E7AC6" w:rsidP="000E7AC6">
      <w:pPr>
        <w:pStyle w:val="EndNoteBibliography"/>
        <w:spacing w:line="480" w:lineRule="auto"/>
        <w:ind w:left="720" w:hanging="720"/>
      </w:pPr>
      <w:r w:rsidRPr="00F52682">
        <w:t>13.</w:t>
      </w:r>
      <w:r w:rsidRPr="00F52682">
        <w:tab/>
        <w:t>Townsend J, Adams V, Galiatsatos P, et al. Procalcitonin-guided antibiotic therapy reduces antibiotic use for lower respiratory tract infections in a United States medical center: results of a clinical trial. Open Forum Infectious Diseases. 2018;5(12):ofy327.</w:t>
      </w:r>
    </w:p>
    <w:p w:rsidR="000E7AC6" w:rsidRDefault="000E7AC6" w:rsidP="000E7AC6">
      <w:pPr>
        <w:pStyle w:val="EndNoteBibliography"/>
        <w:spacing w:line="480" w:lineRule="auto"/>
        <w:ind w:left="720" w:hanging="720"/>
      </w:pPr>
      <w:r w:rsidRPr="00F52682">
        <w:t>14.</w:t>
      </w:r>
      <w:r w:rsidRPr="00F52682">
        <w:tab/>
        <w:t>Verduri A, Luppi F, D'Amico R, et al. Antibiotic treatment of severe exacerbations of chronic obstructive pulmonary disease with procalcitonin: a randomized noninferiority trial. PloS One. 2015;10(3):e0118241.</w:t>
      </w:r>
    </w:p>
    <w:p w:rsidR="000E7AC6" w:rsidRPr="00F52682" w:rsidRDefault="000E7AC6" w:rsidP="000E7AC6">
      <w:pPr>
        <w:spacing w:line="480" w:lineRule="auto"/>
        <w:rPr>
          <w:b/>
          <w:sz w:val="20"/>
        </w:rPr>
      </w:pPr>
      <w:r w:rsidRPr="00F52682">
        <w:rPr>
          <w:b/>
        </w:rPr>
        <w:br w:type="page"/>
      </w:r>
    </w:p>
    <w:p w:rsidR="000E7AC6" w:rsidRPr="00F52682" w:rsidRDefault="000E7AC6" w:rsidP="000E7AC6">
      <w:pPr>
        <w:pStyle w:val="Heading1"/>
        <w:spacing w:before="0" w:line="480" w:lineRule="auto"/>
      </w:pPr>
      <w:r w:rsidRPr="00F52682">
        <w:t xml:space="preserve">Appendix </w:t>
      </w:r>
      <w:r>
        <w:t>4</w:t>
      </w:r>
      <w:r w:rsidRPr="00F52682">
        <w:t xml:space="preserve">. Raw data </w:t>
      </w:r>
      <w:bookmarkEnd w:id="4"/>
      <w:bookmarkEnd w:id="5"/>
      <w:r w:rsidRPr="00F52682">
        <w:t>included in meta-analysis</w:t>
      </w:r>
    </w:p>
    <w:p w:rsidR="000E7AC6" w:rsidRPr="00F52682" w:rsidRDefault="000E7AC6" w:rsidP="000E7AC6">
      <w:pPr>
        <w:spacing w:line="480" w:lineRule="auto"/>
      </w:pPr>
    </w:p>
    <w:tbl>
      <w:tblPr>
        <w:tblW w:w="5000" w:type="pct"/>
        <w:tblLook w:val="04A0" w:firstRow="1" w:lastRow="0" w:firstColumn="1" w:lastColumn="0" w:noHBand="0" w:noVBand="1"/>
      </w:tblPr>
      <w:tblGrid>
        <w:gridCol w:w="1659"/>
        <w:gridCol w:w="1305"/>
        <w:gridCol w:w="1295"/>
        <w:gridCol w:w="1304"/>
        <w:gridCol w:w="1294"/>
        <w:gridCol w:w="1304"/>
        <w:gridCol w:w="1357"/>
        <w:gridCol w:w="3658"/>
      </w:tblGrid>
      <w:tr w:rsidR="000E7AC6" w:rsidRPr="00F52682" w:rsidTr="00A0522B">
        <w:trPr>
          <w:trHeight w:val="440"/>
        </w:trPr>
        <w:tc>
          <w:tcPr>
            <w:tcW w:w="62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References</w:t>
            </w:r>
          </w:p>
        </w:tc>
        <w:tc>
          <w:tcPr>
            <w:tcW w:w="986" w:type="pct"/>
            <w:gridSpan w:val="2"/>
            <w:tcBorders>
              <w:top w:val="single" w:sz="4" w:space="0" w:color="auto"/>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Antibiotics duration</w:t>
            </w:r>
          </w:p>
        </w:tc>
        <w:tc>
          <w:tcPr>
            <w:tcW w:w="986" w:type="pct"/>
            <w:gridSpan w:val="2"/>
            <w:tcBorders>
              <w:top w:val="single" w:sz="4" w:space="0" w:color="auto"/>
              <w:left w:val="nil"/>
              <w:bottom w:val="single" w:sz="4" w:space="0" w:color="auto"/>
              <w:right w:val="single" w:sz="4" w:space="0" w:color="000000"/>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Length of hospital stay</w:t>
            </w:r>
          </w:p>
        </w:tc>
        <w:tc>
          <w:tcPr>
            <w:tcW w:w="2398" w:type="pct"/>
            <w:gridSpan w:val="3"/>
            <w:tcBorders>
              <w:top w:val="single" w:sz="4" w:space="0" w:color="auto"/>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Treatment failure</w:t>
            </w:r>
          </w:p>
        </w:tc>
      </w:tr>
      <w:tr w:rsidR="000E7AC6" w:rsidRPr="00F52682" w:rsidTr="00A0522B">
        <w:trPr>
          <w:trHeight w:val="263"/>
        </w:trPr>
        <w:tc>
          <w:tcPr>
            <w:tcW w:w="62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7AC6" w:rsidRPr="00FA3942" w:rsidRDefault="000E7AC6" w:rsidP="00A0522B">
            <w:pPr>
              <w:spacing w:line="480" w:lineRule="auto"/>
              <w:rPr>
                <w:b/>
                <w:bCs/>
                <w:sz w:val="20"/>
                <w:szCs w:val="20"/>
              </w:rPr>
            </w:pP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Intervention</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Comparison</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Intervention</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Comparison</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Intervention</w:t>
            </w:r>
          </w:p>
        </w:tc>
        <w:tc>
          <w:tcPr>
            <w:tcW w:w="51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Comparison</w:t>
            </w:r>
          </w:p>
        </w:tc>
        <w:tc>
          <w:tcPr>
            <w:tcW w:w="1388"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Definition</w:t>
            </w:r>
          </w:p>
        </w:tc>
      </w:tr>
      <w:tr w:rsidR="000E7AC6" w:rsidRPr="00F52682" w:rsidTr="00A0522B">
        <w:trPr>
          <w:trHeight w:val="278"/>
        </w:trPr>
        <w:tc>
          <w:tcPr>
            <w:tcW w:w="629"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Bremmer 2018[1]</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3±2.9</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5.3±3.2</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2.9±2</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4.1±3.9</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51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1388"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r>
      <w:tr w:rsidR="000E7AC6" w:rsidRPr="00F52682" w:rsidTr="00A0522B">
        <w:trPr>
          <w:trHeight w:val="161"/>
        </w:trPr>
        <w:tc>
          <w:tcPr>
            <w:tcW w:w="629"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Christ-Crain 2004[2]</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8.7±2.1</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9.1±2.8</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13.7±7.3</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10.8±7</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51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1388"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r>
      <w:tr w:rsidR="000E7AC6" w:rsidRPr="00F52682" w:rsidTr="00A0522B">
        <w:trPr>
          <w:trHeight w:val="278"/>
        </w:trPr>
        <w:tc>
          <w:tcPr>
            <w:tcW w:w="629"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Corti 2016[3]</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6.1±7.6</w:t>
            </w:r>
            <w:r w:rsidRPr="00FA3942">
              <w:rPr>
                <w:sz w:val="20"/>
                <w:szCs w:val="20"/>
                <w:vertAlign w:val="superscript"/>
              </w:rPr>
              <w:t>a</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9±7.6</w:t>
            </w:r>
            <w:r w:rsidRPr="00FA3942">
              <w:rPr>
                <w:sz w:val="20"/>
                <w:szCs w:val="20"/>
                <w:vertAlign w:val="superscript"/>
              </w:rPr>
              <w:t>a</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4.5±3</w:t>
            </w:r>
            <w:r w:rsidRPr="00FA3942">
              <w:rPr>
                <w:sz w:val="20"/>
                <w:szCs w:val="20"/>
                <w:vertAlign w:val="superscript"/>
              </w:rPr>
              <w:t>a</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5.1±4.6</w:t>
            </w:r>
            <w:r w:rsidRPr="00FA3942">
              <w:rPr>
                <w:sz w:val="20"/>
                <w:szCs w:val="20"/>
                <w:vertAlign w:val="superscript"/>
              </w:rPr>
              <w:t>a</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22/62</w:t>
            </w:r>
          </w:p>
        </w:tc>
        <w:tc>
          <w:tcPr>
            <w:tcW w:w="51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15/58</w:t>
            </w:r>
          </w:p>
        </w:tc>
        <w:tc>
          <w:tcPr>
            <w:tcW w:w="1388"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Readmission, ICU admission, or death, all within 28 days after inclusion</w:t>
            </w:r>
          </w:p>
        </w:tc>
      </w:tr>
      <w:tr w:rsidR="000E7AC6" w:rsidRPr="00F52682" w:rsidTr="00A0522B">
        <w:trPr>
          <w:trHeight w:val="315"/>
        </w:trPr>
        <w:tc>
          <w:tcPr>
            <w:tcW w:w="629"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Daubin 2018[4]</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7.9±8</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7.7±5.7</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18.85±18.29</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14.82±9.48</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51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1388"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r>
      <w:tr w:rsidR="000E7AC6" w:rsidRPr="00F52682" w:rsidTr="00A0522B">
        <w:trPr>
          <w:trHeight w:val="386"/>
        </w:trPr>
        <w:tc>
          <w:tcPr>
            <w:tcW w:w="629"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Huang 2018[5]</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5.3±6.1</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5.2±5.3</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5.4±4.8</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4.6±3.1</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57/265</w:t>
            </w:r>
          </w:p>
        </w:tc>
        <w:tc>
          <w:tcPr>
            <w:tcW w:w="51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53/259</w:t>
            </w:r>
          </w:p>
        </w:tc>
        <w:tc>
          <w:tcPr>
            <w:tcW w:w="1388"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Adverse outcomes that could be attributable to withholding antibiotics</w:t>
            </w:r>
          </w:p>
        </w:tc>
      </w:tr>
      <w:tr w:rsidR="000E7AC6" w:rsidRPr="00F52682" w:rsidTr="00A0522B">
        <w:trPr>
          <w:trHeight w:val="638"/>
        </w:trPr>
        <w:tc>
          <w:tcPr>
            <w:tcW w:w="629"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Liu 2015[6]</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16.06±4.73</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19.41±6.74</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10/52</w:t>
            </w:r>
          </w:p>
        </w:tc>
        <w:tc>
          <w:tcPr>
            <w:tcW w:w="51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9/56</w:t>
            </w:r>
          </w:p>
        </w:tc>
        <w:tc>
          <w:tcPr>
            <w:tcW w:w="1388"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Clinical symptoms remain or worsen, or patient switched to another antimicrobial regimen 72 hr after initial dose</w:t>
            </w:r>
          </w:p>
        </w:tc>
      </w:tr>
      <w:tr w:rsidR="000E7AC6" w:rsidRPr="00F52682" w:rsidTr="00A0522B">
        <w:trPr>
          <w:trHeight w:val="206"/>
        </w:trPr>
        <w:tc>
          <w:tcPr>
            <w:tcW w:w="629"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Medveczky 2011[7]</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51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1388"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r>
      <w:tr w:rsidR="000E7AC6" w:rsidRPr="00F52682" w:rsidTr="00A0522B">
        <w:trPr>
          <w:trHeight w:val="593"/>
        </w:trPr>
        <w:tc>
          <w:tcPr>
            <w:tcW w:w="629"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Nangia 2012[8]</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3±5.63</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10.42±5.59</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7.5±2.5</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7.3±2.3</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0/50</w:t>
            </w:r>
          </w:p>
        </w:tc>
        <w:tc>
          <w:tcPr>
            <w:tcW w:w="51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6/50</w:t>
            </w:r>
          </w:p>
        </w:tc>
        <w:tc>
          <w:tcPr>
            <w:tcW w:w="1388"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Absence of attenuation or worsening of symptoms, readmission of the patient within 21 days of index exacerbation or death</w:t>
            </w:r>
          </w:p>
        </w:tc>
      </w:tr>
      <w:tr w:rsidR="000E7AC6" w:rsidRPr="00F52682" w:rsidTr="00A0522B">
        <w:trPr>
          <w:trHeight w:val="278"/>
        </w:trPr>
        <w:tc>
          <w:tcPr>
            <w:tcW w:w="629"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Picart 2016[9]</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8.3±5.6</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8.5±5.6</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12/121</w:t>
            </w:r>
          </w:p>
        </w:tc>
        <w:tc>
          <w:tcPr>
            <w:tcW w:w="51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14/124</w:t>
            </w:r>
          </w:p>
        </w:tc>
        <w:tc>
          <w:tcPr>
            <w:tcW w:w="1388"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r>
      <w:tr w:rsidR="000E7AC6" w:rsidRPr="00F52682" w:rsidTr="00A0522B">
        <w:trPr>
          <w:trHeight w:val="278"/>
        </w:trPr>
        <w:tc>
          <w:tcPr>
            <w:tcW w:w="629"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Sabrine 2018[10]</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51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1388"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r>
      <w:tr w:rsidR="000E7AC6" w:rsidRPr="00F52682" w:rsidTr="00A0522B">
        <w:trPr>
          <w:trHeight w:val="764"/>
        </w:trPr>
        <w:tc>
          <w:tcPr>
            <w:tcW w:w="629"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Schuetz 2009[11]</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2.5±3</w:t>
            </w:r>
            <w:r w:rsidRPr="00FA3942">
              <w:rPr>
                <w:sz w:val="20"/>
                <w:szCs w:val="20"/>
                <w:vertAlign w:val="superscript"/>
              </w:rPr>
              <w:t>a</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5.1±6</w:t>
            </w:r>
            <w:r w:rsidRPr="00FA3942">
              <w:rPr>
                <w:sz w:val="20"/>
                <w:szCs w:val="20"/>
                <w:vertAlign w:val="superscript"/>
              </w:rPr>
              <w:t>a</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8.8±4.5</w:t>
            </w:r>
            <w:r w:rsidRPr="00FA3942">
              <w:rPr>
                <w:sz w:val="20"/>
                <w:szCs w:val="20"/>
                <w:vertAlign w:val="superscript"/>
              </w:rPr>
              <w:t>a</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9.2±6</w:t>
            </w:r>
            <w:r w:rsidRPr="00FA3942">
              <w:rPr>
                <w:sz w:val="20"/>
                <w:szCs w:val="20"/>
                <w:vertAlign w:val="superscript"/>
              </w:rPr>
              <w:t>a</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15/115</w:t>
            </w:r>
          </w:p>
        </w:tc>
        <w:tc>
          <w:tcPr>
            <w:tcW w:w="51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21/113</w:t>
            </w:r>
          </w:p>
        </w:tc>
        <w:tc>
          <w:tcPr>
            <w:tcW w:w="1388"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Death from any cause, ICU admission for any reason, disease-specific complications, and recurrence of LRTI in need of antibiotics within 30 days of ED admission</w:t>
            </w:r>
          </w:p>
        </w:tc>
      </w:tr>
      <w:tr w:rsidR="000E7AC6" w:rsidRPr="00F52682" w:rsidTr="00A0522B">
        <w:trPr>
          <w:trHeight w:val="458"/>
        </w:trPr>
        <w:tc>
          <w:tcPr>
            <w:tcW w:w="629"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Stolz 2007[12]</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8.3±10.5</w:t>
            </w:r>
            <w:r w:rsidRPr="00FA3942">
              <w:rPr>
                <w:sz w:val="20"/>
                <w:szCs w:val="20"/>
                <w:vertAlign w:val="superscript"/>
              </w:rPr>
              <w:t>a</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8.6±10.5</w:t>
            </w:r>
            <w:r w:rsidRPr="00FA3942">
              <w:rPr>
                <w:sz w:val="20"/>
                <w:szCs w:val="20"/>
                <w:vertAlign w:val="superscript"/>
              </w:rPr>
              <w:t>a</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18/102</w:t>
            </w:r>
          </w:p>
        </w:tc>
        <w:tc>
          <w:tcPr>
            <w:tcW w:w="51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17/106</w:t>
            </w:r>
          </w:p>
        </w:tc>
        <w:tc>
          <w:tcPr>
            <w:tcW w:w="1388"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The absence of the attenuation</w:t>
            </w:r>
            <w:r w:rsidRPr="00FA3942">
              <w:rPr>
                <w:sz w:val="20"/>
                <w:szCs w:val="20"/>
              </w:rPr>
              <w:br/>
              <w:t>of symptom, the worsening of symptoms, or death at 14-21 days follow-up visit</w:t>
            </w:r>
          </w:p>
        </w:tc>
      </w:tr>
      <w:tr w:rsidR="000E7AC6" w:rsidRPr="00F52682" w:rsidTr="00A0522B">
        <w:trPr>
          <w:trHeight w:val="458"/>
        </w:trPr>
        <w:tc>
          <w:tcPr>
            <w:tcW w:w="629" w:type="pct"/>
            <w:tcBorders>
              <w:top w:val="nil"/>
              <w:left w:val="single" w:sz="4" w:space="0" w:color="auto"/>
              <w:bottom w:val="single" w:sz="4" w:space="0" w:color="auto"/>
              <w:right w:val="single" w:sz="4" w:space="0" w:color="auto"/>
            </w:tcBorders>
            <w:shd w:val="clear" w:color="auto" w:fill="auto"/>
          </w:tcPr>
          <w:p w:rsidR="000E7AC6" w:rsidRPr="00FA3942" w:rsidRDefault="000E7AC6" w:rsidP="00A0522B">
            <w:pPr>
              <w:spacing w:line="480" w:lineRule="auto"/>
              <w:rPr>
                <w:sz w:val="20"/>
                <w:szCs w:val="20"/>
              </w:rPr>
            </w:pPr>
            <w:r w:rsidRPr="00FA3942">
              <w:rPr>
                <w:sz w:val="20"/>
                <w:szCs w:val="20"/>
              </w:rPr>
              <w:t>Townsend 2018[13]</w:t>
            </w:r>
          </w:p>
        </w:tc>
        <w:tc>
          <w:tcPr>
            <w:tcW w:w="49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3±0.74</w:t>
            </w:r>
            <w:r w:rsidRPr="00FA3942">
              <w:rPr>
                <w:sz w:val="20"/>
                <w:szCs w:val="20"/>
                <w:vertAlign w:val="superscript"/>
              </w:rPr>
              <w:t>a</w:t>
            </w:r>
          </w:p>
        </w:tc>
        <w:tc>
          <w:tcPr>
            <w:tcW w:w="491"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vertAlign w:val="superscript"/>
              </w:rPr>
            </w:pPr>
            <w:r w:rsidRPr="00FA3942">
              <w:rPr>
                <w:sz w:val="20"/>
                <w:szCs w:val="20"/>
              </w:rPr>
              <w:t>4±2.22</w:t>
            </w:r>
            <w:r w:rsidRPr="00FA3942">
              <w:rPr>
                <w:sz w:val="20"/>
                <w:szCs w:val="20"/>
                <w:vertAlign w:val="superscript"/>
              </w:rPr>
              <w:t>a</w:t>
            </w:r>
          </w:p>
        </w:tc>
        <w:tc>
          <w:tcPr>
            <w:tcW w:w="49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vertAlign w:val="superscript"/>
              </w:rPr>
            </w:pPr>
            <w:r w:rsidRPr="00FA3942">
              <w:rPr>
                <w:sz w:val="20"/>
                <w:szCs w:val="20"/>
              </w:rPr>
              <w:t>4±2.22</w:t>
            </w:r>
            <w:r w:rsidRPr="00FA3942">
              <w:rPr>
                <w:sz w:val="20"/>
                <w:szCs w:val="20"/>
                <w:vertAlign w:val="superscript"/>
              </w:rPr>
              <w:t>a</w:t>
            </w:r>
          </w:p>
        </w:tc>
        <w:tc>
          <w:tcPr>
            <w:tcW w:w="491"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vertAlign w:val="superscript"/>
              </w:rPr>
            </w:pPr>
            <w:r w:rsidRPr="00FA3942">
              <w:rPr>
                <w:sz w:val="20"/>
                <w:szCs w:val="20"/>
              </w:rPr>
              <w:t>3±2.97</w:t>
            </w:r>
            <w:r w:rsidRPr="00FA3942">
              <w:rPr>
                <w:sz w:val="20"/>
                <w:szCs w:val="20"/>
                <w:vertAlign w:val="superscript"/>
              </w:rPr>
              <w:t>a</w:t>
            </w:r>
          </w:p>
        </w:tc>
        <w:tc>
          <w:tcPr>
            <w:tcW w:w="49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6/36</w:t>
            </w:r>
          </w:p>
        </w:tc>
        <w:tc>
          <w:tcPr>
            <w:tcW w:w="51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14/64</w:t>
            </w:r>
          </w:p>
        </w:tc>
        <w:tc>
          <w:tcPr>
            <w:tcW w:w="1388" w:type="pct"/>
            <w:tcBorders>
              <w:top w:val="nil"/>
              <w:left w:val="nil"/>
              <w:bottom w:val="single" w:sz="4" w:space="0" w:color="auto"/>
              <w:right w:val="single" w:sz="4" w:space="0" w:color="auto"/>
            </w:tcBorders>
            <w:shd w:val="clear" w:color="auto" w:fill="auto"/>
          </w:tcPr>
          <w:p w:rsidR="000E7AC6" w:rsidRPr="00FA3942" w:rsidRDefault="000E7AC6" w:rsidP="00A0522B">
            <w:pPr>
              <w:autoSpaceDE w:val="0"/>
              <w:autoSpaceDN w:val="0"/>
              <w:adjustRightInd w:val="0"/>
              <w:spacing w:line="480" w:lineRule="auto"/>
              <w:rPr>
                <w:sz w:val="20"/>
                <w:szCs w:val="20"/>
              </w:rPr>
            </w:pPr>
            <w:r w:rsidRPr="00FA3942">
              <w:rPr>
                <w:sz w:val="20"/>
                <w:szCs w:val="20"/>
              </w:rPr>
              <w:t>New antibiotic prescription for LRTI, transfer to an ICU, death, antibiotic side effects, disease-specific, and Clostridium difficile infection.</w:t>
            </w:r>
          </w:p>
        </w:tc>
      </w:tr>
      <w:tr w:rsidR="000E7AC6" w:rsidRPr="00F52682" w:rsidTr="00A0522B">
        <w:trPr>
          <w:trHeight w:val="395"/>
        </w:trPr>
        <w:tc>
          <w:tcPr>
            <w:tcW w:w="629"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Verduri 2015[14]</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5.4±2.3</w:t>
            </w:r>
            <w:r w:rsidRPr="00FA3942">
              <w:rPr>
                <w:sz w:val="20"/>
                <w:szCs w:val="20"/>
                <w:vertAlign w:val="superscript"/>
              </w:rPr>
              <w:t>a</w:t>
            </w:r>
          </w:p>
        </w:tc>
        <w:tc>
          <w:tcPr>
            <w:tcW w:w="491"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5.4±2.3</w:t>
            </w:r>
            <w:r w:rsidRPr="00FA3942">
              <w:rPr>
                <w:sz w:val="20"/>
                <w:szCs w:val="20"/>
                <w:vertAlign w:val="superscript"/>
              </w:rPr>
              <w:t>a</w:t>
            </w:r>
          </w:p>
        </w:tc>
        <w:tc>
          <w:tcPr>
            <w:tcW w:w="49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30/88</w:t>
            </w:r>
          </w:p>
        </w:tc>
        <w:tc>
          <w:tcPr>
            <w:tcW w:w="51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39/90</w:t>
            </w:r>
          </w:p>
        </w:tc>
        <w:tc>
          <w:tcPr>
            <w:tcW w:w="1388"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Lack of resolution, lack of attenuation of signs and symptoms, worsening of signs and symptoms, or death</w:t>
            </w:r>
          </w:p>
        </w:tc>
      </w:tr>
    </w:tbl>
    <w:p w:rsidR="000E7AC6" w:rsidRPr="00FA3942" w:rsidRDefault="000E7AC6" w:rsidP="000E7AC6">
      <w:pPr>
        <w:spacing w:line="480" w:lineRule="auto"/>
        <w:rPr>
          <w:sz w:val="20"/>
          <w:szCs w:val="20"/>
        </w:rPr>
      </w:pPr>
      <w:r w:rsidRPr="00FA3942">
        <w:rPr>
          <w:sz w:val="20"/>
          <w:szCs w:val="20"/>
        </w:rPr>
        <w:t>NR: Not reported; ICU: Intensive Care Units; ED: Emergency Department; LRTI: Lower respiratory tract infection</w:t>
      </w:r>
    </w:p>
    <w:p w:rsidR="000E7AC6" w:rsidRPr="00FA3942" w:rsidRDefault="000E7AC6" w:rsidP="000E7AC6">
      <w:pPr>
        <w:spacing w:line="480" w:lineRule="auto"/>
        <w:rPr>
          <w:sz w:val="20"/>
          <w:szCs w:val="20"/>
        </w:rPr>
      </w:pPr>
      <w:r w:rsidRPr="00FA3942">
        <w:rPr>
          <w:sz w:val="20"/>
          <w:szCs w:val="20"/>
          <w:vertAlign w:val="superscript"/>
        </w:rPr>
        <w:t>a</w:t>
      </w:r>
      <w:r w:rsidRPr="00FA3942">
        <w:rPr>
          <w:sz w:val="20"/>
          <w:szCs w:val="20"/>
        </w:rPr>
        <w:t>Converted from median and/or interquartile</w:t>
      </w:r>
    </w:p>
    <w:tbl>
      <w:tblPr>
        <w:tblW w:w="5002" w:type="pct"/>
        <w:tblLayout w:type="fixed"/>
        <w:tblLook w:val="04A0" w:firstRow="1" w:lastRow="0" w:firstColumn="1" w:lastColumn="0" w:noHBand="0" w:noVBand="1"/>
      </w:tblPr>
      <w:tblGrid>
        <w:gridCol w:w="1302"/>
        <w:gridCol w:w="989"/>
        <w:gridCol w:w="989"/>
        <w:gridCol w:w="991"/>
        <w:gridCol w:w="989"/>
        <w:gridCol w:w="989"/>
        <w:gridCol w:w="991"/>
        <w:gridCol w:w="989"/>
        <w:gridCol w:w="989"/>
        <w:gridCol w:w="991"/>
        <w:gridCol w:w="989"/>
        <w:gridCol w:w="989"/>
        <w:gridCol w:w="994"/>
      </w:tblGrid>
      <w:tr w:rsidR="000E7AC6" w:rsidRPr="00F52682" w:rsidTr="00A0522B">
        <w:trPr>
          <w:trHeight w:val="555"/>
        </w:trPr>
        <w:tc>
          <w:tcPr>
            <w:tcW w:w="49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References</w:t>
            </w:r>
          </w:p>
        </w:tc>
        <w:tc>
          <w:tcPr>
            <w:tcW w:w="1126" w:type="pct"/>
            <w:gridSpan w:val="3"/>
            <w:tcBorders>
              <w:top w:val="single" w:sz="4" w:space="0" w:color="auto"/>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All-cause mortality</w:t>
            </w:r>
          </w:p>
        </w:tc>
        <w:tc>
          <w:tcPr>
            <w:tcW w:w="1126" w:type="pct"/>
            <w:gridSpan w:val="3"/>
            <w:tcBorders>
              <w:top w:val="single" w:sz="4" w:space="0" w:color="auto"/>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Respiratory-related mortality</w:t>
            </w:r>
          </w:p>
        </w:tc>
        <w:tc>
          <w:tcPr>
            <w:tcW w:w="1126" w:type="pct"/>
            <w:gridSpan w:val="3"/>
            <w:tcBorders>
              <w:top w:val="single" w:sz="4" w:space="0" w:color="auto"/>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 xml:space="preserve">All-cause readmission rate </w:t>
            </w:r>
          </w:p>
        </w:tc>
        <w:tc>
          <w:tcPr>
            <w:tcW w:w="1127" w:type="pct"/>
            <w:gridSpan w:val="3"/>
            <w:tcBorders>
              <w:top w:val="single" w:sz="4" w:space="0" w:color="auto"/>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Respiratory-related readmission rate</w:t>
            </w:r>
          </w:p>
        </w:tc>
      </w:tr>
      <w:tr w:rsidR="000E7AC6" w:rsidRPr="00F52682" w:rsidTr="00A0522B">
        <w:trPr>
          <w:trHeight w:val="263"/>
        </w:trPr>
        <w:tc>
          <w:tcPr>
            <w:tcW w:w="49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7AC6" w:rsidRPr="00FA3942" w:rsidRDefault="000E7AC6" w:rsidP="00A0522B">
            <w:pPr>
              <w:spacing w:line="480" w:lineRule="auto"/>
              <w:rPr>
                <w:b/>
                <w:bCs/>
                <w:sz w:val="20"/>
                <w:szCs w:val="20"/>
              </w:rPr>
            </w:pP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Intervention</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Comparison</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Follow up</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Intervention</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Comparison</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Follow up</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Intervention</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Comparison</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Follow up</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Intervention</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Comparison</w:t>
            </w:r>
          </w:p>
        </w:tc>
        <w:tc>
          <w:tcPr>
            <w:tcW w:w="376"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b/>
                <w:bCs/>
                <w:sz w:val="20"/>
                <w:szCs w:val="20"/>
              </w:rPr>
            </w:pPr>
            <w:r w:rsidRPr="00FA3942">
              <w:rPr>
                <w:b/>
                <w:bCs/>
                <w:sz w:val="20"/>
                <w:szCs w:val="20"/>
              </w:rPr>
              <w:t>Follow up</w:t>
            </w:r>
          </w:p>
        </w:tc>
      </w:tr>
      <w:tr w:rsidR="000E7AC6" w:rsidRPr="00F52682" w:rsidTr="00A0522B">
        <w:trPr>
          <w:trHeight w:val="278"/>
        </w:trPr>
        <w:tc>
          <w:tcPr>
            <w:tcW w:w="494"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Bremmer 2018[1]</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0/139</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0/166</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30 days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0/139</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0/166</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30 days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23/139</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24/166</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30 days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13/139</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18/166</w:t>
            </w:r>
          </w:p>
        </w:tc>
        <w:tc>
          <w:tcPr>
            <w:tcW w:w="376"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30 days</w:t>
            </w:r>
          </w:p>
        </w:tc>
      </w:tr>
      <w:tr w:rsidR="000E7AC6" w:rsidRPr="00F52682" w:rsidTr="00A0522B">
        <w:trPr>
          <w:trHeight w:val="476"/>
        </w:trPr>
        <w:tc>
          <w:tcPr>
            <w:tcW w:w="494"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Christ-Crain 2004[2]</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5/29</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4/31</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5.3 months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6"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r>
      <w:tr w:rsidR="000E7AC6" w:rsidRPr="00F52682" w:rsidTr="00A0522B">
        <w:trPr>
          <w:trHeight w:val="40"/>
        </w:trPr>
        <w:tc>
          <w:tcPr>
            <w:tcW w:w="494"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Corti 2016[3]</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1/62</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2/58</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28 days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1/62</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1/58</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28 days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21/62</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13/58</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28 days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12/62</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12/58</w:t>
            </w:r>
          </w:p>
        </w:tc>
        <w:tc>
          <w:tcPr>
            <w:tcW w:w="376"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28 days</w:t>
            </w:r>
          </w:p>
        </w:tc>
      </w:tr>
      <w:tr w:rsidR="000E7AC6" w:rsidRPr="00F52682" w:rsidTr="00A0522B">
        <w:trPr>
          <w:trHeight w:val="116"/>
        </w:trPr>
        <w:tc>
          <w:tcPr>
            <w:tcW w:w="494"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Daubin 2018[4]</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30/151</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21/151</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 months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24/151</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24/151</w:t>
            </w:r>
          </w:p>
        </w:tc>
        <w:tc>
          <w:tcPr>
            <w:tcW w:w="376"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 months</w:t>
            </w:r>
          </w:p>
        </w:tc>
      </w:tr>
      <w:tr w:rsidR="000E7AC6" w:rsidRPr="00F52682" w:rsidTr="00A0522B">
        <w:trPr>
          <w:trHeight w:val="40"/>
        </w:trPr>
        <w:tc>
          <w:tcPr>
            <w:tcW w:w="494"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Huang 2018[5]</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7/265</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3/259</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30 days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38/265</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37/259</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30 days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6"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r>
      <w:tr w:rsidR="000E7AC6" w:rsidRPr="00F52682" w:rsidTr="00A0522B">
        <w:trPr>
          <w:trHeight w:val="116"/>
        </w:trPr>
        <w:tc>
          <w:tcPr>
            <w:tcW w:w="494"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Liu 2015[6]</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1/44</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0/46</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6 months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0/44</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0/46</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6 months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6"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r>
      <w:tr w:rsidR="000E7AC6" w:rsidRPr="00F52682" w:rsidTr="00A0522B">
        <w:trPr>
          <w:trHeight w:val="233"/>
        </w:trPr>
        <w:tc>
          <w:tcPr>
            <w:tcW w:w="494"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Medveczky 2011[7]</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1/10</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2/20</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6"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r>
      <w:tr w:rsidR="000E7AC6" w:rsidRPr="00F52682" w:rsidTr="00A0522B">
        <w:trPr>
          <w:trHeight w:val="40"/>
        </w:trPr>
        <w:tc>
          <w:tcPr>
            <w:tcW w:w="494"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Nangia 2012[8]</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1/50</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2/50</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21 days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1/50</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2/50</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21 days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1/50</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7/50</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6 months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6"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r>
      <w:tr w:rsidR="000E7AC6" w:rsidRPr="00F52682" w:rsidTr="00A0522B">
        <w:trPr>
          <w:trHeight w:val="278"/>
        </w:trPr>
        <w:tc>
          <w:tcPr>
            <w:tcW w:w="494"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Picart 2016[9]</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7/121</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6/124</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30 days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32/121</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26/124</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30 days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6"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r>
      <w:tr w:rsidR="000E7AC6" w:rsidRPr="00F52682" w:rsidTr="00A0522B">
        <w:trPr>
          <w:trHeight w:val="278"/>
        </w:trPr>
        <w:tc>
          <w:tcPr>
            <w:tcW w:w="494"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Sabrine 2018[10]</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8/41</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5/52</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7/41</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20/52</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90 days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6"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 </w:t>
            </w:r>
          </w:p>
        </w:tc>
      </w:tr>
      <w:tr w:rsidR="000E7AC6" w:rsidRPr="00F52682" w:rsidTr="00A0522B">
        <w:trPr>
          <w:trHeight w:val="40"/>
        </w:trPr>
        <w:tc>
          <w:tcPr>
            <w:tcW w:w="494"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Schuetz 2009[11]</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4/115</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5/113</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30 days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6"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r>
      <w:tr w:rsidR="000E7AC6" w:rsidRPr="00F52682" w:rsidTr="00A0522B">
        <w:trPr>
          <w:trHeight w:val="98"/>
        </w:trPr>
        <w:tc>
          <w:tcPr>
            <w:tcW w:w="494" w:type="pct"/>
            <w:tcBorders>
              <w:top w:val="nil"/>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Stolz 2007[12]</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5/102</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9/106</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6 months</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18/102</w:t>
            </w:r>
          </w:p>
        </w:tc>
        <w:tc>
          <w:tcPr>
            <w:tcW w:w="375"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22/106</w:t>
            </w:r>
          </w:p>
        </w:tc>
        <w:tc>
          <w:tcPr>
            <w:tcW w:w="376" w:type="pct"/>
            <w:tcBorders>
              <w:top w:val="nil"/>
              <w:left w:val="nil"/>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6 months</w:t>
            </w:r>
          </w:p>
        </w:tc>
      </w:tr>
      <w:tr w:rsidR="000E7AC6" w:rsidRPr="00F52682" w:rsidTr="00A0522B">
        <w:trPr>
          <w:trHeight w:val="98"/>
        </w:trPr>
        <w:tc>
          <w:tcPr>
            <w:tcW w:w="494" w:type="pct"/>
            <w:tcBorders>
              <w:top w:val="nil"/>
              <w:left w:val="single" w:sz="4" w:space="0" w:color="auto"/>
              <w:bottom w:val="single" w:sz="4" w:space="0" w:color="auto"/>
              <w:right w:val="single" w:sz="4" w:space="0" w:color="auto"/>
            </w:tcBorders>
            <w:shd w:val="clear" w:color="auto" w:fill="auto"/>
          </w:tcPr>
          <w:p w:rsidR="000E7AC6" w:rsidRPr="00FA3942" w:rsidRDefault="000E7AC6" w:rsidP="00A0522B">
            <w:pPr>
              <w:spacing w:line="480" w:lineRule="auto"/>
              <w:rPr>
                <w:sz w:val="20"/>
                <w:szCs w:val="20"/>
              </w:rPr>
            </w:pPr>
            <w:r w:rsidRPr="00FA3942">
              <w:rPr>
                <w:sz w:val="20"/>
                <w:szCs w:val="20"/>
              </w:rPr>
              <w:t>Townsend 2018[13]</w:t>
            </w:r>
          </w:p>
        </w:tc>
        <w:tc>
          <w:tcPr>
            <w:tcW w:w="37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1/36</w:t>
            </w:r>
          </w:p>
        </w:tc>
        <w:tc>
          <w:tcPr>
            <w:tcW w:w="37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2/64</w:t>
            </w:r>
          </w:p>
        </w:tc>
        <w:tc>
          <w:tcPr>
            <w:tcW w:w="37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30 days</w:t>
            </w:r>
          </w:p>
        </w:tc>
        <w:tc>
          <w:tcPr>
            <w:tcW w:w="37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10/36</w:t>
            </w:r>
          </w:p>
        </w:tc>
        <w:tc>
          <w:tcPr>
            <w:tcW w:w="37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21/64</w:t>
            </w:r>
          </w:p>
        </w:tc>
        <w:tc>
          <w:tcPr>
            <w:tcW w:w="37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30 days</w:t>
            </w:r>
          </w:p>
        </w:tc>
        <w:tc>
          <w:tcPr>
            <w:tcW w:w="37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NR</w:t>
            </w:r>
          </w:p>
        </w:tc>
        <w:tc>
          <w:tcPr>
            <w:tcW w:w="376" w:type="pct"/>
            <w:tcBorders>
              <w:top w:val="nil"/>
              <w:left w:val="nil"/>
              <w:bottom w:val="single" w:sz="4" w:space="0" w:color="auto"/>
              <w:right w:val="single" w:sz="4" w:space="0" w:color="auto"/>
            </w:tcBorders>
            <w:shd w:val="clear" w:color="auto" w:fill="auto"/>
          </w:tcPr>
          <w:p w:rsidR="000E7AC6" w:rsidRPr="00FA3942" w:rsidRDefault="000E7AC6" w:rsidP="00A0522B">
            <w:pPr>
              <w:spacing w:line="480" w:lineRule="auto"/>
              <w:jc w:val="center"/>
              <w:rPr>
                <w:sz w:val="20"/>
                <w:szCs w:val="20"/>
              </w:rPr>
            </w:pPr>
            <w:r w:rsidRPr="00FA3942">
              <w:rPr>
                <w:sz w:val="20"/>
                <w:szCs w:val="20"/>
              </w:rPr>
              <w:t>NR</w:t>
            </w:r>
          </w:p>
        </w:tc>
      </w:tr>
      <w:tr w:rsidR="000E7AC6" w:rsidRPr="00F52682" w:rsidTr="00A0522B">
        <w:trPr>
          <w:trHeight w:val="40"/>
        </w:trPr>
        <w:tc>
          <w:tcPr>
            <w:tcW w:w="494" w:type="pc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rPr>
                <w:sz w:val="20"/>
                <w:szCs w:val="20"/>
              </w:rPr>
            </w:pPr>
            <w:r w:rsidRPr="00FA3942">
              <w:rPr>
                <w:sz w:val="20"/>
                <w:szCs w:val="20"/>
              </w:rPr>
              <w:t>Verduri 2015[14]</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3/88</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2/90</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6 months</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NR</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15/88</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10/90</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6 months</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13/88</w:t>
            </w:r>
          </w:p>
        </w:tc>
        <w:tc>
          <w:tcPr>
            <w:tcW w:w="375" w:type="pc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8/90</w:t>
            </w:r>
          </w:p>
        </w:tc>
        <w:tc>
          <w:tcPr>
            <w:tcW w:w="376" w:type="pct"/>
            <w:tcBorders>
              <w:top w:val="single" w:sz="4" w:space="0" w:color="auto"/>
              <w:left w:val="single" w:sz="4" w:space="0" w:color="auto"/>
              <w:bottom w:val="single" w:sz="4" w:space="0" w:color="auto"/>
              <w:right w:val="single" w:sz="4" w:space="0" w:color="auto"/>
            </w:tcBorders>
            <w:shd w:val="clear" w:color="auto" w:fill="auto"/>
            <w:hideMark/>
          </w:tcPr>
          <w:p w:rsidR="000E7AC6" w:rsidRPr="00FA3942" w:rsidRDefault="000E7AC6" w:rsidP="00A0522B">
            <w:pPr>
              <w:spacing w:line="480" w:lineRule="auto"/>
              <w:jc w:val="center"/>
              <w:rPr>
                <w:sz w:val="20"/>
                <w:szCs w:val="20"/>
              </w:rPr>
            </w:pPr>
            <w:r w:rsidRPr="00FA3942">
              <w:rPr>
                <w:sz w:val="20"/>
                <w:szCs w:val="20"/>
              </w:rPr>
              <w:t>6 months</w:t>
            </w:r>
          </w:p>
        </w:tc>
      </w:tr>
    </w:tbl>
    <w:p w:rsidR="000E7AC6" w:rsidRPr="00F52682" w:rsidRDefault="000E7AC6" w:rsidP="000E7AC6">
      <w:pPr>
        <w:spacing w:line="480" w:lineRule="auto"/>
        <w:rPr>
          <w:sz w:val="20"/>
        </w:rPr>
      </w:pPr>
      <w:r w:rsidRPr="00F52682">
        <w:rPr>
          <w:sz w:val="20"/>
        </w:rPr>
        <w:t>NR: Not reported</w:t>
      </w:r>
    </w:p>
    <w:p w:rsidR="000E7AC6" w:rsidRPr="00F52682" w:rsidRDefault="000E7AC6" w:rsidP="000E7AC6">
      <w:pPr>
        <w:spacing w:line="480" w:lineRule="auto"/>
        <w:rPr>
          <w:sz w:val="20"/>
        </w:rPr>
      </w:pPr>
    </w:p>
    <w:p w:rsidR="000E7AC6" w:rsidRPr="00F52682" w:rsidRDefault="000E7AC6" w:rsidP="000E7AC6">
      <w:pPr>
        <w:spacing w:line="480" w:lineRule="auto"/>
        <w:rPr>
          <w:b/>
        </w:rPr>
      </w:pPr>
      <w:r w:rsidRPr="00F52682">
        <w:rPr>
          <w:b/>
        </w:rPr>
        <w:t>Reference:</w:t>
      </w:r>
    </w:p>
    <w:p w:rsidR="000E7AC6" w:rsidRPr="00F52682" w:rsidRDefault="000E7AC6" w:rsidP="000E7AC6">
      <w:pPr>
        <w:pStyle w:val="EndNoteBibliography"/>
        <w:spacing w:line="480" w:lineRule="auto"/>
        <w:ind w:left="720" w:hanging="720"/>
      </w:pPr>
      <w:r w:rsidRPr="00F52682">
        <w:t>1.</w:t>
      </w:r>
      <w:r w:rsidRPr="00F52682">
        <w:tab/>
        <w:t>Bremmer DN, DiSilvio BE, Hammer C, et al. Impact of procalcitonin guidance on management of adults hospitalized with chronic obstructive pulmonary disease exacerbations. Journal of General Internal Medicine. 2018;33(5):692-697.</w:t>
      </w:r>
    </w:p>
    <w:p w:rsidR="000E7AC6" w:rsidRPr="00F52682" w:rsidRDefault="000E7AC6" w:rsidP="000E7AC6">
      <w:pPr>
        <w:pStyle w:val="EndNoteBibliography"/>
        <w:spacing w:line="480" w:lineRule="auto"/>
        <w:ind w:left="720" w:hanging="720"/>
      </w:pPr>
      <w:r w:rsidRPr="00F52682">
        <w:t>2.</w:t>
      </w:r>
      <w:r w:rsidRPr="00F52682">
        <w:tab/>
        <w:t>Christ-Crain M, Jaccard-Stolz D, Bingisser R, et al. Effect of procalcitonin-guided treatment on antibiotic use and outcome in lower respiratory tract infections: cluster-randomised, single-blinded intervention trial. Lancet. 2004;363(9409):600-607.</w:t>
      </w:r>
    </w:p>
    <w:p w:rsidR="000E7AC6" w:rsidRPr="00F52682" w:rsidRDefault="000E7AC6" w:rsidP="000E7AC6">
      <w:pPr>
        <w:pStyle w:val="EndNoteBibliography"/>
        <w:spacing w:line="480" w:lineRule="auto"/>
        <w:ind w:left="720" w:hanging="720"/>
      </w:pPr>
      <w:r w:rsidRPr="00F52682">
        <w:t>3.</w:t>
      </w:r>
      <w:r w:rsidRPr="00F52682">
        <w:tab/>
        <w:t>Corti C, Fally M, Fabricius-Bjerre A, et al. Point-of-care procalcitonin test to reduce antibiotic exposure in patients hospitalized with acute exacerbation of COPD. International Journal of Chronic Obstructive Pulmonary Disease. 2016;11:1381-1389.</w:t>
      </w:r>
    </w:p>
    <w:p w:rsidR="000E7AC6" w:rsidRPr="00F52682" w:rsidRDefault="000E7AC6" w:rsidP="000E7AC6">
      <w:pPr>
        <w:pStyle w:val="EndNoteBibliography"/>
        <w:spacing w:line="480" w:lineRule="auto"/>
        <w:ind w:left="720" w:hanging="720"/>
      </w:pPr>
      <w:r w:rsidRPr="00F52682">
        <w:t>4.</w:t>
      </w:r>
      <w:r w:rsidRPr="00F52682">
        <w:tab/>
        <w:t>Daubin C, Valette X, Thiolliere F, et al. Procalcitonin algorithm to guide initial antibiotic therapy in acute exacerbations of COPD admitted to the ICU: a randomized multicenter study. Intensive Care Medicine. 2018;44(4):428-437.</w:t>
      </w:r>
    </w:p>
    <w:p w:rsidR="000E7AC6" w:rsidRPr="00F52682" w:rsidRDefault="000E7AC6" w:rsidP="000E7AC6">
      <w:pPr>
        <w:pStyle w:val="EndNoteBibliography"/>
        <w:spacing w:line="480" w:lineRule="auto"/>
        <w:ind w:left="720" w:hanging="720"/>
      </w:pPr>
      <w:r w:rsidRPr="00F52682">
        <w:t>5.</w:t>
      </w:r>
      <w:r w:rsidRPr="00F52682">
        <w:tab/>
        <w:t>Huang DT, Yealy DM, Filbin MR, et al. Procalcitonin-guided use of antibiotics for lower respiratory tract infection. The New England Journal of Medicine. 2018;379(3):236-249.</w:t>
      </w:r>
    </w:p>
    <w:p w:rsidR="000E7AC6" w:rsidRPr="00F52682" w:rsidRDefault="000E7AC6" w:rsidP="000E7AC6">
      <w:pPr>
        <w:pStyle w:val="EndNoteBibliography"/>
        <w:spacing w:line="480" w:lineRule="auto"/>
        <w:ind w:left="720" w:hanging="720"/>
      </w:pPr>
      <w:r w:rsidRPr="00F52682">
        <w:t>6.</w:t>
      </w:r>
      <w:r w:rsidRPr="00F52682">
        <w:tab/>
        <w:t>Liu SS, Zhang YB. The value of serum procalcitonin level in guiding the use of antibiotic in patients with acute exacerbation of chronic obstructive pulmonary disease. Chinese Journal of Antibiotics. 2015;40(6):459-463.</w:t>
      </w:r>
    </w:p>
    <w:p w:rsidR="000E7AC6" w:rsidRPr="00F52682" w:rsidRDefault="000E7AC6" w:rsidP="000E7AC6">
      <w:pPr>
        <w:pStyle w:val="EndNoteBibliography"/>
        <w:spacing w:line="480" w:lineRule="auto"/>
        <w:ind w:left="720" w:hanging="720"/>
      </w:pPr>
      <w:r w:rsidRPr="00F52682">
        <w:t>7.</w:t>
      </w:r>
      <w:r w:rsidRPr="00F52682">
        <w:tab/>
        <w:t>Medveczky T, Jackson M. Procalcitonin use in acute exacerbations of COPD. Paper presented at: European Respiratory Society Annual Congress; 2011 Sep 24-28; Amsterdam, Netherlands.</w:t>
      </w:r>
    </w:p>
    <w:p w:rsidR="000E7AC6" w:rsidRPr="00F52682" w:rsidRDefault="000E7AC6" w:rsidP="000E7AC6">
      <w:pPr>
        <w:pStyle w:val="EndNoteBibliography"/>
        <w:spacing w:line="480" w:lineRule="auto"/>
        <w:ind w:left="720" w:hanging="720"/>
      </w:pPr>
      <w:r w:rsidRPr="00F52682">
        <w:t>8.</w:t>
      </w:r>
      <w:r w:rsidRPr="00F52682">
        <w:tab/>
        <w:t>Nangia V, Gandhi K. Use of procalcitonin to guide the antibiotic therapy in patients with an acute exacerbation of COPD in a resource-limited setting: A case-control study. Paper presented at: 22nd European Congress of Clinical Microbiology and Infectious Diseases; 2012 Mar 31-Apr 3; London, United Kindom.</w:t>
      </w:r>
    </w:p>
    <w:p w:rsidR="000E7AC6" w:rsidRPr="00F52682" w:rsidRDefault="000E7AC6" w:rsidP="000E7AC6">
      <w:pPr>
        <w:pStyle w:val="EndNoteBibliography"/>
        <w:spacing w:line="480" w:lineRule="auto"/>
        <w:ind w:left="720" w:hanging="720"/>
      </w:pPr>
      <w:r w:rsidRPr="00F52682">
        <w:t>9.</w:t>
      </w:r>
      <w:r w:rsidRPr="00F52682">
        <w:tab/>
        <w:t>Picart J, Moiton MP, Gauzere BA, et al. Introduction of a PCT-based algorithm to guide antibiotic prescription in COPD exacerbation. Medecine et Maladies Infectieuses. 2016;46(8):429-435.</w:t>
      </w:r>
    </w:p>
    <w:p w:rsidR="000E7AC6" w:rsidRPr="00F52682" w:rsidRDefault="000E7AC6" w:rsidP="000E7AC6">
      <w:pPr>
        <w:pStyle w:val="EndNoteBibliography"/>
        <w:spacing w:line="480" w:lineRule="auto"/>
        <w:ind w:left="720" w:hanging="720"/>
      </w:pPr>
      <w:r w:rsidRPr="00F52682">
        <w:t>10.</w:t>
      </w:r>
      <w:r w:rsidRPr="00F52682">
        <w:tab/>
        <w:t>Sabrine N, Nejla T, Habiba S, et al. Procalcitonin guided antibiotic therapy during severe acute exacerbation of chronic obstructive pulmonary disease requiring mechanical ventilation: a before after study. Paper presented at: French Intensive Care Society, International Congress; 2018 Jan 24-26; Paris, France.</w:t>
      </w:r>
    </w:p>
    <w:p w:rsidR="000E7AC6" w:rsidRPr="00F52682" w:rsidRDefault="000E7AC6" w:rsidP="000E7AC6">
      <w:pPr>
        <w:pStyle w:val="EndNoteBibliography"/>
        <w:spacing w:line="480" w:lineRule="auto"/>
        <w:ind w:left="720" w:hanging="720"/>
      </w:pPr>
      <w:r w:rsidRPr="00F52682">
        <w:t>11.</w:t>
      </w:r>
      <w:r w:rsidRPr="00F52682">
        <w:tab/>
        <w:t>Schuetz P, Christ-Crain M, Thomann R, et al. Effect of procalcitonin-based guidelines vs standard guidelines on antibiotic use in lower respiratory tract infections: the ProHOSP randomized controlled trial. Jama. 2009;302(10):1059-1066.</w:t>
      </w:r>
    </w:p>
    <w:p w:rsidR="000E7AC6" w:rsidRPr="00F52682" w:rsidRDefault="000E7AC6" w:rsidP="000E7AC6">
      <w:pPr>
        <w:pStyle w:val="EndNoteBibliography"/>
        <w:spacing w:line="480" w:lineRule="auto"/>
        <w:ind w:left="720" w:hanging="720"/>
      </w:pPr>
      <w:r w:rsidRPr="00F52682">
        <w:t>12.</w:t>
      </w:r>
      <w:r w:rsidRPr="00F52682">
        <w:tab/>
        <w:t>Stolz D, Christ-Crain M, Bingisser R, et al. Antibiotic treatment of exacerbations of COPD: a randomized, controlled trial comparing procalcitonin-guidance with standard therapy. Chest. 2007;131(1):9-19.</w:t>
      </w:r>
    </w:p>
    <w:p w:rsidR="000E7AC6" w:rsidRPr="00F52682" w:rsidRDefault="000E7AC6" w:rsidP="000E7AC6">
      <w:pPr>
        <w:pStyle w:val="EndNoteBibliography"/>
        <w:spacing w:line="480" w:lineRule="auto"/>
        <w:ind w:left="720" w:hanging="720"/>
      </w:pPr>
      <w:r w:rsidRPr="00F52682">
        <w:t>13.</w:t>
      </w:r>
      <w:r w:rsidRPr="00F52682">
        <w:tab/>
        <w:t>Townsend J, Adams V, Galiatsatos P, et al. Procalcitonin-guided antibiotic therapy reduces antibiotic use for lower respiratory tract infections in a United States medical center: results of a clinical trial. Open Forum Infectious Diseases. 2018;5(12):ofy327.</w:t>
      </w:r>
    </w:p>
    <w:p w:rsidR="000E7AC6" w:rsidRDefault="000E7AC6" w:rsidP="000E7AC6">
      <w:pPr>
        <w:pStyle w:val="EndNoteBibliography"/>
        <w:spacing w:line="480" w:lineRule="auto"/>
        <w:ind w:left="720" w:hanging="720"/>
      </w:pPr>
      <w:r w:rsidRPr="00F52682">
        <w:t>14.</w:t>
      </w:r>
      <w:r w:rsidRPr="00F52682">
        <w:tab/>
        <w:t>Verduri A, Luppi F, D'Amico R, et al. Antibiotic treatment of severe exacerbations of chronic obstructive pulmonary disease with procalcitonin: a randomized noninferiority trial. PloS One. 2015;10(3):e0118241.</w:t>
      </w:r>
    </w:p>
    <w:p w:rsidR="000E7AC6" w:rsidRDefault="000E7AC6" w:rsidP="000E7AC6">
      <w:pPr>
        <w:pStyle w:val="EndNoteBibliography"/>
        <w:spacing w:line="480" w:lineRule="auto"/>
        <w:ind w:left="720" w:hanging="720"/>
      </w:pPr>
    </w:p>
    <w:p w:rsidR="000E7AC6" w:rsidRDefault="000E7AC6" w:rsidP="000E7AC6">
      <w:pPr>
        <w:spacing w:line="480" w:lineRule="auto"/>
        <w:rPr>
          <w:noProof/>
        </w:rPr>
      </w:pPr>
      <w:r>
        <w:br w:type="page"/>
      </w:r>
    </w:p>
    <w:p w:rsidR="000E7AC6" w:rsidRPr="00F52682" w:rsidRDefault="000E7AC6" w:rsidP="000E7AC6">
      <w:pPr>
        <w:spacing w:line="480" w:lineRule="auto"/>
        <w:rPr>
          <w:b/>
          <w:sz w:val="32"/>
          <w:szCs w:val="32"/>
        </w:rPr>
      </w:pPr>
      <w:r>
        <w:rPr>
          <w:b/>
          <w:sz w:val="32"/>
          <w:szCs w:val="32"/>
        </w:rPr>
        <w:t>Appendix 5</w:t>
      </w:r>
      <w:r w:rsidRPr="00F52682">
        <w:rPr>
          <w:b/>
          <w:sz w:val="32"/>
          <w:szCs w:val="32"/>
        </w:rPr>
        <w:t xml:space="preserve"> - Quality appraisal of included observational studies </w:t>
      </w:r>
    </w:p>
    <w:p w:rsidR="000E7AC6" w:rsidRPr="00F52682" w:rsidRDefault="000E7AC6" w:rsidP="000E7AC6">
      <w:pPr>
        <w:spacing w:line="480" w:lineRule="auto"/>
        <w:rPr>
          <w:b/>
          <w:sz w:val="20"/>
          <w:szCs w:val="20"/>
        </w:rPr>
      </w:pPr>
    </w:p>
    <w:tbl>
      <w:tblPr>
        <w:tblW w:w="12955" w:type="dxa"/>
        <w:tblLayout w:type="fixed"/>
        <w:tblLook w:val="04A0" w:firstRow="1" w:lastRow="0" w:firstColumn="1" w:lastColumn="0" w:noHBand="0" w:noVBand="1"/>
      </w:tblPr>
      <w:tblGrid>
        <w:gridCol w:w="2065"/>
        <w:gridCol w:w="1070"/>
        <w:gridCol w:w="1070"/>
        <w:gridCol w:w="1070"/>
        <w:gridCol w:w="1070"/>
        <w:gridCol w:w="1070"/>
        <w:gridCol w:w="1070"/>
        <w:gridCol w:w="1070"/>
        <w:gridCol w:w="1070"/>
        <w:gridCol w:w="1070"/>
        <w:gridCol w:w="1260"/>
      </w:tblGrid>
      <w:tr w:rsidR="000E7AC6" w:rsidRPr="00F52682" w:rsidTr="00A0522B">
        <w:tc>
          <w:tcPr>
            <w:tcW w:w="2065" w:type="dxa"/>
            <w:vMerge w:val="restart"/>
          </w:tcPr>
          <w:p w:rsidR="000E7AC6" w:rsidRPr="00F52682" w:rsidRDefault="000E7AC6" w:rsidP="00A0522B">
            <w:pPr>
              <w:spacing w:line="480" w:lineRule="auto"/>
              <w:rPr>
                <w:b/>
                <w:sz w:val="20"/>
                <w:szCs w:val="20"/>
              </w:rPr>
            </w:pPr>
            <w:r w:rsidRPr="00F52682">
              <w:rPr>
                <w:b/>
                <w:sz w:val="20"/>
                <w:szCs w:val="20"/>
              </w:rPr>
              <w:t>References</w:t>
            </w:r>
          </w:p>
        </w:tc>
        <w:tc>
          <w:tcPr>
            <w:tcW w:w="9630" w:type="dxa"/>
            <w:gridSpan w:val="9"/>
          </w:tcPr>
          <w:p w:rsidR="000E7AC6" w:rsidRPr="00F52682" w:rsidRDefault="000E7AC6" w:rsidP="00A0522B">
            <w:pPr>
              <w:spacing w:line="480" w:lineRule="auto"/>
              <w:rPr>
                <w:b/>
                <w:sz w:val="20"/>
                <w:szCs w:val="20"/>
              </w:rPr>
            </w:pPr>
            <w:r w:rsidRPr="00F52682">
              <w:rPr>
                <w:b/>
                <w:sz w:val="20"/>
                <w:szCs w:val="20"/>
              </w:rPr>
              <w:t>Quality appraisal (indicators from New-Castle-Ottawa scale)</w:t>
            </w:r>
          </w:p>
        </w:tc>
        <w:tc>
          <w:tcPr>
            <w:tcW w:w="1260" w:type="dxa"/>
            <w:vMerge w:val="restart"/>
          </w:tcPr>
          <w:p w:rsidR="000E7AC6" w:rsidRPr="00F52682" w:rsidRDefault="000E7AC6" w:rsidP="00A0522B">
            <w:pPr>
              <w:spacing w:line="480" w:lineRule="auto"/>
              <w:rPr>
                <w:b/>
                <w:sz w:val="20"/>
                <w:szCs w:val="20"/>
              </w:rPr>
            </w:pPr>
            <w:r w:rsidRPr="00F52682">
              <w:rPr>
                <w:b/>
                <w:sz w:val="20"/>
                <w:szCs w:val="20"/>
              </w:rPr>
              <w:t>Total points</w:t>
            </w:r>
          </w:p>
        </w:tc>
      </w:tr>
      <w:tr w:rsidR="000E7AC6" w:rsidRPr="00F52682" w:rsidTr="00A0522B">
        <w:tc>
          <w:tcPr>
            <w:tcW w:w="2065" w:type="dxa"/>
            <w:vMerge/>
          </w:tcPr>
          <w:p w:rsidR="000E7AC6" w:rsidRPr="00F52682" w:rsidRDefault="000E7AC6" w:rsidP="00A0522B">
            <w:pPr>
              <w:spacing w:line="480" w:lineRule="auto"/>
              <w:rPr>
                <w:b/>
                <w:sz w:val="20"/>
                <w:szCs w:val="20"/>
              </w:rPr>
            </w:pPr>
          </w:p>
        </w:tc>
        <w:tc>
          <w:tcPr>
            <w:tcW w:w="1070" w:type="dxa"/>
          </w:tcPr>
          <w:p w:rsidR="000E7AC6" w:rsidRPr="00F52682" w:rsidRDefault="000E7AC6" w:rsidP="00A0522B">
            <w:pPr>
              <w:spacing w:line="480" w:lineRule="auto"/>
              <w:rPr>
                <w:b/>
                <w:sz w:val="20"/>
                <w:szCs w:val="20"/>
              </w:rPr>
            </w:pPr>
            <w:r w:rsidRPr="00F52682">
              <w:rPr>
                <w:b/>
                <w:sz w:val="20"/>
                <w:szCs w:val="20"/>
              </w:rPr>
              <w:t>1</w:t>
            </w:r>
          </w:p>
        </w:tc>
        <w:tc>
          <w:tcPr>
            <w:tcW w:w="1070" w:type="dxa"/>
          </w:tcPr>
          <w:p w:rsidR="000E7AC6" w:rsidRPr="00F52682" w:rsidRDefault="000E7AC6" w:rsidP="00A0522B">
            <w:pPr>
              <w:spacing w:line="480" w:lineRule="auto"/>
              <w:rPr>
                <w:b/>
                <w:sz w:val="20"/>
                <w:szCs w:val="20"/>
              </w:rPr>
            </w:pPr>
            <w:r w:rsidRPr="00F52682">
              <w:rPr>
                <w:b/>
                <w:sz w:val="20"/>
                <w:szCs w:val="20"/>
              </w:rPr>
              <w:t>2</w:t>
            </w:r>
          </w:p>
        </w:tc>
        <w:tc>
          <w:tcPr>
            <w:tcW w:w="1070" w:type="dxa"/>
          </w:tcPr>
          <w:p w:rsidR="000E7AC6" w:rsidRPr="00F52682" w:rsidRDefault="000E7AC6" w:rsidP="00A0522B">
            <w:pPr>
              <w:spacing w:line="480" w:lineRule="auto"/>
              <w:rPr>
                <w:b/>
                <w:sz w:val="20"/>
                <w:szCs w:val="20"/>
              </w:rPr>
            </w:pPr>
            <w:r w:rsidRPr="00F52682">
              <w:rPr>
                <w:b/>
                <w:sz w:val="20"/>
                <w:szCs w:val="20"/>
              </w:rPr>
              <w:t>3</w:t>
            </w:r>
          </w:p>
        </w:tc>
        <w:tc>
          <w:tcPr>
            <w:tcW w:w="1070" w:type="dxa"/>
          </w:tcPr>
          <w:p w:rsidR="000E7AC6" w:rsidRPr="00F52682" w:rsidRDefault="000E7AC6" w:rsidP="00A0522B">
            <w:pPr>
              <w:spacing w:line="480" w:lineRule="auto"/>
              <w:rPr>
                <w:b/>
                <w:sz w:val="20"/>
                <w:szCs w:val="20"/>
              </w:rPr>
            </w:pPr>
            <w:r w:rsidRPr="00F52682">
              <w:rPr>
                <w:b/>
                <w:sz w:val="20"/>
                <w:szCs w:val="20"/>
              </w:rPr>
              <w:t>4</w:t>
            </w:r>
          </w:p>
        </w:tc>
        <w:tc>
          <w:tcPr>
            <w:tcW w:w="1070" w:type="dxa"/>
          </w:tcPr>
          <w:p w:rsidR="000E7AC6" w:rsidRPr="00F52682" w:rsidRDefault="000E7AC6" w:rsidP="00A0522B">
            <w:pPr>
              <w:spacing w:line="480" w:lineRule="auto"/>
              <w:rPr>
                <w:b/>
                <w:sz w:val="20"/>
                <w:szCs w:val="20"/>
              </w:rPr>
            </w:pPr>
            <w:r w:rsidRPr="00F52682">
              <w:rPr>
                <w:b/>
                <w:sz w:val="20"/>
                <w:szCs w:val="20"/>
              </w:rPr>
              <w:t>5A</w:t>
            </w:r>
          </w:p>
        </w:tc>
        <w:tc>
          <w:tcPr>
            <w:tcW w:w="1070" w:type="dxa"/>
          </w:tcPr>
          <w:p w:rsidR="000E7AC6" w:rsidRPr="00F52682" w:rsidRDefault="000E7AC6" w:rsidP="00A0522B">
            <w:pPr>
              <w:spacing w:line="480" w:lineRule="auto"/>
              <w:rPr>
                <w:b/>
                <w:sz w:val="20"/>
                <w:szCs w:val="20"/>
              </w:rPr>
            </w:pPr>
            <w:r w:rsidRPr="00F52682">
              <w:rPr>
                <w:b/>
                <w:sz w:val="20"/>
                <w:szCs w:val="20"/>
              </w:rPr>
              <w:t>5B</w:t>
            </w:r>
          </w:p>
        </w:tc>
        <w:tc>
          <w:tcPr>
            <w:tcW w:w="1070" w:type="dxa"/>
          </w:tcPr>
          <w:p w:rsidR="000E7AC6" w:rsidRPr="00F52682" w:rsidRDefault="000E7AC6" w:rsidP="00A0522B">
            <w:pPr>
              <w:spacing w:line="480" w:lineRule="auto"/>
              <w:rPr>
                <w:b/>
                <w:sz w:val="20"/>
                <w:szCs w:val="20"/>
              </w:rPr>
            </w:pPr>
            <w:r w:rsidRPr="00F52682">
              <w:rPr>
                <w:b/>
                <w:sz w:val="20"/>
                <w:szCs w:val="20"/>
              </w:rPr>
              <w:t>6</w:t>
            </w:r>
          </w:p>
        </w:tc>
        <w:tc>
          <w:tcPr>
            <w:tcW w:w="1070" w:type="dxa"/>
          </w:tcPr>
          <w:p w:rsidR="000E7AC6" w:rsidRPr="00F52682" w:rsidRDefault="000E7AC6" w:rsidP="00A0522B">
            <w:pPr>
              <w:spacing w:line="480" w:lineRule="auto"/>
              <w:rPr>
                <w:b/>
                <w:sz w:val="20"/>
                <w:szCs w:val="20"/>
              </w:rPr>
            </w:pPr>
            <w:r w:rsidRPr="00F52682">
              <w:rPr>
                <w:b/>
                <w:sz w:val="20"/>
                <w:szCs w:val="20"/>
              </w:rPr>
              <w:t>7</w:t>
            </w:r>
          </w:p>
        </w:tc>
        <w:tc>
          <w:tcPr>
            <w:tcW w:w="1070" w:type="dxa"/>
          </w:tcPr>
          <w:p w:rsidR="000E7AC6" w:rsidRPr="00F52682" w:rsidRDefault="000E7AC6" w:rsidP="00A0522B">
            <w:pPr>
              <w:spacing w:line="480" w:lineRule="auto"/>
              <w:rPr>
                <w:b/>
                <w:sz w:val="20"/>
                <w:szCs w:val="20"/>
              </w:rPr>
            </w:pPr>
            <w:r w:rsidRPr="00F52682">
              <w:rPr>
                <w:b/>
                <w:sz w:val="20"/>
                <w:szCs w:val="20"/>
              </w:rPr>
              <w:t>8</w:t>
            </w:r>
          </w:p>
        </w:tc>
        <w:tc>
          <w:tcPr>
            <w:tcW w:w="1260" w:type="dxa"/>
            <w:vMerge/>
          </w:tcPr>
          <w:p w:rsidR="000E7AC6" w:rsidRPr="00F52682" w:rsidRDefault="000E7AC6" w:rsidP="00A0522B">
            <w:pPr>
              <w:spacing w:line="480" w:lineRule="auto"/>
              <w:rPr>
                <w:b/>
                <w:sz w:val="20"/>
                <w:szCs w:val="20"/>
              </w:rPr>
            </w:pPr>
          </w:p>
        </w:tc>
      </w:tr>
      <w:tr w:rsidR="000E7AC6" w:rsidRPr="00F52682" w:rsidTr="00A0522B">
        <w:tc>
          <w:tcPr>
            <w:tcW w:w="2065" w:type="dxa"/>
            <w:vAlign w:val="center"/>
          </w:tcPr>
          <w:p w:rsidR="000E7AC6" w:rsidRPr="00FA3942" w:rsidRDefault="000E7AC6" w:rsidP="00A0522B">
            <w:pPr>
              <w:spacing w:line="480" w:lineRule="auto"/>
              <w:jc w:val="center"/>
              <w:rPr>
                <w:sz w:val="20"/>
                <w:szCs w:val="20"/>
              </w:rPr>
            </w:pPr>
            <w:r>
              <w:rPr>
                <w:sz w:val="20"/>
                <w:szCs w:val="20"/>
              </w:rPr>
              <w:t>Bremmer 2018[1</w:t>
            </w:r>
            <w:r w:rsidRPr="00FA394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NR</w:t>
            </w:r>
          </w:p>
        </w:tc>
        <w:tc>
          <w:tcPr>
            <w:tcW w:w="1070" w:type="dxa"/>
          </w:tcPr>
          <w:p w:rsidR="000E7AC6" w:rsidRPr="00F52682" w:rsidRDefault="000E7AC6" w:rsidP="00A0522B">
            <w:pPr>
              <w:spacing w:line="480" w:lineRule="auto"/>
              <w:rPr>
                <w:sz w:val="20"/>
                <w:szCs w:val="20"/>
              </w:rPr>
            </w:pPr>
            <w:r w:rsidRPr="00F52682">
              <w:rPr>
                <w:sz w:val="20"/>
                <w:szCs w:val="20"/>
              </w:rPr>
              <w:t>NR</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260" w:type="dxa"/>
          </w:tcPr>
          <w:p w:rsidR="000E7AC6" w:rsidRPr="00F52682" w:rsidRDefault="000E7AC6" w:rsidP="00A0522B">
            <w:pPr>
              <w:spacing w:line="480" w:lineRule="auto"/>
              <w:rPr>
                <w:sz w:val="20"/>
                <w:szCs w:val="20"/>
              </w:rPr>
            </w:pPr>
            <w:r w:rsidRPr="00F52682">
              <w:rPr>
                <w:sz w:val="20"/>
                <w:szCs w:val="20"/>
              </w:rPr>
              <w:t>7</w:t>
            </w:r>
          </w:p>
        </w:tc>
      </w:tr>
      <w:tr w:rsidR="000E7AC6" w:rsidRPr="00F52682" w:rsidTr="00A0522B">
        <w:tc>
          <w:tcPr>
            <w:tcW w:w="2065" w:type="dxa"/>
            <w:vAlign w:val="center"/>
          </w:tcPr>
          <w:p w:rsidR="000E7AC6" w:rsidRPr="00FA3942" w:rsidRDefault="000E7AC6" w:rsidP="00A0522B">
            <w:pPr>
              <w:spacing w:line="480" w:lineRule="auto"/>
              <w:jc w:val="center"/>
              <w:rPr>
                <w:sz w:val="20"/>
                <w:szCs w:val="20"/>
              </w:rPr>
            </w:pPr>
            <w:r w:rsidRPr="00FA3942">
              <w:rPr>
                <w:sz w:val="20"/>
                <w:szCs w:val="20"/>
              </w:rPr>
              <w:t>Picart 2016[2]</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260" w:type="dxa"/>
          </w:tcPr>
          <w:p w:rsidR="000E7AC6" w:rsidRPr="00F52682" w:rsidRDefault="000E7AC6" w:rsidP="00A0522B">
            <w:pPr>
              <w:spacing w:line="480" w:lineRule="auto"/>
              <w:rPr>
                <w:sz w:val="20"/>
                <w:szCs w:val="20"/>
              </w:rPr>
            </w:pPr>
            <w:r w:rsidRPr="00F52682">
              <w:rPr>
                <w:sz w:val="20"/>
                <w:szCs w:val="20"/>
              </w:rPr>
              <w:t>7</w:t>
            </w:r>
          </w:p>
        </w:tc>
      </w:tr>
      <w:tr w:rsidR="000E7AC6" w:rsidRPr="00F52682" w:rsidTr="00A0522B">
        <w:tc>
          <w:tcPr>
            <w:tcW w:w="2065" w:type="dxa"/>
            <w:vAlign w:val="center"/>
          </w:tcPr>
          <w:p w:rsidR="000E7AC6" w:rsidRPr="00FA3942" w:rsidRDefault="000E7AC6" w:rsidP="00A0522B">
            <w:pPr>
              <w:spacing w:line="480" w:lineRule="auto"/>
              <w:jc w:val="center"/>
              <w:rPr>
                <w:sz w:val="20"/>
                <w:szCs w:val="20"/>
              </w:rPr>
            </w:pPr>
            <w:r w:rsidRPr="00FA3942">
              <w:rPr>
                <w:sz w:val="20"/>
                <w:szCs w:val="20"/>
              </w:rPr>
              <w:t>Townsend 2018[</w:t>
            </w:r>
            <w:r>
              <w:rPr>
                <w:sz w:val="20"/>
                <w:szCs w:val="20"/>
              </w:rPr>
              <w:t>3</w:t>
            </w:r>
            <w:r w:rsidRPr="00FA394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NR</w:t>
            </w:r>
          </w:p>
        </w:tc>
        <w:tc>
          <w:tcPr>
            <w:tcW w:w="1070" w:type="dxa"/>
          </w:tcPr>
          <w:p w:rsidR="000E7AC6" w:rsidRPr="00F52682" w:rsidRDefault="000E7AC6" w:rsidP="00A0522B">
            <w:pPr>
              <w:spacing w:line="480" w:lineRule="auto"/>
              <w:rPr>
                <w:sz w:val="20"/>
                <w:szCs w:val="20"/>
              </w:rPr>
            </w:pPr>
            <w:r w:rsidRPr="00F52682">
              <w:rPr>
                <w:sz w:val="20"/>
                <w:szCs w:val="20"/>
              </w:rPr>
              <w:t>NR</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070" w:type="dxa"/>
          </w:tcPr>
          <w:p w:rsidR="000E7AC6" w:rsidRPr="00F52682" w:rsidRDefault="000E7AC6" w:rsidP="00A0522B">
            <w:pPr>
              <w:spacing w:line="480" w:lineRule="auto"/>
              <w:rPr>
                <w:sz w:val="20"/>
                <w:szCs w:val="20"/>
              </w:rPr>
            </w:pPr>
            <w:r w:rsidRPr="00F52682">
              <w:rPr>
                <w:sz w:val="20"/>
                <w:szCs w:val="20"/>
              </w:rPr>
              <w:t>*</w:t>
            </w:r>
          </w:p>
        </w:tc>
        <w:tc>
          <w:tcPr>
            <w:tcW w:w="1260" w:type="dxa"/>
          </w:tcPr>
          <w:p w:rsidR="000E7AC6" w:rsidRPr="00F52682" w:rsidRDefault="000E7AC6" w:rsidP="00A0522B">
            <w:pPr>
              <w:spacing w:line="480" w:lineRule="auto"/>
              <w:rPr>
                <w:sz w:val="20"/>
                <w:szCs w:val="20"/>
              </w:rPr>
            </w:pPr>
            <w:r w:rsidRPr="00F52682">
              <w:rPr>
                <w:sz w:val="20"/>
                <w:szCs w:val="20"/>
              </w:rPr>
              <w:t>6</w:t>
            </w:r>
          </w:p>
        </w:tc>
      </w:tr>
    </w:tbl>
    <w:p w:rsidR="000E7AC6" w:rsidRPr="00F52682" w:rsidRDefault="000E7AC6" w:rsidP="000E7AC6">
      <w:pPr>
        <w:spacing w:line="480" w:lineRule="auto"/>
        <w:rPr>
          <w:sz w:val="20"/>
        </w:rPr>
      </w:pPr>
      <w:r w:rsidRPr="00F52682">
        <w:rPr>
          <w:sz w:val="20"/>
        </w:rPr>
        <w:t>NR: Not reported</w:t>
      </w:r>
    </w:p>
    <w:p w:rsidR="000E7AC6" w:rsidRPr="00F52682" w:rsidRDefault="000E7AC6" w:rsidP="000E7AC6">
      <w:pPr>
        <w:spacing w:line="480" w:lineRule="auto"/>
        <w:rPr>
          <w:sz w:val="20"/>
        </w:rPr>
      </w:pPr>
      <w:r w:rsidRPr="00F52682">
        <w:rPr>
          <w:sz w:val="20"/>
        </w:rPr>
        <w:t>1. Indicates exposed cohort truly representative.</w:t>
      </w:r>
    </w:p>
    <w:p w:rsidR="000E7AC6" w:rsidRPr="00F52682" w:rsidRDefault="000E7AC6" w:rsidP="000E7AC6">
      <w:pPr>
        <w:spacing w:line="480" w:lineRule="auto"/>
        <w:rPr>
          <w:sz w:val="20"/>
        </w:rPr>
      </w:pPr>
      <w:r w:rsidRPr="00F52682">
        <w:rPr>
          <w:sz w:val="20"/>
        </w:rPr>
        <w:t>2. Non-exposed cohort drawn from a same source.</w:t>
      </w:r>
    </w:p>
    <w:p w:rsidR="000E7AC6" w:rsidRPr="00F52682" w:rsidRDefault="000E7AC6" w:rsidP="000E7AC6">
      <w:pPr>
        <w:spacing w:line="480" w:lineRule="auto"/>
        <w:rPr>
          <w:sz w:val="20"/>
        </w:rPr>
      </w:pPr>
      <w:r w:rsidRPr="00F52682">
        <w:rPr>
          <w:sz w:val="20"/>
        </w:rPr>
        <w:t>3. Ascertainment of exposure from a secure record.</w:t>
      </w:r>
    </w:p>
    <w:p w:rsidR="000E7AC6" w:rsidRPr="00F52682" w:rsidRDefault="000E7AC6" w:rsidP="000E7AC6">
      <w:pPr>
        <w:spacing w:line="480" w:lineRule="auto"/>
        <w:rPr>
          <w:sz w:val="20"/>
        </w:rPr>
      </w:pPr>
      <w:r w:rsidRPr="00F52682">
        <w:rPr>
          <w:sz w:val="20"/>
        </w:rPr>
        <w:t>4. Outcome of interest not present at start of study.</w:t>
      </w:r>
    </w:p>
    <w:p w:rsidR="000E7AC6" w:rsidRPr="00F52682" w:rsidRDefault="000E7AC6" w:rsidP="000E7AC6">
      <w:pPr>
        <w:spacing w:line="480" w:lineRule="auto"/>
        <w:rPr>
          <w:sz w:val="20"/>
        </w:rPr>
      </w:pPr>
      <w:r w:rsidRPr="00F52682">
        <w:rPr>
          <w:sz w:val="20"/>
        </w:rPr>
        <w:t>5A. Cohorts comparable on basis of main factor</w:t>
      </w:r>
    </w:p>
    <w:p w:rsidR="000E7AC6" w:rsidRPr="00F52682" w:rsidRDefault="000E7AC6" w:rsidP="000E7AC6">
      <w:pPr>
        <w:spacing w:line="480" w:lineRule="auto"/>
        <w:rPr>
          <w:sz w:val="20"/>
        </w:rPr>
      </w:pPr>
      <w:r w:rsidRPr="00F52682">
        <w:rPr>
          <w:sz w:val="20"/>
        </w:rPr>
        <w:t>5B. Cohorts comparable on other factors</w:t>
      </w:r>
    </w:p>
    <w:p w:rsidR="000E7AC6" w:rsidRPr="00F52682" w:rsidRDefault="000E7AC6" w:rsidP="000E7AC6">
      <w:pPr>
        <w:spacing w:line="480" w:lineRule="auto"/>
        <w:rPr>
          <w:sz w:val="20"/>
        </w:rPr>
      </w:pPr>
      <w:r w:rsidRPr="00F52682">
        <w:rPr>
          <w:sz w:val="20"/>
        </w:rPr>
        <w:t>6. Assessment of outcome of record linkage or independent blind assessment.</w:t>
      </w:r>
    </w:p>
    <w:p w:rsidR="000E7AC6" w:rsidRPr="00F52682" w:rsidRDefault="000E7AC6" w:rsidP="000E7AC6">
      <w:pPr>
        <w:spacing w:line="480" w:lineRule="auto"/>
        <w:rPr>
          <w:sz w:val="20"/>
        </w:rPr>
      </w:pPr>
      <w:r w:rsidRPr="00F52682">
        <w:rPr>
          <w:sz w:val="20"/>
        </w:rPr>
        <w:t>7. Follow-up long enough for outcomes to occur.</w:t>
      </w:r>
    </w:p>
    <w:p w:rsidR="000E7AC6" w:rsidRPr="00F52682" w:rsidRDefault="000E7AC6" w:rsidP="000E7AC6">
      <w:pPr>
        <w:pStyle w:val="EndNoteBibliography"/>
        <w:spacing w:line="480" w:lineRule="auto"/>
        <w:ind w:left="720" w:hanging="720"/>
      </w:pPr>
      <w:r w:rsidRPr="00F52682">
        <w:rPr>
          <w:sz w:val="20"/>
        </w:rPr>
        <w:t>8. Complete accounting for cohorts</w:t>
      </w:r>
    </w:p>
    <w:p w:rsidR="000E7AC6" w:rsidRDefault="000E7AC6" w:rsidP="000E7AC6">
      <w:pPr>
        <w:spacing w:line="480" w:lineRule="auto"/>
        <w:rPr>
          <w:sz w:val="20"/>
        </w:rPr>
      </w:pPr>
    </w:p>
    <w:p w:rsidR="000E7AC6" w:rsidRPr="00F52682" w:rsidRDefault="000E7AC6" w:rsidP="000E7AC6">
      <w:pPr>
        <w:spacing w:line="480" w:lineRule="auto"/>
        <w:rPr>
          <w:b/>
        </w:rPr>
      </w:pPr>
      <w:r w:rsidRPr="00F52682">
        <w:rPr>
          <w:sz w:val="20"/>
        </w:rPr>
        <w:br w:type="page"/>
      </w:r>
      <w:r w:rsidRPr="00F52682">
        <w:rPr>
          <w:b/>
        </w:rPr>
        <w:t>Reference:</w:t>
      </w:r>
    </w:p>
    <w:p w:rsidR="000E7AC6" w:rsidRPr="00F52682" w:rsidRDefault="000E7AC6" w:rsidP="000E7AC6">
      <w:pPr>
        <w:pStyle w:val="EndNoteBibliography"/>
        <w:spacing w:line="480" w:lineRule="auto"/>
        <w:ind w:left="720" w:hanging="720"/>
      </w:pPr>
      <w:r w:rsidRPr="00F52682">
        <w:t>1.</w:t>
      </w:r>
      <w:r w:rsidRPr="00F52682">
        <w:tab/>
        <w:t>Bremmer DN, DiSilvio BE, Hammer C, et al. Impact of procalcitonin guidance on management of adults hospitalized with chronic obstructive pulmonary disease exacerbations. Journal of General Internal Medicine. 2018;33(5):692-697.</w:t>
      </w:r>
    </w:p>
    <w:p w:rsidR="000E7AC6" w:rsidRPr="00F52682" w:rsidRDefault="000E7AC6" w:rsidP="000E7AC6">
      <w:pPr>
        <w:pStyle w:val="EndNoteBibliography"/>
        <w:spacing w:line="480" w:lineRule="auto"/>
        <w:ind w:left="720" w:hanging="720"/>
      </w:pPr>
      <w:r>
        <w:t>2</w:t>
      </w:r>
      <w:r w:rsidRPr="00F52682">
        <w:t>.</w:t>
      </w:r>
      <w:r w:rsidRPr="00F52682">
        <w:tab/>
        <w:t>Picart J, Moiton MP, Gauzere BA, et al. Introduction of a PCT-based algorithm to guide antibiotic prescription in COPD exacerbation. Medecine et Maladies Infectieuses. 2016;46(8):429-435.</w:t>
      </w:r>
    </w:p>
    <w:p w:rsidR="000E7AC6" w:rsidRPr="00F52682" w:rsidRDefault="000E7AC6" w:rsidP="000E7AC6">
      <w:pPr>
        <w:pStyle w:val="EndNoteBibliography"/>
        <w:spacing w:line="480" w:lineRule="auto"/>
        <w:ind w:left="720" w:hanging="720"/>
      </w:pPr>
      <w:r w:rsidRPr="00F52682">
        <w:t>3.</w:t>
      </w:r>
      <w:r w:rsidRPr="00F52682">
        <w:tab/>
        <w:t>Townsend J, Adams V, Galiatsatos P, et al. Procalcitonin-guided antibiotic therapy reduces antibiotic use for lower respiratory tract infections in a United States medical center: results of a clinical trial. Open Forum Infectious Diseases. 2018;5(12):ofy327.</w:t>
      </w:r>
    </w:p>
    <w:p w:rsidR="000E7AC6" w:rsidRPr="00F52682" w:rsidRDefault="000E7AC6" w:rsidP="000E7AC6">
      <w:pPr>
        <w:spacing w:line="480" w:lineRule="auto"/>
        <w:rPr>
          <w:sz w:val="20"/>
        </w:rPr>
        <w:sectPr w:rsidR="000E7AC6" w:rsidRPr="00F52682" w:rsidSect="006D4318">
          <w:pgSz w:w="15840" w:h="12240" w:orient="landscape"/>
          <w:pgMar w:top="1080" w:right="1440" w:bottom="1080" w:left="1440" w:header="706" w:footer="706" w:gutter="0"/>
          <w:cols w:space="708"/>
          <w:docGrid w:linePitch="360"/>
        </w:sectPr>
      </w:pPr>
    </w:p>
    <w:p w:rsidR="000E7AC6" w:rsidRPr="00F52682" w:rsidRDefault="000E7AC6" w:rsidP="000E7AC6">
      <w:pPr>
        <w:suppressLineNumbers/>
        <w:spacing w:line="480" w:lineRule="auto"/>
        <w:jc w:val="both"/>
        <w:rPr>
          <w:b/>
          <w:sz w:val="32"/>
        </w:rPr>
      </w:pPr>
      <w:bookmarkStart w:id="6" w:name="_Toc15909106"/>
      <w:bookmarkStart w:id="7" w:name="_Toc21458231"/>
      <w:r w:rsidRPr="00F52682">
        <w:rPr>
          <w:b/>
          <w:sz w:val="32"/>
        </w:rPr>
        <w:t xml:space="preserve">Appendix </w:t>
      </w:r>
      <w:r>
        <w:rPr>
          <w:b/>
          <w:sz w:val="32"/>
        </w:rPr>
        <w:t>6</w:t>
      </w:r>
      <w:r w:rsidRPr="00F52682">
        <w:rPr>
          <w:b/>
          <w:sz w:val="32"/>
        </w:rPr>
        <w:t xml:space="preserve">. </w:t>
      </w:r>
      <w:r>
        <w:rPr>
          <w:b/>
          <w:sz w:val="32"/>
        </w:rPr>
        <w:t>Additional f</w:t>
      </w:r>
      <w:r w:rsidRPr="00F52682">
        <w:rPr>
          <w:b/>
          <w:sz w:val="32"/>
        </w:rPr>
        <w:t>orest plots</w:t>
      </w:r>
      <w:bookmarkEnd w:id="6"/>
      <w:bookmarkEnd w:id="7"/>
    </w:p>
    <w:p w:rsidR="000E7AC6" w:rsidRPr="00F52682" w:rsidRDefault="000E7AC6" w:rsidP="000E7AC6">
      <w:pPr>
        <w:suppressLineNumbers/>
        <w:spacing w:line="480" w:lineRule="auto"/>
        <w:rPr>
          <w:b/>
        </w:rPr>
      </w:pPr>
      <w:bookmarkStart w:id="8" w:name="_Toc15909108"/>
      <w:r w:rsidRPr="00F52682">
        <w:rPr>
          <w:b/>
        </w:rPr>
        <w:t>Forest plot of PCT-based protocol versus standard treatment on length of hospital stay</w:t>
      </w:r>
      <w:bookmarkEnd w:id="8"/>
    </w:p>
    <w:p w:rsidR="000E7AC6" w:rsidRPr="00F52682" w:rsidRDefault="000E7AC6" w:rsidP="000E7AC6">
      <w:pPr>
        <w:suppressLineNumbers/>
        <w:spacing w:line="480" w:lineRule="auto"/>
      </w:pPr>
    </w:p>
    <w:p w:rsidR="000E7AC6" w:rsidRPr="00F52682" w:rsidRDefault="000E7AC6" w:rsidP="000E7AC6">
      <w:pPr>
        <w:suppressLineNumbers/>
        <w:spacing w:line="480" w:lineRule="auto"/>
      </w:pPr>
      <w:r w:rsidRPr="00F52682">
        <w:rPr>
          <w:noProof/>
        </w:rPr>
        <mc:AlternateContent>
          <mc:Choice Requires="wps">
            <w:drawing>
              <wp:anchor distT="0" distB="0" distL="114300" distR="114300" simplePos="0" relativeHeight="251660288" behindDoc="0" locked="0" layoutInCell="1" allowOverlap="1" wp14:anchorId="302997EA" wp14:editId="46B5A853">
                <wp:simplePos x="0" y="0"/>
                <wp:positionH relativeFrom="column">
                  <wp:posOffset>71438</wp:posOffset>
                </wp:positionH>
                <wp:positionV relativeFrom="paragraph">
                  <wp:posOffset>2754948</wp:posOffset>
                </wp:positionV>
                <wp:extent cx="2767013" cy="152400"/>
                <wp:effectExtent l="0" t="0" r="0" b="0"/>
                <wp:wrapNone/>
                <wp:docPr id="10" name="矩形 10"/>
                <wp:cNvGraphicFramePr/>
                <a:graphic xmlns:a="http://schemas.openxmlformats.org/drawingml/2006/main">
                  <a:graphicData uri="http://schemas.microsoft.com/office/word/2010/wordprocessingShape">
                    <wps:wsp>
                      <wps:cNvSpPr/>
                      <wps:spPr>
                        <a:xfrm>
                          <a:off x="0" y="0"/>
                          <a:ext cx="2767013"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074D32" id="矩形 10" o:spid="_x0000_s1026" style="position:absolute;margin-left:5.65pt;margin-top:216.95pt;width:217.9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" fillcolor="white [3212]" stroked="f" strokeweight="2pt"/>
            </w:pict>
          </mc:Fallback>
        </mc:AlternateContent>
      </w:r>
      <w:r w:rsidRPr="00F52682">
        <w:rPr>
          <w:noProof/>
        </w:rPr>
        <w:drawing>
          <wp:inline distT="0" distB="0" distL="0" distR="0" wp14:anchorId="42075A75" wp14:editId="2F262055">
            <wp:extent cx="6400800" cy="2882189"/>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405000" cy="2884080"/>
                    </a:xfrm>
                    <a:prstGeom prst="rect">
                      <a:avLst/>
                    </a:prstGeom>
                  </pic:spPr>
                </pic:pic>
              </a:graphicData>
            </a:graphic>
          </wp:inline>
        </w:drawing>
      </w:r>
    </w:p>
    <w:p w:rsidR="000E7AC6" w:rsidRPr="00F52682" w:rsidRDefault="000E7AC6" w:rsidP="000E7AC6">
      <w:pPr>
        <w:suppressLineNumbers/>
        <w:spacing w:line="480" w:lineRule="auto"/>
        <w:rPr>
          <w:b/>
        </w:rPr>
      </w:pPr>
      <w:bookmarkStart w:id="9" w:name="_Toc15909109"/>
      <w:r w:rsidRPr="00F52682">
        <w:rPr>
          <w:noProof/>
        </w:rPr>
        <mc:AlternateContent>
          <mc:Choice Requires="wpg">
            <w:drawing>
              <wp:anchor distT="0" distB="0" distL="114300" distR="114300" simplePos="0" relativeHeight="251659264" behindDoc="0" locked="0" layoutInCell="1" allowOverlap="1" wp14:anchorId="64B330F2" wp14:editId="4969AC79">
                <wp:simplePos x="0" y="0"/>
                <wp:positionH relativeFrom="margin">
                  <wp:align>left</wp:align>
                </wp:positionH>
                <wp:positionV relativeFrom="paragraph">
                  <wp:posOffset>347663</wp:posOffset>
                </wp:positionV>
                <wp:extent cx="6353175" cy="3148012"/>
                <wp:effectExtent l="0" t="0" r="9525" b="0"/>
                <wp:wrapNone/>
                <wp:docPr id="6" name="组合 5"/>
                <wp:cNvGraphicFramePr/>
                <a:graphic xmlns:a="http://schemas.openxmlformats.org/drawingml/2006/main">
                  <a:graphicData uri="http://schemas.microsoft.com/office/word/2010/wordprocessingGroup">
                    <wpg:wgp>
                      <wpg:cNvGrpSpPr/>
                      <wpg:grpSpPr>
                        <a:xfrm>
                          <a:off x="0" y="0"/>
                          <a:ext cx="6353175" cy="3148012"/>
                          <a:chOff x="0" y="0"/>
                          <a:chExt cx="8658225" cy="4121727"/>
                        </a:xfrm>
                      </wpg:grpSpPr>
                      <pic:pic xmlns:pic="http://schemas.openxmlformats.org/drawingml/2006/picture">
                        <pic:nvPicPr>
                          <pic:cNvPr id="7" name="图片 7"/>
                          <pic:cNvPicPr>
                            <a:picLocks noChangeAspect="1"/>
                          </pic:cNvPicPr>
                        </pic:nvPicPr>
                        <pic:blipFill rotWithShape="1">
                          <a:blip r:embed="rId9"/>
                          <a:srcRect t="-1" b="-1923"/>
                          <a:stretch/>
                        </pic:blipFill>
                        <pic:spPr>
                          <a:xfrm>
                            <a:off x="0" y="0"/>
                            <a:ext cx="8658225" cy="4038600"/>
                          </a:xfrm>
                          <a:prstGeom prst="rect">
                            <a:avLst/>
                          </a:prstGeom>
                        </pic:spPr>
                      </pic:pic>
                      <wps:wsp>
                        <wps:cNvPr id="8" name="矩形 8"/>
                        <wps:cNvSpPr/>
                        <wps:spPr>
                          <a:xfrm>
                            <a:off x="0" y="3733800"/>
                            <a:ext cx="3808182" cy="38792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6A9471" id="组合 5" o:spid="_x0000_s1026" style="position:absolute;margin-left:0;margin-top:27.4pt;width:500.25pt;height:247.85pt;z-index:251659264;mso-position-horizontal:left;mso-position-horizontal-relative:margin;mso-width-relative:margin;mso-height-relative:margin" coordsize="86582,41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 o:spid="_x0000_s1027" type="#_x0000_t75" style="position:absolute;width:86582;height:40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lukXEAAAA2gAAAA8AAABkcnMvZG93bnJldi54bWxEj0FrAjEUhO+C/yG8Qi9Ss4qtdWsUEQQp&#10;PVgt1ONj89xd3Lwsyauu/74pFDwOM/MNM192rlEXCrH2bGA0zEARF97WXBr4OmyeXkFFQbbYeCYD&#10;N4qwXPR7c8ytv/InXfZSqgThmKOBSqTNtY5FRQ7j0LfEyTv54FCSDKW2Aa8J7ho9zrIX7bDmtFBh&#10;S+uKivP+xxk4fzSHgZ+8f093QoPno5SnWVgZ8/jQrd5ACXVyD/+3t9bAFP6upBugF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dlukXEAAAA2gAAAA8AAAAAAAAAAAAAAAAA&#10;nwIAAGRycy9kb3ducmV2LnhtbFBLBQYAAAAABAAEAPcAAACQAwAAAAA=&#10;">
                  <v:imagedata r:id="rId10" o:title="" croptop="-1f" cropbottom="-1260f"/>
                  <v:path arrowok="t"/>
                </v:shape>
                <v:rect id="矩形 8" o:spid="_x0000_s1028" style="position:absolute;top:37338;width:38081;height:3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WIJsAA&#10;AADaAAAADwAAAGRycy9kb3ducmV2LnhtbERPz2vCMBS+C/sfwht4s+kUp3RGGUPF7Wa1nh/NW1vW&#10;vNQkav3vzWHg8eP7vVj1phVXcr6xrOAtSUEQl1Y3XCk4HjajOQgfkDW2lknBnTysli+DBWba3nhP&#10;1zxUIoawz1BBHUKXSenLmgz6xHbEkfu1zmCI0FVSO7zFcNPKcZq+S4MNx4YaO/qqqfzLL0bBZTr7&#10;Xven83ZSpMXsp2inu7DtlBq+9p8fIAL14Sn+d++0grg1Xok3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WIJsAAAADaAAAADwAAAAAAAAAAAAAAAACYAgAAZHJzL2Rvd25y&#10;ZXYueG1sUEsFBgAAAAAEAAQA9QAAAIUDAAAAAA==&#10;" fillcolor="white [3212]" stroked="f" strokeweight="2pt"/>
                <w10:wrap anchorx="margin"/>
              </v:group>
            </w:pict>
          </mc:Fallback>
        </mc:AlternateContent>
      </w:r>
      <w:r w:rsidRPr="00F52682">
        <w:rPr>
          <w:b/>
        </w:rPr>
        <w:t>Forest plot of PCT-based protocol versus standard treatment on treatment failure</w:t>
      </w:r>
      <w:bookmarkEnd w:id="9"/>
    </w:p>
    <w:p w:rsidR="000E7AC6" w:rsidRPr="00F52682" w:rsidRDefault="000E7AC6" w:rsidP="000E7AC6">
      <w:pPr>
        <w:suppressLineNumbers/>
        <w:spacing w:line="480" w:lineRule="auto"/>
      </w:pPr>
    </w:p>
    <w:p w:rsidR="000E7AC6" w:rsidRPr="00F52682" w:rsidRDefault="000E7AC6" w:rsidP="000E7AC6">
      <w:pPr>
        <w:suppressLineNumbers/>
        <w:spacing w:line="480" w:lineRule="auto"/>
      </w:pPr>
    </w:p>
    <w:p w:rsidR="000E7AC6" w:rsidRPr="00F52682" w:rsidRDefault="000E7AC6" w:rsidP="000E7AC6">
      <w:pPr>
        <w:suppressLineNumbers/>
        <w:spacing w:line="480" w:lineRule="auto"/>
      </w:pPr>
    </w:p>
    <w:p w:rsidR="000E7AC6" w:rsidRPr="00F52682" w:rsidRDefault="000E7AC6" w:rsidP="000E7AC6">
      <w:pPr>
        <w:suppressLineNumbers/>
        <w:spacing w:line="480" w:lineRule="auto"/>
      </w:pPr>
    </w:p>
    <w:p w:rsidR="000E7AC6" w:rsidRPr="00F52682" w:rsidRDefault="000E7AC6" w:rsidP="000E7AC6">
      <w:pPr>
        <w:suppressLineNumbers/>
        <w:spacing w:line="480" w:lineRule="auto"/>
      </w:pPr>
    </w:p>
    <w:p w:rsidR="000E7AC6" w:rsidRPr="00F52682" w:rsidRDefault="000E7AC6" w:rsidP="000E7AC6">
      <w:pPr>
        <w:suppressLineNumbers/>
        <w:spacing w:line="480" w:lineRule="auto"/>
      </w:pPr>
    </w:p>
    <w:p w:rsidR="000E7AC6" w:rsidRPr="00F52682" w:rsidRDefault="000E7AC6" w:rsidP="000E7AC6">
      <w:pPr>
        <w:suppressLineNumbers/>
        <w:spacing w:line="480" w:lineRule="auto"/>
      </w:pPr>
    </w:p>
    <w:p w:rsidR="000E7AC6" w:rsidRPr="00F52682" w:rsidRDefault="000E7AC6" w:rsidP="000E7AC6">
      <w:pPr>
        <w:suppressLineNumbers/>
        <w:spacing w:line="480" w:lineRule="auto"/>
      </w:pPr>
    </w:p>
    <w:p w:rsidR="000E7AC6" w:rsidRPr="00F52682" w:rsidRDefault="000E7AC6" w:rsidP="000E7AC6">
      <w:pPr>
        <w:suppressLineNumbers/>
        <w:spacing w:line="480" w:lineRule="auto"/>
      </w:pPr>
    </w:p>
    <w:p w:rsidR="000E7AC6" w:rsidRPr="00F52682" w:rsidRDefault="000E7AC6" w:rsidP="000E7AC6">
      <w:pPr>
        <w:suppressLineNumbers/>
        <w:spacing w:line="480" w:lineRule="auto"/>
        <w:jc w:val="right"/>
      </w:pPr>
    </w:p>
    <w:p w:rsidR="000E7AC6" w:rsidRPr="00F52682" w:rsidRDefault="000E7AC6" w:rsidP="000E7AC6">
      <w:pPr>
        <w:suppressLineNumbers/>
        <w:spacing w:line="480" w:lineRule="auto"/>
        <w:rPr>
          <w:b/>
        </w:rPr>
      </w:pPr>
      <w:bookmarkStart w:id="10" w:name="_Toc15909110"/>
      <w:r w:rsidRPr="00F52682">
        <w:rPr>
          <w:b/>
        </w:rPr>
        <w:t>Forest plot of PCT-based protocol versus standard treatment on all-cause mortality</w:t>
      </w:r>
      <w:bookmarkEnd w:id="10"/>
    </w:p>
    <w:p w:rsidR="000E7AC6" w:rsidRPr="00F52682" w:rsidRDefault="000E7AC6" w:rsidP="000E7AC6">
      <w:pPr>
        <w:suppressLineNumbers/>
        <w:spacing w:line="480" w:lineRule="auto"/>
        <w:rPr>
          <w:b/>
        </w:rPr>
      </w:pPr>
    </w:p>
    <w:p w:rsidR="000E7AC6" w:rsidRPr="00F52682" w:rsidRDefault="000E7AC6" w:rsidP="000E7AC6">
      <w:pPr>
        <w:suppressLineNumbers/>
        <w:spacing w:line="480" w:lineRule="auto"/>
      </w:pPr>
      <w:r w:rsidRPr="00F52682">
        <w:rPr>
          <w:noProof/>
        </w:rPr>
        <w:drawing>
          <wp:inline distT="0" distB="0" distL="0" distR="0" wp14:anchorId="345395D8" wp14:editId="05A852CB">
            <wp:extent cx="6400800" cy="3444240"/>
            <wp:effectExtent l="0" t="0" r="0" b="3810"/>
            <wp:docPr id="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6400800" cy="3444240"/>
                    </a:xfrm>
                    <a:prstGeom prst="rect">
                      <a:avLst/>
                    </a:prstGeom>
                  </pic:spPr>
                </pic:pic>
              </a:graphicData>
            </a:graphic>
          </wp:inline>
        </w:drawing>
      </w:r>
    </w:p>
    <w:p w:rsidR="000E7AC6" w:rsidRPr="00F52682" w:rsidRDefault="000E7AC6" w:rsidP="000E7AC6">
      <w:pPr>
        <w:suppressLineNumbers/>
        <w:spacing w:line="480" w:lineRule="auto"/>
        <w:rPr>
          <w:b/>
        </w:rPr>
      </w:pPr>
      <w:bookmarkStart w:id="11" w:name="_Toc15909111"/>
      <w:r w:rsidRPr="00F52682">
        <w:rPr>
          <w:b/>
        </w:rPr>
        <w:t>Forest plot of PCT-based protocol versus standard treatment on respiratory-related mortality</w:t>
      </w:r>
      <w:bookmarkEnd w:id="11"/>
    </w:p>
    <w:p w:rsidR="000E7AC6" w:rsidRPr="00F52682" w:rsidRDefault="000E7AC6" w:rsidP="000E7AC6">
      <w:pPr>
        <w:suppressLineNumbers/>
        <w:spacing w:line="480" w:lineRule="auto"/>
      </w:pPr>
    </w:p>
    <w:p w:rsidR="000E7AC6" w:rsidRPr="00F52682" w:rsidRDefault="000E7AC6" w:rsidP="000E7AC6">
      <w:pPr>
        <w:suppressLineNumbers/>
        <w:spacing w:line="480" w:lineRule="auto"/>
      </w:pPr>
      <w:r w:rsidRPr="00F52682">
        <w:rPr>
          <w:noProof/>
        </w:rPr>
        <w:drawing>
          <wp:inline distT="0" distB="0" distL="0" distR="0" wp14:anchorId="736AD017" wp14:editId="63BDEA47">
            <wp:extent cx="6400800" cy="2411095"/>
            <wp:effectExtent l="0" t="0" r="0" b="8255"/>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6400800" cy="2411095"/>
                    </a:xfrm>
                    <a:prstGeom prst="rect">
                      <a:avLst/>
                    </a:prstGeom>
                  </pic:spPr>
                </pic:pic>
              </a:graphicData>
            </a:graphic>
          </wp:inline>
        </w:drawing>
      </w:r>
    </w:p>
    <w:p w:rsidR="000E7AC6" w:rsidRPr="00F52682" w:rsidRDefault="000E7AC6" w:rsidP="000E7AC6">
      <w:pPr>
        <w:suppressLineNumbers/>
        <w:spacing w:line="480" w:lineRule="auto"/>
      </w:pPr>
    </w:p>
    <w:p w:rsidR="000E7AC6" w:rsidRPr="00F52682" w:rsidRDefault="000E7AC6" w:rsidP="000E7AC6">
      <w:pPr>
        <w:suppressLineNumbers/>
        <w:spacing w:line="480" w:lineRule="auto"/>
        <w:rPr>
          <w:b/>
        </w:rPr>
      </w:pPr>
      <w:bookmarkStart w:id="12" w:name="_Toc15909112"/>
    </w:p>
    <w:p w:rsidR="000E7AC6" w:rsidRPr="00F52682" w:rsidRDefault="000E7AC6" w:rsidP="000E7AC6">
      <w:pPr>
        <w:suppressLineNumbers/>
        <w:spacing w:line="480" w:lineRule="auto"/>
        <w:rPr>
          <w:b/>
        </w:rPr>
      </w:pPr>
      <w:r w:rsidRPr="00F52682">
        <w:rPr>
          <w:b/>
        </w:rPr>
        <w:t>Forest plot of PCT-based protocol versus standard treatment on all-cause readmission</w:t>
      </w:r>
      <w:bookmarkEnd w:id="12"/>
    </w:p>
    <w:p w:rsidR="000E7AC6" w:rsidRPr="00F52682" w:rsidRDefault="000E7AC6" w:rsidP="000E7AC6">
      <w:pPr>
        <w:suppressLineNumbers/>
        <w:spacing w:line="480" w:lineRule="auto"/>
      </w:pPr>
    </w:p>
    <w:p w:rsidR="000E7AC6" w:rsidRPr="00F52682" w:rsidRDefault="000E7AC6" w:rsidP="000E7AC6">
      <w:pPr>
        <w:suppressLineNumbers/>
        <w:spacing w:line="480" w:lineRule="auto"/>
      </w:pPr>
      <w:r w:rsidRPr="00F52682">
        <w:rPr>
          <w:noProof/>
        </w:rPr>
        <mc:AlternateContent>
          <mc:Choice Requires="wps">
            <w:drawing>
              <wp:anchor distT="0" distB="0" distL="114300" distR="114300" simplePos="0" relativeHeight="251661312" behindDoc="0" locked="0" layoutInCell="1" allowOverlap="1" wp14:anchorId="24E6DEC9" wp14:editId="47FD9844">
                <wp:simplePos x="0" y="0"/>
                <wp:positionH relativeFrom="column">
                  <wp:posOffset>76200</wp:posOffset>
                </wp:positionH>
                <wp:positionV relativeFrom="paragraph">
                  <wp:posOffset>3263265</wp:posOffset>
                </wp:positionV>
                <wp:extent cx="3062288" cy="142875"/>
                <wp:effectExtent l="0" t="0" r="5080" b="9525"/>
                <wp:wrapNone/>
                <wp:docPr id="11" name="矩形 11"/>
                <wp:cNvGraphicFramePr/>
                <a:graphic xmlns:a="http://schemas.openxmlformats.org/drawingml/2006/main">
                  <a:graphicData uri="http://schemas.microsoft.com/office/word/2010/wordprocessingShape">
                    <wps:wsp>
                      <wps:cNvSpPr/>
                      <wps:spPr>
                        <a:xfrm>
                          <a:off x="0" y="0"/>
                          <a:ext cx="3062288" cy="142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67AB4" id="矩形 11" o:spid="_x0000_s1026" style="position:absolute;margin-left:6pt;margin-top:256.95pt;width:241.1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" fillcolor="white [3212]" stroked="f" strokeweight="2pt"/>
            </w:pict>
          </mc:Fallback>
        </mc:AlternateContent>
      </w:r>
      <w:r w:rsidRPr="00F52682">
        <w:rPr>
          <w:noProof/>
        </w:rPr>
        <w:drawing>
          <wp:inline distT="0" distB="0" distL="0" distR="0" wp14:anchorId="66C73AF9" wp14:editId="042E4D3C">
            <wp:extent cx="6400800" cy="3378835"/>
            <wp:effectExtent l="0" t="0" r="0" b="0"/>
            <wp:docPr id="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6400800" cy="3378835"/>
                    </a:xfrm>
                    <a:prstGeom prst="rect">
                      <a:avLst/>
                    </a:prstGeom>
                  </pic:spPr>
                </pic:pic>
              </a:graphicData>
            </a:graphic>
          </wp:inline>
        </w:drawing>
      </w:r>
    </w:p>
    <w:p w:rsidR="000E7AC6" w:rsidRPr="00F52682" w:rsidRDefault="000E7AC6" w:rsidP="000E7AC6">
      <w:pPr>
        <w:suppressLineNumbers/>
        <w:spacing w:line="480" w:lineRule="auto"/>
        <w:rPr>
          <w:b/>
        </w:rPr>
      </w:pPr>
      <w:bookmarkStart w:id="13" w:name="_Toc15909113"/>
      <w:r w:rsidRPr="00F52682">
        <w:rPr>
          <w:b/>
        </w:rPr>
        <w:t>Forest plot of PCT-based protocol versus standard treatment on respiratory-related readmission</w:t>
      </w:r>
      <w:bookmarkEnd w:id="13"/>
      <w:r w:rsidRPr="00F52682">
        <w:rPr>
          <w:b/>
        </w:rPr>
        <w:t xml:space="preserve"> </w:t>
      </w:r>
    </w:p>
    <w:p w:rsidR="000E7AC6" w:rsidRPr="00F52682" w:rsidRDefault="000E7AC6" w:rsidP="000E7AC6">
      <w:pPr>
        <w:suppressLineNumbers/>
        <w:spacing w:line="480" w:lineRule="auto"/>
      </w:pPr>
    </w:p>
    <w:p w:rsidR="000E7AC6" w:rsidRPr="00F52682" w:rsidRDefault="000E7AC6" w:rsidP="000E7AC6">
      <w:pPr>
        <w:suppressLineNumbers/>
        <w:spacing w:line="480" w:lineRule="auto"/>
        <w:rPr>
          <w:rFonts w:eastAsiaTheme="majorEastAsia" w:cstheme="majorBidi"/>
          <w:b/>
          <w:szCs w:val="26"/>
        </w:rPr>
      </w:pPr>
      <w:r w:rsidRPr="00F52682">
        <w:rPr>
          <w:noProof/>
        </w:rPr>
        <mc:AlternateContent>
          <mc:Choice Requires="wpg">
            <w:drawing>
              <wp:inline distT="0" distB="0" distL="0" distR="0" wp14:anchorId="4DD71E02" wp14:editId="50A7121C">
                <wp:extent cx="6400800" cy="2665194"/>
                <wp:effectExtent l="0" t="0" r="0" b="1905"/>
                <wp:docPr id="53" name="组合 4"/>
                <wp:cNvGraphicFramePr/>
                <a:graphic xmlns:a="http://schemas.openxmlformats.org/drawingml/2006/main">
                  <a:graphicData uri="http://schemas.microsoft.com/office/word/2010/wordprocessingGroup">
                    <wpg:wgp>
                      <wpg:cNvGrpSpPr/>
                      <wpg:grpSpPr>
                        <a:xfrm>
                          <a:off x="0" y="0"/>
                          <a:ext cx="6400800" cy="2665194"/>
                          <a:chOff x="0" y="0"/>
                          <a:chExt cx="8515350" cy="3447011"/>
                        </a:xfrm>
                      </wpg:grpSpPr>
                      <pic:pic xmlns:pic="http://schemas.openxmlformats.org/drawingml/2006/picture">
                        <pic:nvPicPr>
                          <pic:cNvPr id="54" name="图片 54"/>
                          <pic:cNvPicPr>
                            <a:picLocks noChangeAspect="1"/>
                          </pic:cNvPicPr>
                        </pic:nvPicPr>
                        <pic:blipFill>
                          <a:blip r:embed="rId14"/>
                          <a:stretch>
                            <a:fillRect/>
                          </a:stretch>
                        </pic:blipFill>
                        <pic:spPr>
                          <a:xfrm>
                            <a:off x="0" y="0"/>
                            <a:ext cx="8515350" cy="3352800"/>
                          </a:xfrm>
                          <a:prstGeom prst="rect">
                            <a:avLst/>
                          </a:prstGeom>
                        </pic:spPr>
                      </pic:pic>
                      <wps:wsp>
                        <wps:cNvPr id="55" name="矩形 55"/>
                        <wps:cNvSpPr/>
                        <wps:spPr>
                          <a:xfrm>
                            <a:off x="73601" y="3258589"/>
                            <a:ext cx="3541222" cy="18842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1220CDB5" id="组合 4" o:spid="_x0000_s1026" style="width:7in;height:209.85pt;mso-position-horizontal-relative:char;mso-position-vertical-relative:line" coordsize="85153,34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">
                <v:shape id="图片 54" o:spid="_x0000_s1027" type="#_x0000_t75" style="position:absolute;width:85153;height:33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SlW7FAAAA2wAAAA8AAABkcnMvZG93bnJldi54bWxEj9FKAzEURN+F/kO4Qt9s1qWtsjYtpVho&#10;RRRXP+Cyue4uJjchie1uv94Igo/DzJxhVpvBGnGiEHvHCm5nBQjixumeWwUf7/ubexAxIWs0jknB&#10;SBE268nVCivtzvxGpzq1IkM4VqigS8lXUsamI4tx5jxx9j5dsJiyDK3UAc8Zbo0si2IpLfacFzr0&#10;tOuo+aq/rYKy8OF1ae78y/HpuL08P45lbUalptfD9gFEoiH9h//aB61gMYffL/kHyP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EpVuxQAAANsAAAAPAAAAAAAAAAAAAAAA&#10;AJ8CAABkcnMvZG93bnJldi54bWxQSwUGAAAAAAQABAD3AAAAkQMAAAAA&#10;">
                  <v:imagedata r:id="rId15" o:title=""/>
                  <v:path arrowok="t"/>
                </v:shape>
                <v:rect id="矩形 55" o:spid="_x0000_s1028" style="position:absolute;left:736;top:32585;width:35412;height:1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n8MA&#10;AADbAAAADwAAAGRycy9kb3ducmV2LnhtbESPT4vCMBTE7wt+h/CEva2pSlWqUURU3L35p54fzbMt&#10;Ni+1idr99psFweMwM79hZovWVOJBjSstK+j3IhDEmdUl5wpOx83XBITzyBory6Tglxws5p2PGSba&#10;PnlPj4PPRYCwS1BB4X2dSOmyggy6nq2Jg3exjUEfZJNL3eAzwE0lB1E0kgZLDgsF1rQqKLse7kbB&#10;PR5/r9vzbTtMo3T8k1bxzm9rpT677XIKwlPr3+FXe6cVxDH8fw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Fn8MAAADbAAAADwAAAAAAAAAAAAAAAACYAgAAZHJzL2Rv&#10;d25yZXYueG1sUEsFBgAAAAAEAAQA9QAAAIgDAAAAAA==&#10;" fillcolor="white [3212]" stroked="f" strokeweight="2pt"/>
                <w10:anchorlock/>
              </v:group>
            </w:pict>
          </mc:Fallback>
        </mc:AlternateContent>
      </w:r>
    </w:p>
    <w:p w:rsidR="000E7AC6" w:rsidRPr="00F52682" w:rsidRDefault="000E7AC6" w:rsidP="000E7AC6">
      <w:pPr>
        <w:spacing w:line="480" w:lineRule="auto"/>
        <w:rPr>
          <w:b/>
        </w:rPr>
      </w:pPr>
    </w:p>
    <w:p w:rsidR="000E7AC6" w:rsidRDefault="000E7AC6" w:rsidP="000E7AC6"/>
    <w:p w:rsidR="002E0359" w:rsidRDefault="002E0359">
      <w:bookmarkStart w:id="14" w:name="_GoBack"/>
      <w:bookmarkEnd w:id="14"/>
    </w:p>
    <w:sectPr w:rsidR="002E0359" w:rsidSect="006D4318">
      <w:footerReference w:type="default" r:id="rId16"/>
      <w:type w:val="continuous"/>
      <w:pgSz w:w="12240" w:h="15840"/>
      <w:pgMar w:top="1440" w:right="1080" w:bottom="1440" w:left="108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D4318">
      <w:r>
        <w:separator/>
      </w:r>
    </w:p>
  </w:endnote>
  <w:endnote w:type="continuationSeparator" w:id="0">
    <w:p w:rsidR="00000000" w:rsidRDefault="006D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仿宋">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697542"/>
      <w:docPartObj>
        <w:docPartGallery w:val="Page Numbers (Bottom of Page)"/>
        <w:docPartUnique/>
      </w:docPartObj>
    </w:sdtPr>
    <w:sdtEndPr>
      <w:rPr>
        <w:rFonts w:ascii="仿宋" w:eastAsia="仿宋" w:hAnsi="仿宋"/>
      </w:rPr>
    </w:sdtEndPr>
    <w:sdtContent>
      <w:p w:rsidR="00DD3CAC" w:rsidRDefault="000E7AC6">
        <w:pPr>
          <w:pStyle w:val="Footer"/>
          <w:jc w:val="center"/>
        </w:pPr>
        <w:r w:rsidRPr="0005269F">
          <w:rPr>
            <w:rFonts w:ascii="Times New Roman" w:hAnsi="Times New Roman" w:cs="Times New Roman"/>
          </w:rPr>
          <w:fldChar w:fldCharType="begin"/>
        </w:r>
        <w:r w:rsidRPr="0005269F">
          <w:rPr>
            <w:rFonts w:ascii="Times New Roman" w:hAnsi="Times New Roman" w:cs="Times New Roman"/>
          </w:rPr>
          <w:instrText>PAGE   \* MERGEFORMAT</w:instrText>
        </w:r>
        <w:r w:rsidRPr="0005269F">
          <w:rPr>
            <w:rFonts w:ascii="Times New Roman" w:hAnsi="Times New Roman" w:cs="Times New Roman"/>
          </w:rPr>
          <w:fldChar w:fldCharType="separate"/>
        </w:r>
        <w:r w:rsidRPr="000E7AC6">
          <w:rPr>
            <w:rFonts w:ascii="Times New Roman" w:hAnsi="Times New Roman" w:cs="Times New Roman"/>
            <w:noProof/>
            <w:lang w:val="zh-CN"/>
          </w:rPr>
          <w:t>1</w:t>
        </w:r>
        <w:r w:rsidRPr="0005269F">
          <w:rPr>
            <w:rFonts w:ascii="Times New Roman" w:hAnsi="Times New Roman" w:cs="Times New Roman"/>
          </w:rPr>
          <w:fldChar w:fldCharType="end"/>
        </w:r>
      </w:p>
    </w:sdtContent>
  </w:sdt>
  <w:p w:rsidR="00DD3CAC" w:rsidRDefault="006D43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AC" w:rsidRDefault="006D43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D4318">
      <w:r>
        <w:separator/>
      </w:r>
    </w:p>
  </w:footnote>
  <w:footnote w:type="continuationSeparator" w:id="0">
    <w:p w:rsidR="00000000" w:rsidRDefault="006D43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A550F"/>
    <w:multiLevelType w:val="multilevel"/>
    <w:tmpl w:val="E6307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FE5CC8"/>
    <w:multiLevelType w:val="multilevel"/>
    <w:tmpl w:val="7CC0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723BA9"/>
    <w:multiLevelType w:val="multilevel"/>
    <w:tmpl w:val="0BCA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6929BC"/>
    <w:multiLevelType w:val="hybridMultilevel"/>
    <w:tmpl w:val="47EEFB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050246"/>
    <w:multiLevelType w:val="multilevel"/>
    <w:tmpl w:val="AF8AE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A52EBD"/>
    <w:multiLevelType w:val="hybridMultilevel"/>
    <w:tmpl w:val="F716B5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51E3B7F"/>
    <w:multiLevelType w:val="multilevel"/>
    <w:tmpl w:val="5A92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13531F"/>
    <w:multiLevelType w:val="multilevel"/>
    <w:tmpl w:val="1A12A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581FB5"/>
    <w:multiLevelType w:val="hybridMultilevel"/>
    <w:tmpl w:val="592A10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079245D"/>
    <w:multiLevelType w:val="multilevel"/>
    <w:tmpl w:val="1A12A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C95D9A"/>
    <w:multiLevelType w:val="hybridMultilevel"/>
    <w:tmpl w:val="9ECA26B6"/>
    <w:lvl w:ilvl="0" w:tplc="D410EBF4">
      <w:start w:val="1"/>
      <w:numFmt w:val="bullet"/>
      <w:lvlText w:val="-"/>
      <w:lvlJc w:val="left"/>
      <w:pPr>
        <w:ind w:left="1080" w:hanging="360"/>
      </w:pPr>
      <w:rPr>
        <w:rFonts w:ascii="Century" w:eastAsiaTheme="minorEastAsia" w:hAnsi="Century"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0885091"/>
    <w:multiLevelType w:val="multilevel"/>
    <w:tmpl w:val="06BC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9A484F"/>
    <w:multiLevelType w:val="multilevel"/>
    <w:tmpl w:val="9A7A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7"/>
    <w:lvlOverride w:ilvl="0">
      <w:lvl w:ilvl="0">
        <w:numFmt w:val="bullet"/>
        <w:lvlText w:val=""/>
        <w:lvlJc w:val="left"/>
        <w:pPr>
          <w:tabs>
            <w:tab w:val="num" w:pos="720"/>
          </w:tabs>
          <w:ind w:left="720" w:hanging="360"/>
        </w:pPr>
        <w:rPr>
          <w:rFonts w:ascii="Symbol" w:hAnsi="Symbol" w:hint="default"/>
          <w:sz w:val="20"/>
        </w:rPr>
      </w:lvl>
    </w:lvlOverride>
  </w:num>
  <w:num w:numId="4">
    <w:abstractNumId w:val="7"/>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7"/>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6">
    <w:abstractNumId w:val="9"/>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5"/>
  </w:num>
  <w:num w:numId="11">
    <w:abstractNumId w:val="8"/>
  </w:num>
  <w:num w:numId="12">
    <w:abstractNumId w:val="3"/>
  </w:num>
  <w:num w:numId="13">
    <w:abstractNumId w:val="2"/>
  </w:num>
  <w:num w:numId="14">
    <w:abstractNumId w:val="11"/>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AC6"/>
    <w:rsid w:val="000E7AC6"/>
    <w:rsid w:val="002E0359"/>
    <w:rsid w:val="003877E7"/>
    <w:rsid w:val="00571255"/>
    <w:rsid w:val="00586C42"/>
    <w:rsid w:val="005D2DFA"/>
    <w:rsid w:val="005E7BC6"/>
    <w:rsid w:val="00602387"/>
    <w:rsid w:val="00602C4C"/>
    <w:rsid w:val="006B579A"/>
    <w:rsid w:val="006D4318"/>
    <w:rsid w:val="006F654D"/>
    <w:rsid w:val="007919D8"/>
    <w:rsid w:val="008E69D1"/>
    <w:rsid w:val="00A44DEF"/>
    <w:rsid w:val="00A94701"/>
    <w:rsid w:val="00AF5999"/>
    <w:rsid w:val="00F50967"/>
    <w:rsid w:val="00F757D8"/>
    <w:rsid w:val="00FC2B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77AE99-7EB1-41AE-ACB9-9F4C4F70C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AC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0E7AC6"/>
    <w:pPr>
      <w:keepNext/>
      <w:keepLines/>
      <w:spacing w:before="240" w:line="259" w:lineRule="auto"/>
      <w:outlineLvl w:val="0"/>
    </w:pPr>
    <w:rPr>
      <w:rFonts w:eastAsiaTheme="majorEastAsia" w:cstheme="majorBidi"/>
      <w:b/>
      <w:sz w:val="32"/>
      <w:szCs w:val="32"/>
      <w:lang w:eastAsia="zh-CN"/>
    </w:rPr>
  </w:style>
  <w:style w:type="paragraph" w:styleId="Heading2">
    <w:name w:val="heading 2"/>
    <w:basedOn w:val="Normal"/>
    <w:next w:val="Normal"/>
    <w:link w:val="Heading2Char"/>
    <w:uiPriority w:val="9"/>
    <w:unhideWhenUsed/>
    <w:qFormat/>
    <w:rsid w:val="000E7AC6"/>
    <w:pPr>
      <w:keepNext/>
      <w:keepLines/>
      <w:spacing w:before="40" w:line="259" w:lineRule="auto"/>
      <w:outlineLvl w:val="1"/>
    </w:pPr>
    <w:rPr>
      <w:rFonts w:eastAsiaTheme="majorEastAsia" w:cstheme="majorBidi"/>
      <w:b/>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AC6"/>
    <w:rPr>
      <w:rFonts w:ascii="Times New Roman" w:eastAsiaTheme="majorEastAsia" w:hAnsi="Times New Roman" w:cstheme="majorBidi"/>
      <w:b/>
      <w:sz w:val="32"/>
      <w:szCs w:val="32"/>
      <w:lang w:val="en-US" w:eastAsia="zh-CN"/>
    </w:rPr>
  </w:style>
  <w:style w:type="character" w:customStyle="1" w:styleId="Heading2Char">
    <w:name w:val="Heading 2 Char"/>
    <w:basedOn w:val="DefaultParagraphFont"/>
    <w:link w:val="Heading2"/>
    <w:uiPriority w:val="9"/>
    <w:rsid w:val="000E7AC6"/>
    <w:rPr>
      <w:rFonts w:ascii="Times New Roman" w:eastAsiaTheme="majorEastAsia" w:hAnsi="Times New Roman" w:cstheme="majorBidi"/>
      <w:b/>
      <w:sz w:val="26"/>
      <w:szCs w:val="26"/>
      <w:lang w:val="en-US" w:eastAsia="zh-CN"/>
    </w:rPr>
  </w:style>
  <w:style w:type="paragraph" w:styleId="Header">
    <w:name w:val="header"/>
    <w:basedOn w:val="Normal"/>
    <w:link w:val="HeaderChar"/>
    <w:uiPriority w:val="99"/>
    <w:unhideWhenUsed/>
    <w:rsid w:val="000E7AC6"/>
    <w:pPr>
      <w:tabs>
        <w:tab w:val="center" w:pos="4320"/>
        <w:tab w:val="right" w:pos="8640"/>
      </w:tabs>
    </w:pPr>
    <w:rPr>
      <w:rFonts w:asciiTheme="minorHAnsi" w:eastAsiaTheme="minorEastAsia" w:hAnsiTheme="minorHAnsi" w:cstheme="minorBidi"/>
      <w:sz w:val="22"/>
      <w:szCs w:val="22"/>
      <w:lang w:eastAsia="zh-CN"/>
    </w:rPr>
  </w:style>
  <w:style w:type="character" w:customStyle="1" w:styleId="HeaderChar">
    <w:name w:val="Header Char"/>
    <w:basedOn w:val="DefaultParagraphFont"/>
    <w:link w:val="Header"/>
    <w:uiPriority w:val="99"/>
    <w:rsid w:val="000E7AC6"/>
    <w:rPr>
      <w:rFonts w:eastAsiaTheme="minorEastAsia"/>
      <w:lang w:val="en-US" w:eastAsia="zh-CN"/>
    </w:rPr>
  </w:style>
  <w:style w:type="paragraph" w:styleId="Footer">
    <w:name w:val="footer"/>
    <w:basedOn w:val="Normal"/>
    <w:link w:val="FooterChar"/>
    <w:uiPriority w:val="99"/>
    <w:unhideWhenUsed/>
    <w:rsid w:val="000E7AC6"/>
    <w:pPr>
      <w:tabs>
        <w:tab w:val="center" w:pos="4320"/>
        <w:tab w:val="right" w:pos="8640"/>
      </w:tabs>
    </w:pPr>
    <w:rPr>
      <w:rFonts w:asciiTheme="minorHAnsi" w:eastAsiaTheme="minorEastAsia" w:hAnsiTheme="minorHAnsi" w:cstheme="minorBidi"/>
      <w:sz w:val="22"/>
      <w:szCs w:val="22"/>
      <w:lang w:eastAsia="zh-CN"/>
    </w:rPr>
  </w:style>
  <w:style w:type="character" w:customStyle="1" w:styleId="FooterChar">
    <w:name w:val="Footer Char"/>
    <w:basedOn w:val="DefaultParagraphFont"/>
    <w:link w:val="Footer"/>
    <w:uiPriority w:val="99"/>
    <w:rsid w:val="000E7AC6"/>
    <w:rPr>
      <w:rFonts w:eastAsiaTheme="minorEastAsia"/>
      <w:lang w:val="en-US" w:eastAsia="zh-CN"/>
    </w:rPr>
  </w:style>
  <w:style w:type="paragraph" w:styleId="ListParagraph">
    <w:name w:val="List Paragraph"/>
    <w:basedOn w:val="Normal"/>
    <w:uiPriority w:val="34"/>
    <w:qFormat/>
    <w:rsid w:val="000E7AC6"/>
    <w:pPr>
      <w:spacing w:after="160" w:line="259" w:lineRule="auto"/>
      <w:ind w:left="720"/>
      <w:contextualSpacing/>
    </w:pPr>
    <w:rPr>
      <w:rFonts w:asciiTheme="minorHAnsi" w:eastAsiaTheme="minorEastAsia" w:hAnsiTheme="minorHAnsi" w:cstheme="minorBidi"/>
      <w:sz w:val="22"/>
      <w:szCs w:val="22"/>
      <w:lang w:eastAsia="zh-CN"/>
    </w:rPr>
  </w:style>
  <w:style w:type="character" w:styleId="Hyperlink">
    <w:name w:val="Hyperlink"/>
    <w:basedOn w:val="DefaultParagraphFont"/>
    <w:uiPriority w:val="99"/>
    <w:unhideWhenUsed/>
    <w:rsid w:val="000E7AC6"/>
    <w:rPr>
      <w:color w:val="0000FF" w:themeColor="hyperlink"/>
      <w:u w:val="single"/>
    </w:rPr>
  </w:style>
  <w:style w:type="paragraph" w:styleId="CommentText">
    <w:name w:val="annotation text"/>
    <w:basedOn w:val="Normal"/>
    <w:link w:val="CommentTextChar"/>
    <w:uiPriority w:val="99"/>
    <w:semiHidden/>
    <w:unhideWhenUsed/>
    <w:rsid w:val="000E7AC6"/>
    <w:pPr>
      <w:spacing w:after="160"/>
    </w:pPr>
    <w:rPr>
      <w:rFonts w:asciiTheme="minorHAnsi" w:eastAsiaTheme="minorEastAsia" w:hAnsiTheme="minorHAnsi" w:cstheme="minorBidi"/>
      <w:lang w:eastAsia="zh-CN"/>
    </w:rPr>
  </w:style>
  <w:style w:type="character" w:customStyle="1" w:styleId="CommentTextChar">
    <w:name w:val="Comment Text Char"/>
    <w:basedOn w:val="DefaultParagraphFont"/>
    <w:link w:val="CommentText"/>
    <w:uiPriority w:val="99"/>
    <w:semiHidden/>
    <w:rsid w:val="000E7AC6"/>
    <w:rPr>
      <w:rFonts w:eastAsiaTheme="minorEastAsia"/>
      <w:sz w:val="24"/>
      <w:szCs w:val="24"/>
      <w:lang w:val="en-US" w:eastAsia="zh-CN"/>
    </w:rPr>
  </w:style>
  <w:style w:type="character" w:customStyle="1" w:styleId="CommentSubjectChar">
    <w:name w:val="Comment Subject Char"/>
    <w:basedOn w:val="CommentTextChar"/>
    <w:link w:val="CommentSubject"/>
    <w:uiPriority w:val="99"/>
    <w:semiHidden/>
    <w:rsid w:val="000E7AC6"/>
    <w:rPr>
      <w:rFonts w:eastAsiaTheme="minorEastAsia"/>
      <w:b/>
      <w:bCs/>
      <w:sz w:val="24"/>
      <w:szCs w:val="24"/>
      <w:lang w:val="en-US" w:eastAsia="zh-CN"/>
    </w:rPr>
  </w:style>
  <w:style w:type="paragraph" w:styleId="CommentSubject">
    <w:name w:val="annotation subject"/>
    <w:basedOn w:val="CommentText"/>
    <w:next w:val="CommentText"/>
    <w:link w:val="CommentSubjectChar"/>
    <w:uiPriority w:val="99"/>
    <w:semiHidden/>
    <w:unhideWhenUsed/>
    <w:rsid w:val="000E7AC6"/>
    <w:rPr>
      <w:b/>
      <w:bCs/>
    </w:rPr>
  </w:style>
  <w:style w:type="character" w:customStyle="1" w:styleId="CommentSubjectChar1">
    <w:name w:val="Comment Subject Char1"/>
    <w:basedOn w:val="CommentTextChar"/>
    <w:uiPriority w:val="99"/>
    <w:semiHidden/>
    <w:rsid w:val="000E7AC6"/>
    <w:rPr>
      <w:rFonts w:eastAsiaTheme="minorEastAsia"/>
      <w:b/>
      <w:bCs/>
      <w:sz w:val="24"/>
      <w:szCs w:val="24"/>
      <w:lang w:val="en-US" w:eastAsia="zh-CN"/>
    </w:rPr>
  </w:style>
  <w:style w:type="paragraph" w:styleId="BalloonText">
    <w:name w:val="Balloon Text"/>
    <w:basedOn w:val="Normal"/>
    <w:link w:val="BalloonTextChar"/>
    <w:uiPriority w:val="99"/>
    <w:semiHidden/>
    <w:unhideWhenUsed/>
    <w:rsid w:val="000E7AC6"/>
    <w:rPr>
      <w:rFonts w:eastAsiaTheme="minorEastAsia"/>
      <w:sz w:val="18"/>
      <w:szCs w:val="18"/>
      <w:lang w:eastAsia="zh-CN"/>
    </w:rPr>
  </w:style>
  <w:style w:type="character" w:customStyle="1" w:styleId="BalloonTextChar">
    <w:name w:val="Balloon Text Char"/>
    <w:basedOn w:val="DefaultParagraphFont"/>
    <w:link w:val="BalloonText"/>
    <w:uiPriority w:val="99"/>
    <w:semiHidden/>
    <w:rsid w:val="000E7AC6"/>
    <w:rPr>
      <w:rFonts w:ascii="Times New Roman" w:eastAsiaTheme="minorEastAsia" w:hAnsi="Times New Roman" w:cs="Times New Roman"/>
      <w:sz w:val="18"/>
      <w:szCs w:val="18"/>
      <w:lang w:val="en-US" w:eastAsia="zh-CN"/>
    </w:rPr>
  </w:style>
  <w:style w:type="character" w:customStyle="1" w:styleId="UnresolvedMention1">
    <w:name w:val="Unresolved Mention1"/>
    <w:basedOn w:val="DefaultParagraphFont"/>
    <w:uiPriority w:val="99"/>
    <w:rsid w:val="000E7AC6"/>
    <w:rPr>
      <w:color w:val="808080"/>
      <w:shd w:val="clear" w:color="auto" w:fill="E6E6E6"/>
    </w:rPr>
  </w:style>
  <w:style w:type="paragraph" w:styleId="NormalWeb">
    <w:name w:val="Normal (Web)"/>
    <w:basedOn w:val="Normal"/>
    <w:uiPriority w:val="99"/>
    <w:unhideWhenUsed/>
    <w:rsid w:val="000E7AC6"/>
    <w:pPr>
      <w:spacing w:before="100" w:beforeAutospacing="1" w:after="100" w:afterAutospacing="1"/>
    </w:pPr>
    <w:rPr>
      <w:rFonts w:eastAsiaTheme="minorEastAsia"/>
    </w:rPr>
  </w:style>
  <w:style w:type="character" w:customStyle="1" w:styleId="apple-converted-space">
    <w:name w:val="apple-converted-space"/>
    <w:basedOn w:val="DefaultParagraphFont"/>
    <w:rsid w:val="000E7AC6"/>
  </w:style>
  <w:style w:type="character" w:styleId="Emphasis">
    <w:name w:val="Emphasis"/>
    <w:basedOn w:val="DefaultParagraphFont"/>
    <w:uiPriority w:val="20"/>
    <w:qFormat/>
    <w:rsid w:val="000E7AC6"/>
    <w:rPr>
      <w:i/>
      <w:iCs/>
    </w:rPr>
  </w:style>
  <w:style w:type="character" w:customStyle="1" w:styleId="UnresolvedMention2">
    <w:name w:val="Unresolved Mention2"/>
    <w:basedOn w:val="DefaultParagraphFont"/>
    <w:uiPriority w:val="99"/>
    <w:rsid w:val="000E7AC6"/>
    <w:rPr>
      <w:color w:val="808080"/>
      <w:shd w:val="clear" w:color="auto" w:fill="E6E6E6"/>
    </w:rPr>
  </w:style>
  <w:style w:type="character" w:customStyle="1" w:styleId="nlmyear">
    <w:name w:val="nlm_year"/>
    <w:basedOn w:val="DefaultParagraphFont"/>
    <w:rsid w:val="000E7AC6"/>
  </w:style>
  <w:style w:type="character" w:customStyle="1" w:styleId="nlmfpage">
    <w:name w:val="nlm_fpage"/>
    <w:basedOn w:val="DefaultParagraphFont"/>
    <w:rsid w:val="000E7AC6"/>
  </w:style>
  <w:style w:type="paragraph" w:customStyle="1" w:styleId="u-mb-2">
    <w:name w:val="u-mb-2"/>
    <w:basedOn w:val="Normal"/>
    <w:rsid w:val="000E7AC6"/>
    <w:pPr>
      <w:spacing w:before="100" w:beforeAutospacing="1" w:after="100" w:afterAutospacing="1"/>
    </w:pPr>
  </w:style>
  <w:style w:type="character" w:customStyle="1" w:styleId="authorsname">
    <w:name w:val="authors__name"/>
    <w:basedOn w:val="DefaultParagraphFont"/>
    <w:rsid w:val="000E7AC6"/>
  </w:style>
  <w:style w:type="character" w:customStyle="1" w:styleId="lexicon-term">
    <w:name w:val="lexicon-term"/>
    <w:basedOn w:val="DefaultParagraphFont"/>
    <w:rsid w:val="000E7AC6"/>
  </w:style>
  <w:style w:type="paragraph" w:customStyle="1" w:styleId="Default">
    <w:name w:val="Default"/>
    <w:rsid w:val="000E7AC6"/>
    <w:pPr>
      <w:autoSpaceDE w:val="0"/>
      <w:autoSpaceDN w:val="0"/>
      <w:adjustRightInd w:val="0"/>
      <w:spacing w:after="0" w:line="240" w:lineRule="auto"/>
    </w:pPr>
    <w:rPr>
      <w:rFonts w:ascii="Times New Roman PS" w:eastAsiaTheme="minorEastAsia" w:hAnsi="Times New Roman PS" w:cs="Times New Roman PS"/>
      <w:color w:val="000000"/>
      <w:sz w:val="24"/>
      <w:szCs w:val="24"/>
      <w:lang w:val="en-US" w:eastAsia="zh-CN"/>
    </w:rPr>
  </w:style>
  <w:style w:type="character" w:customStyle="1" w:styleId="highwire-cite-title">
    <w:name w:val="highwire-cite-title"/>
    <w:basedOn w:val="DefaultParagraphFont"/>
    <w:rsid w:val="000E7AC6"/>
  </w:style>
  <w:style w:type="character" w:customStyle="1" w:styleId="highwire-citation-authors">
    <w:name w:val="highwire-citation-authors"/>
    <w:basedOn w:val="DefaultParagraphFont"/>
    <w:rsid w:val="000E7AC6"/>
  </w:style>
  <w:style w:type="character" w:customStyle="1" w:styleId="highwire-citation-author">
    <w:name w:val="highwire-citation-author"/>
    <w:basedOn w:val="DefaultParagraphFont"/>
    <w:rsid w:val="000E7AC6"/>
  </w:style>
  <w:style w:type="character" w:customStyle="1" w:styleId="nlm-given-names">
    <w:name w:val="nlm-given-names"/>
    <w:basedOn w:val="DefaultParagraphFont"/>
    <w:rsid w:val="000E7AC6"/>
  </w:style>
  <w:style w:type="character" w:customStyle="1" w:styleId="nlm-surname">
    <w:name w:val="nlm-surname"/>
    <w:basedOn w:val="DefaultParagraphFont"/>
    <w:rsid w:val="000E7AC6"/>
  </w:style>
  <w:style w:type="character" w:customStyle="1" w:styleId="highwire-cite-metadata-journal">
    <w:name w:val="highwire-cite-metadata-journal"/>
    <w:basedOn w:val="DefaultParagraphFont"/>
    <w:rsid w:val="000E7AC6"/>
  </w:style>
  <w:style w:type="character" w:customStyle="1" w:styleId="highwire-cite-metadata-volume">
    <w:name w:val="highwire-cite-metadata-volume"/>
    <w:basedOn w:val="DefaultParagraphFont"/>
    <w:rsid w:val="000E7AC6"/>
  </w:style>
  <w:style w:type="character" w:customStyle="1" w:styleId="highwire-cite-metadata-issue">
    <w:name w:val="highwire-cite-metadata-issue"/>
    <w:basedOn w:val="DefaultParagraphFont"/>
    <w:rsid w:val="000E7AC6"/>
  </w:style>
  <w:style w:type="character" w:customStyle="1" w:styleId="highwire-cite-metadata-pages">
    <w:name w:val="highwire-cite-metadata-pages"/>
    <w:basedOn w:val="DefaultParagraphFont"/>
    <w:rsid w:val="000E7AC6"/>
  </w:style>
  <w:style w:type="character" w:customStyle="1" w:styleId="highwire-cite-metadata-date">
    <w:name w:val="highwire-cite-metadata-date"/>
    <w:basedOn w:val="DefaultParagraphFont"/>
    <w:rsid w:val="000E7AC6"/>
  </w:style>
  <w:style w:type="paragraph" w:customStyle="1" w:styleId="EndNoteBibliographyTitle">
    <w:name w:val="EndNote Bibliography Title"/>
    <w:basedOn w:val="Normal"/>
    <w:link w:val="EndNoteBibliographyTitle0"/>
    <w:rsid w:val="000E7AC6"/>
    <w:pPr>
      <w:jc w:val="center"/>
    </w:pPr>
    <w:rPr>
      <w:noProof/>
    </w:rPr>
  </w:style>
  <w:style w:type="character" w:customStyle="1" w:styleId="EndNoteBibliographyTitle0">
    <w:name w:val="EndNote Bibliography Title 字符"/>
    <w:basedOn w:val="DefaultParagraphFont"/>
    <w:link w:val="EndNoteBibliographyTitle"/>
    <w:rsid w:val="000E7AC6"/>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0"/>
    <w:rsid w:val="000E7AC6"/>
    <w:pPr>
      <w:jc w:val="both"/>
    </w:pPr>
    <w:rPr>
      <w:noProof/>
    </w:rPr>
  </w:style>
  <w:style w:type="character" w:customStyle="1" w:styleId="EndNoteBibliography0">
    <w:name w:val="EndNote Bibliography 字符"/>
    <w:basedOn w:val="DefaultParagraphFont"/>
    <w:link w:val="EndNoteBibliography"/>
    <w:rsid w:val="000E7AC6"/>
    <w:rPr>
      <w:rFonts w:ascii="Times New Roman" w:eastAsia="Times New Roman" w:hAnsi="Times New Roman" w:cs="Times New Roman"/>
      <w:noProof/>
      <w:sz w:val="24"/>
      <w:szCs w:val="24"/>
      <w:lang w:val="en-US"/>
    </w:rPr>
  </w:style>
  <w:style w:type="character" w:customStyle="1" w:styleId="highwire-cite-metadata-doi">
    <w:name w:val="highwire-cite-metadata-doi"/>
    <w:basedOn w:val="DefaultParagraphFont"/>
    <w:rsid w:val="000E7AC6"/>
  </w:style>
  <w:style w:type="character" w:customStyle="1" w:styleId="label">
    <w:name w:val="label"/>
    <w:basedOn w:val="DefaultParagraphFont"/>
    <w:rsid w:val="000E7AC6"/>
  </w:style>
  <w:style w:type="table" w:styleId="TableGrid">
    <w:name w:val="Table Grid"/>
    <w:basedOn w:val="TableNormal"/>
    <w:uiPriority w:val="39"/>
    <w:rsid w:val="000E7AC6"/>
    <w:pPr>
      <w:spacing w:after="0" w:line="240" w:lineRule="auto"/>
    </w:pPr>
    <w:rPr>
      <w:rFonts w:eastAsiaTheme="minorEastAsia"/>
      <w:kern w:val="2"/>
      <w:sz w:val="21"/>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E7AC6"/>
    <w:rPr>
      <w:b/>
      <w:bCs/>
    </w:rPr>
  </w:style>
  <w:style w:type="paragraph" w:customStyle="1" w:styleId="Title1">
    <w:name w:val="Title1"/>
    <w:basedOn w:val="Normal"/>
    <w:rsid w:val="000E7AC6"/>
    <w:pPr>
      <w:spacing w:before="100" w:beforeAutospacing="1" w:after="100" w:afterAutospacing="1"/>
    </w:pPr>
  </w:style>
  <w:style w:type="paragraph" w:customStyle="1" w:styleId="desc">
    <w:name w:val="desc"/>
    <w:basedOn w:val="Normal"/>
    <w:rsid w:val="000E7AC6"/>
    <w:pPr>
      <w:spacing w:before="100" w:beforeAutospacing="1" w:after="100" w:afterAutospacing="1"/>
    </w:pPr>
  </w:style>
  <w:style w:type="paragraph" w:customStyle="1" w:styleId="details">
    <w:name w:val="details"/>
    <w:basedOn w:val="Normal"/>
    <w:rsid w:val="000E7AC6"/>
    <w:pPr>
      <w:spacing w:before="100" w:beforeAutospacing="1" w:after="100" w:afterAutospacing="1"/>
    </w:pPr>
  </w:style>
  <w:style w:type="character" w:customStyle="1" w:styleId="jrnl">
    <w:name w:val="jrnl"/>
    <w:basedOn w:val="DefaultParagraphFont"/>
    <w:rsid w:val="000E7AC6"/>
  </w:style>
  <w:style w:type="character" w:customStyle="1" w:styleId="cit-auth">
    <w:name w:val="cit-auth"/>
    <w:basedOn w:val="DefaultParagraphFont"/>
    <w:rsid w:val="000E7AC6"/>
  </w:style>
  <w:style w:type="character" w:customStyle="1" w:styleId="cit-name-surname">
    <w:name w:val="cit-name-surname"/>
    <w:basedOn w:val="DefaultParagraphFont"/>
    <w:rsid w:val="000E7AC6"/>
  </w:style>
  <w:style w:type="character" w:customStyle="1" w:styleId="cit-name-given-names">
    <w:name w:val="cit-name-given-names"/>
    <w:basedOn w:val="DefaultParagraphFont"/>
    <w:rsid w:val="000E7AC6"/>
  </w:style>
  <w:style w:type="character" w:customStyle="1" w:styleId="cit-etal">
    <w:name w:val="cit-etal"/>
    <w:basedOn w:val="DefaultParagraphFont"/>
    <w:rsid w:val="000E7AC6"/>
  </w:style>
  <w:style w:type="character" w:customStyle="1" w:styleId="cit-article-title">
    <w:name w:val="cit-article-title"/>
    <w:basedOn w:val="DefaultParagraphFont"/>
    <w:rsid w:val="000E7AC6"/>
  </w:style>
  <w:style w:type="character" w:customStyle="1" w:styleId="cit-pub-date">
    <w:name w:val="cit-pub-date"/>
    <w:basedOn w:val="DefaultParagraphFont"/>
    <w:rsid w:val="000E7AC6"/>
  </w:style>
  <w:style w:type="character" w:customStyle="1" w:styleId="cit-vol">
    <w:name w:val="cit-vol"/>
    <w:basedOn w:val="DefaultParagraphFont"/>
    <w:rsid w:val="000E7AC6"/>
  </w:style>
  <w:style w:type="character" w:customStyle="1" w:styleId="cit-fpage">
    <w:name w:val="cit-fpage"/>
    <w:basedOn w:val="DefaultParagraphFont"/>
    <w:rsid w:val="000E7AC6"/>
  </w:style>
  <w:style w:type="character" w:customStyle="1" w:styleId="cit-lpage">
    <w:name w:val="cit-lpage"/>
    <w:basedOn w:val="DefaultParagraphFont"/>
    <w:rsid w:val="000E7AC6"/>
  </w:style>
  <w:style w:type="paragraph" w:styleId="TOCHeading">
    <w:name w:val="TOC Heading"/>
    <w:basedOn w:val="Heading1"/>
    <w:next w:val="Normal"/>
    <w:uiPriority w:val="39"/>
    <w:unhideWhenUsed/>
    <w:qFormat/>
    <w:rsid w:val="000E7AC6"/>
    <w:pPr>
      <w:outlineLvl w:val="9"/>
    </w:pPr>
  </w:style>
  <w:style w:type="paragraph" w:styleId="TOC1">
    <w:name w:val="toc 1"/>
    <w:basedOn w:val="Normal"/>
    <w:next w:val="Normal"/>
    <w:autoRedefine/>
    <w:uiPriority w:val="39"/>
    <w:unhideWhenUsed/>
    <w:rsid w:val="000E7AC6"/>
    <w:pPr>
      <w:spacing w:after="100" w:line="259" w:lineRule="auto"/>
    </w:pPr>
    <w:rPr>
      <w:rFonts w:asciiTheme="minorHAnsi" w:eastAsiaTheme="minorEastAsia" w:hAnsiTheme="minorHAnsi" w:cstheme="minorBidi"/>
      <w:sz w:val="22"/>
      <w:szCs w:val="22"/>
      <w:lang w:eastAsia="zh-CN"/>
    </w:rPr>
  </w:style>
  <w:style w:type="paragraph" w:styleId="TOC2">
    <w:name w:val="toc 2"/>
    <w:basedOn w:val="Normal"/>
    <w:next w:val="Normal"/>
    <w:autoRedefine/>
    <w:uiPriority w:val="39"/>
    <w:unhideWhenUsed/>
    <w:rsid w:val="000E7AC6"/>
    <w:pPr>
      <w:spacing w:after="100" w:line="259" w:lineRule="auto"/>
      <w:ind w:left="220"/>
    </w:pPr>
    <w:rPr>
      <w:rFonts w:asciiTheme="minorHAnsi" w:eastAsiaTheme="minorEastAsia" w:hAnsiTheme="minorHAnsi" w:cstheme="minorBidi"/>
      <w:sz w:val="22"/>
      <w:szCs w:val="22"/>
      <w:lang w:eastAsia="zh-CN"/>
    </w:rPr>
  </w:style>
  <w:style w:type="paragraph" w:customStyle="1" w:styleId="1">
    <w:name w:val="标题1"/>
    <w:basedOn w:val="Normal"/>
    <w:rsid w:val="000E7A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3252</Words>
  <Characters>18540</Characters>
  <Application>Microsoft Office Word</Application>
  <DocSecurity>0</DocSecurity>
  <Lines>154</Lines>
  <Paragraphs>43</Paragraphs>
  <ScaleCrop>false</ScaleCrop>
  <Company>Springer-SBM</Company>
  <LinksUpToDate>false</LinksUpToDate>
  <CharactersWithSpaces>21749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Dearden</dc:creator>
  <cp:lastModifiedBy>Sheela Devi R.</cp:lastModifiedBy>
  <cp:revision>2</cp:revision>
  <dcterms:created xsi:type="dcterms:W3CDTF">2020-06-29T13:18:00Z</dcterms:created>
  <dcterms:modified xsi:type="dcterms:W3CDTF">2020-07-02T06:36:00Z</dcterms:modified>
</cp:coreProperties>
</file>