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F208" w14:textId="448E23AD" w:rsidR="00CE627D" w:rsidRPr="00CE627D" w:rsidRDefault="00CE627D" w:rsidP="00CE627D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center"/>
        <w:outlineLvl w:val="0"/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</w:pPr>
      <w:r w:rsidRPr="00CE627D"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  <w:t xml:space="preserve">Real-World Outcomes in Patients with COPD Initiating Budesonide/Glycopyrronium/Formoterol Fumarate Dihydrate After Dual and Triple </w:t>
      </w:r>
      <w:r w:rsidR="00BE5C26"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  <w:t>T</w:t>
      </w:r>
      <w:r w:rsidRPr="00CE627D"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  <w:t xml:space="preserve">herapy in Spain: </w:t>
      </w:r>
      <w:r w:rsidR="00BE5C26"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  <w:t>A</w:t>
      </w:r>
      <w:r w:rsidRPr="00CE627D"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  <w:t xml:space="preserve"> </w:t>
      </w:r>
      <w:r w:rsidR="00BE5C26"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  <w:t>S</w:t>
      </w:r>
      <w:r w:rsidRPr="00CE627D">
        <w:rPr>
          <w:rFonts w:ascii="Times New Roman" w:eastAsia="Arial Unicode MS" w:hAnsi="Times New Roman" w:cs="Arial Unicode MS"/>
          <w:b/>
          <w:bCs/>
          <w:color w:val="000000"/>
          <w:kern w:val="32"/>
          <w:sz w:val="32"/>
          <w:szCs w:val="32"/>
          <w:u w:color="000000"/>
          <w:bdr w:val="nil"/>
          <w:lang w:eastAsia="es-ES_tradnl"/>
          <w14:ligatures w14:val="none"/>
        </w:rPr>
        <w:t>ub-study of the ORESTES Study.</w:t>
      </w:r>
    </w:p>
    <w:p w14:paraId="3C55EDC1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156082"/>
          <w:kern w:val="0"/>
          <w:u w:color="156082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78EDE94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bookmarkStart w:id="0" w:name="_Hlk201558454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Juan Marco Figueira-Gonçalves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Bernardino Alcázar-Navarrete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2, 3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Raquel Casitas-Mateo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4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Jessica González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3, 5, 6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Carolina María Gotera-Rivera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7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Alberto Herrejón-Silvestre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8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Juan Margallo-Iribarnegaray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9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Marta Martín-Lana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10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Abel Pallarés-Sanmartín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11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Sergi Pascual-Guardia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3, 12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Alberto Saura-Vinuesa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13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; Carmen Corregidor-García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14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Eunice Fitas 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14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Joaquín Sánchez-Covisa </w:t>
      </w:r>
      <w:bookmarkEnd w:id="0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14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4EFDA8F5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156082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7447ACFF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1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Universitario Nuestra Señora de Candelaria, Santa Cruz de Tenerife, Spain. </w:t>
      </w:r>
    </w:p>
    <w:p w14:paraId="7CC4A559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2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Departamento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de Medicina. Universidad de Granada. Hospital Universitario Virgen de las Nieves. IBS. Granada, Spain. </w:t>
      </w:r>
    </w:p>
    <w:p w14:paraId="1F084B22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3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Centro de Investigación Biomédica en Red (CIBER) de Enfermedades Respiratorias, Instituto de Salud Carlos III, Madrid, Spain. </w:t>
      </w:r>
    </w:p>
    <w:p w14:paraId="1C371E50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4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Universitario La Paz, Madrid, Spain. </w:t>
      </w:r>
    </w:p>
    <w:p w14:paraId="09929711" w14:textId="741CCE04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5</w:t>
      </w:r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Investigación</w:t>
      </w:r>
      <w:proofErr w:type="gramEnd"/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r w:rsidR="00BE5C26"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Traslacional </w:t>
      </w:r>
      <w:r w:rsidR="00BE5C26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e</w:t>
      </w:r>
      <w:r w:rsidR="00BE5C26"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n Medicina Respiratoria</w:t>
      </w:r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, Instituto de Investigación Biomédica de Lleida–Fundación Dr. Pifarré, IRBLleida, Lleida, Spain.</w:t>
      </w:r>
    </w:p>
    <w:p w14:paraId="57BA1CE6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6</w:t>
      </w:r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Departamento</w:t>
      </w:r>
      <w:proofErr w:type="gramEnd"/>
      <w:r w:rsidRPr="00CE627D">
        <w:rPr>
          <w:rFonts w:ascii="Times New Roman" w:eastAsia="Arial Unicode MS" w:hAnsi="Times New Roman" w:cs="Arial Unicode MS"/>
          <w:kern w:val="0"/>
          <w:u w:color="156082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de Neumología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Hospital Universitario Arnau de Vilanova and Santa Maria, Lleida, Spain. </w:t>
      </w:r>
    </w:p>
    <w:p w14:paraId="19F38676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7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Universitario Fundación Jiménez Díaz, Madrid, Spain. </w:t>
      </w:r>
    </w:p>
    <w:p w14:paraId="2E7A2DB7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8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Universitario Doctor Peset, Valencia, Spain. </w:t>
      </w:r>
    </w:p>
    <w:p w14:paraId="20389EF2" w14:textId="13A5DB9C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9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Universitario 12 </w:t>
      </w:r>
      <w:r w:rsidR="00BE5C26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e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Octubre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, Madrid, Spain. </w:t>
      </w:r>
    </w:p>
    <w:p w14:paraId="37367F1C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lastRenderedPageBreak/>
        <w:t>10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Clínico Universitario Lozano Blesa, Zaragoza, Spain. </w:t>
      </w:r>
    </w:p>
    <w:p w14:paraId="40B71CCE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11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Complexo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Hospitalario Universitario de Ourense (CHUO), Ourense, Spain. </w:t>
      </w:r>
    </w:p>
    <w:p w14:paraId="4BD8D730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12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del Mar, Barcelona, Spain. </w:t>
      </w:r>
    </w:p>
    <w:p w14:paraId="58C429CC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13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</w:t>
      </w:r>
      <w:proofErr w:type="gramStart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Hospital</w:t>
      </w:r>
      <w:proofErr w:type="gramEnd"/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s-E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Universitario de Sagunto, Valencia, Spain. </w:t>
      </w:r>
    </w:p>
    <w:p w14:paraId="78845D62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vertAlign w:val="superscript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14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Medical and Regulatory Affairs Department, BioPharmaceuticals Medical, AstraZeneca, Madrid, Spain</w:t>
      </w:r>
    </w:p>
    <w:p w14:paraId="08FF767C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b/>
          <w:bCs/>
          <w:color w:val="156082"/>
          <w:kern w:val="0"/>
          <w:u w:color="156082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B712C84" w14:textId="77777777" w:rsid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val="en-US"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CE627D">
        <w:rPr>
          <w:rFonts w:ascii="Times New Roman" w:eastAsia="Arial Unicode MS" w:hAnsi="Times New Roman" w:cs="Arial Unicode MS"/>
          <w:b/>
          <w:bCs/>
          <w:color w:val="000000"/>
          <w:kern w:val="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Correspondence Details:</w:t>
      </w:r>
      <w:r w:rsidRPr="00CE627D"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Joaquín Sánchez-Covisa, Medical and Regulatory Affairs Department, BioPharmaceuticals Medical, AstraZeneca, Madrid, Spain. Telephone number: +34900200444. E-mail address: </w:t>
      </w:r>
      <w:hyperlink r:id="rId6" w:history="1">
        <w:r w:rsidRPr="00CE627D">
          <w:rPr>
            <w:rFonts w:ascii="Times New Roman" w:eastAsia="Arial Unicode MS" w:hAnsi="Times New Roman" w:cs="Arial Unicode MS"/>
            <w:color w:val="000000"/>
            <w:kern w:val="0"/>
            <w:u w:val="single" w:color="000000"/>
            <w:bdr w:val="nil"/>
            <w:lang w:eastAsia="es-ES_tradnl"/>
            <w14:textOutline w14:w="12700" w14:cap="flat" w14:cmpd="sng" w14:algn="ctr">
              <w14:noFill/>
              <w14:prstDash w14:val="solid"/>
              <w14:miter w14:lim="400000"/>
            </w14:textOutline>
            <w14:ligatures w14:val="none"/>
          </w:rPr>
          <w:t>joaquin.sanchez-covisa@astrazeneca.com</w:t>
        </w:r>
      </w:hyperlink>
    </w:p>
    <w:p w14:paraId="4E4529B4" w14:textId="77777777" w:rsidR="00EF22E3" w:rsidRPr="00CE627D" w:rsidRDefault="00EF22E3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34A8358C" w14:textId="77777777" w:rsidR="00CE627D" w:rsidRPr="00CE627D" w:rsidRDefault="00CE627D" w:rsidP="00CE627D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outlineLvl w:val="0"/>
        <w:rPr>
          <w:rFonts w:ascii="Times New Roman" w:eastAsia="Arial Unicode MS" w:hAnsi="Times New Roman" w:cs="Arial Unicode MS"/>
          <w:b/>
          <w:bCs/>
          <w:color w:val="000000"/>
          <w:kern w:val="32"/>
          <w:sz w:val="28"/>
          <w:szCs w:val="28"/>
          <w:u w:color="000000"/>
          <w:bdr w:val="nil"/>
          <w:lang w:eastAsia="es-ES_tradnl"/>
          <w14:ligatures w14:val="none"/>
        </w:rPr>
      </w:pPr>
      <w:r w:rsidRPr="00CE627D">
        <w:rPr>
          <w:rFonts w:ascii="Times New Roman" w:eastAsia="Arial Unicode MS" w:hAnsi="Times New Roman" w:cs="Arial Unicode MS"/>
          <w:b/>
          <w:bCs/>
          <w:color w:val="000000"/>
          <w:kern w:val="32"/>
          <w:sz w:val="28"/>
          <w:szCs w:val="28"/>
          <w:u w:color="000000"/>
          <w:bdr w:val="nil"/>
          <w:lang w:eastAsia="es-ES_tradnl"/>
          <w14:ligatures w14:val="none"/>
        </w:rPr>
        <w:t>Supplementary material</w:t>
      </w:r>
    </w:p>
    <w:p w14:paraId="341B1061" w14:textId="77777777" w:rsidR="00CE627D" w:rsidRPr="00CE627D" w:rsidRDefault="00CE627D" w:rsidP="00CE627D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outlineLvl w:val="0"/>
        <w:rPr>
          <w:rFonts w:ascii="Times New Roman" w:eastAsia="Arial Unicode MS" w:hAnsi="Times New Roman" w:cs="Arial Unicode MS"/>
          <w:b/>
          <w:bCs/>
          <w:color w:val="000000"/>
          <w:kern w:val="32"/>
          <w:sz w:val="28"/>
          <w:szCs w:val="28"/>
          <w:u w:color="000000"/>
          <w:bdr w:val="nil"/>
          <w:lang w:eastAsia="es-ES_tradnl"/>
          <w14:ligatures w14:val="none"/>
        </w:rPr>
        <w:sectPr w:rsidR="00CE627D" w:rsidRPr="00CE627D" w:rsidSect="00CE627D">
          <w:headerReference w:type="default" r:id="rId7"/>
          <w:pgSz w:w="11900" w:h="16840"/>
          <w:pgMar w:top="1418" w:right="1418" w:bottom="1418" w:left="1418" w:header="709" w:footer="709" w:gutter="0"/>
          <w:cols w:space="720"/>
        </w:sectPr>
      </w:pPr>
    </w:p>
    <w:p w14:paraId="0D502EE2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480" w:lineRule="auto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58235F2E" w14:textId="77777777" w:rsidR="00CE627D" w:rsidRPr="00CE627D" w:rsidRDefault="00CE627D" w:rsidP="00CE627D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200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bdr w:val="nil"/>
          <w:lang w:eastAsia="es-ES_tradnl"/>
          <w14:ligatures w14:val="none"/>
        </w:rPr>
      </w:pPr>
      <w:bookmarkStart w:id="1" w:name="_Ref212636428"/>
      <w:r w:rsidRPr="00CE627D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bdr w:val="nil"/>
          <w:lang w:eastAsia="es-ES_tradnl"/>
          <w14:ligatures w14:val="none"/>
        </w:rPr>
        <w:t>Table S 1</w:t>
      </w:r>
      <w:bookmarkEnd w:id="1"/>
      <w:r w:rsidRPr="00CE627D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bdr w:val="nil"/>
          <w:lang w:eastAsia="es-ES_tradnl"/>
          <w14:ligatures w14:val="none"/>
        </w:rPr>
        <w:t>. Exacerbations in subsets of patients treated with dual therapy or SITT prior to BGF</w:t>
      </w:r>
    </w:p>
    <w:tbl>
      <w:tblPr>
        <w:tblStyle w:val="TableNormal"/>
        <w:tblW w:w="1400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851"/>
        <w:gridCol w:w="1276"/>
        <w:gridCol w:w="708"/>
        <w:gridCol w:w="851"/>
        <w:gridCol w:w="1276"/>
        <w:gridCol w:w="850"/>
        <w:gridCol w:w="709"/>
        <w:gridCol w:w="1276"/>
        <w:gridCol w:w="708"/>
        <w:gridCol w:w="850"/>
        <w:gridCol w:w="1247"/>
      </w:tblGrid>
      <w:tr w:rsidR="00CE627D" w:rsidRPr="00CE627D" w14:paraId="0B574BC3" w14:textId="77777777" w:rsidTr="00544DE3">
        <w:trPr>
          <w:trHeight w:val="227"/>
        </w:trPr>
        <w:tc>
          <w:tcPr>
            <w:tcW w:w="25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741B3" w14:textId="77777777" w:rsidR="00CE627D" w:rsidRPr="00CE627D" w:rsidRDefault="00CE627D" w:rsidP="00CE627D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Variable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04FA4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Previous Dual Therapy (N=295)</w:t>
            </w:r>
          </w:p>
        </w:tc>
        <w:tc>
          <w:tcPr>
            <w:tcW w:w="564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BF15D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Previous SITT (N=147)</w:t>
            </w:r>
          </w:p>
        </w:tc>
      </w:tr>
      <w:tr w:rsidR="00CE627D" w:rsidRPr="00CE627D" w14:paraId="081BA77A" w14:textId="77777777" w:rsidTr="00544DE3">
        <w:trPr>
          <w:trHeight w:val="1322"/>
        </w:trPr>
        <w:tc>
          <w:tcPr>
            <w:tcW w:w="25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023C8D" w14:textId="77777777" w:rsidR="00CE627D" w:rsidRPr="00CE627D" w:rsidRDefault="00CE627D" w:rsidP="00CE627D"/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9B65B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ICS/LABA (N=112)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57F53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LABA/LAMA (N=183)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26AD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Fluticasone furoate/umeclidinium/vilanterol (N=85)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8C1B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Beclometasone dipropionate/glycopyrronium bromide/formoterol fumarate (N=62)</w:t>
            </w:r>
          </w:p>
        </w:tc>
      </w:tr>
      <w:tr w:rsidR="00CE627D" w:rsidRPr="00CE627D" w14:paraId="42B79DAA" w14:textId="77777777" w:rsidTr="00544DE3">
        <w:trPr>
          <w:trHeight w:val="1327"/>
        </w:trPr>
        <w:tc>
          <w:tcPr>
            <w:tcW w:w="25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F4B6AF" w14:textId="77777777" w:rsidR="00CE627D" w:rsidRPr="00CE627D" w:rsidRDefault="00CE627D" w:rsidP="00CE627D"/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1165D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3CFDF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A48A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1C959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601EC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4831F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6DB35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45AC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B123B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73308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D8C54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D44DC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</w:tr>
      <w:tr w:rsidR="00CE627D" w:rsidRPr="00CE627D" w14:paraId="1870706A" w14:textId="77777777" w:rsidTr="00544DE3">
        <w:trPr>
          <w:trHeight w:val="667"/>
        </w:trPr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85269" w14:textId="77777777" w:rsidR="00CE627D" w:rsidRPr="00CE627D" w:rsidRDefault="00CE627D" w:rsidP="00CE627D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Patients with ≥1 total exacerbations, 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E3CD8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62.5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0F4DF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55.4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EF704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-11.4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(-28.7; 5.8)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70C6D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59.0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47F60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47.0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74E2F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-20.4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(-36.2; -4.6)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F1F6A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70.6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50425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62.4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CC2BA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-11.7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(-29.9; 6.5)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737C2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75.8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2CD5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51.6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B6CF9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-31.9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(-51.9; -11.9)</w:t>
            </w:r>
          </w:p>
        </w:tc>
      </w:tr>
      <w:tr w:rsidR="00CE627D" w:rsidRPr="00CE627D" w14:paraId="5427C699" w14:textId="77777777" w:rsidTr="00544DE3">
        <w:trPr>
          <w:trHeight w:val="1107"/>
        </w:trPr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788" w:type="dxa"/>
              <w:bottom w:w="80" w:type="dxa"/>
              <w:right w:w="80" w:type="dxa"/>
            </w:tcMar>
          </w:tcPr>
          <w:p w14:paraId="2C9551D3" w14:textId="18F9445D" w:rsidR="00CE627D" w:rsidRPr="00CE627D" w:rsidRDefault="00CE627D" w:rsidP="00CE627D">
            <w:pPr>
              <w:ind w:left="708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Annuali</w:t>
            </w:r>
            <w:r w:rsidR="00BE5C26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ed rate of total exacerbations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0D1C8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CE675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1F9A2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-2.9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(-4.7; -1.0)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2A19C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E8468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A867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-17.8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(-19.6; -16.1)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5404C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07EF3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2F3DD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-15.1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(-16.7; -13.6)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238FA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0CAE7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1.30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4D1F8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-20.9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(-22.9; -18.9)</w:t>
            </w:r>
          </w:p>
        </w:tc>
      </w:tr>
    </w:tbl>
    <w:p w14:paraId="14FABB91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kern w:val="0"/>
          <w:bdr w:val="nil"/>
          <w14:ligatures w14:val="none"/>
        </w:rPr>
      </w:pPr>
    </w:p>
    <w:p w14:paraId="71FA774C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color="000000"/>
          <w:bdr w:val="nil"/>
          <w:lang w:eastAsia="es-ES_tradnl"/>
          <w14:ligatures w14:val="none"/>
        </w:rPr>
      </w:pPr>
      <w:r w:rsidRPr="00CE627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color="000000"/>
          <w:bdr w:val="nil"/>
          <w:lang w:eastAsia="es-ES_tradnl"/>
          <w14:ligatures w14:val="none"/>
        </w:rPr>
        <w:t>BGF: budesonide/glycopyrronium/formoterol fumarate dihydrate; CI: confidence intervals; ICS: inhaled corticosteroid; LABA: long-acting beta-2-adrenergic agonists; LAMA: long-acting anticholinergics; Post-BGF: Within 12 months after BGF initiation; Pre-BGF: Within 12 months before initiation of BGF; SITT: single-inhaler triple therapy.</w:t>
      </w:r>
    </w:p>
    <w:p w14:paraId="30BFA5B5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sz w:val="20"/>
          <w:szCs w:val="2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344D769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kern w:val="0"/>
          <w:sz w:val="20"/>
          <w:szCs w:val="20"/>
          <w:u w:color="000000"/>
          <w:bdr w:val="nil"/>
          <w:lang w:eastAsia="es-ES_tradnl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14:paraId="4308BC00" w14:textId="77777777" w:rsidR="00CE627D" w:rsidRPr="00CE627D" w:rsidRDefault="00CE627D" w:rsidP="00CE627D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200" w:line="48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bdr w:val="nil"/>
          <w:lang w:eastAsia="es-ES_tradnl"/>
          <w14:ligatures w14:val="none"/>
        </w:rPr>
      </w:pPr>
      <w:bookmarkStart w:id="2" w:name="_Ref212636459"/>
      <w:r w:rsidRPr="00CE627D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bdr w:val="nil"/>
          <w:lang w:eastAsia="es-ES_tradnl"/>
          <w14:ligatures w14:val="none"/>
        </w:rPr>
        <w:lastRenderedPageBreak/>
        <w:t>Table S 2</w:t>
      </w:r>
      <w:bookmarkEnd w:id="2"/>
      <w:r w:rsidRPr="00CE627D">
        <w:rPr>
          <w:rFonts w:ascii="Times New Roman" w:eastAsia="Times New Roman" w:hAnsi="Times New Roman" w:cs="Times New Roman"/>
          <w:b/>
          <w:bCs/>
          <w:color w:val="000000"/>
          <w:kern w:val="0"/>
          <w:u w:color="000000"/>
          <w:bdr w:val="nil"/>
          <w:lang w:eastAsia="es-ES_tradnl"/>
          <w14:ligatures w14:val="none"/>
        </w:rPr>
        <w:t>. SABA treatment in subsets of patients treated with dual therapy or SITT prior to BGF</w:t>
      </w:r>
    </w:p>
    <w:tbl>
      <w:tblPr>
        <w:tblStyle w:val="TableNormal"/>
        <w:tblW w:w="1400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851"/>
        <w:gridCol w:w="1276"/>
        <w:gridCol w:w="708"/>
        <w:gridCol w:w="851"/>
        <w:gridCol w:w="1276"/>
        <w:gridCol w:w="850"/>
        <w:gridCol w:w="709"/>
        <w:gridCol w:w="1276"/>
        <w:gridCol w:w="708"/>
        <w:gridCol w:w="850"/>
        <w:gridCol w:w="1247"/>
      </w:tblGrid>
      <w:tr w:rsidR="00CE627D" w:rsidRPr="00CE627D" w14:paraId="657DDBAC" w14:textId="77777777" w:rsidTr="00544DE3">
        <w:trPr>
          <w:trHeight w:val="227"/>
        </w:trPr>
        <w:tc>
          <w:tcPr>
            <w:tcW w:w="255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11235" w14:textId="77777777" w:rsidR="00CE627D" w:rsidRPr="00CE627D" w:rsidRDefault="00CE627D" w:rsidP="00CE627D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Variable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45CAA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Previous Dual Therapy (N=295)</w:t>
            </w:r>
          </w:p>
        </w:tc>
        <w:tc>
          <w:tcPr>
            <w:tcW w:w="564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39E55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Previous SITT (N=147)</w:t>
            </w:r>
          </w:p>
        </w:tc>
      </w:tr>
      <w:tr w:rsidR="00CE627D" w:rsidRPr="00CE627D" w14:paraId="5754F1EA" w14:textId="77777777" w:rsidTr="00544DE3">
        <w:trPr>
          <w:trHeight w:val="1322"/>
        </w:trPr>
        <w:tc>
          <w:tcPr>
            <w:tcW w:w="25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61498D" w14:textId="77777777" w:rsidR="00CE627D" w:rsidRPr="00CE627D" w:rsidRDefault="00CE627D" w:rsidP="00CE627D"/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F6790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ICS/LABA (N=112)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4C1C5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LABA/LAMA (N=183)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AA730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Fluticasone furoate/umeclidinium/vilanterol (N=85)</w:t>
            </w:r>
          </w:p>
        </w:tc>
        <w:tc>
          <w:tcPr>
            <w:tcW w:w="28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CC9C3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Beclometasone dipropionate/glycopyrronium bromide/formoterol fumarate (N=62)</w:t>
            </w:r>
          </w:p>
        </w:tc>
      </w:tr>
      <w:tr w:rsidR="00CE627D" w:rsidRPr="00CE627D" w14:paraId="11BD58BB" w14:textId="77777777" w:rsidTr="00544DE3">
        <w:trPr>
          <w:trHeight w:val="1327"/>
        </w:trPr>
        <w:tc>
          <w:tcPr>
            <w:tcW w:w="255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D1810F" w14:textId="77777777" w:rsidR="00CE627D" w:rsidRPr="00CE627D" w:rsidRDefault="00CE627D" w:rsidP="00CE627D"/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12199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2BBE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83A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D5A22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7BA97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E36CE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951BB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450E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306EB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D6799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Pre-BGF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C26BB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Post-BGF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6BF15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b/>
                <w:bCs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Relative Differences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 % (CI 95%)</w:t>
            </w:r>
          </w:p>
        </w:tc>
      </w:tr>
      <w:tr w:rsidR="00CE627D" w:rsidRPr="00CE627D" w14:paraId="112A4F01" w14:textId="77777777" w:rsidTr="00544DE3">
        <w:trPr>
          <w:trHeight w:val="667"/>
        </w:trPr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1B814" w14:textId="77777777" w:rsidR="00CE627D" w:rsidRPr="00CE627D" w:rsidRDefault="00CE627D" w:rsidP="00CE627D">
            <w:pPr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SABA treatment, actual use, %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FAF4E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46.5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52D9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37.9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29CB3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-18.5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(-21.9; -15.1)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24442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41.0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191E3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30.1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67953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-26.6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(-30.8; -22.4)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9200C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46.6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F3D5B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37.5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1B37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-19.5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(-23.0; -15.9)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E82D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45.1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D7AAC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33.6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7DDF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-25.4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(-29.5; -21.3)</w:t>
            </w:r>
          </w:p>
        </w:tc>
      </w:tr>
      <w:tr w:rsidR="00CE627D" w:rsidRPr="00CE627D" w14:paraId="20CFB689" w14:textId="77777777" w:rsidTr="00544DE3">
        <w:trPr>
          <w:trHeight w:val="1547"/>
        </w:trPr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788" w:type="dxa"/>
              <w:bottom w:w="80" w:type="dxa"/>
              <w:right w:w="80" w:type="dxa"/>
            </w:tcMar>
          </w:tcPr>
          <w:p w14:paraId="1F2594C9" w14:textId="4A6FAE04" w:rsidR="00CE627D" w:rsidRPr="00CE627D" w:rsidRDefault="00CE627D" w:rsidP="00CE627D">
            <w:pPr>
              <w:ind w:left="708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Annuali</w:t>
            </w:r>
            <w:r w:rsidR="00BE5C26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ed rate of actual use of SABA treatment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9981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BB517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F295E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-19.6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(-21.2; -18.0)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2D84A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39E5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9C3B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-27.9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(-29.9; -26.0)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5D576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B0EE0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6565B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-30.3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(-31.4; -29.3)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BB6A0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A0299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0.99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285B1" w14:textId="77777777" w:rsidR="00CE627D" w:rsidRPr="00CE627D" w:rsidRDefault="00CE627D" w:rsidP="00CE627D">
            <w:pPr>
              <w:jc w:val="center"/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-34.2</w:t>
            </w:r>
            <w:r w:rsidRPr="00CE627D">
              <w:rPr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  <w:t>(-35.1; -33.3)</w:t>
            </w:r>
          </w:p>
        </w:tc>
      </w:tr>
    </w:tbl>
    <w:p w14:paraId="5B9A7A70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kern w:val="0"/>
          <w:bdr w:val="nil"/>
          <w14:ligatures w14:val="none"/>
        </w:rPr>
      </w:pPr>
    </w:p>
    <w:p w14:paraId="5057FE44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color="000000"/>
          <w:bdr w:val="nil"/>
          <w:lang w:eastAsia="es-ES_tradnl"/>
          <w14:ligatures w14:val="none"/>
        </w:rPr>
      </w:pPr>
      <w:r w:rsidRPr="00CE627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color="000000"/>
          <w:bdr w:val="nil"/>
          <w:lang w:eastAsia="es-ES_tradnl"/>
          <w14:ligatures w14:val="none"/>
        </w:rPr>
        <w:t>BGF: budesonide/glycopyrronium/formoterol fumarate dihydrate; CI: confidence intervals; ICS: inhaled corticosteroid; LABA: long-acting beta-2-adrenergic agonists; LAMA: long-acting anticholinergics; Post-BGF: Within 12 months after BGF initiation; Pre-BGF: Within 12 months before initiation of BGF; SABA: short-acting beta-2 agonists; SITT: single-inhaler triple therapy.</w:t>
      </w:r>
    </w:p>
    <w:p w14:paraId="5AC25FE7" w14:textId="77777777" w:rsidR="00CE627D" w:rsidRPr="00CE627D" w:rsidRDefault="00CE627D" w:rsidP="00CE627D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color="000000"/>
          <w:bdr w:val="nil"/>
          <w:lang w:eastAsia="es-ES_tradnl"/>
          <w14:ligatures w14:val="none"/>
        </w:rPr>
      </w:pPr>
    </w:p>
    <w:p w14:paraId="477F919E" w14:textId="77777777" w:rsidR="00445136" w:rsidRDefault="00445136"/>
    <w:sectPr w:rsidR="00445136" w:rsidSect="00CE627D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09941" w14:textId="77777777" w:rsidR="00BE5C26" w:rsidRDefault="00BE5C26">
      <w:pPr>
        <w:spacing w:after="0" w:line="240" w:lineRule="auto"/>
      </w:pPr>
      <w:r>
        <w:separator/>
      </w:r>
    </w:p>
  </w:endnote>
  <w:endnote w:type="continuationSeparator" w:id="0">
    <w:p w14:paraId="4B3E03A7" w14:textId="77777777" w:rsidR="00BE5C26" w:rsidRDefault="00BE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510A" w14:textId="77777777" w:rsidR="00BE5C26" w:rsidRDefault="00BE5C26">
      <w:pPr>
        <w:spacing w:after="0" w:line="240" w:lineRule="auto"/>
      </w:pPr>
      <w:r>
        <w:separator/>
      </w:r>
    </w:p>
  </w:footnote>
  <w:footnote w:type="continuationSeparator" w:id="0">
    <w:p w14:paraId="3FD93EB6" w14:textId="77777777" w:rsidR="00BE5C26" w:rsidRDefault="00BE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FBA7" w14:textId="77777777" w:rsidR="00CE627D" w:rsidRDefault="00CE627D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2NTM2MDcyNzA3NDRW0lEKTi0uzszPAykwqgUAGVabeCwAAAA="/>
  </w:docVars>
  <w:rsids>
    <w:rsidRoot w:val="00CE627D"/>
    <w:rsid w:val="00040348"/>
    <w:rsid w:val="000D79B2"/>
    <w:rsid w:val="000E75AB"/>
    <w:rsid w:val="0022558A"/>
    <w:rsid w:val="00286983"/>
    <w:rsid w:val="002B4D69"/>
    <w:rsid w:val="002E7115"/>
    <w:rsid w:val="00322714"/>
    <w:rsid w:val="00344908"/>
    <w:rsid w:val="00445136"/>
    <w:rsid w:val="0047720F"/>
    <w:rsid w:val="00514A5A"/>
    <w:rsid w:val="00525B5F"/>
    <w:rsid w:val="00607ABC"/>
    <w:rsid w:val="006A5A10"/>
    <w:rsid w:val="007232DC"/>
    <w:rsid w:val="00732A34"/>
    <w:rsid w:val="0074280C"/>
    <w:rsid w:val="008053B7"/>
    <w:rsid w:val="008163B2"/>
    <w:rsid w:val="009332E4"/>
    <w:rsid w:val="00936FD9"/>
    <w:rsid w:val="00AE06AF"/>
    <w:rsid w:val="00BE5C26"/>
    <w:rsid w:val="00C13064"/>
    <w:rsid w:val="00CE627D"/>
    <w:rsid w:val="00D079D9"/>
    <w:rsid w:val="00DC7A7D"/>
    <w:rsid w:val="00E41E1D"/>
    <w:rsid w:val="00EF22E3"/>
    <w:rsid w:val="00EF7108"/>
    <w:rsid w:val="00F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23F2"/>
  <w15:chartTrackingRefBased/>
  <w15:docId w15:val="{A23D2C09-F33F-4C8C-B36C-E1D12FEC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CE6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6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6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6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6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6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6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6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6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62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62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627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627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627D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627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627D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627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627D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CE6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E627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CE6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627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CE6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E627D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CE62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E62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6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627D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CE627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CE62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es-ES_tradn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rsid w:val="00CE627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aquin.sanchez-covisa@astrazenec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686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García Mariscal</dc:creator>
  <cp:keywords/>
  <dc:description/>
  <cp:lastModifiedBy>Alberto García Mariscal</cp:lastModifiedBy>
  <cp:revision>3</cp:revision>
  <dcterms:created xsi:type="dcterms:W3CDTF">2025-12-16T10:58:00Z</dcterms:created>
  <dcterms:modified xsi:type="dcterms:W3CDTF">2026-01-12T10:40:00Z</dcterms:modified>
</cp:coreProperties>
</file>