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975AC8" w14:textId="77777777" w:rsidR="00A66EFA" w:rsidRPr="00742CDF" w:rsidRDefault="00A66EFA" w:rsidP="00A66EFA">
      <w:pPr>
        <w:pStyle w:val="Heading1"/>
        <w:spacing w:before="480"/>
        <w:rPr>
          <w:rFonts w:ascii="Helvetica" w:hAnsi="Helvetica"/>
          <w:b/>
          <w:color w:val="000000" w:themeColor="text1"/>
          <w:sz w:val="36"/>
          <w:szCs w:val="36"/>
          <w:lang w:val="en-US"/>
        </w:rPr>
      </w:pPr>
      <w:r w:rsidRPr="00742CDF">
        <w:rPr>
          <w:rFonts w:ascii="Helvetica" w:hAnsi="Helvetica"/>
          <w:b/>
          <w:color w:val="000000" w:themeColor="text1"/>
          <w:sz w:val="36"/>
          <w:szCs w:val="36"/>
          <w:lang w:val="en-US"/>
        </w:rPr>
        <w:t xml:space="preserve">APPENDIX A. Relative Risk Computation I: normalization of sub-component indicators </w:t>
      </w:r>
    </w:p>
    <w:p w14:paraId="4E7C2C66" w14:textId="77777777" w:rsidR="00742CDF" w:rsidRDefault="00742CDF" w:rsidP="00A66EFA">
      <w:pPr>
        <w:pStyle w:val="Heading2"/>
        <w:ind w:right="567"/>
        <w:rPr>
          <w:rFonts w:ascii="Helvetica" w:hAnsi="Helvetica"/>
          <w:color w:val="000000" w:themeColor="text1"/>
          <w:sz w:val="28"/>
          <w:szCs w:val="28"/>
          <w:lang w:val="en-US"/>
        </w:rPr>
      </w:pPr>
      <w:bookmarkStart w:id="0" w:name="_Toc437761763"/>
    </w:p>
    <w:p w14:paraId="39828B04" w14:textId="4EE34C64" w:rsidR="00A66EFA" w:rsidRPr="00C6355B" w:rsidRDefault="00A66EFA" w:rsidP="00A66EFA">
      <w:pPr>
        <w:pStyle w:val="Heading2"/>
        <w:ind w:right="567"/>
        <w:rPr>
          <w:rFonts w:ascii="Helvetica" w:hAnsi="Helvetica"/>
          <w:color w:val="000000" w:themeColor="text1"/>
          <w:sz w:val="28"/>
          <w:szCs w:val="28"/>
          <w:lang w:val="en-US"/>
        </w:rPr>
      </w:pPr>
      <w:r w:rsidRPr="00C6355B">
        <w:rPr>
          <w:rFonts w:ascii="Helvetica" w:hAnsi="Helvetica"/>
          <w:color w:val="000000" w:themeColor="text1"/>
          <w:sz w:val="28"/>
          <w:szCs w:val="28"/>
          <w:lang w:val="en-US"/>
        </w:rPr>
        <w:t>A1. Hazard</w:t>
      </w:r>
      <w:bookmarkEnd w:id="0"/>
    </w:p>
    <w:p w14:paraId="601BE28E"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Extreme Waves</w:t>
      </w:r>
      <w:r w:rsidRPr="00C6355B">
        <w:rPr>
          <w:rFonts w:ascii="Helvetica" w:hAnsi="Helvetica"/>
          <w:color w:val="000000" w:themeColor="text1"/>
          <w:lang w:val="en-US"/>
        </w:rPr>
        <w:t xml:space="preserve"> (</w:t>
      </w:r>
      <w:r w:rsidRPr="00C6355B">
        <w:rPr>
          <w:rFonts w:ascii="Helvetica" w:hAnsi="Helvetica"/>
          <w:b/>
          <w:color w:val="000000" w:themeColor="text1"/>
          <w:lang w:val="en-US"/>
        </w:rPr>
        <w:t>WaX98)</w:t>
      </w:r>
    </w:p>
    <w:p w14:paraId="28CF5414"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Extreme waves are defined as the annual 98</w:t>
      </w:r>
      <w:r w:rsidRPr="00C6355B">
        <w:rPr>
          <w:rFonts w:ascii="Helvetica" w:hAnsi="Helvetica"/>
          <w:color w:val="000000" w:themeColor="text1"/>
          <w:vertAlign w:val="superscript"/>
          <w:lang w:val="en-US"/>
        </w:rPr>
        <w:t>th</w:t>
      </w:r>
      <w:r w:rsidRPr="00C6355B">
        <w:rPr>
          <w:rFonts w:ascii="Helvetica" w:hAnsi="Helvetica"/>
          <w:color w:val="000000" w:themeColor="text1"/>
          <w:lang w:val="en-US"/>
        </w:rPr>
        <w:t xml:space="preserve"> percentile of the model-based daily wave height values. The values are averaged for each island under investigation. The units of the WaX98 index are meters. According to the modelled values (provided through CORDEX regional climate simulations), for the 1986-2005 control reference period, WaX98 values range from 1.43 m for Cyprus to 2.27 m for the Canary Islands (Table A.1). We have used the minimum-maximum normalization method. However, since the range of data for the different islands is very small, in order to provide meaningful values after the normalization we have set the minimum/maximum values manually according to expert judgement in a similar way as it is described in OECD (2008) and GIZ (2017). In more detail, a minimum value of 0 is assigned for extreme waves of 1.25 m height and a maximum value of 1 is assigned for waves of 9 m. The minimum and maximum values correspond to the upper limits of </w:t>
      </w:r>
      <w:r>
        <w:rPr>
          <w:rFonts w:ascii="Helvetica" w:hAnsi="Helvetica"/>
          <w:color w:val="000000" w:themeColor="text1"/>
          <w:lang w:val="en-US"/>
        </w:rPr>
        <w:t xml:space="preserve">the </w:t>
      </w:r>
      <w:r w:rsidRPr="00C6355B">
        <w:rPr>
          <w:rFonts w:ascii="Helvetica" w:hAnsi="Helvetica"/>
          <w:color w:val="000000" w:themeColor="text1"/>
          <w:lang w:val="en-US"/>
        </w:rPr>
        <w:t xml:space="preserve">Douglas </w:t>
      </w:r>
      <w:r>
        <w:rPr>
          <w:rFonts w:ascii="Helvetica" w:hAnsi="Helvetica"/>
          <w:color w:val="000000" w:themeColor="text1"/>
          <w:lang w:val="en-US"/>
        </w:rPr>
        <w:t xml:space="preserve">Sea </w:t>
      </w:r>
      <w:r w:rsidRPr="00C6355B">
        <w:rPr>
          <w:rFonts w:ascii="Helvetica" w:hAnsi="Helvetica"/>
          <w:color w:val="000000" w:themeColor="text1"/>
          <w:lang w:val="en-US"/>
        </w:rPr>
        <w:t xml:space="preserve">Scale Level 3 (slight waves) and Douglas Scale Level 7 (high waves) respectively. A description of the Douglas Sea Scale can be found in Owens (1982). The normalized values of this hazard indicator for each island are presented in Table A.1 for the historical reference period. For the projected future raw and normalized data are presented in Tables A.1.2-A.1.5. </w:t>
      </w:r>
    </w:p>
    <w:p w14:paraId="34D94BB9" w14:textId="77777777" w:rsidR="00A66EFA" w:rsidRPr="00C6355B" w:rsidRDefault="00A66EFA" w:rsidP="00A66EFA">
      <w:pPr>
        <w:rPr>
          <w:rFonts w:ascii="Helvetica" w:hAnsi="Helvetica"/>
          <w:b/>
          <w:color w:val="000000" w:themeColor="text1"/>
          <w:lang w:val="en-US"/>
        </w:rPr>
      </w:pPr>
    </w:p>
    <w:p w14:paraId="0F3AC47D"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Extreme Wind (WiX98)</w:t>
      </w:r>
    </w:p>
    <w:p w14:paraId="5C909F70"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 xml:space="preserve">Daily values of the model-derived wind speeds around each of the </w:t>
      </w:r>
      <w:r>
        <w:rPr>
          <w:rFonts w:ascii="Helvetica" w:hAnsi="Helvetica"/>
          <w:color w:val="000000" w:themeColor="text1"/>
          <w:lang w:val="en-US"/>
        </w:rPr>
        <w:t xml:space="preserve">six </w:t>
      </w:r>
      <w:r w:rsidRPr="00C6355B">
        <w:rPr>
          <w:rFonts w:ascii="Helvetica" w:hAnsi="Helvetica"/>
          <w:color w:val="000000" w:themeColor="text1"/>
          <w:lang w:val="en-US"/>
        </w:rPr>
        <w:t xml:space="preserve">selected islands (Cyprus, Crete, Malta, Corsica, </w:t>
      </w:r>
      <w:r>
        <w:rPr>
          <w:rFonts w:ascii="Helvetica" w:hAnsi="Helvetica"/>
          <w:color w:val="000000" w:themeColor="text1"/>
          <w:lang w:val="en-US"/>
        </w:rPr>
        <w:t xml:space="preserve">the </w:t>
      </w:r>
      <w:r w:rsidRPr="00C6355B">
        <w:rPr>
          <w:rFonts w:ascii="Helvetica" w:hAnsi="Helvetica"/>
          <w:color w:val="000000" w:themeColor="text1"/>
          <w:lang w:val="en-US"/>
        </w:rPr>
        <w:t>Canary Islands</w:t>
      </w:r>
      <w:r>
        <w:rPr>
          <w:rFonts w:ascii="Helvetica" w:hAnsi="Helvetica"/>
          <w:color w:val="000000" w:themeColor="text1"/>
          <w:lang w:val="en-US"/>
        </w:rPr>
        <w:t>,</w:t>
      </w:r>
      <w:r w:rsidRPr="00C6355B">
        <w:rPr>
          <w:rFonts w:ascii="Helvetica" w:hAnsi="Helvetica"/>
          <w:color w:val="000000" w:themeColor="text1"/>
          <w:lang w:val="en-US"/>
        </w:rPr>
        <w:t xml:space="preserve"> and</w:t>
      </w:r>
      <w:r>
        <w:rPr>
          <w:rFonts w:ascii="Helvetica" w:hAnsi="Helvetica"/>
          <w:color w:val="000000" w:themeColor="text1"/>
          <w:lang w:val="en-US"/>
        </w:rPr>
        <w:t xml:space="preserve"> the</w:t>
      </w:r>
      <w:r w:rsidRPr="00C6355B">
        <w:rPr>
          <w:rFonts w:ascii="Helvetica" w:hAnsi="Helvetica"/>
          <w:color w:val="000000" w:themeColor="text1"/>
          <w:lang w:val="en-US"/>
        </w:rPr>
        <w:t xml:space="preserve"> Balearic</w:t>
      </w:r>
      <w:r>
        <w:rPr>
          <w:rFonts w:ascii="Helvetica" w:hAnsi="Helvetica"/>
          <w:color w:val="000000" w:themeColor="text1"/>
          <w:lang w:val="en-US"/>
        </w:rPr>
        <w:t xml:space="preserve"> Islands</w:t>
      </w:r>
      <w:r w:rsidRPr="00C6355B">
        <w:rPr>
          <w:rFonts w:ascii="Helvetica" w:hAnsi="Helvetica"/>
          <w:color w:val="000000" w:themeColor="text1"/>
          <w:lang w:val="en-US"/>
        </w:rPr>
        <w:t>) were used for the calculation of the 98</w:t>
      </w:r>
      <w:r w:rsidRPr="00C6355B">
        <w:rPr>
          <w:rFonts w:ascii="Helvetica" w:hAnsi="Helvetica"/>
          <w:color w:val="000000" w:themeColor="text1"/>
          <w:vertAlign w:val="superscript"/>
          <w:lang w:val="en-US"/>
        </w:rPr>
        <w:t>th</w:t>
      </w:r>
      <w:r w:rsidRPr="00C6355B">
        <w:rPr>
          <w:rFonts w:ascii="Helvetica" w:hAnsi="Helvetica"/>
          <w:color w:val="000000" w:themeColor="text1"/>
          <w:lang w:val="en-US"/>
        </w:rPr>
        <w:t xml:space="preserve"> percentiles of this meteorological variable. The average of these values for each sub-period of analysis was used as the WiX98 hazard indicator.  According to the regional climate simulations, for our historical reference period, extreme wind values range from 11.6 m/sec for the Canary Islands to 13.7 m/sec for Corsica (Table A.1). The normalization approach for this variable is similar to the one of WiX98, however, it is based on the Beaufort Wind Scale instead of the Douglas Sea Scale. In more detail, values of 0 were assigned for wind speeds of 9.3 m/sec</w:t>
      </w:r>
      <w:r>
        <w:rPr>
          <w:rFonts w:ascii="Helvetica" w:hAnsi="Helvetica"/>
          <w:color w:val="000000" w:themeColor="text1"/>
          <w:lang w:val="en-US"/>
        </w:rPr>
        <w:t>,</w:t>
      </w:r>
      <w:r w:rsidRPr="00C6355B">
        <w:rPr>
          <w:rFonts w:ascii="Helvetica" w:hAnsi="Helvetica"/>
          <w:color w:val="000000" w:themeColor="text1"/>
          <w:lang w:val="en-US"/>
        </w:rPr>
        <w:t xml:space="preserve"> which is described as “fresh breeze” or Beaufort Scale 5, while values of 1 were assigned for wind speeds of 18.9 m/sec which is described as “gale” or Beaufort Scale 8. The projected future raw and normalized data are accordingly presented in Tables A.2-A.5.</w:t>
      </w:r>
    </w:p>
    <w:p w14:paraId="33417616" w14:textId="77777777" w:rsidR="00A66EFA" w:rsidRPr="00C6355B" w:rsidRDefault="00A66EFA" w:rsidP="00A66EFA">
      <w:pPr>
        <w:rPr>
          <w:rFonts w:ascii="Helvetica" w:hAnsi="Helvetica"/>
          <w:color w:val="000000" w:themeColor="text1"/>
          <w:lang w:val="en-US"/>
        </w:rPr>
      </w:pPr>
    </w:p>
    <w:p w14:paraId="715C0122" w14:textId="5BAF81E5"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Mean Sea</w:t>
      </w:r>
      <w:r>
        <w:rPr>
          <w:rFonts w:ascii="Helvetica" w:hAnsi="Helvetica"/>
          <w:b/>
          <w:color w:val="000000" w:themeColor="text1"/>
          <w:lang w:val="en-US"/>
        </w:rPr>
        <w:t>-</w:t>
      </w:r>
      <w:r w:rsidRPr="00C6355B">
        <w:rPr>
          <w:rFonts w:ascii="Helvetica" w:hAnsi="Helvetica"/>
          <w:b/>
          <w:color w:val="000000" w:themeColor="text1"/>
          <w:lang w:val="en-US"/>
        </w:rPr>
        <w:t>Level Rise (MSL</w:t>
      </w:r>
      <w:r w:rsidR="005A3C00">
        <w:rPr>
          <w:rFonts w:ascii="Helvetica" w:hAnsi="Helvetica"/>
          <w:b/>
          <w:color w:val="000000" w:themeColor="text1"/>
          <w:lang w:val="en-US"/>
        </w:rPr>
        <w:t>R</w:t>
      </w:r>
      <w:r w:rsidRPr="00C6355B">
        <w:rPr>
          <w:rFonts w:ascii="Helvetica" w:hAnsi="Helvetica"/>
          <w:b/>
          <w:color w:val="000000" w:themeColor="text1"/>
          <w:lang w:val="en-US"/>
        </w:rPr>
        <w:t>)</w:t>
      </w:r>
    </w:p>
    <w:p w14:paraId="71A458B4" w14:textId="01B3B661"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For the mean sea level rise, we considered by default zero values for the historical reference period for all islands. For the future, we employed the mean sea level rise projections based on ocean-atmosphere coupled simulations. Under RCP8.5, maximum MSL</w:t>
      </w:r>
      <w:r w:rsidR="005A3C00">
        <w:rPr>
          <w:rFonts w:ascii="Helvetica" w:hAnsi="Helvetica"/>
          <w:color w:val="000000" w:themeColor="text1"/>
          <w:lang w:val="en-US"/>
        </w:rPr>
        <w:t>R</w:t>
      </w:r>
      <w:r w:rsidRPr="00C6355B">
        <w:rPr>
          <w:rFonts w:ascii="Helvetica" w:hAnsi="Helvetica"/>
          <w:color w:val="000000" w:themeColor="text1"/>
          <w:lang w:val="en-US"/>
        </w:rPr>
        <w:t xml:space="preserve"> (74 cm) is expected for the Canary Islands. The best-case scenario is for Cyprus where an MSL</w:t>
      </w:r>
      <w:r w:rsidR="005A3C00">
        <w:rPr>
          <w:rFonts w:ascii="Helvetica" w:hAnsi="Helvetica"/>
          <w:color w:val="000000" w:themeColor="text1"/>
          <w:lang w:val="en-US"/>
        </w:rPr>
        <w:t>R</w:t>
      </w:r>
      <w:r w:rsidRPr="00C6355B">
        <w:rPr>
          <w:rFonts w:ascii="Helvetica" w:hAnsi="Helvetica"/>
          <w:color w:val="000000" w:themeColor="text1"/>
          <w:lang w:val="en-US"/>
        </w:rPr>
        <w:t xml:space="preserve"> value of about 20 cm is projected under pathway RCP2.6. The normalization of this indicator was based on expert judgement. We have </w:t>
      </w:r>
      <w:r w:rsidRPr="00C6355B">
        <w:rPr>
          <w:rFonts w:ascii="Helvetica" w:hAnsi="Helvetica"/>
          <w:color w:val="000000" w:themeColor="text1"/>
          <w:lang w:val="en-US"/>
        </w:rPr>
        <w:lastRenderedPageBreak/>
        <w:t xml:space="preserve">assigned values of 0 </w:t>
      </w:r>
      <w:r>
        <w:rPr>
          <w:rFonts w:ascii="Helvetica" w:hAnsi="Helvetica"/>
          <w:color w:val="000000" w:themeColor="text1"/>
          <w:lang w:val="en-US"/>
        </w:rPr>
        <w:t>for</w:t>
      </w:r>
      <w:r w:rsidRPr="00C6355B">
        <w:rPr>
          <w:rFonts w:ascii="Helvetica" w:hAnsi="Helvetica"/>
          <w:color w:val="000000" w:themeColor="text1"/>
          <w:lang w:val="en-US"/>
        </w:rPr>
        <w:t xml:space="preserve"> MSL</w:t>
      </w:r>
      <w:r w:rsidR="005A3C00">
        <w:rPr>
          <w:rFonts w:ascii="Helvetica" w:hAnsi="Helvetica"/>
          <w:color w:val="000000" w:themeColor="text1"/>
          <w:lang w:val="en-US"/>
        </w:rPr>
        <w:t>R</w:t>
      </w:r>
      <w:r w:rsidRPr="00C6355B">
        <w:rPr>
          <w:rFonts w:ascii="Helvetica" w:hAnsi="Helvetica"/>
          <w:color w:val="000000" w:themeColor="text1"/>
          <w:lang w:val="en-US"/>
        </w:rPr>
        <w:t xml:space="preserve"> 0 cm and values of 1 for MSL of 100 cm</w:t>
      </w:r>
      <w:r>
        <w:rPr>
          <w:rFonts w:ascii="Helvetica" w:hAnsi="Helvetica"/>
          <w:color w:val="000000" w:themeColor="text1"/>
          <w:lang w:val="en-US"/>
        </w:rPr>
        <w:t>,</w:t>
      </w:r>
      <w:r w:rsidRPr="00C6355B">
        <w:rPr>
          <w:rFonts w:ascii="Helvetica" w:hAnsi="Helvetica"/>
          <w:color w:val="000000" w:themeColor="text1"/>
          <w:lang w:val="en-US"/>
        </w:rPr>
        <w:t xml:space="preserve"> which is the top range of RCP8.5 global sea-level rise (IPCC 2013).</w:t>
      </w:r>
    </w:p>
    <w:p w14:paraId="48EBEC33" w14:textId="3211D27B" w:rsidR="00A66EFA" w:rsidRDefault="00A66EFA" w:rsidP="00A66EFA">
      <w:pPr>
        <w:rPr>
          <w:rFonts w:ascii="Helvetica" w:hAnsi="Helvetica"/>
          <w:color w:val="000000" w:themeColor="text1"/>
          <w:lang w:val="en-US"/>
        </w:rPr>
      </w:pPr>
    </w:p>
    <w:p w14:paraId="70C47D3E" w14:textId="3D059515" w:rsidR="00742CDF" w:rsidRDefault="00742CDF" w:rsidP="00A66EFA">
      <w:pPr>
        <w:rPr>
          <w:rFonts w:ascii="Helvetica" w:hAnsi="Helvetica"/>
          <w:color w:val="000000" w:themeColor="text1"/>
          <w:lang w:val="en-US"/>
        </w:rPr>
      </w:pPr>
    </w:p>
    <w:p w14:paraId="1A350D4A" w14:textId="77777777" w:rsidR="00742CDF" w:rsidRPr="00C6355B" w:rsidRDefault="00742CDF" w:rsidP="00A66EFA">
      <w:pPr>
        <w:rPr>
          <w:rFonts w:ascii="Helvetica" w:hAnsi="Helvetica"/>
          <w:color w:val="000000" w:themeColor="text1"/>
          <w:lang w:val="en-US"/>
        </w:rPr>
      </w:pPr>
    </w:p>
    <w:p w14:paraId="1DD12F48" w14:textId="77777777" w:rsidR="00A66EFA" w:rsidRPr="00C6355B" w:rsidRDefault="00A66EFA" w:rsidP="00A66EFA">
      <w:pPr>
        <w:rPr>
          <w:rFonts w:ascii="Helvetica" w:hAnsi="Helvetica"/>
          <w:color w:val="000000" w:themeColor="text1"/>
          <w:lang w:val="en-US"/>
        </w:rPr>
      </w:pPr>
    </w:p>
    <w:p w14:paraId="7D0F8CF5" w14:textId="049EB133" w:rsidR="00A66EFA" w:rsidRPr="00C6355B" w:rsidRDefault="00A66EFA" w:rsidP="00A66EFA">
      <w:pPr>
        <w:jc w:val="both"/>
        <w:rPr>
          <w:rFonts w:ascii="Helvetica" w:hAnsi="Helvetica"/>
          <w:color w:val="000000" w:themeColor="text1"/>
          <w:lang w:val="en-US"/>
        </w:rPr>
      </w:pPr>
      <w:r w:rsidRPr="00C6355B">
        <w:rPr>
          <w:rFonts w:ascii="Helvetica" w:hAnsi="Helvetica"/>
          <w:b/>
          <w:color w:val="000000" w:themeColor="text1"/>
          <w:lang w:val="en-US"/>
        </w:rPr>
        <w:t xml:space="preserve">Table A1 </w:t>
      </w:r>
      <w:r>
        <w:rPr>
          <w:rFonts w:ascii="Helvetica" w:hAnsi="Helvetica"/>
          <w:color w:val="000000" w:themeColor="text1"/>
          <w:lang w:val="en-US"/>
        </w:rPr>
        <w:t>Values of r</w:t>
      </w:r>
      <w:r w:rsidRPr="00C6355B">
        <w:rPr>
          <w:rFonts w:ascii="Helvetica" w:hAnsi="Helvetica"/>
          <w:color w:val="000000" w:themeColor="text1"/>
          <w:lang w:val="en-US"/>
        </w:rPr>
        <w:t xml:space="preserve">isk indicators’ values for the Maritime Transport Impact Chain of “Risk of isolation due to transport disruption” for raw and normalized data, representative for the historical reference period 1986-2005. Fields of NA indicate that accurate information was not available. </w:t>
      </w:r>
    </w:p>
    <w:p w14:paraId="589F8EDC" w14:textId="4C02FCD9" w:rsidR="00A66EFA" w:rsidRDefault="00742CDF" w:rsidP="00A66EFA">
      <w:pPr>
        <w:rPr>
          <w:rFonts w:ascii="Helvetica" w:hAnsi="Helvetica"/>
          <w:b/>
          <w:color w:val="000000" w:themeColor="text1"/>
          <w:lang w:val="en-US"/>
        </w:rPr>
      </w:pPr>
      <w:r w:rsidRPr="00742CDF">
        <w:rPr>
          <w:rFonts w:ascii="Helvetica" w:hAnsi="Helvetica"/>
          <w:b/>
          <w:noProof/>
          <w:color w:val="000000" w:themeColor="text1"/>
          <w:lang w:val="en-IN" w:eastAsia="en-IN"/>
        </w:rPr>
        <w:drawing>
          <wp:inline distT="0" distB="0" distL="0" distR="0" wp14:anchorId="4739BDF6" wp14:editId="5B2D4676">
            <wp:extent cx="5731510" cy="2146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2146935"/>
                    </a:xfrm>
                    <a:prstGeom prst="rect">
                      <a:avLst/>
                    </a:prstGeom>
                  </pic:spPr>
                </pic:pic>
              </a:graphicData>
            </a:graphic>
          </wp:inline>
        </w:drawing>
      </w:r>
    </w:p>
    <w:p w14:paraId="2B2C8E38" w14:textId="7735BB40" w:rsidR="00D648BD" w:rsidRDefault="00D648BD" w:rsidP="00A66EFA">
      <w:pPr>
        <w:rPr>
          <w:rFonts w:ascii="Helvetica" w:hAnsi="Helvetica"/>
          <w:b/>
          <w:color w:val="000000" w:themeColor="text1"/>
          <w:lang w:val="en-US"/>
        </w:rPr>
      </w:pPr>
    </w:p>
    <w:p w14:paraId="635D8A59" w14:textId="2C1C0AD6" w:rsidR="00D648BD" w:rsidRPr="00C6355B" w:rsidRDefault="00D648BD" w:rsidP="00A66EFA">
      <w:pPr>
        <w:rPr>
          <w:rFonts w:ascii="Helvetica" w:hAnsi="Helvetica"/>
          <w:b/>
          <w:color w:val="000000" w:themeColor="text1"/>
          <w:lang w:val="en-US"/>
        </w:rPr>
      </w:pPr>
    </w:p>
    <w:p w14:paraId="7C387180" w14:textId="77777777" w:rsidR="00A66EFA" w:rsidRPr="00C6355B" w:rsidRDefault="00A66EFA" w:rsidP="00A66EFA">
      <w:pPr>
        <w:rPr>
          <w:rFonts w:ascii="Helvetica" w:hAnsi="Helvetica"/>
          <w:b/>
          <w:color w:val="000000" w:themeColor="text1"/>
          <w:lang w:val="en-US"/>
        </w:rPr>
      </w:pPr>
    </w:p>
    <w:p w14:paraId="1C6724B4" w14:textId="77777777" w:rsidR="00A66EFA" w:rsidRPr="00C6355B" w:rsidRDefault="00A66EFA" w:rsidP="00A66EFA">
      <w:pPr>
        <w:jc w:val="both"/>
        <w:rPr>
          <w:rFonts w:ascii="Helvetica" w:hAnsi="Helvetica"/>
          <w:b/>
          <w:color w:val="000000" w:themeColor="text1"/>
          <w:lang w:val="en-US"/>
        </w:rPr>
      </w:pPr>
    </w:p>
    <w:p w14:paraId="3BF7C1C4" w14:textId="17217DE1" w:rsidR="00A66EFA" w:rsidRPr="00C6355B" w:rsidRDefault="00A66EFA" w:rsidP="00A66EFA">
      <w:pPr>
        <w:jc w:val="both"/>
        <w:rPr>
          <w:rFonts w:ascii="Helvetica" w:hAnsi="Helvetica"/>
          <w:color w:val="000000" w:themeColor="text1"/>
          <w:lang w:val="en-US"/>
        </w:rPr>
      </w:pPr>
      <w:r w:rsidRPr="00C6355B">
        <w:rPr>
          <w:rFonts w:ascii="Helvetica" w:hAnsi="Helvetica"/>
          <w:b/>
          <w:color w:val="000000" w:themeColor="text1"/>
          <w:lang w:val="en-US"/>
        </w:rPr>
        <w:t xml:space="preserve">Table A2. </w:t>
      </w:r>
      <w:r w:rsidRPr="00C6355B">
        <w:rPr>
          <w:rFonts w:ascii="Helvetica" w:hAnsi="Helvetica"/>
          <w:color w:val="000000" w:themeColor="text1"/>
          <w:lang w:val="en-US"/>
        </w:rPr>
        <w:t>Same as Table A.1 for the mid-21</w:t>
      </w:r>
      <w:r w:rsidRPr="00C6355B">
        <w:rPr>
          <w:rFonts w:ascii="Helvetica" w:hAnsi="Helvetica"/>
          <w:color w:val="000000" w:themeColor="text1"/>
          <w:vertAlign w:val="superscript"/>
          <w:lang w:val="en-US"/>
        </w:rPr>
        <w:t>st</w:t>
      </w:r>
      <w:r w:rsidRPr="00C6355B">
        <w:rPr>
          <w:rFonts w:ascii="Helvetica" w:hAnsi="Helvetica"/>
          <w:color w:val="000000" w:themeColor="text1"/>
          <w:lang w:val="en-US"/>
        </w:rPr>
        <w:t xml:space="preserve"> century (2046-2065) under pathway RCP2.6. </w:t>
      </w:r>
    </w:p>
    <w:p w14:paraId="2AD154C5" w14:textId="13E5C16B" w:rsidR="00A66EFA" w:rsidRPr="00C6355B" w:rsidRDefault="00742CDF" w:rsidP="00A66EFA">
      <w:pPr>
        <w:rPr>
          <w:rFonts w:ascii="Helvetica" w:hAnsi="Helvetica"/>
          <w:b/>
          <w:color w:val="000000" w:themeColor="text1"/>
          <w:lang w:val="en-US"/>
        </w:rPr>
      </w:pPr>
      <w:r w:rsidRPr="00742CDF">
        <w:rPr>
          <w:rFonts w:ascii="Helvetica" w:hAnsi="Helvetica"/>
          <w:b/>
          <w:noProof/>
          <w:color w:val="000000" w:themeColor="text1"/>
          <w:lang w:val="en-IN" w:eastAsia="en-IN"/>
        </w:rPr>
        <w:drawing>
          <wp:inline distT="0" distB="0" distL="0" distR="0" wp14:anchorId="7BD0D839" wp14:editId="23176C99">
            <wp:extent cx="5731510" cy="2146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146935"/>
                    </a:xfrm>
                    <a:prstGeom prst="rect">
                      <a:avLst/>
                    </a:prstGeom>
                  </pic:spPr>
                </pic:pic>
              </a:graphicData>
            </a:graphic>
          </wp:inline>
        </w:drawing>
      </w:r>
    </w:p>
    <w:p w14:paraId="3BADD7DE" w14:textId="77777777" w:rsidR="00A66EFA" w:rsidRPr="00C6355B" w:rsidRDefault="00A66EFA" w:rsidP="00A66EFA">
      <w:pPr>
        <w:jc w:val="both"/>
        <w:rPr>
          <w:rFonts w:ascii="Helvetica" w:hAnsi="Helvetica"/>
          <w:b/>
          <w:color w:val="000000" w:themeColor="text1"/>
          <w:lang w:val="en-US"/>
        </w:rPr>
      </w:pPr>
    </w:p>
    <w:p w14:paraId="173F325F" w14:textId="77777777" w:rsidR="00A66EFA" w:rsidRPr="00C6355B" w:rsidRDefault="00A66EFA" w:rsidP="00A66EFA">
      <w:pPr>
        <w:jc w:val="both"/>
        <w:rPr>
          <w:rFonts w:ascii="Helvetica" w:hAnsi="Helvetica"/>
          <w:b/>
          <w:color w:val="000000" w:themeColor="text1"/>
          <w:lang w:val="en-US"/>
        </w:rPr>
      </w:pPr>
    </w:p>
    <w:p w14:paraId="4CC08FD1" w14:textId="77777777" w:rsidR="00742CDF" w:rsidRDefault="00742CDF" w:rsidP="00A66EFA">
      <w:pPr>
        <w:jc w:val="both"/>
        <w:rPr>
          <w:rFonts w:ascii="Helvetica" w:hAnsi="Helvetica"/>
          <w:b/>
          <w:color w:val="000000" w:themeColor="text1"/>
          <w:lang w:val="en-US"/>
        </w:rPr>
      </w:pPr>
    </w:p>
    <w:p w14:paraId="42DB0A29" w14:textId="77777777" w:rsidR="00742CDF" w:rsidRDefault="00742CDF" w:rsidP="00A66EFA">
      <w:pPr>
        <w:jc w:val="both"/>
        <w:rPr>
          <w:rFonts w:ascii="Helvetica" w:hAnsi="Helvetica"/>
          <w:b/>
          <w:color w:val="000000" w:themeColor="text1"/>
          <w:lang w:val="en-US"/>
        </w:rPr>
      </w:pPr>
    </w:p>
    <w:p w14:paraId="27B47767" w14:textId="77777777" w:rsidR="00742CDF" w:rsidRDefault="00742CDF" w:rsidP="00A66EFA">
      <w:pPr>
        <w:jc w:val="both"/>
        <w:rPr>
          <w:rFonts w:ascii="Helvetica" w:hAnsi="Helvetica"/>
          <w:b/>
          <w:color w:val="000000" w:themeColor="text1"/>
          <w:lang w:val="en-US"/>
        </w:rPr>
      </w:pPr>
    </w:p>
    <w:p w14:paraId="0991C788" w14:textId="77777777" w:rsidR="00742CDF" w:rsidRDefault="00742CDF" w:rsidP="00A66EFA">
      <w:pPr>
        <w:jc w:val="both"/>
        <w:rPr>
          <w:rFonts w:ascii="Helvetica" w:hAnsi="Helvetica"/>
          <w:b/>
          <w:color w:val="000000" w:themeColor="text1"/>
          <w:lang w:val="en-US"/>
        </w:rPr>
      </w:pPr>
    </w:p>
    <w:p w14:paraId="0961211E" w14:textId="77777777" w:rsidR="00742CDF" w:rsidRDefault="00742CDF" w:rsidP="00A66EFA">
      <w:pPr>
        <w:jc w:val="both"/>
        <w:rPr>
          <w:rFonts w:ascii="Helvetica" w:hAnsi="Helvetica"/>
          <w:b/>
          <w:color w:val="000000" w:themeColor="text1"/>
          <w:lang w:val="en-US"/>
        </w:rPr>
      </w:pPr>
    </w:p>
    <w:p w14:paraId="3157209F" w14:textId="77777777" w:rsidR="00742CDF" w:rsidRDefault="00742CDF" w:rsidP="00A66EFA">
      <w:pPr>
        <w:jc w:val="both"/>
        <w:rPr>
          <w:rFonts w:ascii="Helvetica" w:hAnsi="Helvetica"/>
          <w:b/>
          <w:color w:val="000000" w:themeColor="text1"/>
          <w:lang w:val="en-US"/>
        </w:rPr>
      </w:pPr>
    </w:p>
    <w:p w14:paraId="38335C9D" w14:textId="77777777" w:rsidR="00742CDF" w:rsidRDefault="00742CDF" w:rsidP="00A66EFA">
      <w:pPr>
        <w:jc w:val="both"/>
        <w:rPr>
          <w:rFonts w:ascii="Helvetica" w:hAnsi="Helvetica"/>
          <w:b/>
          <w:color w:val="000000" w:themeColor="text1"/>
          <w:lang w:val="en-US"/>
        </w:rPr>
      </w:pPr>
    </w:p>
    <w:p w14:paraId="6E7C2E5E" w14:textId="02D505FC" w:rsidR="00A66EFA" w:rsidRPr="00C6355B" w:rsidRDefault="00A66EFA" w:rsidP="00A66EFA">
      <w:pPr>
        <w:jc w:val="both"/>
        <w:rPr>
          <w:rFonts w:ascii="Helvetica" w:hAnsi="Helvetica"/>
          <w:color w:val="000000" w:themeColor="text1"/>
          <w:lang w:val="en-US"/>
        </w:rPr>
      </w:pPr>
      <w:r w:rsidRPr="00C6355B">
        <w:rPr>
          <w:rFonts w:ascii="Helvetica" w:hAnsi="Helvetica"/>
          <w:b/>
          <w:color w:val="000000" w:themeColor="text1"/>
          <w:lang w:val="en-US"/>
        </w:rPr>
        <w:t xml:space="preserve">Table A3 </w:t>
      </w:r>
      <w:r w:rsidRPr="00C6355B">
        <w:rPr>
          <w:rFonts w:ascii="Helvetica" w:hAnsi="Helvetica"/>
          <w:color w:val="000000" w:themeColor="text1"/>
          <w:lang w:val="en-US"/>
        </w:rPr>
        <w:t xml:space="preserve">Same as Table A.1 for the </w:t>
      </w:r>
      <w:r>
        <w:rPr>
          <w:rFonts w:ascii="Helvetica" w:hAnsi="Helvetica"/>
          <w:color w:val="000000" w:themeColor="text1"/>
          <w:lang w:val="en-US"/>
        </w:rPr>
        <w:t>late</w:t>
      </w:r>
      <w:r w:rsidRPr="00C6355B">
        <w:rPr>
          <w:rFonts w:ascii="Helvetica" w:hAnsi="Helvetica"/>
          <w:color w:val="000000" w:themeColor="text1"/>
          <w:lang w:val="en-US"/>
        </w:rPr>
        <w:t>-21</w:t>
      </w:r>
      <w:r w:rsidRPr="00C6355B">
        <w:rPr>
          <w:rFonts w:ascii="Helvetica" w:hAnsi="Helvetica"/>
          <w:color w:val="000000" w:themeColor="text1"/>
          <w:vertAlign w:val="superscript"/>
          <w:lang w:val="en-US"/>
        </w:rPr>
        <w:t>st</w:t>
      </w:r>
      <w:r w:rsidRPr="00C6355B">
        <w:rPr>
          <w:rFonts w:ascii="Helvetica" w:hAnsi="Helvetica"/>
          <w:color w:val="000000" w:themeColor="text1"/>
          <w:lang w:val="en-US"/>
        </w:rPr>
        <w:t xml:space="preserve"> century (2081-2100) under pathway RCP2.6. </w:t>
      </w:r>
    </w:p>
    <w:p w14:paraId="2D0BAD68" w14:textId="5A5CE25C" w:rsidR="00A66EFA" w:rsidRPr="00C6355B" w:rsidRDefault="00742CDF" w:rsidP="00A66EFA">
      <w:pPr>
        <w:rPr>
          <w:rFonts w:ascii="Helvetica" w:hAnsi="Helvetica"/>
          <w:color w:val="000000" w:themeColor="text1"/>
          <w:lang w:val="en-US"/>
        </w:rPr>
      </w:pPr>
      <w:r w:rsidRPr="00742CDF">
        <w:rPr>
          <w:rFonts w:ascii="Helvetica" w:hAnsi="Helvetica"/>
          <w:noProof/>
          <w:color w:val="000000" w:themeColor="text1"/>
          <w:lang w:val="en-IN" w:eastAsia="en-IN"/>
        </w:rPr>
        <w:drawing>
          <wp:inline distT="0" distB="0" distL="0" distR="0" wp14:anchorId="6C8B9236" wp14:editId="79944EA2">
            <wp:extent cx="5731510" cy="2149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149475"/>
                    </a:xfrm>
                    <a:prstGeom prst="rect">
                      <a:avLst/>
                    </a:prstGeom>
                  </pic:spPr>
                </pic:pic>
              </a:graphicData>
            </a:graphic>
          </wp:inline>
        </w:drawing>
      </w:r>
    </w:p>
    <w:p w14:paraId="34083FEE" w14:textId="77777777" w:rsidR="00A66EFA" w:rsidRPr="00C6355B" w:rsidRDefault="00A66EFA" w:rsidP="00A66EFA">
      <w:pPr>
        <w:rPr>
          <w:rFonts w:ascii="Helvetica" w:hAnsi="Helvetica"/>
          <w:color w:val="000000" w:themeColor="text1"/>
          <w:lang w:val="en-US"/>
        </w:rPr>
      </w:pPr>
    </w:p>
    <w:p w14:paraId="3B895C70" w14:textId="77777777" w:rsidR="00A66EFA" w:rsidRPr="00C6355B" w:rsidRDefault="00A66EFA" w:rsidP="00A66EFA">
      <w:pPr>
        <w:rPr>
          <w:rFonts w:ascii="Helvetica" w:hAnsi="Helvetica"/>
          <w:color w:val="000000" w:themeColor="text1"/>
          <w:lang w:val="en-US"/>
        </w:rPr>
      </w:pPr>
    </w:p>
    <w:p w14:paraId="1FABF966" w14:textId="415353C9" w:rsidR="00A66EFA" w:rsidRPr="00C6355B" w:rsidRDefault="00A66EFA" w:rsidP="00A66EFA">
      <w:pPr>
        <w:jc w:val="both"/>
        <w:rPr>
          <w:rFonts w:ascii="Helvetica" w:hAnsi="Helvetica"/>
          <w:color w:val="000000" w:themeColor="text1"/>
          <w:lang w:val="en-US"/>
        </w:rPr>
      </w:pPr>
      <w:r w:rsidRPr="00C6355B">
        <w:rPr>
          <w:rFonts w:ascii="Helvetica" w:hAnsi="Helvetica"/>
          <w:b/>
          <w:color w:val="000000" w:themeColor="text1"/>
          <w:lang w:val="en-US"/>
        </w:rPr>
        <w:t xml:space="preserve">Table A4. </w:t>
      </w:r>
      <w:r w:rsidRPr="00C6355B">
        <w:rPr>
          <w:rFonts w:ascii="Helvetica" w:hAnsi="Helvetica"/>
          <w:color w:val="000000" w:themeColor="text1"/>
          <w:lang w:val="en-US"/>
        </w:rPr>
        <w:t>Same as Table A.1 for the mid-21</w:t>
      </w:r>
      <w:r w:rsidRPr="00C6355B">
        <w:rPr>
          <w:rFonts w:ascii="Helvetica" w:hAnsi="Helvetica"/>
          <w:color w:val="000000" w:themeColor="text1"/>
          <w:vertAlign w:val="superscript"/>
          <w:lang w:val="en-US"/>
        </w:rPr>
        <w:t>st</w:t>
      </w:r>
      <w:r w:rsidRPr="00C6355B">
        <w:rPr>
          <w:rFonts w:ascii="Helvetica" w:hAnsi="Helvetica"/>
          <w:color w:val="000000" w:themeColor="text1"/>
          <w:lang w:val="en-US"/>
        </w:rPr>
        <w:t xml:space="preserve"> century (2046-2065) under pathway RCP8.5. </w:t>
      </w:r>
    </w:p>
    <w:p w14:paraId="238B8730" w14:textId="43307185" w:rsidR="00A66EFA" w:rsidRPr="00C6355B" w:rsidRDefault="00742CDF" w:rsidP="00A66EFA">
      <w:pPr>
        <w:rPr>
          <w:rFonts w:ascii="Helvetica" w:hAnsi="Helvetica"/>
          <w:color w:val="000000" w:themeColor="text1"/>
          <w:lang w:val="en-US"/>
        </w:rPr>
      </w:pPr>
      <w:r w:rsidRPr="00742CDF">
        <w:rPr>
          <w:rFonts w:ascii="Helvetica" w:hAnsi="Helvetica"/>
          <w:noProof/>
          <w:color w:val="000000" w:themeColor="text1"/>
          <w:lang w:val="en-IN" w:eastAsia="en-IN"/>
        </w:rPr>
        <w:drawing>
          <wp:inline distT="0" distB="0" distL="0" distR="0" wp14:anchorId="56AC99D0" wp14:editId="6DDBD8CF">
            <wp:extent cx="5731510" cy="2149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149475"/>
                    </a:xfrm>
                    <a:prstGeom prst="rect">
                      <a:avLst/>
                    </a:prstGeom>
                  </pic:spPr>
                </pic:pic>
              </a:graphicData>
            </a:graphic>
          </wp:inline>
        </w:drawing>
      </w:r>
    </w:p>
    <w:p w14:paraId="3ACDFAB4" w14:textId="77777777" w:rsidR="00A66EFA" w:rsidRPr="00C6355B" w:rsidRDefault="00A66EFA" w:rsidP="00A66EFA">
      <w:pPr>
        <w:rPr>
          <w:rFonts w:ascii="Helvetica" w:hAnsi="Helvetica"/>
          <w:color w:val="000000" w:themeColor="text1"/>
          <w:lang w:val="en-US"/>
        </w:rPr>
      </w:pPr>
    </w:p>
    <w:p w14:paraId="0B17A30F" w14:textId="77777777" w:rsidR="00A66EFA" w:rsidRPr="00C6355B" w:rsidRDefault="00A66EFA" w:rsidP="00A66EFA">
      <w:pPr>
        <w:rPr>
          <w:rFonts w:ascii="Helvetica" w:hAnsi="Helvetica"/>
          <w:color w:val="000000" w:themeColor="text1"/>
          <w:lang w:val="en-US"/>
        </w:rPr>
      </w:pPr>
    </w:p>
    <w:p w14:paraId="24D73DDC" w14:textId="1F98DCD6" w:rsidR="00A66EFA" w:rsidRPr="00C6355B" w:rsidRDefault="00A66EFA" w:rsidP="00A66EFA">
      <w:pPr>
        <w:jc w:val="both"/>
        <w:rPr>
          <w:rFonts w:ascii="Helvetica" w:hAnsi="Helvetica"/>
          <w:color w:val="000000" w:themeColor="text1"/>
          <w:lang w:val="en-US"/>
        </w:rPr>
      </w:pPr>
      <w:r w:rsidRPr="00C6355B">
        <w:rPr>
          <w:rFonts w:ascii="Helvetica" w:hAnsi="Helvetica"/>
          <w:b/>
          <w:color w:val="000000" w:themeColor="text1"/>
          <w:lang w:val="en-US"/>
        </w:rPr>
        <w:t xml:space="preserve">Table A5. </w:t>
      </w:r>
      <w:r w:rsidRPr="00C6355B">
        <w:rPr>
          <w:rFonts w:ascii="Helvetica" w:hAnsi="Helvetica"/>
          <w:color w:val="000000" w:themeColor="text1"/>
          <w:lang w:val="en-US"/>
        </w:rPr>
        <w:t xml:space="preserve">Same as Table A.1 for the </w:t>
      </w:r>
      <w:r>
        <w:rPr>
          <w:rFonts w:ascii="Helvetica" w:hAnsi="Helvetica"/>
          <w:color w:val="000000" w:themeColor="text1"/>
          <w:lang w:val="en-US"/>
        </w:rPr>
        <w:t>late</w:t>
      </w:r>
      <w:r w:rsidRPr="00C6355B">
        <w:rPr>
          <w:rFonts w:ascii="Helvetica" w:hAnsi="Helvetica"/>
          <w:color w:val="000000" w:themeColor="text1"/>
          <w:lang w:val="en-US"/>
        </w:rPr>
        <w:t>-21</w:t>
      </w:r>
      <w:r w:rsidRPr="00C6355B">
        <w:rPr>
          <w:rFonts w:ascii="Helvetica" w:hAnsi="Helvetica"/>
          <w:color w:val="000000" w:themeColor="text1"/>
          <w:vertAlign w:val="superscript"/>
          <w:lang w:val="en-US"/>
        </w:rPr>
        <w:t>st</w:t>
      </w:r>
      <w:r w:rsidRPr="00C6355B">
        <w:rPr>
          <w:rFonts w:ascii="Helvetica" w:hAnsi="Helvetica"/>
          <w:color w:val="000000" w:themeColor="text1"/>
          <w:lang w:val="en-US"/>
        </w:rPr>
        <w:t xml:space="preserve"> century (2081-2100) under pathway RCP8.5. </w:t>
      </w:r>
    </w:p>
    <w:p w14:paraId="706CD85E" w14:textId="1FE5A113" w:rsidR="00A66EFA" w:rsidRPr="00C6355B" w:rsidRDefault="00742CDF" w:rsidP="00A66EFA">
      <w:pPr>
        <w:rPr>
          <w:rFonts w:ascii="Helvetica" w:hAnsi="Helvetica"/>
          <w:color w:val="000000" w:themeColor="text1"/>
          <w:lang w:val="en-US"/>
        </w:rPr>
      </w:pPr>
      <w:r w:rsidRPr="00742CDF">
        <w:rPr>
          <w:rFonts w:ascii="Helvetica" w:hAnsi="Helvetica"/>
          <w:noProof/>
          <w:color w:val="000000" w:themeColor="text1"/>
          <w:lang w:val="en-IN" w:eastAsia="en-IN"/>
        </w:rPr>
        <w:drawing>
          <wp:inline distT="0" distB="0" distL="0" distR="0" wp14:anchorId="6C631707" wp14:editId="306482ED">
            <wp:extent cx="5731510" cy="2149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149475"/>
                    </a:xfrm>
                    <a:prstGeom prst="rect">
                      <a:avLst/>
                    </a:prstGeom>
                  </pic:spPr>
                </pic:pic>
              </a:graphicData>
            </a:graphic>
          </wp:inline>
        </w:drawing>
      </w:r>
    </w:p>
    <w:p w14:paraId="1AB577E0" w14:textId="77777777" w:rsidR="00A66EFA" w:rsidRPr="00C6355B" w:rsidRDefault="00A66EFA" w:rsidP="00A66EFA">
      <w:pPr>
        <w:rPr>
          <w:rFonts w:ascii="Helvetica" w:hAnsi="Helvetica"/>
          <w:color w:val="000000" w:themeColor="text1"/>
          <w:lang w:val="en-US"/>
        </w:rPr>
      </w:pPr>
    </w:p>
    <w:p w14:paraId="3EC48B3E" w14:textId="77777777" w:rsidR="00A66EFA" w:rsidRPr="00C6355B" w:rsidRDefault="00A66EFA" w:rsidP="00A66EFA">
      <w:pPr>
        <w:rPr>
          <w:rFonts w:ascii="Helvetica" w:hAnsi="Helvetica"/>
          <w:color w:val="000000" w:themeColor="text1"/>
          <w:lang w:val="en-US"/>
        </w:rPr>
      </w:pPr>
    </w:p>
    <w:p w14:paraId="151E8C36" w14:textId="45B76664" w:rsidR="00A66EFA" w:rsidRPr="00C6355B" w:rsidRDefault="00A66EFA" w:rsidP="00A66EFA">
      <w:pPr>
        <w:pStyle w:val="Heading2"/>
        <w:ind w:right="567"/>
        <w:rPr>
          <w:rFonts w:ascii="Helvetica" w:hAnsi="Helvetica"/>
          <w:color w:val="000000" w:themeColor="text1"/>
          <w:sz w:val="28"/>
          <w:szCs w:val="28"/>
          <w:lang w:val="en-US"/>
        </w:rPr>
      </w:pPr>
      <w:r w:rsidRPr="00C6355B">
        <w:rPr>
          <w:rFonts w:ascii="Helvetica" w:hAnsi="Helvetica"/>
          <w:color w:val="000000" w:themeColor="text1"/>
          <w:sz w:val="28"/>
          <w:szCs w:val="28"/>
          <w:lang w:val="en-US"/>
        </w:rPr>
        <w:t>A2. Exposure</w:t>
      </w:r>
    </w:p>
    <w:p w14:paraId="4FF5C06B"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Islands’ Population (</w:t>
      </w:r>
      <w:proofErr w:type="spellStart"/>
      <w:r w:rsidRPr="00C6355B">
        <w:rPr>
          <w:rFonts w:ascii="Helvetica" w:hAnsi="Helvetica"/>
          <w:b/>
          <w:color w:val="000000" w:themeColor="text1"/>
          <w:lang w:val="en-US"/>
        </w:rPr>
        <w:t>NPop</w:t>
      </w:r>
      <w:proofErr w:type="spellEnd"/>
      <w:r w:rsidRPr="00C6355B">
        <w:rPr>
          <w:rFonts w:ascii="Helvetica" w:hAnsi="Helvetica"/>
          <w:b/>
          <w:color w:val="000000" w:themeColor="text1"/>
          <w:lang w:val="en-US"/>
        </w:rPr>
        <w:t>)</w:t>
      </w:r>
    </w:p>
    <w:p w14:paraId="21E3A9AE" w14:textId="77777777" w:rsidR="00A66EFA" w:rsidRDefault="00A66EFA" w:rsidP="00A66EFA">
      <w:pPr>
        <w:jc w:val="both"/>
        <w:rPr>
          <w:rFonts w:ascii="Helvetica" w:hAnsi="Helvetica"/>
          <w:color w:val="000000" w:themeColor="text1"/>
          <w:lang w:val="en-US"/>
        </w:rPr>
      </w:pPr>
      <w:r>
        <w:rPr>
          <w:rFonts w:ascii="Helvetica" w:hAnsi="Helvetica"/>
          <w:color w:val="000000" w:themeColor="text1"/>
          <w:lang w:val="en-US"/>
        </w:rPr>
        <w:t>For the</w:t>
      </w:r>
      <w:r w:rsidRPr="00C6355B">
        <w:rPr>
          <w:rFonts w:ascii="Helvetica" w:hAnsi="Helvetica"/>
          <w:color w:val="000000" w:themeColor="text1"/>
          <w:lang w:val="en-US"/>
        </w:rPr>
        <w:t xml:space="preserve"> first exposure indicator </w:t>
      </w:r>
      <w:r>
        <w:rPr>
          <w:rFonts w:ascii="Helvetica" w:hAnsi="Helvetica"/>
          <w:color w:val="000000" w:themeColor="text1"/>
          <w:lang w:val="en-US"/>
        </w:rPr>
        <w:t>involved in</w:t>
      </w:r>
      <w:r w:rsidRPr="00C6355B">
        <w:rPr>
          <w:rFonts w:ascii="Helvetica" w:hAnsi="Helvetica"/>
          <w:color w:val="000000" w:themeColor="text1"/>
          <w:lang w:val="en-US"/>
        </w:rPr>
        <w:t xml:space="preserve"> the risk of Maritime Transport </w:t>
      </w:r>
      <w:r>
        <w:rPr>
          <w:rFonts w:ascii="Helvetica" w:hAnsi="Helvetica"/>
          <w:color w:val="000000" w:themeColor="text1"/>
          <w:lang w:val="en-US"/>
        </w:rPr>
        <w:t>d</w:t>
      </w:r>
      <w:r w:rsidRPr="00C6355B">
        <w:rPr>
          <w:rFonts w:ascii="Helvetica" w:hAnsi="Helvetica"/>
          <w:color w:val="000000" w:themeColor="text1"/>
          <w:lang w:val="en-US"/>
        </w:rPr>
        <w:t>isruption, we used the total population for each island (expressed in thousands of inhabitants).</w:t>
      </w:r>
      <w:r>
        <w:rPr>
          <w:rFonts w:ascii="Helvetica" w:hAnsi="Helvetica"/>
          <w:color w:val="000000" w:themeColor="text1"/>
          <w:lang w:val="en-US"/>
        </w:rPr>
        <w:t xml:space="preserve"> This indicator reflects the dependence of each island on maritime transport for importing goods and energy. It was</w:t>
      </w:r>
      <w:r w:rsidRPr="00C6355B">
        <w:rPr>
          <w:rFonts w:ascii="Helvetica" w:hAnsi="Helvetica"/>
          <w:color w:val="000000" w:themeColor="text1"/>
          <w:lang w:val="en-US"/>
        </w:rPr>
        <w:t xml:space="preserve"> derived from NUTS 2 and NUTS 3 EUROSTAT data. The normalization approach used was again the minimum/maximum methodology. Future population projections (years 2050 and 2090) were derived from the United Nations Department of Economic and Social Affairs (</w:t>
      </w:r>
      <w:hyperlink r:id="rId11" w:history="1">
        <w:r w:rsidRPr="00C6355B">
          <w:rPr>
            <w:rStyle w:val="Hyperlink"/>
            <w:rFonts w:ascii="Helvetica" w:hAnsi="Helvetica"/>
            <w:color w:val="000000" w:themeColor="text1"/>
            <w:lang w:val="en-US"/>
          </w:rPr>
          <w:t>https://population.un.org/wpp/</w:t>
        </w:r>
      </w:hyperlink>
      <w:r w:rsidRPr="00C6355B">
        <w:rPr>
          <w:rFonts w:ascii="Helvetica" w:hAnsi="Helvetica"/>
          <w:color w:val="000000" w:themeColor="text1"/>
          <w:lang w:val="en-US"/>
        </w:rPr>
        <w:t xml:space="preserve">). This was the case for Cyprus and Malta </w:t>
      </w:r>
      <w:r>
        <w:rPr>
          <w:rFonts w:ascii="Helvetica" w:hAnsi="Helvetica"/>
          <w:color w:val="000000" w:themeColor="text1"/>
          <w:lang w:val="en-US"/>
        </w:rPr>
        <w:t xml:space="preserve">given that they </w:t>
      </w:r>
      <w:r w:rsidRPr="00C6355B">
        <w:rPr>
          <w:rFonts w:ascii="Helvetica" w:hAnsi="Helvetica"/>
          <w:color w:val="000000" w:themeColor="text1"/>
          <w:lang w:val="en-US"/>
        </w:rPr>
        <w:t xml:space="preserve">are </w:t>
      </w:r>
      <w:r>
        <w:rPr>
          <w:rFonts w:ascii="Helvetica" w:hAnsi="Helvetica"/>
          <w:color w:val="000000" w:themeColor="text1"/>
          <w:lang w:val="en-US"/>
        </w:rPr>
        <w:t xml:space="preserve">both </w:t>
      </w:r>
      <w:r w:rsidRPr="00C6355B">
        <w:rPr>
          <w:rFonts w:ascii="Helvetica" w:hAnsi="Helvetica"/>
          <w:color w:val="000000" w:themeColor="text1"/>
          <w:lang w:val="en-US"/>
        </w:rPr>
        <w:t>island countries. For the rest of the cases w</w:t>
      </w:r>
      <w:r>
        <w:rPr>
          <w:rFonts w:ascii="Helvetica" w:hAnsi="Helvetica"/>
          <w:color w:val="000000" w:themeColor="text1"/>
          <w:lang w:val="en-US"/>
        </w:rPr>
        <w:t>h</w:t>
      </w:r>
      <w:r w:rsidRPr="00C6355B">
        <w:rPr>
          <w:rFonts w:ascii="Helvetica" w:hAnsi="Helvetica"/>
          <w:color w:val="000000" w:themeColor="text1"/>
          <w:lang w:val="en-US"/>
        </w:rPr>
        <w:t xml:space="preserve">ere island-based projections were not available, we assumed that the population trajectories will follow the trends of the countries </w:t>
      </w:r>
      <w:r>
        <w:rPr>
          <w:rFonts w:ascii="Helvetica" w:hAnsi="Helvetica"/>
          <w:color w:val="000000" w:themeColor="text1"/>
          <w:lang w:val="en-US"/>
        </w:rPr>
        <w:t xml:space="preserve">to which </w:t>
      </w:r>
      <w:r w:rsidRPr="00C6355B">
        <w:rPr>
          <w:rFonts w:ascii="Helvetica" w:hAnsi="Helvetica"/>
          <w:color w:val="000000" w:themeColor="text1"/>
          <w:lang w:val="en-US"/>
        </w:rPr>
        <w:t>they belong. Raw and normalized values are presented in Tables A.1-A.5.</w:t>
      </w:r>
    </w:p>
    <w:p w14:paraId="35F145C3" w14:textId="77777777" w:rsidR="00A66EFA" w:rsidRPr="00C6355B" w:rsidRDefault="00A66EFA" w:rsidP="00A66EFA">
      <w:pPr>
        <w:jc w:val="both"/>
        <w:rPr>
          <w:rFonts w:ascii="Helvetica" w:hAnsi="Helvetica"/>
          <w:b/>
          <w:color w:val="000000" w:themeColor="text1"/>
          <w:lang w:val="en-US"/>
        </w:rPr>
      </w:pPr>
    </w:p>
    <w:p w14:paraId="040E239C" w14:textId="77777777" w:rsidR="00A66EFA" w:rsidRPr="00C6355B" w:rsidRDefault="00A66EFA" w:rsidP="00A66EFA">
      <w:pPr>
        <w:rPr>
          <w:rFonts w:ascii="Helvetica" w:hAnsi="Helvetica"/>
          <w:b/>
          <w:color w:val="000000" w:themeColor="text1"/>
          <w:lang w:val="en-US"/>
        </w:rPr>
      </w:pPr>
    </w:p>
    <w:p w14:paraId="2D78BC03"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Number of passengers (</w:t>
      </w:r>
      <w:proofErr w:type="spellStart"/>
      <w:r w:rsidRPr="00C6355B">
        <w:rPr>
          <w:rFonts w:ascii="Helvetica" w:hAnsi="Helvetica"/>
          <w:b/>
          <w:color w:val="000000" w:themeColor="text1"/>
          <w:lang w:val="en-US"/>
        </w:rPr>
        <w:t>NPax</w:t>
      </w:r>
      <w:proofErr w:type="spellEnd"/>
      <w:r w:rsidRPr="00C6355B">
        <w:rPr>
          <w:rFonts w:ascii="Helvetica" w:hAnsi="Helvetica"/>
          <w:b/>
          <w:color w:val="000000" w:themeColor="text1"/>
          <w:lang w:val="en-US"/>
        </w:rPr>
        <w:t>)</w:t>
      </w:r>
    </w:p>
    <w:p w14:paraId="0BD19C9B" w14:textId="77777777" w:rsidR="00A66EFA" w:rsidRPr="00C6355B" w:rsidRDefault="00A66EFA" w:rsidP="00A66EFA">
      <w:pPr>
        <w:jc w:val="both"/>
        <w:rPr>
          <w:rFonts w:ascii="Helvetica" w:hAnsi="Helvetica"/>
          <w:color w:val="000000" w:themeColor="text1"/>
          <w:lang w:val="en-US"/>
        </w:rPr>
      </w:pPr>
      <w:r>
        <w:rPr>
          <w:rFonts w:ascii="Helvetica" w:hAnsi="Helvetica"/>
          <w:color w:val="000000" w:themeColor="text1"/>
          <w:lang w:val="en-US"/>
        </w:rPr>
        <w:t>For the</w:t>
      </w:r>
      <w:r w:rsidRPr="00C6355B">
        <w:rPr>
          <w:rFonts w:ascii="Helvetica" w:hAnsi="Helvetica"/>
          <w:color w:val="000000" w:themeColor="text1"/>
          <w:lang w:val="en-US"/>
        </w:rPr>
        <w:t xml:space="preserve"> second exposure indicator, we employed the annual total number of passengers per island</w:t>
      </w:r>
      <w:r>
        <w:rPr>
          <w:rFonts w:ascii="Helvetica" w:hAnsi="Helvetica"/>
          <w:color w:val="000000" w:themeColor="text1"/>
          <w:lang w:val="en-US"/>
        </w:rPr>
        <w:t xml:space="preserve"> (</w:t>
      </w:r>
      <w:proofErr w:type="spellStart"/>
      <w:r>
        <w:rPr>
          <w:rFonts w:ascii="Helvetica" w:hAnsi="Helvetica"/>
          <w:color w:val="000000" w:themeColor="text1"/>
          <w:lang w:val="en-US"/>
        </w:rPr>
        <w:t>NPax</w:t>
      </w:r>
      <w:proofErr w:type="spellEnd"/>
      <w:r>
        <w:rPr>
          <w:rFonts w:ascii="Helvetica" w:hAnsi="Helvetica"/>
          <w:color w:val="000000" w:themeColor="text1"/>
          <w:lang w:val="en-US"/>
        </w:rPr>
        <w:t>). This includes permanent residents and tourists from and to the mainland, as well as, passengers in leisure cruises</w:t>
      </w:r>
      <w:r w:rsidRPr="00C6355B">
        <w:rPr>
          <w:rFonts w:ascii="Helvetica" w:hAnsi="Helvetica"/>
          <w:color w:val="000000" w:themeColor="text1"/>
          <w:lang w:val="en-US"/>
        </w:rPr>
        <w:t xml:space="preserve">. </w:t>
      </w:r>
      <w:proofErr w:type="spellStart"/>
      <w:r>
        <w:rPr>
          <w:rFonts w:ascii="Helvetica" w:hAnsi="Helvetica"/>
          <w:color w:val="000000" w:themeColor="text1"/>
          <w:lang w:val="en-US"/>
        </w:rPr>
        <w:t>NPax</w:t>
      </w:r>
      <w:proofErr w:type="spellEnd"/>
      <w:r>
        <w:rPr>
          <w:rFonts w:ascii="Helvetica" w:hAnsi="Helvetica"/>
          <w:color w:val="000000" w:themeColor="text1"/>
          <w:lang w:val="en-US"/>
        </w:rPr>
        <w:t xml:space="preserve"> is</w:t>
      </w:r>
      <w:r w:rsidRPr="00C6355B">
        <w:rPr>
          <w:rFonts w:ascii="Helvetica" w:hAnsi="Helvetica"/>
          <w:color w:val="000000" w:themeColor="text1"/>
          <w:lang w:val="en-US"/>
        </w:rPr>
        <w:t xml:space="preserve"> derived from the European Union’s Statistical Office (EUROSTAT).  Regional data are available for the NUTS 2 and 3 classifications. For our case</w:t>
      </w:r>
      <w:r>
        <w:rPr>
          <w:rFonts w:ascii="Helvetica" w:hAnsi="Helvetica"/>
          <w:color w:val="000000" w:themeColor="text1"/>
          <w:lang w:val="en-US"/>
        </w:rPr>
        <w:t xml:space="preserve"> studies</w:t>
      </w:r>
      <w:r w:rsidRPr="00C6355B">
        <w:rPr>
          <w:rFonts w:ascii="Helvetica" w:hAnsi="Helvetica"/>
          <w:color w:val="000000" w:themeColor="text1"/>
          <w:lang w:val="en-US"/>
        </w:rPr>
        <w:t>, the EU island</w:t>
      </w:r>
      <w:r>
        <w:rPr>
          <w:rFonts w:ascii="Helvetica" w:hAnsi="Helvetica"/>
          <w:color w:val="000000" w:themeColor="text1"/>
          <w:lang w:val="en-US"/>
        </w:rPr>
        <w:t xml:space="preserve"> countries</w:t>
      </w:r>
      <w:r w:rsidRPr="00C6355B">
        <w:rPr>
          <w:rFonts w:ascii="Helvetica" w:hAnsi="Helvetica"/>
          <w:color w:val="000000" w:themeColor="text1"/>
          <w:lang w:val="en-US"/>
        </w:rPr>
        <w:t xml:space="preserve"> of Cyprus and Malta are included in NUTS 2</w:t>
      </w:r>
      <w:r>
        <w:rPr>
          <w:rFonts w:ascii="Helvetica" w:hAnsi="Helvetica"/>
          <w:color w:val="000000" w:themeColor="text1"/>
          <w:lang w:val="en-US"/>
        </w:rPr>
        <w:t xml:space="preserve">, </w:t>
      </w:r>
      <w:r w:rsidRPr="00C6355B">
        <w:rPr>
          <w:rFonts w:ascii="Helvetica" w:hAnsi="Helvetica"/>
          <w:color w:val="000000" w:themeColor="text1"/>
          <w:lang w:val="en-US"/>
        </w:rPr>
        <w:t xml:space="preserve">whereas the rest of the islands under investigation (Crete, Corsica, </w:t>
      </w:r>
      <w:r>
        <w:rPr>
          <w:rFonts w:ascii="Helvetica" w:hAnsi="Helvetica"/>
          <w:color w:val="000000" w:themeColor="text1"/>
          <w:lang w:val="en-US"/>
        </w:rPr>
        <w:t xml:space="preserve">the </w:t>
      </w:r>
      <w:r w:rsidRPr="00C6355B">
        <w:rPr>
          <w:rFonts w:ascii="Helvetica" w:hAnsi="Helvetica"/>
          <w:color w:val="000000" w:themeColor="text1"/>
          <w:lang w:val="en-US"/>
        </w:rPr>
        <w:t>Canary Islands</w:t>
      </w:r>
      <w:r>
        <w:rPr>
          <w:rFonts w:ascii="Helvetica" w:hAnsi="Helvetica"/>
          <w:color w:val="000000" w:themeColor="text1"/>
          <w:lang w:val="en-US"/>
        </w:rPr>
        <w:t>,</w:t>
      </w:r>
      <w:r w:rsidRPr="00C6355B">
        <w:rPr>
          <w:rFonts w:ascii="Helvetica" w:hAnsi="Helvetica"/>
          <w:color w:val="000000" w:themeColor="text1"/>
          <w:lang w:val="en-US"/>
        </w:rPr>
        <w:t xml:space="preserve"> and</w:t>
      </w:r>
      <w:r>
        <w:rPr>
          <w:rFonts w:ascii="Helvetica" w:hAnsi="Helvetica"/>
          <w:color w:val="000000" w:themeColor="text1"/>
          <w:lang w:val="en-US"/>
        </w:rPr>
        <w:t xml:space="preserve"> the</w:t>
      </w:r>
      <w:r w:rsidRPr="00C6355B">
        <w:rPr>
          <w:rFonts w:ascii="Helvetica" w:hAnsi="Helvetica"/>
          <w:color w:val="000000" w:themeColor="text1"/>
          <w:lang w:val="en-US"/>
        </w:rPr>
        <w:t xml:space="preserve"> Balearic</w:t>
      </w:r>
      <w:r>
        <w:rPr>
          <w:rFonts w:ascii="Helvetica" w:hAnsi="Helvetica"/>
          <w:color w:val="000000" w:themeColor="text1"/>
          <w:lang w:val="en-US"/>
        </w:rPr>
        <w:t xml:space="preserve"> Island</w:t>
      </w:r>
      <w:r w:rsidRPr="00C6355B">
        <w:rPr>
          <w:rFonts w:ascii="Helvetica" w:hAnsi="Helvetica"/>
          <w:color w:val="000000" w:themeColor="text1"/>
          <w:lang w:val="en-US"/>
        </w:rPr>
        <w:t>s) are included in the NUTS</w:t>
      </w:r>
      <w:r>
        <w:rPr>
          <w:rFonts w:ascii="Helvetica" w:hAnsi="Helvetica"/>
          <w:color w:val="000000" w:themeColor="text1"/>
          <w:lang w:val="en-US"/>
        </w:rPr>
        <w:t xml:space="preserve"> </w:t>
      </w:r>
      <w:r w:rsidRPr="00C6355B">
        <w:rPr>
          <w:rFonts w:ascii="Helvetica" w:hAnsi="Helvetica"/>
          <w:color w:val="000000" w:themeColor="text1"/>
          <w:lang w:val="en-US"/>
        </w:rPr>
        <w:t xml:space="preserve">3 classification. Since this indicator is dynamic through time, we have used the average number of the five more recent years available in the EUROSTAT database. The units of this indicator are thousands of passengers per year. According to the historical data, the greatest annual number of passengers (including cruises) is found for the Canary Islands, while the lowest number is found for Cyprus (Table A.1). To facilitate an inter-island comparison, we have used the minimum/maximum methodology, with </w:t>
      </w:r>
      <w:r>
        <w:rPr>
          <w:rFonts w:ascii="Helvetica" w:hAnsi="Helvetica"/>
          <w:color w:val="000000" w:themeColor="text1"/>
          <w:lang w:val="en-US"/>
        </w:rPr>
        <w:t xml:space="preserve">a </w:t>
      </w:r>
      <w:r w:rsidRPr="00C6355B">
        <w:rPr>
          <w:rFonts w:ascii="Helvetica" w:hAnsi="Helvetica"/>
          <w:color w:val="000000" w:themeColor="text1"/>
          <w:lang w:val="en-US"/>
        </w:rPr>
        <w:t>value of 0 assigned to the island with the lowest number of passengers and</w:t>
      </w:r>
      <w:r>
        <w:rPr>
          <w:rFonts w:ascii="Helvetica" w:hAnsi="Helvetica"/>
          <w:color w:val="000000" w:themeColor="text1"/>
          <w:lang w:val="en-US"/>
        </w:rPr>
        <w:t xml:space="preserve"> a</w:t>
      </w:r>
      <w:r w:rsidRPr="00C6355B">
        <w:rPr>
          <w:rFonts w:ascii="Helvetica" w:hAnsi="Helvetica"/>
          <w:color w:val="000000" w:themeColor="text1"/>
          <w:lang w:val="en-US"/>
        </w:rPr>
        <w:t xml:space="preserve"> value of 1 assigned to the island with the highest number of passengers. For the timescales discussed in the present study, no </w:t>
      </w:r>
      <w:r>
        <w:rPr>
          <w:rFonts w:ascii="Helvetica" w:hAnsi="Helvetica"/>
          <w:color w:val="000000" w:themeColor="text1"/>
          <w:lang w:val="en-US"/>
        </w:rPr>
        <w:t xml:space="preserve">information about </w:t>
      </w:r>
      <w:r w:rsidRPr="00C6355B">
        <w:rPr>
          <w:rFonts w:ascii="Helvetica" w:hAnsi="Helvetica"/>
          <w:color w:val="000000" w:themeColor="text1"/>
          <w:lang w:val="en-US"/>
        </w:rPr>
        <w:t xml:space="preserve">future projections was available for </w:t>
      </w:r>
      <w:proofErr w:type="spellStart"/>
      <w:r w:rsidRPr="00C6355B">
        <w:rPr>
          <w:rFonts w:ascii="Helvetica" w:hAnsi="Helvetica"/>
          <w:color w:val="000000" w:themeColor="text1"/>
          <w:lang w:val="en-US"/>
        </w:rPr>
        <w:t>NPax</w:t>
      </w:r>
      <w:proofErr w:type="spellEnd"/>
      <w:r w:rsidRPr="00C6355B">
        <w:rPr>
          <w:rFonts w:ascii="Helvetica" w:hAnsi="Helvetica"/>
          <w:color w:val="000000" w:themeColor="text1"/>
          <w:lang w:val="en-US"/>
        </w:rPr>
        <w:t xml:space="preserve">. Nevertheless, we scaled the historical values for this indicator according to the population changes to provide a more realistic assessment for future risk. </w:t>
      </w:r>
    </w:p>
    <w:p w14:paraId="03718DCD" w14:textId="77777777" w:rsidR="00A66EFA" w:rsidRPr="00C6355B" w:rsidRDefault="00A66EFA" w:rsidP="00A66EFA">
      <w:pPr>
        <w:rPr>
          <w:rFonts w:ascii="Helvetica" w:hAnsi="Helvetica"/>
          <w:b/>
          <w:color w:val="000000" w:themeColor="text1"/>
          <w:lang w:val="en-US"/>
        </w:rPr>
      </w:pPr>
    </w:p>
    <w:p w14:paraId="36599A62"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Value of Goods (</w:t>
      </w:r>
      <w:proofErr w:type="spellStart"/>
      <w:r w:rsidRPr="00C6355B">
        <w:rPr>
          <w:rFonts w:ascii="Helvetica" w:hAnsi="Helvetica"/>
          <w:b/>
          <w:color w:val="000000" w:themeColor="text1"/>
          <w:lang w:val="en-US"/>
        </w:rPr>
        <w:t>VGTr</w:t>
      </w:r>
      <w:proofErr w:type="spellEnd"/>
      <w:r w:rsidRPr="00C6355B">
        <w:rPr>
          <w:rFonts w:ascii="Helvetica" w:hAnsi="Helvetica"/>
          <w:b/>
          <w:color w:val="000000" w:themeColor="text1"/>
          <w:lang w:val="en-US"/>
        </w:rPr>
        <w:t>)</w:t>
      </w:r>
    </w:p>
    <w:p w14:paraId="26848230"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An important component of exposure is the total value of goods transferred by ships. Since it was difficult to obtain absolute numbers of values</w:t>
      </w:r>
      <w:r>
        <w:rPr>
          <w:rFonts w:ascii="Helvetica" w:hAnsi="Helvetica"/>
          <w:color w:val="000000" w:themeColor="text1"/>
          <w:lang w:val="en-US"/>
        </w:rPr>
        <w:t xml:space="preserve"> for islands</w:t>
      </w:r>
      <w:r w:rsidRPr="00C6355B">
        <w:rPr>
          <w:rFonts w:ascii="Helvetica" w:hAnsi="Helvetica"/>
          <w:color w:val="000000" w:themeColor="text1"/>
          <w:lang w:val="en-US"/>
        </w:rPr>
        <w:t>, we have used</w:t>
      </w:r>
      <w:r>
        <w:rPr>
          <w:rFonts w:ascii="Helvetica" w:hAnsi="Helvetica"/>
          <w:color w:val="000000" w:themeColor="text1"/>
          <w:lang w:val="en-US"/>
        </w:rPr>
        <w:t xml:space="preserve"> as an alternative indicator</w:t>
      </w:r>
      <w:r w:rsidRPr="00C6355B">
        <w:rPr>
          <w:rFonts w:ascii="Helvetica" w:hAnsi="Helvetica"/>
          <w:color w:val="000000" w:themeColor="text1"/>
          <w:lang w:val="en-US"/>
        </w:rPr>
        <w:t xml:space="preserve"> the total freight (in tons). These were available per NUTS 2 and NUTS3 region covering all islands under investigation. A minimum/maximum normalization method was applied to facilitate the inter-island comparison. Values of this indicator were considered static for the future. According to the values of this indicator, the Canary Islands are the ones that are most dependent on Maritime Transport for the transfer of goods. Similarly, to the number of passengers, we have scaled the historical values of the value of goods according to the population change to provide a more realistic assessment for future risk.</w:t>
      </w:r>
    </w:p>
    <w:p w14:paraId="44832415" w14:textId="77777777" w:rsidR="00A66EFA" w:rsidRPr="00C6355B" w:rsidRDefault="00A66EFA" w:rsidP="00A66EFA">
      <w:pPr>
        <w:jc w:val="both"/>
        <w:rPr>
          <w:rFonts w:ascii="Helvetica" w:hAnsi="Helvetica"/>
          <w:color w:val="000000" w:themeColor="text1"/>
          <w:lang w:val="en-US"/>
        </w:rPr>
      </w:pPr>
    </w:p>
    <w:p w14:paraId="760C1FC1"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Number of Ports (</w:t>
      </w:r>
      <w:proofErr w:type="spellStart"/>
      <w:r w:rsidRPr="00C6355B">
        <w:rPr>
          <w:rFonts w:ascii="Helvetica" w:hAnsi="Helvetica"/>
          <w:b/>
          <w:color w:val="000000" w:themeColor="text1"/>
          <w:lang w:val="en-US"/>
        </w:rPr>
        <w:t>NPor</w:t>
      </w:r>
      <w:proofErr w:type="spellEnd"/>
      <w:r w:rsidRPr="00C6355B">
        <w:rPr>
          <w:rFonts w:ascii="Helvetica" w:hAnsi="Helvetica"/>
          <w:b/>
          <w:color w:val="000000" w:themeColor="text1"/>
          <w:lang w:val="en-US"/>
        </w:rPr>
        <w:t>)</w:t>
      </w:r>
    </w:p>
    <w:p w14:paraId="4A2B1F0E"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The final exposure indicator that was used for the operationalization of the selected Impact Chain of the Maritime Transport sector is the number of ports per island or archipelago. Information on the number of ports was obtained through online resources</w:t>
      </w:r>
      <w:r>
        <w:rPr>
          <w:rStyle w:val="FootnoteReference"/>
          <w:rFonts w:ascii="Helvetica" w:hAnsi="Helvetica"/>
          <w:color w:val="000000" w:themeColor="text1"/>
          <w:lang w:val="en-US"/>
        </w:rPr>
        <w:footnoteReference w:id="1"/>
      </w:r>
      <w:r w:rsidRPr="00CB23A3">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2"/>
      </w:r>
      <w:r w:rsidRPr="00CB23A3">
        <w:rPr>
          <w:rFonts w:ascii="Helvetica" w:hAnsi="Helvetica"/>
          <w:color w:val="000000" w:themeColor="text1"/>
          <w:vertAlign w:val="superscript"/>
          <w:lang w:val="en-US"/>
        </w:rPr>
        <w:t>,</w:t>
      </w:r>
      <w:r>
        <w:rPr>
          <w:rStyle w:val="FootnoteReference"/>
          <w:rFonts w:ascii="Helvetica" w:hAnsi="Helvetica"/>
          <w:color w:val="000000" w:themeColor="text1"/>
          <w:lang w:val="el-GR"/>
        </w:rPr>
        <w:footnoteReference w:id="3"/>
      </w:r>
      <w:r>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4"/>
      </w:r>
      <w:r>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5"/>
      </w:r>
      <w:r w:rsidRPr="00D83C9C">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6"/>
      </w:r>
      <w:r w:rsidRPr="00C6355B">
        <w:rPr>
          <w:rFonts w:ascii="Helvetica" w:hAnsi="Helvetica"/>
          <w:color w:val="000000" w:themeColor="text1"/>
          <w:lang w:val="en-US"/>
        </w:rPr>
        <w:t>. The normalization of this indicator was based on a rating scale that was defined by expert judgement (GIZ 2017). In more detail, higher sub-component risk (</w:t>
      </w:r>
      <w:r>
        <w:rPr>
          <w:rFonts w:ascii="Helvetica" w:hAnsi="Helvetica"/>
          <w:color w:val="000000" w:themeColor="text1"/>
          <w:lang w:val="en-US"/>
        </w:rPr>
        <w:t xml:space="preserve">a </w:t>
      </w:r>
      <w:r w:rsidRPr="00C6355B">
        <w:rPr>
          <w:rFonts w:ascii="Helvetica" w:hAnsi="Helvetica"/>
          <w:color w:val="000000" w:themeColor="text1"/>
          <w:lang w:val="en-US"/>
        </w:rPr>
        <w:t>value of 1)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f</w:t>
      </w:r>
      <w:r>
        <w:rPr>
          <w:rFonts w:ascii="Helvetica" w:hAnsi="Helvetica"/>
          <w:color w:val="000000" w:themeColor="text1"/>
          <w:lang w:val="en-US"/>
        </w:rPr>
        <w:t>e</w:t>
      </w:r>
      <w:r w:rsidRPr="00C6355B">
        <w:rPr>
          <w:rFonts w:ascii="Helvetica" w:hAnsi="Helvetica"/>
          <w:color w:val="000000" w:themeColor="text1"/>
          <w:lang w:val="en-US"/>
        </w:rPr>
        <w:t>ll in the class [0,1],</w:t>
      </w:r>
      <w:r>
        <w:rPr>
          <w:rFonts w:ascii="Helvetica" w:hAnsi="Helvetica"/>
          <w:color w:val="000000" w:themeColor="text1"/>
          <w:lang w:val="en-US"/>
        </w:rPr>
        <w:t xml:space="preserve"> a</w:t>
      </w:r>
      <w:r w:rsidRPr="00C6355B">
        <w:rPr>
          <w:rFonts w:ascii="Helvetica" w:hAnsi="Helvetica"/>
          <w:color w:val="000000" w:themeColor="text1"/>
          <w:lang w:val="en-US"/>
        </w:rPr>
        <w:t xml:space="preserve"> value of 0.75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f</w:t>
      </w:r>
      <w:r>
        <w:rPr>
          <w:rFonts w:ascii="Helvetica" w:hAnsi="Helvetica"/>
          <w:color w:val="000000" w:themeColor="text1"/>
          <w:lang w:val="en-US"/>
        </w:rPr>
        <w:t>e</w:t>
      </w:r>
      <w:r w:rsidRPr="00C6355B">
        <w:rPr>
          <w:rFonts w:ascii="Helvetica" w:hAnsi="Helvetica"/>
          <w:color w:val="000000" w:themeColor="text1"/>
          <w:lang w:val="en-US"/>
        </w:rPr>
        <w:t xml:space="preserve">ll in the [2-3], </w:t>
      </w:r>
      <w:r>
        <w:rPr>
          <w:rFonts w:ascii="Helvetica" w:hAnsi="Helvetica"/>
          <w:color w:val="000000" w:themeColor="text1"/>
          <w:lang w:val="en-US"/>
        </w:rPr>
        <w:t xml:space="preserve">a </w:t>
      </w:r>
      <w:r w:rsidRPr="00C6355B">
        <w:rPr>
          <w:rFonts w:ascii="Helvetica" w:hAnsi="Helvetica"/>
          <w:color w:val="000000" w:themeColor="text1"/>
          <w:lang w:val="en-US"/>
        </w:rPr>
        <w:t>value of 0.50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f</w:t>
      </w:r>
      <w:r>
        <w:rPr>
          <w:rFonts w:ascii="Helvetica" w:hAnsi="Helvetica"/>
          <w:color w:val="000000" w:themeColor="text1"/>
          <w:lang w:val="en-US"/>
        </w:rPr>
        <w:t>e</w:t>
      </w:r>
      <w:r w:rsidRPr="00C6355B">
        <w:rPr>
          <w:rFonts w:ascii="Helvetica" w:hAnsi="Helvetica"/>
          <w:color w:val="000000" w:themeColor="text1"/>
          <w:lang w:val="en-US"/>
        </w:rPr>
        <w:t xml:space="preserve">ll in the class [4-5], </w:t>
      </w:r>
      <w:r>
        <w:rPr>
          <w:rFonts w:ascii="Helvetica" w:hAnsi="Helvetica"/>
          <w:color w:val="000000" w:themeColor="text1"/>
          <w:lang w:val="en-US"/>
        </w:rPr>
        <w:t xml:space="preserve">a </w:t>
      </w:r>
      <w:r w:rsidRPr="00C6355B">
        <w:rPr>
          <w:rFonts w:ascii="Helvetica" w:hAnsi="Helvetica"/>
          <w:color w:val="000000" w:themeColor="text1"/>
          <w:lang w:val="en-US"/>
        </w:rPr>
        <w:t>value of 0.25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f</w:t>
      </w:r>
      <w:r>
        <w:rPr>
          <w:rFonts w:ascii="Helvetica" w:hAnsi="Helvetica"/>
          <w:color w:val="000000" w:themeColor="text1"/>
          <w:lang w:val="en-US"/>
        </w:rPr>
        <w:t>e</w:t>
      </w:r>
      <w:r w:rsidRPr="00C6355B">
        <w:rPr>
          <w:rFonts w:ascii="Helvetica" w:hAnsi="Helvetica"/>
          <w:color w:val="000000" w:themeColor="text1"/>
          <w:lang w:val="en-US"/>
        </w:rPr>
        <w:t>ll in the class [6-7]</w:t>
      </w:r>
      <w:r>
        <w:rPr>
          <w:rFonts w:ascii="Helvetica" w:hAnsi="Helvetica"/>
          <w:color w:val="000000" w:themeColor="text1"/>
          <w:lang w:val="en-US"/>
        </w:rPr>
        <w:t>,</w:t>
      </w:r>
      <w:r w:rsidRPr="00C6355B">
        <w:rPr>
          <w:rFonts w:ascii="Helvetica" w:hAnsi="Helvetica"/>
          <w:color w:val="000000" w:themeColor="text1"/>
          <w:lang w:val="en-US"/>
        </w:rPr>
        <w:t xml:space="preserve"> and </w:t>
      </w:r>
      <w:r>
        <w:rPr>
          <w:rFonts w:ascii="Helvetica" w:hAnsi="Helvetica"/>
          <w:color w:val="000000" w:themeColor="text1"/>
          <w:lang w:val="en-US"/>
        </w:rPr>
        <w:t xml:space="preserve">a </w:t>
      </w:r>
      <w:r w:rsidRPr="00C6355B">
        <w:rPr>
          <w:rFonts w:ascii="Helvetica" w:hAnsi="Helvetica"/>
          <w:color w:val="000000" w:themeColor="text1"/>
          <w:lang w:val="en-US"/>
        </w:rPr>
        <w:t>value of 0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or archipelagos that have more than 8 ports operating. This indicator was considered static for the future.</w:t>
      </w:r>
    </w:p>
    <w:p w14:paraId="7353444F" w14:textId="77777777" w:rsidR="00A66EFA" w:rsidRPr="00C6355B" w:rsidRDefault="00A66EFA" w:rsidP="00A66EFA">
      <w:pPr>
        <w:jc w:val="both"/>
        <w:rPr>
          <w:rFonts w:ascii="Helvetica" w:hAnsi="Helvetica"/>
          <w:color w:val="000000" w:themeColor="text1"/>
          <w:lang w:val="en-US"/>
        </w:rPr>
      </w:pPr>
    </w:p>
    <w:p w14:paraId="5C707DF0" w14:textId="22DFF0ED" w:rsidR="00A66EFA" w:rsidRPr="00C6355B" w:rsidRDefault="00A66EFA" w:rsidP="00A66EFA">
      <w:pPr>
        <w:pStyle w:val="Heading2"/>
        <w:ind w:right="567"/>
        <w:rPr>
          <w:rFonts w:ascii="Helvetica" w:hAnsi="Helvetica"/>
          <w:color w:val="000000" w:themeColor="text1"/>
          <w:sz w:val="28"/>
          <w:szCs w:val="28"/>
          <w:lang w:val="en-US"/>
        </w:rPr>
      </w:pPr>
      <w:bookmarkStart w:id="1" w:name="_Toc437761773"/>
      <w:r w:rsidRPr="00C6355B">
        <w:rPr>
          <w:rFonts w:ascii="Helvetica" w:hAnsi="Helvetica"/>
          <w:color w:val="000000" w:themeColor="text1"/>
          <w:sz w:val="28"/>
          <w:szCs w:val="28"/>
          <w:lang w:val="en-US"/>
        </w:rPr>
        <w:t xml:space="preserve">A3. </w:t>
      </w:r>
      <w:bookmarkEnd w:id="1"/>
      <w:r w:rsidRPr="00C6355B">
        <w:rPr>
          <w:rFonts w:ascii="Helvetica" w:hAnsi="Helvetica"/>
          <w:color w:val="000000" w:themeColor="text1"/>
          <w:sz w:val="28"/>
          <w:szCs w:val="28"/>
          <w:lang w:val="en-US"/>
        </w:rPr>
        <w:t>Sensitivity</w:t>
      </w:r>
    </w:p>
    <w:p w14:paraId="47B6A8C9"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Renovated Infrastructure (</w:t>
      </w:r>
      <w:proofErr w:type="spellStart"/>
      <w:r w:rsidRPr="00C6355B">
        <w:rPr>
          <w:rFonts w:ascii="Helvetica" w:hAnsi="Helvetica"/>
          <w:b/>
          <w:color w:val="000000" w:themeColor="text1"/>
          <w:lang w:val="en-US"/>
        </w:rPr>
        <w:t>NRni</w:t>
      </w:r>
      <w:proofErr w:type="spellEnd"/>
      <w:r w:rsidRPr="00C6355B">
        <w:rPr>
          <w:rFonts w:ascii="Helvetica" w:hAnsi="Helvetica"/>
          <w:b/>
          <w:color w:val="000000" w:themeColor="text1"/>
          <w:lang w:val="en-US"/>
        </w:rPr>
        <w:t>)</w:t>
      </w:r>
    </w:p>
    <w:p w14:paraId="45760AE6"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 xml:space="preserve">This indicator is defined as the number of ports with critical infrastructures not renovated since 1993. For three of the considered islands (Cyprus, Malta and Corsica) there was available information that all ports have been partially and/or gradually renovated during the last decades. We assumed that this was the case for the three remaining case studies (Crete, </w:t>
      </w:r>
      <w:r>
        <w:rPr>
          <w:rFonts w:ascii="Helvetica" w:hAnsi="Helvetica"/>
          <w:color w:val="000000" w:themeColor="text1"/>
          <w:lang w:val="en-US"/>
        </w:rPr>
        <w:t xml:space="preserve">the </w:t>
      </w:r>
      <w:r w:rsidRPr="00C6355B">
        <w:rPr>
          <w:rFonts w:ascii="Helvetica" w:hAnsi="Helvetica"/>
          <w:color w:val="000000" w:themeColor="text1"/>
          <w:lang w:val="en-US"/>
        </w:rPr>
        <w:t xml:space="preserve">Canary Islands and </w:t>
      </w:r>
      <w:r>
        <w:rPr>
          <w:rFonts w:ascii="Helvetica" w:hAnsi="Helvetica"/>
          <w:color w:val="000000" w:themeColor="text1"/>
          <w:lang w:val="en-US"/>
        </w:rPr>
        <w:t xml:space="preserve">the </w:t>
      </w:r>
      <w:r w:rsidRPr="00C6355B">
        <w:rPr>
          <w:rFonts w:ascii="Helvetica" w:hAnsi="Helvetica"/>
          <w:color w:val="000000" w:themeColor="text1"/>
          <w:lang w:val="en-US"/>
        </w:rPr>
        <w:t>Balearic</w:t>
      </w:r>
      <w:r>
        <w:rPr>
          <w:rFonts w:ascii="Helvetica" w:hAnsi="Helvetica"/>
          <w:color w:val="000000" w:themeColor="text1"/>
          <w:lang w:val="en-US"/>
        </w:rPr>
        <w:t xml:space="preserve"> Island</w:t>
      </w:r>
      <w:r w:rsidRPr="00C6355B">
        <w:rPr>
          <w:rFonts w:ascii="Helvetica" w:hAnsi="Helvetica"/>
          <w:color w:val="000000" w:themeColor="text1"/>
          <w:lang w:val="en-US"/>
        </w:rPr>
        <w:t>s). We</w:t>
      </w:r>
      <w:r>
        <w:rPr>
          <w:rFonts w:ascii="Helvetica" w:hAnsi="Helvetica"/>
          <w:color w:val="000000" w:themeColor="text1"/>
          <w:lang w:val="en-US"/>
        </w:rPr>
        <w:t>,</w:t>
      </w:r>
      <w:r w:rsidRPr="00C6355B">
        <w:rPr>
          <w:rFonts w:ascii="Helvetica" w:hAnsi="Helvetica"/>
          <w:color w:val="000000" w:themeColor="text1"/>
          <w:lang w:val="en-US"/>
        </w:rPr>
        <w:t xml:space="preserve"> therefore</w:t>
      </w:r>
      <w:r>
        <w:rPr>
          <w:rFonts w:ascii="Helvetica" w:hAnsi="Helvetica"/>
          <w:color w:val="000000" w:themeColor="text1"/>
          <w:lang w:val="en-US"/>
        </w:rPr>
        <w:t>,</w:t>
      </w:r>
      <w:r w:rsidRPr="00C6355B">
        <w:rPr>
          <w:rFonts w:ascii="Helvetica" w:hAnsi="Helvetica"/>
          <w:color w:val="000000" w:themeColor="text1"/>
          <w:lang w:val="en-US"/>
        </w:rPr>
        <w:t xml:space="preserve"> assigned values of 0 for this sub-component of sensitivity for all islands and all future scenarios. </w:t>
      </w:r>
      <w:r>
        <w:rPr>
          <w:rFonts w:ascii="Helvetica" w:hAnsi="Helvetica"/>
          <w:color w:val="000000" w:themeColor="text1"/>
          <w:lang w:val="en-US"/>
        </w:rPr>
        <w:t>This sensitivity component did not affect our island intercomparison since equal values are assigned, however, we consider it in our analysis for potential use in follow-up studies</w:t>
      </w:r>
      <w:r w:rsidRPr="00C6355B">
        <w:rPr>
          <w:rFonts w:ascii="Helvetica" w:hAnsi="Helvetica"/>
          <w:color w:val="000000" w:themeColor="text1"/>
          <w:lang w:val="en-US"/>
        </w:rPr>
        <w:t>.</w:t>
      </w:r>
    </w:p>
    <w:p w14:paraId="5C8CF843" w14:textId="78830286" w:rsidR="00A66EFA" w:rsidRDefault="00A66EFA" w:rsidP="00A66EFA">
      <w:pPr>
        <w:rPr>
          <w:rFonts w:ascii="Helvetica" w:hAnsi="Helvetica"/>
          <w:color w:val="000000" w:themeColor="text1"/>
          <w:lang w:val="en-US"/>
        </w:rPr>
      </w:pPr>
    </w:p>
    <w:p w14:paraId="6E5A752C" w14:textId="209327E5" w:rsidR="005C56EB" w:rsidRDefault="005C56EB" w:rsidP="00A66EFA">
      <w:pPr>
        <w:rPr>
          <w:rFonts w:ascii="Helvetica" w:hAnsi="Helvetica"/>
          <w:b/>
          <w:bCs/>
          <w:color w:val="000000" w:themeColor="text1"/>
          <w:lang w:val="en-US"/>
        </w:rPr>
      </w:pPr>
      <w:r w:rsidRPr="00D25D9B">
        <w:rPr>
          <w:rFonts w:ascii="Helvetica" w:hAnsi="Helvetica"/>
          <w:b/>
          <w:bCs/>
          <w:color w:val="000000" w:themeColor="text1"/>
          <w:lang w:val="en-US"/>
        </w:rPr>
        <w:t>Increased costs of keeping ports' operability (</w:t>
      </w:r>
      <w:proofErr w:type="spellStart"/>
      <w:r w:rsidRPr="00D25D9B">
        <w:rPr>
          <w:rFonts w:ascii="Helvetica" w:hAnsi="Helvetica"/>
          <w:b/>
          <w:bCs/>
          <w:color w:val="000000" w:themeColor="text1"/>
          <w:lang w:val="en-US"/>
        </w:rPr>
        <w:t>ICost</w:t>
      </w:r>
      <w:proofErr w:type="spellEnd"/>
      <w:r w:rsidRPr="00D25D9B">
        <w:rPr>
          <w:rFonts w:ascii="Helvetica" w:hAnsi="Helvetica"/>
          <w:b/>
          <w:bCs/>
          <w:color w:val="000000" w:themeColor="text1"/>
          <w:lang w:val="en-US"/>
        </w:rPr>
        <w:t>)</w:t>
      </w:r>
    </w:p>
    <w:p w14:paraId="48F21A79" w14:textId="2ADE3562" w:rsidR="00D25D9B" w:rsidRDefault="00D25D9B" w:rsidP="00D44082">
      <w:pPr>
        <w:jc w:val="both"/>
        <w:rPr>
          <w:rFonts w:ascii="Helvetica" w:hAnsi="Helvetica"/>
          <w:color w:val="000000" w:themeColor="text1"/>
          <w:lang w:val="en-US"/>
        </w:rPr>
      </w:pPr>
      <w:r w:rsidRPr="00D25D9B">
        <w:rPr>
          <w:rFonts w:ascii="Helvetica" w:hAnsi="Helvetica"/>
          <w:color w:val="000000" w:themeColor="text1"/>
          <w:lang w:val="en-US"/>
        </w:rPr>
        <w:t xml:space="preserve">Hazards related to climate change, </w:t>
      </w:r>
      <w:r w:rsidR="005A3C00">
        <w:rPr>
          <w:rFonts w:ascii="Helvetica" w:hAnsi="Helvetica"/>
          <w:color w:val="000000" w:themeColor="text1"/>
          <w:lang w:val="en-US"/>
        </w:rPr>
        <w:t xml:space="preserve">mainly sea level rise (MSLR) will </w:t>
      </w:r>
      <w:r w:rsidR="00D44082">
        <w:rPr>
          <w:rFonts w:ascii="Helvetica" w:hAnsi="Helvetica"/>
          <w:color w:val="000000" w:themeColor="text1"/>
          <w:lang w:val="en-US"/>
        </w:rPr>
        <w:t xml:space="preserve">likely increase the cost of keeping ports operational. Such interventions will also have an impact on the transportation cost and also the prices of goods that are imported. </w:t>
      </w:r>
      <w:r w:rsidR="005A3C00" w:rsidRPr="005A3C00">
        <w:rPr>
          <w:rFonts w:ascii="Helvetica" w:hAnsi="Helvetica"/>
          <w:color w:val="000000" w:themeColor="text1"/>
          <w:lang w:val="en-US"/>
        </w:rPr>
        <w:t>Estimations of increased costs of keeping ports' operability</w:t>
      </w:r>
      <w:r w:rsidR="005A3C00">
        <w:rPr>
          <w:rFonts w:ascii="Helvetica" w:hAnsi="Helvetica"/>
          <w:color w:val="000000" w:themeColor="text1"/>
          <w:lang w:val="en-US"/>
        </w:rPr>
        <w:t xml:space="preserve"> </w:t>
      </w:r>
      <w:r w:rsidR="005A3C00" w:rsidRPr="005A3C00">
        <w:rPr>
          <w:rFonts w:ascii="Helvetica" w:hAnsi="Helvetica"/>
          <w:color w:val="000000" w:themeColor="text1"/>
          <w:lang w:val="en-US"/>
        </w:rPr>
        <w:t xml:space="preserve">under different scenarios of </w:t>
      </w:r>
      <w:r w:rsidR="005A3C00">
        <w:rPr>
          <w:rFonts w:ascii="Helvetica" w:hAnsi="Helvetica"/>
          <w:color w:val="000000" w:themeColor="text1"/>
          <w:lang w:val="en-US"/>
        </w:rPr>
        <w:t>M</w:t>
      </w:r>
      <w:r w:rsidR="005A3C00" w:rsidRPr="005A3C00">
        <w:rPr>
          <w:rFonts w:ascii="Helvetica" w:hAnsi="Helvetica"/>
          <w:color w:val="000000" w:themeColor="text1"/>
          <w:lang w:val="en-US"/>
        </w:rPr>
        <w:t>SLR caused by climate change until 2100</w:t>
      </w:r>
      <w:r w:rsidR="00D44082">
        <w:rPr>
          <w:rFonts w:ascii="Helvetica" w:hAnsi="Helvetica"/>
          <w:color w:val="000000" w:themeColor="text1"/>
          <w:lang w:val="en-US"/>
        </w:rPr>
        <w:t xml:space="preserve"> are obtained from Leon et al., 2021)</w:t>
      </w:r>
      <w:r w:rsidR="005A3C00">
        <w:rPr>
          <w:rFonts w:ascii="Helvetica" w:hAnsi="Helvetica"/>
          <w:color w:val="000000" w:themeColor="text1"/>
          <w:lang w:val="en-US"/>
        </w:rPr>
        <w:t xml:space="preserve">. </w:t>
      </w:r>
      <w:r w:rsidRPr="00D25D9B">
        <w:rPr>
          <w:rFonts w:ascii="Helvetica" w:hAnsi="Helvetica"/>
          <w:color w:val="000000" w:themeColor="text1"/>
          <w:lang w:val="en-US"/>
        </w:rPr>
        <w:t>The</w:t>
      </w:r>
      <w:r w:rsidR="00D44082">
        <w:rPr>
          <w:rFonts w:ascii="Helvetica" w:hAnsi="Helvetica"/>
          <w:color w:val="000000" w:themeColor="text1"/>
          <w:lang w:val="en-US"/>
        </w:rPr>
        <w:t>se</w:t>
      </w:r>
      <w:r w:rsidRPr="00D25D9B">
        <w:rPr>
          <w:rFonts w:ascii="Helvetica" w:hAnsi="Helvetica"/>
          <w:color w:val="000000" w:themeColor="text1"/>
          <w:lang w:val="en-US"/>
        </w:rPr>
        <w:t xml:space="preserve"> costs have been estimated with reference to 1 meter; this is the investment needed to increase the infrastructures' height by 1 meter. There is not necessarily a strict correspondence between the </w:t>
      </w:r>
      <w:r w:rsidR="005A3C00">
        <w:rPr>
          <w:rFonts w:ascii="Helvetica" w:hAnsi="Helvetica"/>
          <w:color w:val="000000" w:themeColor="text1"/>
          <w:lang w:val="en-US"/>
        </w:rPr>
        <w:t>M</w:t>
      </w:r>
      <w:r w:rsidRPr="00D25D9B">
        <w:rPr>
          <w:rFonts w:ascii="Helvetica" w:hAnsi="Helvetica"/>
          <w:color w:val="000000" w:themeColor="text1"/>
          <w:lang w:val="en-US"/>
        </w:rPr>
        <w:t xml:space="preserve">SLR and the required elevation of port infrastructures, which also depend on the coastal hydrodynamic and the shape of the dikes of each port. By experts' recommendation, we have assumed that a 1 m increase in port height is required to cope with the </w:t>
      </w:r>
      <w:r w:rsidR="005A3C00">
        <w:rPr>
          <w:rFonts w:ascii="Helvetica" w:hAnsi="Helvetica"/>
          <w:color w:val="000000" w:themeColor="text1"/>
          <w:lang w:val="en-US"/>
        </w:rPr>
        <w:t>M</w:t>
      </w:r>
      <w:r w:rsidRPr="00D25D9B">
        <w:rPr>
          <w:rFonts w:ascii="Helvetica" w:hAnsi="Helvetica"/>
          <w:color w:val="000000" w:themeColor="text1"/>
          <w:lang w:val="en-US"/>
        </w:rPr>
        <w:t>SLR under the RCP8.5 scenario of emissions. Extrapolation for other RCP scenarios is then conducted based on proportionality.</w:t>
      </w:r>
      <w:r>
        <w:rPr>
          <w:rFonts w:ascii="Helvetica" w:hAnsi="Helvetica"/>
          <w:color w:val="000000" w:themeColor="text1"/>
          <w:lang w:val="en-US"/>
        </w:rPr>
        <w:t xml:space="preserve"> </w:t>
      </w:r>
    </w:p>
    <w:p w14:paraId="44C2B4D7" w14:textId="77777777" w:rsidR="00D25D9B" w:rsidRPr="00D25D9B" w:rsidRDefault="00D25D9B" w:rsidP="00D25D9B">
      <w:pPr>
        <w:jc w:val="both"/>
        <w:rPr>
          <w:rFonts w:ascii="Helvetica" w:hAnsi="Helvetica"/>
          <w:color w:val="000000" w:themeColor="text1"/>
          <w:lang w:val="en-US"/>
        </w:rPr>
      </w:pPr>
    </w:p>
    <w:p w14:paraId="271D12F5" w14:textId="0BFAAB48" w:rsidR="00A66EFA" w:rsidRPr="00C6355B" w:rsidRDefault="00A66EFA" w:rsidP="00A66EFA">
      <w:pPr>
        <w:pStyle w:val="Heading2"/>
        <w:ind w:right="567"/>
        <w:rPr>
          <w:rFonts w:ascii="Helvetica" w:hAnsi="Helvetica"/>
          <w:color w:val="000000" w:themeColor="text1"/>
          <w:sz w:val="28"/>
          <w:szCs w:val="28"/>
          <w:lang w:val="en-US"/>
        </w:rPr>
      </w:pPr>
      <w:r w:rsidRPr="00C6355B">
        <w:rPr>
          <w:rFonts w:ascii="Helvetica" w:hAnsi="Helvetica"/>
          <w:color w:val="000000" w:themeColor="text1"/>
          <w:sz w:val="28"/>
          <w:szCs w:val="28"/>
          <w:lang w:val="en-US"/>
        </w:rPr>
        <w:t>A4. Adaptive Capacity</w:t>
      </w:r>
    </w:p>
    <w:p w14:paraId="216D1B12"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Percentage of Renewables (PER)</w:t>
      </w:r>
    </w:p>
    <w:p w14:paraId="71B441C0"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 xml:space="preserve">This indicator of adaptive capacity describes </w:t>
      </w:r>
      <w:r>
        <w:rPr>
          <w:rFonts w:ascii="Helvetica" w:hAnsi="Helvetica"/>
          <w:color w:val="000000" w:themeColor="text1"/>
          <w:lang w:val="en-US"/>
        </w:rPr>
        <w:t xml:space="preserve">the extent to which </w:t>
      </w:r>
      <w:r w:rsidRPr="00C6355B">
        <w:rPr>
          <w:rFonts w:ascii="Helvetica" w:hAnsi="Helvetica"/>
          <w:color w:val="000000" w:themeColor="text1"/>
          <w:lang w:val="en-US"/>
        </w:rPr>
        <w:t xml:space="preserve">is each island </w:t>
      </w:r>
      <w:r>
        <w:rPr>
          <w:rFonts w:ascii="Helvetica" w:hAnsi="Helvetica"/>
          <w:color w:val="000000" w:themeColor="text1"/>
          <w:lang w:val="en-US"/>
        </w:rPr>
        <w:t xml:space="preserve">is </w:t>
      </w:r>
      <w:r w:rsidRPr="00C6355B">
        <w:rPr>
          <w:rFonts w:ascii="Helvetica" w:hAnsi="Helvetica"/>
          <w:color w:val="000000" w:themeColor="text1"/>
          <w:lang w:val="en-US"/>
        </w:rPr>
        <w:t>self-sustainable in terms of energy resources. For the present situation, the PER indicator values were extracted through online resources and regional reports</w:t>
      </w:r>
      <w:r>
        <w:rPr>
          <w:rStyle w:val="FootnoteReference"/>
          <w:rFonts w:ascii="Helvetica" w:hAnsi="Helvetica"/>
          <w:color w:val="000000" w:themeColor="text1"/>
          <w:lang w:val="en-US"/>
        </w:rPr>
        <w:footnoteReference w:id="7"/>
      </w:r>
      <w:r w:rsidRPr="006F5DDB">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8"/>
      </w:r>
      <w:r>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9"/>
      </w:r>
      <w:r w:rsidRPr="00C6355B">
        <w:rPr>
          <w:rFonts w:ascii="Helvetica" w:hAnsi="Helvetica"/>
          <w:color w:val="000000" w:themeColor="text1"/>
          <w:lang w:val="en-US"/>
        </w:rPr>
        <w:t xml:space="preserve">. The island of Crete in Greece </w:t>
      </w:r>
      <w:r>
        <w:rPr>
          <w:rFonts w:ascii="Helvetica" w:hAnsi="Helvetica"/>
          <w:color w:val="000000" w:themeColor="text1"/>
          <w:lang w:val="en-US"/>
        </w:rPr>
        <w:t xml:space="preserve">has the </w:t>
      </w:r>
      <w:r w:rsidRPr="00C6355B">
        <w:rPr>
          <w:rFonts w:ascii="Helvetica" w:hAnsi="Helvetica"/>
          <w:color w:val="000000" w:themeColor="text1"/>
          <w:lang w:val="en-US"/>
        </w:rPr>
        <w:t>highe</w:t>
      </w:r>
      <w:r>
        <w:rPr>
          <w:rFonts w:ascii="Helvetica" w:hAnsi="Helvetica"/>
          <w:color w:val="000000" w:themeColor="text1"/>
          <w:lang w:val="en-US"/>
        </w:rPr>
        <w:t>st</w:t>
      </w:r>
      <w:r w:rsidRPr="00C6355B">
        <w:rPr>
          <w:rFonts w:ascii="Helvetica" w:hAnsi="Helvetica"/>
          <w:color w:val="000000" w:themeColor="text1"/>
          <w:lang w:val="en-US"/>
        </w:rPr>
        <w:t xml:space="preserve"> percentages of electricity provided by renewable energy sources (</w:t>
      </w:r>
      <w:r>
        <w:rPr>
          <w:rFonts w:ascii="Helvetica" w:hAnsi="Helvetica"/>
          <w:color w:val="000000" w:themeColor="text1"/>
          <w:lang w:val="en-US"/>
        </w:rPr>
        <w:t xml:space="preserve">presently at </w:t>
      </w:r>
      <w:r w:rsidRPr="00C6355B">
        <w:rPr>
          <w:rFonts w:ascii="Helvetica" w:hAnsi="Helvetica"/>
          <w:color w:val="000000" w:themeColor="text1"/>
          <w:lang w:val="en-US"/>
        </w:rPr>
        <w:t xml:space="preserve">25%). On the other hand, the Balearic Islands </w:t>
      </w:r>
      <w:r>
        <w:rPr>
          <w:rFonts w:ascii="Helvetica" w:hAnsi="Helvetica"/>
          <w:color w:val="000000" w:themeColor="text1"/>
          <w:lang w:val="en-US"/>
        </w:rPr>
        <w:t>has</w:t>
      </w:r>
      <w:r w:rsidRPr="00C6355B">
        <w:rPr>
          <w:rFonts w:ascii="Helvetica" w:hAnsi="Helvetica"/>
          <w:color w:val="000000" w:themeColor="text1"/>
          <w:lang w:val="en-US"/>
        </w:rPr>
        <w:t xml:space="preserve"> the lowest percentage of renewables in their energy production mix (currently 4.5%). These numbers are expected to increase for all islands due to the cost reduction and the increase in efficiency of the relevant technologies. Moreover, all EU countries are committed to adopting mitigation and decarbonization policies. In this context, for future pathways, we have used different scenarios. For the strong-mitigation pathway (RCP2.6), we assumed for all islands a "sustainability" pathway</w:t>
      </w:r>
      <w:r>
        <w:rPr>
          <w:rFonts w:ascii="Helvetica" w:hAnsi="Helvetica"/>
          <w:color w:val="000000" w:themeColor="text1"/>
          <w:lang w:val="en-US"/>
        </w:rPr>
        <w:t>, for instance</w:t>
      </w:r>
      <w:r w:rsidRPr="00C6355B">
        <w:rPr>
          <w:rFonts w:ascii="Helvetica" w:hAnsi="Helvetica"/>
          <w:color w:val="000000" w:themeColor="text1"/>
          <w:lang w:val="en-US"/>
        </w:rPr>
        <w:t xml:space="preserve"> SSP1 from </w:t>
      </w:r>
      <w:proofErr w:type="spellStart"/>
      <w:r w:rsidRPr="00C6355B">
        <w:rPr>
          <w:rFonts w:ascii="Helvetica" w:hAnsi="Helvetica"/>
          <w:color w:val="000000" w:themeColor="text1"/>
          <w:lang w:val="en-US"/>
        </w:rPr>
        <w:t>Riahi</w:t>
      </w:r>
      <w:proofErr w:type="spellEnd"/>
      <w:r w:rsidRPr="00C6355B">
        <w:rPr>
          <w:rFonts w:ascii="Helvetica" w:hAnsi="Helvetica"/>
          <w:color w:val="000000" w:themeColor="text1"/>
          <w:lang w:val="en-US"/>
        </w:rPr>
        <w:t xml:space="preserve"> et al. 2017. This corresponds to values of PER </w:t>
      </w:r>
      <w:r>
        <w:rPr>
          <w:rFonts w:ascii="Helvetica" w:hAnsi="Helvetica"/>
          <w:color w:val="000000" w:themeColor="text1"/>
          <w:lang w:val="en-US"/>
        </w:rPr>
        <w:t>at</w:t>
      </w:r>
      <w:r w:rsidRPr="00C6355B">
        <w:rPr>
          <w:rFonts w:ascii="Helvetica" w:hAnsi="Helvetica"/>
          <w:color w:val="000000" w:themeColor="text1"/>
          <w:lang w:val="en-US"/>
        </w:rPr>
        <w:t xml:space="preserve"> 50-60%. Noteworthy, this is a very conservative scenario since according to the EU</w:t>
      </w:r>
      <w:r>
        <w:rPr>
          <w:rFonts w:ascii="Helvetica" w:hAnsi="Helvetica"/>
          <w:color w:val="000000" w:themeColor="text1"/>
          <w:lang w:val="en-US"/>
        </w:rPr>
        <w:t>’s</w:t>
      </w:r>
      <w:r w:rsidRPr="00C6355B">
        <w:rPr>
          <w:rFonts w:ascii="Helvetica" w:hAnsi="Helvetica"/>
          <w:color w:val="000000" w:themeColor="text1"/>
          <w:lang w:val="en-US"/>
        </w:rPr>
        <w:t xml:space="preserve"> long-term strategy (</w:t>
      </w:r>
      <w:hyperlink r:id="rId12" w:tgtFrame="_blank" w:history="1">
        <w:r w:rsidRPr="00C6355B">
          <w:rPr>
            <w:rFonts w:ascii="Helvetica" w:hAnsi="Helvetica"/>
            <w:color w:val="000000" w:themeColor="text1"/>
            <w:lang w:val="en-US"/>
          </w:rPr>
          <w:t>https://ec.europa.eu/clima/policies/strategies/2050_en</w:t>
        </w:r>
      </w:hyperlink>
      <w:r w:rsidRPr="00C6355B">
        <w:rPr>
          <w:rFonts w:ascii="Helvetica" w:hAnsi="Helvetica"/>
          <w:color w:val="000000" w:themeColor="text1"/>
          <w:lang w:val="en-US"/>
        </w:rPr>
        <w:t>)</w:t>
      </w:r>
      <w:r>
        <w:rPr>
          <w:rFonts w:ascii="Helvetica" w:hAnsi="Helvetica"/>
          <w:color w:val="000000" w:themeColor="text1"/>
          <w:lang w:val="en-US"/>
        </w:rPr>
        <w:t>,</w:t>
      </w:r>
      <w:r w:rsidRPr="00C6355B">
        <w:rPr>
          <w:rFonts w:ascii="Helvetica" w:hAnsi="Helvetica"/>
          <w:color w:val="000000" w:themeColor="text1"/>
          <w:lang w:val="en-US"/>
        </w:rPr>
        <w:t xml:space="preserve"> Europe will aim </w:t>
      </w:r>
      <w:r>
        <w:rPr>
          <w:rFonts w:ascii="Helvetica" w:hAnsi="Helvetica"/>
          <w:color w:val="000000" w:themeColor="text1"/>
          <w:lang w:val="en-US"/>
        </w:rPr>
        <w:t>at</w:t>
      </w:r>
      <w:r w:rsidRPr="00C6355B">
        <w:rPr>
          <w:rFonts w:ascii="Helvetica" w:hAnsi="Helvetica"/>
          <w:color w:val="000000" w:themeColor="text1"/>
          <w:lang w:val="en-US"/>
        </w:rPr>
        <w:t xml:space="preserve"> being climate neutral by 2050. For the “business-as-usual” </w:t>
      </w:r>
      <w:r>
        <w:rPr>
          <w:rFonts w:ascii="Helvetica" w:hAnsi="Helvetica"/>
          <w:color w:val="000000" w:themeColor="text1"/>
          <w:lang w:val="en-US"/>
        </w:rPr>
        <w:t>pathway (</w:t>
      </w:r>
      <w:r w:rsidRPr="00C6355B">
        <w:rPr>
          <w:rFonts w:ascii="Helvetica" w:hAnsi="Helvetica"/>
          <w:color w:val="000000" w:themeColor="text1"/>
          <w:lang w:val="en-US"/>
        </w:rPr>
        <w:t>RCP8.5</w:t>
      </w:r>
      <w:r>
        <w:rPr>
          <w:rFonts w:ascii="Helvetica" w:hAnsi="Helvetica"/>
          <w:color w:val="000000" w:themeColor="text1"/>
          <w:lang w:val="en-US"/>
        </w:rPr>
        <w:t>)</w:t>
      </w:r>
      <w:r w:rsidRPr="00C6355B">
        <w:rPr>
          <w:rFonts w:ascii="Helvetica" w:hAnsi="Helvetica"/>
          <w:color w:val="000000" w:themeColor="text1"/>
          <w:lang w:val="en-US"/>
        </w:rPr>
        <w:t xml:space="preserve">, we have considered a "regional rivalry" pathway similar to the SSP3 in </w:t>
      </w:r>
      <w:proofErr w:type="spellStart"/>
      <w:r w:rsidRPr="00C6355B">
        <w:rPr>
          <w:rFonts w:ascii="Helvetica" w:hAnsi="Helvetica"/>
          <w:color w:val="000000" w:themeColor="text1"/>
          <w:lang w:val="en-US"/>
        </w:rPr>
        <w:t>Riahi</w:t>
      </w:r>
      <w:proofErr w:type="spellEnd"/>
      <w:r w:rsidRPr="00C6355B">
        <w:rPr>
          <w:rFonts w:ascii="Helvetica" w:hAnsi="Helvetica"/>
          <w:color w:val="000000" w:themeColor="text1"/>
          <w:lang w:val="en-US"/>
        </w:rPr>
        <w:t xml:space="preserve"> et al. (2017). Under this pathway, the average contribution of renewable sources in total energy production is 25%. For the normalization of this indicator, we have used minimum/maximum values manually according to expert judgement. Based on information obtained from the Cyprus Organization for Storage and Management of Oil Stocks (</w:t>
      </w:r>
      <w:hyperlink r:id="rId13" w:tgtFrame="_blank" w:history="1">
        <w:r w:rsidRPr="00C6355B">
          <w:rPr>
            <w:rFonts w:ascii="Helvetica" w:hAnsi="Helvetica"/>
            <w:color w:val="000000" w:themeColor="text1"/>
            <w:lang w:val="en-US"/>
          </w:rPr>
          <w:t>https://www.kodap.org.cy/</w:t>
        </w:r>
      </w:hyperlink>
      <w:r w:rsidRPr="00C6355B">
        <w:rPr>
          <w:rFonts w:ascii="Helvetica" w:hAnsi="Helvetica"/>
          <w:color w:val="000000" w:themeColor="text1"/>
          <w:lang w:val="en-US"/>
        </w:rPr>
        <w:t xml:space="preserve">), we approximate that about 20% of the annual-total needs of crude oil and petroleum products are in stock at any time. We, therefore, assign </w:t>
      </w:r>
      <w:r>
        <w:rPr>
          <w:rFonts w:ascii="Helvetica" w:hAnsi="Helvetica"/>
          <w:color w:val="000000" w:themeColor="text1"/>
          <w:lang w:val="en-US"/>
        </w:rPr>
        <w:t xml:space="preserve">an </w:t>
      </w:r>
      <w:r w:rsidRPr="00C6355B">
        <w:rPr>
          <w:rFonts w:ascii="Helvetica" w:hAnsi="Helvetica"/>
          <w:color w:val="000000" w:themeColor="text1"/>
          <w:lang w:val="en-US"/>
        </w:rPr>
        <w:t xml:space="preserve">optimum risk value (0) when there is an 80% coverage of the needs of an island from renewables. In this context, </w:t>
      </w:r>
      <w:r>
        <w:rPr>
          <w:rFonts w:ascii="Helvetica" w:hAnsi="Helvetica"/>
          <w:color w:val="000000" w:themeColor="text1"/>
          <w:lang w:val="en-US"/>
        </w:rPr>
        <w:t xml:space="preserve">a </w:t>
      </w:r>
      <w:r w:rsidRPr="00C6355B">
        <w:rPr>
          <w:rFonts w:ascii="Helvetica" w:hAnsi="Helvetica"/>
          <w:color w:val="000000" w:themeColor="text1"/>
          <w:lang w:val="en-US"/>
        </w:rPr>
        <w:t xml:space="preserve">risk value of 1 </w:t>
      </w:r>
      <w:r>
        <w:rPr>
          <w:rFonts w:ascii="Helvetica" w:hAnsi="Helvetica"/>
          <w:color w:val="000000" w:themeColor="text1"/>
          <w:lang w:val="en-US"/>
        </w:rPr>
        <w:t>is</w:t>
      </w:r>
      <w:r w:rsidRPr="00C6355B">
        <w:rPr>
          <w:rFonts w:ascii="Helvetica" w:hAnsi="Helvetica"/>
          <w:color w:val="000000" w:themeColor="text1"/>
          <w:lang w:val="en-US"/>
        </w:rPr>
        <w:t xml:space="preserve"> assigned for 0% renewable energy sources. </w:t>
      </w:r>
    </w:p>
    <w:p w14:paraId="2B4B5624" w14:textId="77777777" w:rsidR="00A66EFA" w:rsidRPr="00C6355B" w:rsidRDefault="00A66EFA" w:rsidP="00A66EFA">
      <w:pPr>
        <w:jc w:val="both"/>
        <w:rPr>
          <w:rFonts w:ascii="Helvetica" w:hAnsi="Helvetica"/>
          <w:color w:val="000000" w:themeColor="text1"/>
        </w:rPr>
      </w:pPr>
    </w:p>
    <w:p w14:paraId="0434726E"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 xml:space="preserve">Early Warning Systems (EWS) </w:t>
      </w:r>
    </w:p>
    <w:p w14:paraId="6B16A725" w14:textId="77777777" w:rsidR="00A66EFA" w:rsidRPr="00C6355B"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 xml:space="preserve">Information on the existence of Early Warning Systems was difficult to be obtained. Nevertheless, since all islands under investigation strongly depend on maritime means for the transportation of passengers and goods, we assumed that all ports are equipped with Early Warning Systems. Therefore, </w:t>
      </w:r>
      <w:r>
        <w:rPr>
          <w:rFonts w:ascii="Helvetica" w:hAnsi="Helvetica"/>
          <w:color w:val="000000" w:themeColor="text1"/>
          <w:lang w:val="en-US"/>
        </w:rPr>
        <w:t xml:space="preserve">a </w:t>
      </w:r>
      <w:r w:rsidRPr="00C6355B">
        <w:rPr>
          <w:rFonts w:ascii="Helvetica" w:hAnsi="Helvetica"/>
          <w:color w:val="000000" w:themeColor="text1"/>
          <w:lang w:val="en-US"/>
        </w:rPr>
        <w:t>value of 0 w</w:t>
      </w:r>
      <w:r>
        <w:rPr>
          <w:rFonts w:ascii="Helvetica" w:hAnsi="Helvetica"/>
          <w:color w:val="000000" w:themeColor="text1"/>
          <w:lang w:val="en-US"/>
        </w:rPr>
        <w:t>as</w:t>
      </w:r>
      <w:r w:rsidRPr="00C6355B">
        <w:rPr>
          <w:rFonts w:ascii="Helvetica" w:hAnsi="Helvetica"/>
          <w:color w:val="000000" w:themeColor="text1"/>
          <w:lang w:val="en-US"/>
        </w:rPr>
        <w:t xml:space="preserve"> assigned to this risk sub-component.</w:t>
      </w:r>
      <w:r>
        <w:rPr>
          <w:rFonts w:ascii="Helvetica" w:hAnsi="Helvetica"/>
          <w:color w:val="000000" w:themeColor="text1"/>
          <w:lang w:val="en-US"/>
        </w:rPr>
        <w:t xml:space="preserve"> This adaptive capacity component did not affect our island intercomparison since equal values are assigned, however, we consider it in our analysis for potential use in follow-up studies</w:t>
      </w:r>
      <w:r w:rsidRPr="00C6355B">
        <w:rPr>
          <w:rFonts w:ascii="Helvetica" w:hAnsi="Helvetica"/>
          <w:color w:val="000000" w:themeColor="text1"/>
          <w:lang w:val="en-US"/>
        </w:rPr>
        <w:t>.</w:t>
      </w:r>
    </w:p>
    <w:p w14:paraId="5F1737B1" w14:textId="77777777" w:rsidR="00A66EFA" w:rsidRPr="00C6355B" w:rsidRDefault="00A66EFA" w:rsidP="00A66EFA">
      <w:pPr>
        <w:jc w:val="both"/>
        <w:rPr>
          <w:rFonts w:ascii="Helvetica" w:hAnsi="Helvetica"/>
          <w:color w:val="000000" w:themeColor="text1"/>
          <w:lang w:val="en-US"/>
        </w:rPr>
      </w:pPr>
    </w:p>
    <w:p w14:paraId="18C067E1" w14:textId="77777777" w:rsidR="00A66EFA" w:rsidRPr="00C6355B" w:rsidRDefault="00A66EFA" w:rsidP="00A66EFA">
      <w:pPr>
        <w:rPr>
          <w:rFonts w:ascii="Helvetica" w:hAnsi="Helvetica"/>
          <w:b/>
          <w:color w:val="000000" w:themeColor="text1"/>
          <w:lang w:val="en-US"/>
        </w:rPr>
      </w:pPr>
      <w:r w:rsidRPr="00C6355B">
        <w:rPr>
          <w:rFonts w:ascii="Helvetica" w:hAnsi="Helvetica"/>
          <w:b/>
          <w:color w:val="000000" w:themeColor="text1"/>
          <w:lang w:val="en-US"/>
        </w:rPr>
        <w:t>Harbour Alternatives (</w:t>
      </w:r>
      <w:proofErr w:type="spellStart"/>
      <w:r w:rsidRPr="00C6355B">
        <w:rPr>
          <w:rFonts w:ascii="Helvetica" w:hAnsi="Helvetica"/>
          <w:b/>
          <w:color w:val="000000" w:themeColor="text1"/>
          <w:lang w:val="en-US"/>
        </w:rPr>
        <w:t>NApt</w:t>
      </w:r>
      <w:proofErr w:type="spellEnd"/>
      <w:r w:rsidRPr="00C6355B">
        <w:rPr>
          <w:rFonts w:ascii="Helvetica" w:hAnsi="Helvetica"/>
          <w:b/>
          <w:color w:val="000000" w:themeColor="text1"/>
          <w:lang w:val="en-US"/>
        </w:rPr>
        <w:t xml:space="preserve">) </w:t>
      </w:r>
    </w:p>
    <w:p w14:paraId="285DEFC4" w14:textId="2898F2AF" w:rsidR="00A66EFA" w:rsidRDefault="00A66EFA" w:rsidP="00A66EFA">
      <w:pPr>
        <w:jc w:val="both"/>
        <w:rPr>
          <w:rFonts w:ascii="Helvetica" w:hAnsi="Helvetica"/>
          <w:color w:val="000000" w:themeColor="text1"/>
          <w:lang w:val="en-US"/>
        </w:rPr>
      </w:pPr>
      <w:r w:rsidRPr="00C6355B">
        <w:rPr>
          <w:rFonts w:ascii="Helvetica" w:hAnsi="Helvetica"/>
          <w:color w:val="000000" w:themeColor="text1"/>
          <w:lang w:val="en-US"/>
        </w:rPr>
        <w:t>This indicator is great</w:t>
      </w:r>
      <w:r>
        <w:rPr>
          <w:rFonts w:ascii="Helvetica" w:hAnsi="Helvetica"/>
          <w:color w:val="000000" w:themeColor="text1"/>
          <w:lang w:val="en-US"/>
        </w:rPr>
        <w:t>ly</w:t>
      </w:r>
      <w:r w:rsidRPr="00C6355B">
        <w:rPr>
          <w:rFonts w:ascii="Helvetica" w:hAnsi="Helvetica"/>
          <w:color w:val="000000" w:themeColor="text1"/>
          <w:lang w:val="en-US"/>
        </w:rPr>
        <w:t xml:space="preserve"> relevan</w:t>
      </w:r>
      <w:r>
        <w:rPr>
          <w:rFonts w:ascii="Helvetica" w:hAnsi="Helvetica"/>
          <w:color w:val="000000" w:themeColor="text1"/>
          <w:lang w:val="en-US"/>
        </w:rPr>
        <w:t>t</w:t>
      </w:r>
      <w:r w:rsidRPr="00C6355B">
        <w:rPr>
          <w:rFonts w:ascii="Helvetica" w:hAnsi="Helvetica"/>
          <w:color w:val="000000" w:themeColor="text1"/>
          <w:lang w:val="en-US"/>
        </w:rPr>
        <w:t xml:space="preserve"> to the risk of </w:t>
      </w:r>
      <w:r>
        <w:rPr>
          <w:rFonts w:ascii="Helvetica" w:hAnsi="Helvetica"/>
          <w:color w:val="000000" w:themeColor="text1"/>
          <w:lang w:val="en-US"/>
        </w:rPr>
        <w:t>Maritime Transport</w:t>
      </w:r>
      <w:r w:rsidRPr="00C6355B">
        <w:rPr>
          <w:rFonts w:ascii="Helvetica" w:hAnsi="Helvetica"/>
          <w:color w:val="000000" w:themeColor="text1"/>
          <w:lang w:val="en-US"/>
        </w:rPr>
        <w:t xml:space="preserve"> disruption. We considered as harbour alternatives the number of airports that can facilitate the transport of passengers or goods in the unfortunate case of a seaport closure. This number was obtained through online resources</w:t>
      </w:r>
      <w:r>
        <w:rPr>
          <w:rStyle w:val="FootnoteReference"/>
          <w:rFonts w:ascii="Helvetica" w:hAnsi="Helvetica"/>
          <w:color w:val="000000" w:themeColor="text1"/>
          <w:lang w:val="en-US"/>
        </w:rPr>
        <w:footnoteReference w:id="10"/>
      </w:r>
      <w:r w:rsidRPr="0077635E">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11"/>
      </w:r>
      <w:r>
        <w:rPr>
          <w:rFonts w:ascii="Helvetica" w:hAnsi="Helvetica"/>
          <w:color w:val="000000" w:themeColor="text1"/>
          <w:vertAlign w:val="superscript"/>
          <w:lang w:val="en-US"/>
        </w:rPr>
        <w:t>,</w:t>
      </w:r>
      <w:r>
        <w:rPr>
          <w:rStyle w:val="FootnoteReference"/>
          <w:rFonts w:ascii="Helvetica" w:hAnsi="Helvetica"/>
          <w:color w:val="000000" w:themeColor="text1"/>
          <w:lang w:val="en-US"/>
        </w:rPr>
        <w:footnoteReference w:id="12"/>
      </w:r>
      <w:r w:rsidRPr="00C6355B">
        <w:rPr>
          <w:rFonts w:ascii="Helvetica" w:hAnsi="Helvetica"/>
          <w:color w:val="000000" w:themeColor="text1"/>
          <w:lang w:val="en-US"/>
        </w:rPr>
        <w:t xml:space="preserve">. The normalization of this indicator, </w:t>
      </w:r>
      <w:r>
        <w:rPr>
          <w:rFonts w:ascii="Helvetica" w:hAnsi="Helvetica"/>
          <w:color w:val="000000" w:themeColor="text1"/>
          <w:lang w:val="en-US"/>
        </w:rPr>
        <w:t>which</w:t>
      </w:r>
      <w:r w:rsidRPr="00C6355B">
        <w:rPr>
          <w:rFonts w:ascii="Helvetica" w:hAnsi="Helvetica"/>
          <w:color w:val="000000" w:themeColor="text1"/>
          <w:lang w:val="en-US"/>
        </w:rPr>
        <w:t xml:space="preserve"> was considered as static for the future, was similar to the one applied for the number of ports. In more detail, it was based on a rating scale that was defined by expert judgement (GIZ</w:t>
      </w:r>
      <w:r>
        <w:rPr>
          <w:rFonts w:ascii="Helvetica" w:hAnsi="Helvetica"/>
          <w:color w:val="000000" w:themeColor="text1"/>
          <w:lang w:val="en-US"/>
        </w:rPr>
        <w:t>,</w:t>
      </w:r>
      <w:r w:rsidRPr="00C6355B">
        <w:rPr>
          <w:rFonts w:ascii="Helvetica" w:hAnsi="Helvetica"/>
          <w:color w:val="000000" w:themeColor="text1"/>
          <w:lang w:val="en-US"/>
        </w:rPr>
        <w:t xml:space="preserve"> 2017). The highest sub-component risk (</w:t>
      </w:r>
      <w:r>
        <w:rPr>
          <w:rFonts w:ascii="Helvetica" w:hAnsi="Helvetica"/>
          <w:color w:val="000000" w:themeColor="text1"/>
          <w:lang w:val="en-US"/>
        </w:rPr>
        <w:t xml:space="preserve">a </w:t>
      </w:r>
      <w:r w:rsidRPr="00C6355B">
        <w:rPr>
          <w:rFonts w:ascii="Helvetica" w:hAnsi="Helvetica"/>
          <w:color w:val="000000" w:themeColor="text1"/>
          <w:lang w:val="en-US"/>
        </w:rPr>
        <w:t>value of 1)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have 0 or 1 harbour alternatives, value of 0.75 were assigned to islands that f</w:t>
      </w:r>
      <w:r>
        <w:rPr>
          <w:rFonts w:ascii="Helvetica" w:hAnsi="Helvetica"/>
          <w:color w:val="000000" w:themeColor="text1"/>
          <w:lang w:val="en-US"/>
        </w:rPr>
        <w:t>e</w:t>
      </w:r>
      <w:r w:rsidRPr="00C6355B">
        <w:rPr>
          <w:rFonts w:ascii="Helvetica" w:hAnsi="Helvetica"/>
          <w:color w:val="000000" w:themeColor="text1"/>
          <w:lang w:val="en-US"/>
        </w:rPr>
        <w:t xml:space="preserve">ll in the [2-3] class, </w:t>
      </w:r>
      <w:r>
        <w:rPr>
          <w:rFonts w:ascii="Helvetica" w:hAnsi="Helvetica"/>
          <w:color w:val="000000" w:themeColor="text1"/>
          <w:lang w:val="en-US"/>
        </w:rPr>
        <w:t xml:space="preserve">a </w:t>
      </w:r>
      <w:r w:rsidRPr="00C6355B">
        <w:rPr>
          <w:rFonts w:ascii="Helvetica" w:hAnsi="Helvetica"/>
          <w:color w:val="000000" w:themeColor="text1"/>
          <w:lang w:val="en-US"/>
        </w:rPr>
        <w:t>value of 0.50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f</w:t>
      </w:r>
      <w:r>
        <w:rPr>
          <w:rFonts w:ascii="Helvetica" w:hAnsi="Helvetica"/>
          <w:color w:val="000000" w:themeColor="text1"/>
          <w:lang w:val="en-US"/>
        </w:rPr>
        <w:t>e</w:t>
      </w:r>
      <w:r w:rsidRPr="00C6355B">
        <w:rPr>
          <w:rFonts w:ascii="Helvetica" w:hAnsi="Helvetica"/>
          <w:color w:val="000000" w:themeColor="text1"/>
          <w:lang w:val="en-US"/>
        </w:rPr>
        <w:t xml:space="preserve">ll in the [4-5] class, </w:t>
      </w:r>
      <w:r>
        <w:rPr>
          <w:rFonts w:ascii="Helvetica" w:hAnsi="Helvetica"/>
          <w:color w:val="000000" w:themeColor="text1"/>
          <w:lang w:val="en-US"/>
        </w:rPr>
        <w:t xml:space="preserve">a </w:t>
      </w:r>
      <w:r w:rsidRPr="00C6355B">
        <w:rPr>
          <w:rFonts w:ascii="Helvetica" w:hAnsi="Helvetica"/>
          <w:color w:val="000000" w:themeColor="text1"/>
          <w:lang w:val="en-US"/>
        </w:rPr>
        <w:t>value of 0.25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that f</w:t>
      </w:r>
      <w:r>
        <w:rPr>
          <w:rFonts w:ascii="Helvetica" w:hAnsi="Helvetica"/>
          <w:color w:val="000000" w:themeColor="text1"/>
          <w:lang w:val="en-US"/>
        </w:rPr>
        <w:t>e</w:t>
      </w:r>
      <w:r w:rsidRPr="00C6355B">
        <w:rPr>
          <w:rFonts w:ascii="Helvetica" w:hAnsi="Helvetica"/>
          <w:color w:val="000000" w:themeColor="text1"/>
          <w:lang w:val="en-US"/>
        </w:rPr>
        <w:t>ll in the [6-7] class</w:t>
      </w:r>
      <w:r>
        <w:rPr>
          <w:rFonts w:ascii="Helvetica" w:hAnsi="Helvetica"/>
          <w:color w:val="000000" w:themeColor="text1"/>
          <w:lang w:val="en-US"/>
        </w:rPr>
        <w:t>,</w:t>
      </w:r>
      <w:r w:rsidRPr="00C6355B">
        <w:rPr>
          <w:rFonts w:ascii="Helvetica" w:hAnsi="Helvetica"/>
          <w:color w:val="000000" w:themeColor="text1"/>
          <w:lang w:val="en-US"/>
        </w:rPr>
        <w:t xml:space="preserve"> and </w:t>
      </w:r>
      <w:r>
        <w:rPr>
          <w:rFonts w:ascii="Helvetica" w:hAnsi="Helvetica"/>
          <w:color w:val="000000" w:themeColor="text1"/>
          <w:lang w:val="en-US"/>
        </w:rPr>
        <w:t xml:space="preserve">a </w:t>
      </w:r>
      <w:r w:rsidRPr="00C6355B">
        <w:rPr>
          <w:rFonts w:ascii="Helvetica" w:hAnsi="Helvetica"/>
          <w:color w:val="000000" w:themeColor="text1"/>
          <w:lang w:val="en-US"/>
        </w:rPr>
        <w:t>value of 0 w</w:t>
      </w:r>
      <w:r>
        <w:rPr>
          <w:rFonts w:ascii="Helvetica" w:hAnsi="Helvetica"/>
          <w:color w:val="000000" w:themeColor="text1"/>
          <w:lang w:val="en-US"/>
        </w:rPr>
        <w:t>as</w:t>
      </w:r>
      <w:r w:rsidRPr="00C6355B">
        <w:rPr>
          <w:rFonts w:ascii="Helvetica" w:hAnsi="Helvetica"/>
          <w:color w:val="000000" w:themeColor="text1"/>
          <w:lang w:val="en-US"/>
        </w:rPr>
        <w:t xml:space="preserve"> assigned to islands or archipelagos that have 8 or more airports operating.</w:t>
      </w:r>
      <w:r w:rsidR="00793AB6">
        <w:rPr>
          <w:rFonts w:ascii="Helvetica" w:hAnsi="Helvetica"/>
          <w:color w:val="000000" w:themeColor="text1"/>
          <w:lang w:val="en-US"/>
        </w:rPr>
        <w:t xml:space="preserve"> </w:t>
      </w:r>
      <w:r w:rsidR="00AB6C65" w:rsidRPr="00AB6C65">
        <w:rPr>
          <w:rFonts w:ascii="Helvetica" w:hAnsi="Helvetica"/>
          <w:color w:val="000000" w:themeColor="text1"/>
          <w:lang w:val="en-US"/>
        </w:rPr>
        <w:t xml:space="preserve">Future pathway RCP2.6 implies a decarbonization of </w:t>
      </w:r>
      <w:r w:rsidR="00096FAE">
        <w:rPr>
          <w:rFonts w:ascii="Helvetica" w:hAnsi="Helvetica"/>
          <w:color w:val="000000" w:themeColor="text1"/>
          <w:lang w:val="en-US"/>
        </w:rPr>
        <w:t xml:space="preserve">the </w:t>
      </w:r>
      <w:r w:rsidR="00AB6C65" w:rsidRPr="00AB6C65">
        <w:rPr>
          <w:rFonts w:ascii="Helvetica" w:hAnsi="Helvetica"/>
          <w:color w:val="000000" w:themeColor="text1"/>
          <w:lang w:val="en-US"/>
        </w:rPr>
        <w:t>aviation sect</w:t>
      </w:r>
      <w:r w:rsidR="00096FAE">
        <w:rPr>
          <w:rFonts w:ascii="Helvetica" w:hAnsi="Helvetica"/>
          <w:color w:val="000000" w:themeColor="text1"/>
          <w:lang w:val="en-US"/>
        </w:rPr>
        <w:t>or</w:t>
      </w:r>
      <w:r w:rsidR="00AB6C65" w:rsidRPr="00AB6C65">
        <w:rPr>
          <w:rFonts w:ascii="Helvetica" w:hAnsi="Helvetica"/>
          <w:color w:val="000000" w:themeColor="text1"/>
          <w:lang w:val="en-US"/>
        </w:rPr>
        <w:t xml:space="preserve"> to meet emission reduction targets.</w:t>
      </w:r>
      <w:r w:rsidR="00AB6C65">
        <w:rPr>
          <w:rFonts w:ascii="Helvetica" w:hAnsi="Helvetica"/>
          <w:color w:val="000000" w:themeColor="text1"/>
          <w:lang w:val="en-US"/>
        </w:rPr>
        <w:t xml:space="preserve"> </w:t>
      </w:r>
      <w:r w:rsidR="00096FAE">
        <w:rPr>
          <w:rFonts w:ascii="Helvetica" w:hAnsi="Helvetica"/>
          <w:color w:val="000000" w:themeColor="text1"/>
          <w:lang w:val="en-US"/>
        </w:rPr>
        <w:t xml:space="preserve">Nevertheless, this </w:t>
      </w:r>
      <w:r w:rsidR="00096FAE" w:rsidRPr="00096FAE">
        <w:rPr>
          <w:rFonts w:ascii="Helvetica" w:hAnsi="Helvetica"/>
          <w:color w:val="000000" w:themeColor="text1"/>
          <w:lang w:val="en-US"/>
        </w:rPr>
        <w:t>will probably remain predominantly powered by liquid fossil fuels (kerosene and bio- and synfuel derivatives) in the medium to long term because of limitations in electrical energy storage</w:t>
      </w:r>
      <w:r w:rsidR="001C75E0">
        <w:rPr>
          <w:rFonts w:ascii="Helvetica" w:hAnsi="Helvetica"/>
          <w:color w:val="000000" w:themeColor="text1"/>
          <w:lang w:val="en-US"/>
        </w:rPr>
        <w:t xml:space="preserve"> (</w:t>
      </w:r>
      <w:proofErr w:type="spellStart"/>
      <w:r w:rsidR="001C75E0">
        <w:rPr>
          <w:rFonts w:ascii="Helvetica" w:hAnsi="Helvetica"/>
          <w:color w:val="000000" w:themeColor="text1"/>
          <w:lang w:val="en-US"/>
        </w:rPr>
        <w:t>Pagenkopf</w:t>
      </w:r>
      <w:proofErr w:type="spellEnd"/>
      <w:r w:rsidR="001C75E0">
        <w:rPr>
          <w:rFonts w:ascii="Helvetica" w:hAnsi="Helvetica"/>
          <w:color w:val="000000" w:themeColor="text1"/>
          <w:lang w:val="en-US"/>
        </w:rPr>
        <w:t xml:space="preserve"> et al., 2019</w:t>
      </w:r>
      <w:r w:rsidR="00096FAE" w:rsidRPr="00096FAE">
        <w:rPr>
          <w:rFonts w:ascii="Helvetica" w:hAnsi="Helvetica"/>
          <w:color w:val="000000" w:themeColor="text1"/>
          <w:lang w:val="en-US"/>
        </w:rPr>
        <w:t>.</w:t>
      </w:r>
      <w:r w:rsidR="00096FAE">
        <w:rPr>
          <w:rFonts w:ascii="Helvetica" w:hAnsi="Helvetica"/>
          <w:color w:val="000000" w:themeColor="text1"/>
          <w:lang w:val="en-US"/>
        </w:rPr>
        <w:t xml:space="preserve"> F</w:t>
      </w:r>
      <w:r w:rsidR="00AB6C65" w:rsidRPr="00AB6C65">
        <w:rPr>
          <w:rFonts w:ascii="Helvetica" w:hAnsi="Helvetica"/>
          <w:color w:val="000000" w:themeColor="text1"/>
          <w:lang w:val="en-US"/>
        </w:rPr>
        <w:t xml:space="preserve">ollowing </w:t>
      </w:r>
      <w:r w:rsidR="001C75E0">
        <w:rPr>
          <w:rFonts w:ascii="Helvetica" w:hAnsi="Helvetica"/>
          <w:color w:val="000000" w:themeColor="text1"/>
          <w:lang w:val="en-US"/>
        </w:rPr>
        <w:t xml:space="preserve">the global scenarios of </w:t>
      </w:r>
      <w:r w:rsidR="00AB6C65" w:rsidRPr="00AB6C65">
        <w:rPr>
          <w:rFonts w:ascii="Helvetica" w:hAnsi="Helvetica"/>
          <w:color w:val="000000" w:themeColor="text1"/>
          <w:lang w:val="en-US"/>
        </w:rPr>
        <w:t>Gütschow et al. (2021), we considered a 10 and 40% reduction in the normalized indicator for harbour alternatives for the mid- and end-21st century periods.</w:t>
      </w:r>
    </w:p>
    <w:p w14:paraId="0EA2FA1F" w14:textId="77777777" w:rsidR="001C75E0" w:rsidRDefault="001C75E0" w:rsidP="00A66EFA">
      <w:pPr>
        <w:jc w:val="both"/>
        <w:rPr>
          <w:rFonts w:ascii="Helvetica" w:hAnsi="Helvetica"/>
          <w:color w:val="000000" w:themeColor="text1"/>
          <w:lang w:val="en-US"/>
        </w:rPr>
      </w:pPr>
    </w:p>
    <w:p w14:paraId="71679724" w14:textId="6C714397" w:rsidR="00707640" w:rsidRDefault="00707640" w:rsidP="00A66EFA">
      <w:pPr>
        <w:jc w:val="both"/>
        <w:rPr>
          <w:rFonts w:ascii="Helvetica" w:hAnsi="Helvetica"/>
          <w:color w:val="000000" w:themeColor="text1"/>
          <w:lang w:val="en-US"/>
        </w:rPr>
      </w:pPr>
    </w:p>
    <w:p w14:paraId="503AF79C" w14:textId="2E67F6E2" w:rsidR="00707640" w:rsidRPr="003416E0" w:rsidRDefault="003416E0" w:rsidP="00A66EFA">
      <w:pPr>
        <w:jc w:val="both"/>
        <w:rPr>
          <w:rFonts w:ascii="Helvetica" w:hAnsi="Helvetica"/>
          <w:b/>
          <w:bCs/>
          <w:color w:val="000000" w:themeColor="text1"/>
          <w:lang w:val="en-US"/>
        </w:rPr>
      </w:pPr>
      <w:r w:rsidRPr="003416E0">
        <w:rPr>
          <w:rFonts w:ascii="Helvetica" w:hAnsi="Helvetica"/>
          <w:b/>
          <w:bCs/>
          <w:color w:val="000000" w:themeColor="text1"/>
          <w:lang w:val="en-US"/>
        </w:rPr>
        <w:t>Potential for local agriculture and sustainable water resources (</w:t>
      </w:r>
      <w:r w:rsidR="00707640" w:rsidRPr="003416E0">
        <w:rPr>
          <w:rFonts w:ascii="Helvetica" w:hAnsi="Helvetica"/>
          <w:b/>
          <w:bCs/>
          <w:color w:val="000000" w:themeColor="text1"/>
          <w:lang w:val="en-US"/>
        </w:rPr>
        <w:t>SPEI</w:t>
      </w:r>
      <w:r w:rsidRPr="003416E0">
        <w:rPr>
          <w:rFonts w:ascii="Helvetica" w:hAnsi="Helvetica"/>
          <w:b/>
          <w:bCs/>
          <w:color w:val="000000" w:themeColor="text1"/>
          <w:lang w:val="en-US"/>
        </w:rPr>
        <w:t>)</w:t>
      </w:r>
    </w:p>
    <w:p w14:paraId="618105B3" w14:textId="17F71972" w:rsidR="00707640" w:rsidRPr="00CA7A9A" w:rsidRDefault="00FE63A9" w:rsidP="00A66EFA">
      <w:pPr>
        <w:jc w:val="both"/>
        <w:rPr>
          <w:rFonts w:ascii="Helvetica" w:hAnsi="Helvetica"/>
          <w:color w:val="000000" w:themeColor="text1"/>
          <w:lang w:val="en-US"/>
        </w:rPr>
      </w:pPr>
      <w:r w:rsidRPr="00FE63A9">
        <w:rPr>
          <w:rFonts w:ascii="Helvetica" w:hAnsi="Helvetica"/>
          <w:color w:val="000000" w:themeColor="text1"/>
          <w:lang w:val="en-US"/>
        </w:rPr>
        <w:t xml:space="preserve">The Standardized Precipitation-Evapotranspiration Index </w:t>
      </w:r>
      <w:r>
        <w:rPr>
          <w:rFonts w:ascii="Helvetica" w:hAnsi="Helvetica"/>
          <w:color w:val="000000" w:themeColor="text1"/>
          <w:lang w:val="en-US"/>
        </w:rPr>
        <w:t xml:space="preserve">(SPEI) </w:t>
      </w:r>
      <w:r w:rsidRPr="00FE63A9">
        <w:rPr>
          <w:rFonts w:ascii="Helvetica" w:hAnsi="Helvetica"/>
          <w:color w:val="000000" w:themeColor="text1"/>
          <w:lang w:val="en-US"/>
        </w:rPr>
        <w:t>is a multi</w:t>
      </w:r>
      <w:r>
        <w:rPr>
          <w:rFonts w:ascii="Helvetica" w:hAnsi="Helvetica"/>
          <w:color w:val="000000" w:themeColor="text1"/>
          <w:lang w:val="en-US"/>
        </w:rPr>
        <w:t>-</w:t>
      </w:r>
      <w:r w:rsidRPr="00FE63A9">
        <w:rPr>
          <w:rFonts w:ascii="Helvetica" w:hAnsi="Helvetica"/>
          <w:color w:val="000000" w:themeColor="text1"/>
          <w:lang w:val="en-US"/>
        </w:rPr>
        <w:t>scalar drought index based on climatic data</w:t>
      </w:r>
      <w:r w:rsidR="00B85E43">
        <w:rPr>
          <w:rFonts w:ascii="Helvetica" w:hAnsi="Helvetica"/>
          <w:color w:val="000000" w:themeColor="text1"/>
          <w:lang w:val="en-US"/>
        </w:rPr>
        <w:t xml:space="preserve"> (</w:t>
      </w:r>
      <w:proofErr w:type="spellStart"/>
      <w:r w:rsidR="00B85E43">
        <w:rPr>
          <w:rFonts w:ascii="Helvetica" w:hAnsi="Helvetica"/>
          <w:color w:val="000000" w:themeColor="text1"/>
          <w:lang w:val="en-US"/>
        </w:rPr>
        <w:t>Begueria</w:t>
      </w:r>
      <w:proofErr w:type="spellEnd"/>
      <w:r w:rsidR="00B85E43">
        <w:rPr>
          <w:rFonts w:ascii="Helvetica" w:hAnsi="Helvetica"/>
          <w:color w:val="000000" w:themeColor="text1"/>
          <w:lang w:val="en-US"/>
        </w:rPr>
        <w:t xml:space="preserve"> et al., 2014)</w:t>
      </w:r>
      <w:r w:rsidRPr="00FE63A9">
        <w:rPr>
          <w:rFonts w:ascii="Helvetica" w:hAnsi="Helvetica"/>
          <w:color w:val="000000" w:themeColor="text1"/>
          <w:lang w:val="en-US"/>
        </w:rPr>
        <w:t>. It can be used for determining the onset, duration and magnitude of drought conditions with respect to normal conditions in a variety of natural and managed systems such as crops, ecosystems, rivers, water resources, etc.</w:t>
      </w:r>
      <w:r>
        <w:rPr>
          <w:rFonts w:ascii="Helvetica" w:hAnsi="Helvetica"/>
          <w:color w:val="000000" w:themeColor="text1"/>
          <w:lang w:val="en-US"/>
        </w:rPr>
        <w:t xml:space="preserve"> </w:t>
      </w:r>
      <w:r w:rsidR="00B85E43">
        <w:rPr>
          <w:rFonts w:ascii="Helvetica" w:hAnsi="Helvetica"/>
          <w:color w:val="000000" w:themeColor="text1"/>
          <w:lang w:val="en-US"/>
        </w:rPr>
        <w:t xml:space="preserve">Here we use it as a proxy indicator for access to sustainable water resources and agriculture. </w:t>
      </w:r>
      <w:r w:rsidR="00707640" w:rsidRPr="00707640">
        <w:rPr>
          <w:rFonts w:ascii="Helvetica" w:hAnsi="Helvetica"/>
          <w:color w:val="000000" w:themeColor="text1"/>
          <w:lang w:val="en-US"/>
        </w:rPr>
        <w:t xml:space="preserve">Following </w:t>
      </w:r>
      <w:proofErr w:type="spellStart"/>
      <w:r w:rsidR="00707640" w:rsidRPr="00707640">
        <w:rPr>
          <w:rFonts w:ascii="Helvetica" w:hAnsi="Helvetica"/>
          <w:color w:val="000000" w:themeColor="text1"/>
          <w:lang w:val="en-US"/>
        </w:rPr>
        <w:t>Spinoni</w:t>
      </w:r>
      <w:proofErr w:type="spellEnd"/>
      <w:r w:rsidR="00707640" w:rsidRPr="00707640">
        <w:rPr>
          <w:rFonts w:ascii="Helvetica" w:hAnsi="Helvetica"/>
          <w:color w:val="000000" w:themeColor="text1"/>
          <w:lang w:val="en-US"/>
        </w:rPr>
        <w:t xml:space="preserve"> et al. (2018), we calculate SPEI at a 12-month accumulation scale, a good compromise between short timescales suitable for seasonal events and long timescales suitable for multi-annual cycles. Besides the historical simulation, we use the RCP2.6 and RCP8.5 future pathways. Monthly precipitation, maximum and minimum temperature data from the EURO-CORDEX and MENA-CORDEX initiatives were used. The calculation of potential evapotranspiration is based on the Thornthwaite method (Thornthwaite 1948). The SPEI calculation is based on the reference period of 1986-2005 to investigate if future conditions will deviate from this recent past period which is considered as the “normal” conditions.</w:t>
      </w:r>
      <w:r w:rsidR="00CA7A9A" w:rsidRPr="00FE1CD2">
        <w:rPr>
          <w:rFonts w:ascii="Helvetica" w:hAnsi="Helvetica"/>
          <w:color w:val="000000" w:themeColor="text1"/>
          <w:lang w:val="en-US"/>
        </w:rPr>
        <w:t xml:space="preserve"> </w:t>
      </w:r>
      <w:r w:rsidR="00CA7A9A">
        <w:rPr>
          <w:rFonts w:ascii="Helvetica" w:hAnsi="Helvetica"/>
          <w:color w:val="000000" w:themeColor="text1"/>
          <w:lang w:val="en-US"/>
        </w:rPr>
        <w:t xml:space="preserve">SPEI values between 0 and -1 were assigned normalized values of 0.25, values between -1 and -1.5 (moderately dry) as 0.5, values between -1.5 and -2 (very dry) as 0.75 and values lower than -2 (extremely dry) as 1. </w:t>
      </w:r>
    </w:p>
    <w:p w14:paraId="36C4018E" w14:textId="77777777" w:rsidR="00A66EFA" w:rsidRPr="00C6355B" w:rsidRDefault="00A66EFA" w:rsidP="00A66EFA">
      <w:pPr>
        <w:jc w:val="both"/>
        <w:rPr>
          <w:rFonts w:ascii="Helvetica" w:hAnsi="Helvetica"/>
          <w:color w:val="000000" w:themeColor="text1"/>
          <w:lang w:val="en-US"/>
        </w:rPr>
      </w:pPr>
    </w:p>
    <w:p w14:paraId="187C65C7" w14:textId="77777777" w:rsidR="00A66EFA" w:rsidRPr="00C6355B" w:rsidRDefault="00A66EFA" w:rsidP="00A66EFA">
      <w:pPr>
        <w:jc w:val="both"/>
        <w:rPr>
          <w:rFonts w:ascii="Helvetica" w:hAnsi="Helvetica"/>
          <w:color w:val="000000" w:themeColor="text1"/>
          <w:lang w:val="en-US"/>
        </w:rPr>
      </w:pPr>
    </w:p>
    <w:p w14:paraId="775937D1" w14:textId="7EDB2E5E" w:rsidR="00A66EFA" w:rsidRDefault="00793AB6" w:rsidP="00A66EFA">
      <w:pPr>
        <w:rPr>
          <w:rFonts w:ascii="Helvetica" w:hAnsi="Helvetica"/>
          <w:b/>
          <w:color w:val="000000" w:themeColor="text1"/>
          <w:lang w:val="en-US"/>
        </w:rPr>
      </w:pPr>
      <w:r>
        <w:rPr>
          <w:rFonts w:ascii="Helvetica" w:hAnsi="Helvetica"/>
          <w:b/>
          <w:color w:val="000000" w:themeColor="text1"/>
          <w:lang w:val="en-US"/>
        </w:rPr>
        <w:t>References</w:t>
      </w:r>
    </w:p>
    <w:p w14:paraId="70AD5064" w14:textId="73CD69E1" w:rsidR="00B85E43" w:rsidRDefault="00B85E43"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B85E43">
        <w:rPr>
          <w:rFonts w:ascii="Helvetica" w:hAnsi="Helvetica" w:cs="Calibri"/>
          <w:noProof/>
          <w:sz w:val="21"/>
          <w:szCs w:val="21"/>
        </w:rPr>
        <w:t>Beguería S, Vicente-Serrano SM, Reig F, Latorre B (2014) Standardized precipitation evapotranspiration index (SPEI) revisited: Parameter fitting, evapotranspiration models, tools, datasets and drought monitoring. Int J Climatol 34:3001–3023. doi: 10.1002/joc.3887</w:t>
      </w:r>
    </w:p>
    <w:p w14:paraId="51DD927F" w14:textId="66FC1B39" w:rsidR="00B85E43" w:rsidRPr="00722319" w:rsidRDefault="00B85E43"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722319">
        <w:rPr>
          <w:rFonts w:ascii="Helvetica" w:hAnsi="Helvetica" w:cs="Calibri"/>
          <w:noProof/>
          <w:sz w:val="21"/>
          <w:szCs w:val="21"/>
        </w:rPr>
        <w:t>GIZ (2017) The Vulnerability Sourcebook: Concept and guidelines for standardised vulnerability assessments. Deutsche Gesellschaft für Internationale Zusammenarbeit (GIZ)</w:t>
      </w:r>
    </w:p>
    <w:p w14:paraId="7BA5CBB7" w14:textId="0B55D231" w:rsidR="00793AB6" w:rsidRDefault="00793AB6" w:rsidP="00793AB6">
      <w:pPr>
        <w:widowControl w:val="0"/>
        <w:autoSpaceDE w:val="0"/>
        <w:autoSpaceDN w:val="0"/>
        <w:adjustRightInd w:val="0"/>
        <w:spacing w:after="120" w:line="276" w:lineRule="auto"/>
        <w:ind w:left="480" w:hanging="480"/>
        <w:rPr>
          <w:rFonts w:ascii="Helvetica" w:hAnsi="Helvetica" w:cs="Calibri"/>
          <w:noProof/>
          <w:sz w:val="21"/>
          <w:szCs w:val="21"/>
        </w:rPr>
      </w:pPr>
      <w:r w:rsidRPr="0036061F">
        <w:rPr>
          <w:rFonts w:ascii="Helvetica" w:hAnsi="Helvetica" w:cs="Calibri"/>
          <w:noProof/>
          <w:sz w:val="21"/>
          <w:szCs w:val="21"/>
        </w:rPr>
        <w:t>Gütschow J, Jeffery ML, Günther A, Meinshausen M</w:t>
      </w:r>
      <w:r>
        <w:rPr>
          <w:rFonts w:ascii="Helvetica" w:hAnsi="Helvetica" w:cs="Calibri"/>
          <w:noProof/>
          <w:sz w:val="21"/>
          <w:szCs w:val="21"/>
        </w:rPr>
        <w:t xml:space="preserve"> (</w:t>
      </w:r>
      <w:r w:rsidRPr="0036061F">
        <w:rPr>
          <w:rFonts w:ascii="Helvetica" w:hAnsi="Helvetica" w:cs="Calibri"/>
          <w:noProof/>
          <w:sz w:val="21"/>
          <w:szCs w:val="21"/>
        </w:rPr>
        <w:t>2021</w:t>
      </w:r>
      <w:r>
        <w:rPr>
          <w:rFonts w:ascii="Helvetica" w:hAnsi="Helvetica" w:cs="Calibri"/>
          <w:noProof/>
          <w:sz w:val="21"/>
          <w:szCs w:val="21"/>
        </w:rPr>
        <w:t>)</w:t>
      </w:r>
      <w:r w:rsidRPr="0036061F">
        <w:rPr>
          <w:rFonts w:ascii="Helvetica" w:hAnsi="Helvetica" w:cs="Calibri"/>
          <w:noProof/>
          <w:sz w:val="21"/>
          <w:szCs w:val="21"/>
        </w:rPr>
        <w:t xml:space="preserve"> Country-resolved combined emission and socio-economic pathways based on the Representative Concentration Pathway (RCP) and Shared Socio-Economic Pathway (SSP) scenarios. Earth Syst. Sci. Data 13, 1005–1040. </w:t>
      </w:r>
      <w:hyperlink r:id="rId14" w:history="1">
        <w:r w:rsidR="00B85E43" w:rsidRPr="00044EC4">
          <w:rPr>
            <w:rStyle w:val="Hyperlink"/>
            <w:rFonts w:ascii="Helvetica" w:hAnsi="Helvetica" w:cs="Calibri"/>
            <w:noProof/>
            <w:sz w:val="21"/>
            <w:szCs w:val="21"/>
          </w:rPr>
          <w:t>https://doi.org/10.5194/essd-13-1005-2021</w:t>
        </w:r>
      </w:hyperlink>
    </w:p>
    <w:p w14:paraId="766D568C" w14:textId="34D0EFD6" w:rsidR="00CE5428" w:rsidRDefault="00CE5428" w:rsidP="00793AB6">
      <w:pPr>
        <w:widowControl w:val="0"/>
        <w:autoSpaceDE w:val="0"/>
        <w:autoSpaceDN w:val="0"/>
        <w:adjustRightInd w:val="0"/>
        <w:spacing w:after="120" w:line="276" w:lineRule="auto"/>
        <w:ind w:left="480" w:hanging="480"/>
        <w:rPr>
          <w:rFonts w:ascii="Helvetica" w:hAnsi="Helvetica" w:cs="Calibri"/>
          <w:noProof/>
          <w:sz w:val="21"/>
          <w:szCs w:val="21"/>
        </w:rPr>
      </w:pPr>
      <w:r w:rsidRPr="00CE5428">
        <w:rPr>
          <w:rFonts w:ascii="Helvetica" w:hAnsi="Helvetica" w:cs="Calibri"/>
          <w:noProof/>
          <w:sz w:val="21"/>
          <w:szCs w:val="21"/>
        </w:rPr>
        <w:t>IPCC (2013) Climate Change 2013: The physical science basis. Contribution of Working Group I to the Fifth Assessment Report of the Intergovernmental Panel on Climate Change [Stocker TF, Qin D, et al. (eds.)]. Cambridge University Press, Cambridge and New York.</w:t>
      </w:r>
    </w:p>
    <w:p w14:paraId="796AA747" w14:textId="77777777" w:rsidR="007D5A78" w:rsidRPr="00722319" w:rsidRDefault="007D5A78" w:rsidP="007D5A78">
      <w:pPr>
        <w:widowControl w:val="0"/>
        <w:autoSpaceDE w:val="0"/>
        <w:autoSpaceDN w:val="0"/>
        <w:adjustRightInd w:val="0"/>
        <w:spacing w:after="120" w:line="276" w:lineRule="auto"/>
        <w:ind w:left="480" w:hanging="480"/>
        <w:rPr>
          <w:rFonts w:ascii="Helvetica" w:hAnsi="Helvetica" w:cs="Calibri"/>
          <w:noProof/>
          <w:sz w:val="21"/>
          <w:szCs w:val="21"/>
        </w:rPr>
      </w:pPr>
      <w:r w:rsidRPr="00722319">
        <w:rPr>
          <w:rFonts w:ascii="Helvetica" w:hAnsi="Helvetica" w:cs="Calibri"/>
          <w:noProof/>
          <w:sz w:val="21"/>
          <w:szCs w:val="21"/>
        </w:rPr>
        <w:t>Léon C et al</w:t>
      </w:r>
      <w:r>
        <w:rPr>
          <w:rFonts w:ascii="Helvetica" w:hAnsi="Helvetica" w:cs="Calibri"/>
          <w:noProof/>
          <w:sz w:val="21"/>
          <w:szCs w:val="21"/>
        </w:rPr>
        <w:t>.</w:t>
      </w:r>
      <w:r w:rsidRPr="00722319">
        <w:rPr>
          <w:rFonts w:ascii="Helvetica" w:hAnsi="Helvetica" w:cs="Calibri"/>
          <w:noProof/>
          <w:sz w:val="21"/>
          <w:szCs w:val="21"/>
        </w:rPr>
        <w:t xml:space="preserve"> (2021) Downscaling climate change impacts, socio-economic implications and alternative adaptation pathways for islands and outermost regions. McGraw­Hill, Madrid, https://doi.org/10.5281/zenodo.5141549</w:t>
      </w:r>
    </w:p>
    <w:p w14:paraId="0781C821" w14:textId="3BFD4842" w:rsidR="00B85E43" w:rsidRDefault="00B85E43"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722319">
        <w:rPr>
          <w:rFonts w:ascii="Helvetica" w:hAnsi="Helvetica" w:cs="Calibri"/>
          <w:noProof/>
          <w:sz w:val="21"/>
          <w:szCs w:val="21"/>
        </w:rPr>
        <w:t>OECD (2008) Handbook on Constructing Composite Indicators: Methodology and User Guide. Organisation for Economic Co-operation and Development (OECD)</w:t>
      </w:r>
    </w:p>
    <w:p w14:paraId="7EC9D939" w14:textId="27BB61C6" w:rsidR="00B85E43" w:rsidRDefault="00B85E43"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B85E43">
        <w:rPr>
          <w:rFonts w:ascii="Helvetica" w:hAnsi="Helvetica" w:cs="Calibri"/>
          <w:noProof/>
          <w:sz w:val="21"/>
          <w:szCs w:val="21"/>
        </w:rPr>
        <w:t>Owens EH (1982) Sea conditions. In: Beaches and Coastal Geology. Encyclopedia of Earth Science. Springer, Boston, MA</w:t>
      </w:r>
    </w:p>
    <w:p w14:paraId="5AA2A146" w14:textId="50B81741" w:rsidR="003B24E2" w:rsidRDefault="003B24E2"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3B24E2">
        <w:rPr>
          <w:rFonts w:ascii="Calibri" w:hAnsi="Calibri" w:cs="Calibri"/>
          <w:noProof/>
          <w:sz w:val="21"/>
          <w:szCs w:val="21"/>
        </w:rPr>
        <w:t>﻿</w:t>
      </w:r>
      <w:r w:rsidRPr="003B24E2">
        <w:rPr>
          <w:rFonts w:ascii="Helvetica" w:hAnsi="Helvetica" w:cs="Calibri"/>
          <w:noProof/>
          <w:sz w:val="21"/>
          <w:szCs w:val="21"/>
        </w:rPr>
        <w:t>Pagenkopf, J., Van Den Adel, B., Deniz, Ö., Schmid, S., 2019. Transport transition concepts, in: Teske, S. (Ed.), Achieving the P</w:t>
      </w:r>
      <w:bookmarkStart w:id="2" w:name="_GoBack"/>
      <w:bookmarkEnd w:id="2"/>
      <w:r w:rsidRPr="003B24E2">
        <w:rPr>
          <w:rFonts w:ascii="Helvetica" w:hAnsi="Helvetica" w:cs="Calibri"/>
          <w:noProof/>
          <w:sz w:val="21"/>
          <w:szCs w:val="21"/>
        </w:rPr>
        <w:t>aris Climate Agreement Goals: Global and Regional 100% Renewable Energy Scenarios with Non-Energy GHG Pathways for +1.5C and +2C. Springer International Publishing, Cham, pp. 131–159. https://doi.org/10.1007/978-3-030-05843-2_6</w:t>
      </w:r>
    </w:p>
    <w:p w14:paraId="621B58C1" w14:textId="006FFEF2" w:rsidR="00793AB6" w:rsidRDefault="00793AB6" w:rsidP="00793AB6">
      <w:pPr>
        <w:widowControl w:val="0"/>
        <w:autoSpaceDE w:val="0"/>
        <w:autoSpaceDN w:val="0"/>
        <w:adjustRightInd w:val="0"/>
        <w:spacing w:after="120" w:line="276" w:lineRule="auto"/>
        <w:ind w:left="480" w:hanging="480"/>
        <w:rPr>
          <w:rFonts w:ascii="Helvetica" w:hAnsi="Helvetica" w:cs="Calibri"/>
          <w:noProof/>
          <w:sz w:val="21"/>
          <w:szCs w:val="21"/>
        </w:rPr>
      </w:pPr>
      <w:r w:rsidRPr="00722319">
        <w:rPr>
          <w:rFonts w:ascii="Helvetica" w:hAnsi="Helvetica" w:cs="Calibri"/>
          <w:noProof/>
          <w:sz w:val="21"/>
          <w:szCs w:val="21"/>
        </w:rPr>
        <w:t>Riahi K, van Vuuren DP, Kriegler E, et al (2017) The Shared Socioeconomic Pathways and their energy, land use, and greenhouse gas emissions implications: An overview. Glob Environ Chang 42:153–168. doi: 10.1016/j.gloenvcha.2016.05.009</w:t>
      </w:r>
    </w:p>
    <w:p w14:paraId="2E29CF13" w14:textId="77777777" w:rsidR="00B85E43" w:rsidRPr="00B85E43" w:rsidRDefault="00B85E43"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B85E43">
        <w:rPr>
          <w:rFonts w:ascii="Helvetica" w:hAnsi="Helvetica" w:cs="Calibri"/>
          <w:noProof/>
          <w:sz w:val="21"/>
          <w:szCs w:val="21"/>
        </w:rPr>
        <w:t>Spinoni J, Vogt J V., Naumann G, et al (2018) Will drought events become more frequent and severe in Europe? Int J Climatol 38:1718–1736. doi: 10.1002/joc.5291</w:t>
      </w:r>
    </w:p>
    <w:p w14:paraId="639434EC" w14:textId="14F9D1E3" w:rsidR="00B85E43" w:rsidRPr="00722319" w:rsidRDefault="00B85E43" w:rsidP="00B85E43">
      <w:pPr>
        <w:widowControl w:val="0"/>
        <w:autoSpaceDE w:val="0"/>
        <w:autoSpaceDN w:val="0"/>
        <w:adjustRightInd w:val="0"/>
        <w:spacing w:after="120" w:line="276" w:lineRule="auto"/>
        <w:ind w:left="480" w:hanging="480"/>
        <w:rPr>
          <w:rFonts w:ascii="Helvetica" w:hAnsi="Helvetica" w:cs="Calibri"/>
          <w:noProof/>
          <w:sz w:val="21"/>
          <w:szCs w:val="21"/>
        </w:rPr>
      </w:pPr>
      <w:r w:rsidRPr="00B85E43">
        <w:rPr>
          <w:rFonts w:ascii="Helvetica" w:hAnsi="Helvetica" w:cs="Calibri"/>
          <w:noProof/>
          <w:sz w:val="21"/>
          <w:szCs w:val="21"/>
        </w:rPr>
        <w:t>Thornthwaite CW (1948) An Approach toward a Rational Classification of Climate. Geogr Rev 38:55. doi: 10.2307/210739</w:t>
      </w:r>
    </w:p>
    <w:p w14:paraId="398EC5AF" w14:textId="77777777" w:rsidR="00793AB6" w:rsidRPr="00793AB6" w:rsidRDefault="00793AB6" w:rsidP="00A66EFA">
      <w:pPr>
        <w:rPr>
          <w:rFonts w:ascii="Helvetica" w:hAnsi="Helvetica"/>
          <w:b/>
          <w:color w:val="000000" w:themeColor="text1"/>
        </w:rPr>
      </w:pPr>
    </w:p>
    <w:p w14:paraId="4ADA6173" w14:textId="77777777" w:rsidR="00A66EFA" w:rsidRDefault="00A66EFA"/>
    <w:sectPr w:rsidR="00A66E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472B3" w14:textId="77777777" w:rsidR="0071600E" w:rsidRDefault="0071600E" w:rsidP="00A66EFA">
      <w:r>
        <w:separator/>
      </w:r>
    </w:p>
  </w:endnote>
  <w:endnote w:type="continuationSeparator" w:id="0">
    <w:p w14:paraId="5DC67295" w14:textId="77777777" w:rsidR="0071600E" w:rsidRDefault="0071600E" w:rsidP="00A6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swiss"/>
    <w:pitch w:val="variable"/>
    <w:sig w:usb0="E0002AFF" w:usb1="5000785B"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AF7CE" w14:textId="77777777" w:rsidR="0071600E" w:rsidRDefault="0071600E" w:rsidP="00A66EFA">
      <w:r>
        <w:separator/>
      </w:r>
    </w:p>
  </w:footnote>
  <w:footnote w:type="continuationSeparator" w:id="0">
    <w:p w14:paraId="36D77D3E" w14:textId="77777777" w:rsidR="0071600E" w:rsidRDefault="0071600E" w:rsidP="00A66EFA">
      <w:r>
        <w:continuationSeparator/>
      </w:r>
    </w:p>
  </w:footnote>
  <w:footnote w:id="1">
    <w:p w14:paraId="707D1B1F" w14:textId="77777777" w:rsidR="00A66EFA" w:rsidRPr="009E5DD3" w:rsidRDefault="00A66EFA" w:rsidP="00A66EFA">
      <w:pPr>
        <w:pStyle w:val="FootnoteText"/>
        <w:rPr>
          <w:lang w:val="en-US"/>
        </w:rPr>
      </w:pPr>
      <w:r>
        <w:rPr>
          <w:rStyle w:val="FootnoteReference"/>
        </w:rPr>
        <w:footnoteRef/>
      </w:r>
      <w:r>
        <w:t xml:space="preserve"> </w:t>
      </w:r>
      <w:hyperlink r:id="rId1" w:history="1">
        <w:r w:rsidRPr="0015238E">
          <w:rPr>
            <w:rStyle w:val="Hyperlink"/>
          </w:rPr>
          <w:t>https://www.cpa.gov.cy/en/home</w:t>
        </w:r>
      </w:hyperlink>
      <w:r>
        <w:t xml:space="preserve"> </w:t>
      </w:r>
    </w:p>
  </w:footnote>
  <w:footnote w:id="2">
    <w:p w14:paraId="0A8668BE" w14:textId="77777777" w:rsidR="00A66EFA" w:rsidRPr="002C601C" w:rsidRDefault="00A66EFA" w:rsidP="00A66EFA">
      <w:pPr>
        <w:pStyle w:val="FootnoteText"/>
        <w:rPr>
          <w:lang w:val="en-US"/>
        </w:rPr>
      </w:pPr>
      <w:r>
        <w:rPr>
          <w:rStyle w:val="FootnoteReference"/>
        </w:rPr>
        <w:footnoteRef/>
      </w:r>
      <w:r>
        <w:t xml:space="preserve"> </w:t>
      </w:r>
      <w:hyperlink r:id="rId2" w:history="1">
        <w:r w:rsidRPr="00BA58D9">
          <w:rPr>
            <w:rStyle w:val="Hyperlink"/>
          </w:rPr>
          <w:t>https://www.transport.gov.mt/maritime-40</w:t>
        </w:r>
      </w:hyperlink>
      <w:r>
        <w:t xml:space="preserve"> </w:t>
      </w:r>
    </w:p>
  </w:footnote>
  <w:footnote w:id="3">
    <w:p w14:paraId="616CEF41" w14:textId="77777777" w:rsidR="00A66EFA" w:rsidRPr="002C601C" w:rsidRDefault="00A66EFA" w:rsidP="00A66EFA">
      <w:pPr>
        <w:pStyle w:val="FootnoteText"/>
        <w:rPr>
          <w:lang w:val="en-US"/>
        </w:rPr>
      </w:pPr>
      <w:r>
        <w:rPr>
          <w:rStyle w:val="FootnoteReference"/>
        </w:rPr>
        <w:footnoteRef/>
      </w:r>
      <w:r w:rsidRPr="00D83C9C">
        <w:rPr>
          <w:lang w:val="en-US"/>
        </w:rPr>
        <w:t xml:space="preserve"> </w:t>
      </w:r>
      <w:hyperlink r:id="rId3" w:history="1">
        <w:r w:rsidRPr="00BA58D9">
          <w:rPr>
            <w:rStyle w:val="Hyperlink"/>
          </w:rPr>
          <w:t>https</w:t>
        </w:r>
        <w:r w:rsidRPr="00BA58D9">
          <w:rPr>
            <w:rStyle w:val="Hyperlink"/>
            <w:lang w:val="en-US"/>
          </w:rPr>
          <w:t>://</w:t>
        </w:r>
        <w:r w:rsidRPr="00BA58D9">
          <w:rPr>
            <w:rStyle w:val="Hyperlink"/>
          </w:rPr>
          <w:t>www</w:t>
        </w:r>
        <w:r w:rsidRPr="00BA58D9">
          <w:rPr>
            <w:rStyle w:val="Hyperlink"/>
            <w:lang w:val="en-US"/>
          </w:rPr>
          <w:t>.</w:t>
        </w:r>
        <w:proofErr w:type="spellStart"/>
        <w:r w:rsidRPr="00BA58D9">
          <w:rPr>
            <w:rStyle w:val="Hyperlink"/>
          </w:rPr>
          <w:t>ynanp</w:t>
        </w:r>
        <w:proofErr w:type="spellEnd"/>
        <w:r w:rsidRPr="00BA58D9">
          <w:rPr>
            <w:rStyle w:val="Hyperlink"/>
            <w:lang w:val="en-US"/>
          </w:rPr>
          <w:t>.</w:t>
        </w:r>
        <w:r w:rsidRPr="00BA58D9">
          <w:rPr>
            <w:rStyle w:val="Hyperlink"/>
          </w:rPr>
          <w:t>gr</w:t>
        </w:r>
        <w:r w:rsidRPr="00BA58D9">
          <w:rPr>
            <w:rStyle w:val="Hyperlink"/>
            <w:lang w:val="en-US"/>
          </w:rPr>
          <w:t>/</w:t>
        </w:r>
        <w:proofErr w:type="spellStart"/>
        <w:r w:rsidRPr="00BA58D9">
          <w:rPr>
            <w:rStyle w:val="Hyperlink"/>
          </w:rPr>
          <w:t>en</w:t>
        </w:r>
        <w:proofErr w:type="spellEnd"/>
        <w:r w:rsidRPr="00BA58D9">
          <w:rPr>
            <w:rStyle w:val="Hyperlink"/>
            <w:lang w:val="en-US"/>
          </w:rPr>
          <w:t>/</w:t>
        </w:r>
      </w:hyperlink>
      <w:r>
        <w:rPr>
          <w:lang w:val="en-US"/>
        </w:rPr>
        <w:t xml:space="preserve"> </w:t>
      </w:r>
    </w:p>
  </w:footnote>
  <w:footnote w:id="4">
    <w:p w14:paraId="2B236D3A" w14:textId="77777777" w:rsidR="00A66EFA" w:rsidRPr="00D83C9C" w:rsidRDefault="00A66EFA" w:rsidP="00A66EFA">
      <w:pPr>
        <w:pStyle w:val="FootnoteText"/>
        <w:rPr>
          <w:lang w:val="en-US"/>
        </w:rPr>
      </w:pPr>
      <w:r>
        <w:rPr>
          <w:rStyle w:val="FootnoteReference"/>
        </w:rPr>
        <w:footnoteRef/>
      </w:r>
      <w:r>
        <w:t xml:space="preserve"> </w:t>
      </w:r>
      <w:hyperlink r:id="rId4" w:history="1">
        <w:r w:rsidRPr="00BA58D9">
          <w:rPr>
            <w:rStyle w:val="Hyperlink"/>
          </w:rPr>
          <w:t>https://www.bonifacio.co.uk/organisme/the-ports-in-corsica/</w:t>
        </w:r>
      </w:hyperlink>
      <w:r>
        <w:t xml:space="preserve"> </w:t>
      </w:r>
    </w:p>
  </w:footnote>
  <w:footnote w:id="5">
    <w:p w14:paraId="09221108" w14:textId="77777777" w:rsidR="00A66EFA" w:rsidRPr="00D83C9C" w:rsidRDefault="00A66EFA" w:rsidP="00A66EFA">
      <w:pPr>
        <w:pStyle w:val="FootnoteText"/>
        <w:rPr>
          <w:lang w:val="en-US"/>
        </w:rPr>
      </w:pPr>
      <w:r>
        <w:rPr>
          <w:rStyle w:val="FootnoteReference"/>
        </w:rPr>
        <w:footnoteRef/>
      </w:r>
      <w:r w:rsidRPr="00D83C9C">
        <w:rPr>
          <w:lang w:val="en-US"/>
        </w:rPr>
        <w:t xml:space="preserve"> </w:t>
      </w:r>
      <w:hyperlink r:id="rId5" w:history="1">
        <w:r w:rsidRPr="00BA58D9">
          <w:rPr>
            <w:rStyle w:val="Hyperlink"/>
          </w:rPr>
          <w:t>https</w:t>
        </w:r>
        <w:r w:rsidRPr="00BA58D9">
          <w:rPr>
            <w:rStyle w:val="Hyperlink"/>
            <w:lang w:val="en-US"/>
          </w:rPr>
          <w:t>://</w:t>
        </w:r>
        <w:r w:rsidRPr="00BA58D9">
          <w:rPr>
            <w:rStyle w:val="Hyperlink"/>
          </w:rPr>
          <w:t>www</w:t>
        </w:r>
        <w:r w:rsidRPr="00BA58D9">
          <w:rPr>
            <w:rStyle w:val="Hyperlink"/>
            <w:lang w:val="en-US"/>
          </w:rPr>
          <w:t>.</w:t>
        </w:r>
        <w:proofErr w:type="spellStart"/>
        <w:r w:rsidRPr="00BA58D9">
          <w:rPr>
            <w:rStyle w:val="Hyperlink"/>
          </w:rPr>
          <w:t>gobiernodecanarias</w:t>
        </w:r>
        <w:proofErr w:type="spellEnd"/>
        <w:r w:rsidRPr="00BA58D9">
          <w:rPr>
            <w:rStyle w:val="Hyperlink"/>
            <w:lang w:val="en-US"/>
          </w:rPr>
          <w:t>.</w:t>
        </w:r>
        <w:r w:rsidRPr="00BA58D9">
          <w:rPr>
            <w:rStyle w:val="Hyperlink"/>
          </w:rPr>
          <w:t>org</w:t>
        </w:r>
        <w:r w:rsidRPr="00BA58D9">
          <w:rPr>
            <w:rStyle w:val="Hyperlink"/>
            <w:lang w:val="en-US"/>
          </w:rPr>
          <w:t>/</w:t>
        </w:r>
        <w:r w:rsidRPr="00BA58D9">
          <w:rPr>
            <w:rStyle w:val="Hyperlink"/>
          </w:rPr>
          <w:t>principal</w:t>
        </w:r>
        <w:r w:rsidRPr="00BA58D9">
          <w:rPr>
            <w:rStyle w:val="Hyperlink"/>
            <w:lang w:val="en-US"/>
          </w:rPr>
          <w:t>/</w:t>
        </w:r>
      </w:hyperlink>
      <w:r>
        <w:rPr>
          <w:lang w:val="en-US"/>
        </w:rPr>
        <w:t xml:space="preserve"> </w:t>
      </w:r>
    </w:p>
  </w:footnote>
  <w:footnote w:id="6">
    <w:p w14:paraId="7AF413E7" w14:textId="77777777" w:rsidR="00A66EFA" w:rsidRPr="00D83C9C" w:rsidRDefault="00A66EFA" w:rsidP="00A66EFA">
      <w:pPr>
        <w:pStyle w:val="FootnoteText"/>
        <w:rPr>
          <w:lang w:val="en-US"/>
        </w:rPr>
      </w:pPr>
      <w:r>
        <w:rPr>
          <w:rStyle w:val="FootnoteReference"/>
        </w:rPr>
        <w:footnoteRef/>
      </w:r>
      <w:r>
        <w:t xml:space="preserve"> </w:t>
      </w:r>
      <w:hyperlink r:id="rId6" w:history="1">
        <w:r w:rsidRPr="00BA58D9">
          <w:rPr>
            <w:rStyle w:val="Hyperlink"/>
          </w:rPr>
          <w:t>https://www.portsdebalears.com/en/</w:t>
        </w:r>
      </w:hyperlink>
      <w:r>
        <w:t xml:space="preserve"> </w:t>
      </w:r>
    </w:p>
  </w:footnote>
  <w:footnote w:id="7">
    <w:p w14:paraId="00AC875F" w14:textId="0B2365CE" w:rsidR="00A66EFA" w:rsidRPr="00436F4F" w:rsidRDefault="00A66EFA" w:rsidP="00A66EFA">
      <w:pPr>
        <w:pStyle w:val="FootnoteText"/>
        <w:rPr>
          <w:lang w:val="en-US"/>
        </w:rPr>
      </w:pPr>
      <w:r>
        <w:rPr>
          <w:rStyle w:val="FootnoteReference"/>
        </w:rPr>
        <w:footnoteRef/>
      </w:r>
      <w:r>
        <w:t xml:space="preserve"> </w:t>
      </w:r>
      <w:hyperlink r:id="rId7" w:history="1">
        <w:r w:rsidRPr="00BA58D9">
          <w:rPr>
            <w:rStyle w:val="Hyperlink"/>
          </w:rPr>
          <w:t>https://energy.gov.cy/</w:t>
        </w:r>
      </w:hyperlink>
      <w:r>
        <w:t xml:space="preserve"> </w:t>
      </w:r>
    </w:p>
  </w:footnote>
  <w:footnote w:id="8">
    <w:p w14:paraId="75D20420" w14:textId="0660C31C" w:rsidR="00A66EFA" w:rsidRPr="006F5DDB" w:rsidRDefault="00A66EFA" w:rsidP="00A66EFA">
      <w:pPr>
        <w:pStyle w:val="FootnoteText"/>
        <w:rPr>
          <w:lang w:val="en-US"/>
        </w:rPr>
      </w:pPr>
      <w:r>
        <w:rPr>
          <w:rStyle w:val="FootnoteReference"/>
        </w:rPr>
        <w:footnoteRef/>
      </w:r>
      <w:r>
        <w:t xml:space="preserve"> </w:t>
      </w:r>
      <w:hyperlink r:id="rId8" w:history="1">
        <w:r w:rsidRPr="00BA58D9">
          <w:rPr>
            <w:rStyle w:val="Hyperlink"/>
          </w:rPr>
          <w:t>https://ec.europa.eu/eurostat</w:t>
        </w:r>
      </w:hyperlink>
      <w:r>
        <w:t xml:space="preserve"> </w:t>
      </w:r>
    </w:p>
  </w:footnote>
  <w:footnote w:id="9">
    <w:p w14:paraId="14F53DCF" w14:textId="471BCAAA" w:rsidR="00A66EFA" w:rsidRPr="00CB13D1" w:rsidRDefault="00A66EFA" w:rsidP="00A66EFA">
      <w:pPr>
        <w:pStyle w:val="FootnoteText"/>
        <w:rPr>
          <w:lang w:val="en-US"/>
        </w:rPr>
      </w:pPr>
      <w:r>
        <w:rPr>
          <w:rStyle w:val="FootnoteReference"/>
        </w:rPr>
        <w:footnoteRef/>
      </w:r>
      <w:r>
        <w:t xml:space="preserve"> </w:t>
      </w:r>
      <w:hyperlink r:id="rId9" w:history="1">
        <w:r w:rsidRPr="00BA58D9">
          <w:rPr>
            <w:rStyle w:val="Hyperlink"/>
          </w:rPr>
          <w:t>https://doi.org/10.1016/j.jclepro.2019.118356</w:t>
        </w:r>
      </w:hyperlink>
      <w:r>
        <w:t xml:space="preserve"> </w:t>
      </w:r>
    </w:p>
  </w:footnote>
  <w:footnote w:id="10">
    <w:p w14:paraId="1F50E8B8" w14:textId="77777777" w:rsidR="00A66EFA" w:rsidRPr="0077635E" w:rsidRDefault="00A66EFA" w:rsidP="00A66EFA">
      <w:pPr>
        <w:pStyle w:val="FootnoteText"/>
        <w:rPr>
          <w:lang w:val="en-US"/>
        </w:rPr>
      </w:pPr>
      <w:r>
        <w:rPr>
          <w:rStyle w:val="FootnoteReference"/>
        </w:rPr>
        <w:footnoteRef/>
      </w:r>
      <w:r>
        <w:t xml:space="preserve"> </w:t>
      </w:r>
      <w:hyperlink r:id="rId10" w:history="1">
        <w:r w:rsidRPr="007F7F0D">
          <w:rPr>
            <w:rStyle w:val="Hyperlink"/>
          </w:rPr>
          <w:t>https://airportcodes.aero/</w:t>
        </w:r>
      </w:hyperlink>
      <w:r>
        <w:t xml:space="preserve"> </w:t>
      </w:r>
    </w:p>
  </w:footnote>
  <w:footnote w:id="11">
    <w:p w14:paraId="7DFCAF5C" w14:textId="77777777" w:rsidR="00A66EFA" w:rsidRPr="0077635E" w:rsidRDefault="00A66EFA" w:rsidP="00A66EFA">
      <w:pPr>
        <w:pStyle w:val="FootnoteText"/>
        <w:rPr>
          <w:lang w:val="en-US"/>
        </w:rPr>
      </w:pPr>
      <w:r>
        <w:rPr>
          <w:rStyle w:val="FootnoteReference"/>
        </w:rPr>
        <w:footnoteRef/>
      </w:r>
      <w:r>
        <w:t xml:space="preserve"> </w:t>
      </w:r>
      <w:hyperlink r:id="rId11" w:history="1">
        <w:r w:rsidRPr="007F7F0D">
          <w:rPr>
            <w:rStyle w:val="Hyperlink"/>
          </w:rPr>
          <w:t>https://www.icao.int</w:t>
        </w:r>
      </w:hyperlink>
      <w:r>
        <w:t xml:space="preserve"> </w:t>
      </w:r>
    </w:p>
  </w:footnote>
  <w:footnote w:id="12">
    <w:p w14:paraId="61E0586D" w14:textId="759429C9" w:rsidR="00A66EFA" w:rsidRPr="0077635E" w:rsidRDefault="00A66EFA" w:rsidP="00A66EFA">
      <w:pPr>
        <w:pStyle w:val="FootnoteText"/>
        <w:rPr>
          <w:lang w:val="en-US"/>
        </w:rPr>
      </w:pPr>
      <w:r>
        <w:rPr>
          <w:rStyle w:val="FootnoteReference"/>
        </w:rPr>
        <w:footnoteRef/>
      </w:r>
      <w:r>
        <w:t xml:space="preserve"> </w:t>
      </w:r>
      <w:hyperlink r:id="rId12" w:history="1">
        <w:r w:rsidRPr="00BA58D9">
          <w:rPr>
            <w:rStyle w:val="Hyperlink"/>
          </w:rPr>
          <w:t>https://www.europe-airports.com/</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FA"/>
    <w:rsid w:val="00096FAE"/>
    <w:rsid w:val="001C75E0"/>
    <w:rsid w:val="003416E0"/>
    <w:rsid w:val="003B24E2"/>
    <w:rsid w:val="005A3C00"/>
    <w:rsid w:val="005C56EB"/>
    <w:rsid w:val="00707640"/>
    <w:rsid w:val="0071600E"/>
    <w:rsid w:val="00742CDF"/>
    <w:rsid w:val="00793AB6"/>
    <w:rsid w:val="007D5A78"/>
    <w:rsid w:val="008A3A17"/>
    <w:rsid w:val="00A66EFA"/>
    <w:rsid w:val="00A811C7"/>
    <w:rsid w:val="00AB6C65"/>
    <w:rsid w:val="00B202D5"/>
    <w:rsid w:val="00B2262C"/>
    <w:rsid w:val="00B85E43"/>
    <w:rsid w:val="00CA7A9A"/>
    <w:rsid w:val="00CE5428"/>
    <w:rsid w:val="00D25D9B"/>
    <w:rsid w:val="00D44082"/>
    <w:rsid w:val="00D648BD"/>
    <w:rsid w:val="00E25EA6"/>
    <w:rsid w:val="00E338CD"/>
    <w:rsid w:val="00E35F0B"/>
    <w:rsid w:val="00FE1CD2"/>
    <w:rsid w:val="00FE63A9"/>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CCB1"/>
  <w15:chartTrackingRefBased/>
  <w15:docId w15:val="{0DB711CC-AC5B-E94A-B69F-CFFA4E16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EFA"/>
    <w:rPr>
      <w:rFonts w:eastAsiaTheme="minorEastAsia"/>
      <w:lang w:val="en-GB"/>
    </w:rPr>
  </w:style>
  <w:style w:type="paragraph" w:styleId="Heading1">
    <w:name w:val="heading 1"/>
    <w:basedOn w:val="Normal"/>
    <w:next w:val="Normal"/>
    <w:link w:val="Heading1Char"/>
    <w:uiPriority w:val="9"/>
    <w:qFormat/>
    <w:rsid w:val="00A66E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6EFA"/>
    <w:pPr>
      <w:keepNext/>
      <w:keepLines/>
      <w:spacing w:before="200"/>
      <w:outlineLvl w:val="1"/>
    </w:pPr>
    <w:rPr>
      <w:rFonts w:asciiTheme="majorHAnsi" w:eastAsiaTheme="majorEastAsia" w:hAnsiTheme="majorHAnsi" w:cstheme="majorBidi"/>
      <w:b/>
      <w:bCs/>
      <w:color w:val="4472C4" w:themeColor="accent1"/>
      <w:sz w:val="26"/>
      <w:szCs w:val="26"/>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EFA"/>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A66EFA"/>
    <w:rPr>
      <w:rFonts w:asciiTheme="majorHAnsi" w:eastAsiaTheme="majorEastAsia" w:hAnsiTheme="majorHAnsi" w:cstheme="majorBidi"/>
      <w:b/>
      <w:bCs/>
      <w:color w:val="4472C4" w:themeColor="accent1"/>
      <w:sz w:val="26"/>
      <w:szCs w:val="26"/>
      <w:lang w:val="it-IT"/>
    </w:rPr>
  </w:style>
  <w:style w:type="character" w:styleId="Hyperlink">
    <w:name w:val="Hyperlink"/>
    <w:basedOn w:val="DefaultParagraphFont"/>
    <w:uiPriority w:val="99"/>
    <w:unhideWhenUsed/>
    <w:rsid w:val="00A66EFA"/>
    <w:rPr>
      <w:color w:val="0563C1" w:themeColor="hyperlink"/>
      <w:u w:val="single"/>
    </w:rPr>
  </w:style>
  <w:style w:type="paragraph" w:styleId="FootnoteText">
    <w:name w:val="footnote text"/>
    <w:basedOn w:val="Normal"/>
    <w:link w:val="FootnoteTextChar"/>
    <w:uiPriority w:val="99"/>
    <w:semiHidden/>
    <w:unhideWhenUsed/>
    <w:rsid w:val="00A66EFA"/>
    <w:rPr>
      <w:sz w:val="20"/>
      <w:szCs w:val="20"/>
    </w:rPr>
  </w:style>
  <w:style w:type="character" w:customStyle="1" w:styleId="FootnoteTextChar">
    <w:name w:val="Footnote Text Char"/>
    <w:basedOn w:val="DefaultParagraphFont"/>
    <w:link w:val="FootnoteText"/>
    <w:uiPriority w:val="99"/>
    <w:semiHidden/>
    <w:rsid w:val="00A66EFA"/>
    <w:rPr>
      <w:rFonts w:eastAsiaTheme="minorEastAsia"/>
      <w:sz w:val="20"/>
      <w:szCs w:val="20"/>
      <w:lang w:val="en-GB"/>
    </w:rPr>
  </w:style>
  <w:style w:type="character" w:styleId="FootnoteReference">
    <w:name w:val="footnote reference"/>
    <w:basedOn w:val="DefaultParagraphFont"/>
    <w:uiPriority w:val="99"/>
    <w:semiHidden/>
    <w:unhideWhenUsed/>
    <w:rsid w:val="00A66EFA"/>
    <w:rPr>
      <w:vertAlign w:val="superscript"/>
    </w:rPr>
  </w:style>
  <w:style w:type="character" w:customStyle="1" w:styleId="UnresolvedMention">
    <w:name w:val="Unresolved Mention"/>
    <w:basedOn w:val="DefaultParagraphFont"/>
    <w:uiPriority w:val="99"/>
    <w:semiHidden/>
    <w:unhideWhenUsed/>
    <w:rsid w:val="00A66EFA"/>
    <w:rPr>
      <w:color w:val="605E5C"/>
      <w:shd w:val="clear" w:color="auto" w:fill="E1DFDD"/>
    </w:rPr>
  </w:style>
  <w:style w:type="paragraph" w:styleId="Revision">
    <w:name w:val="Revision"/>
    <w:hidden/>
    <w:uiPriority w:val="99"/>
    <w:semiHidden/>
    <w:rsid w:val="00793AB6"/>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www.kodap.org.cy/" TargetMode="Externa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yperlink" Target="https://ec.europa.eu/clima/policies/strategies/2050_e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population.un.org/wp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yperlink" Target="https://doi.org/10.5194/essd-13-1005-202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 TargetMode="External"/><Relationship Id="rId3" Type="http://schemas.openxmlformats.org/officeDocument/2006/relationships/hyperlink" Target="https://www.ynanp.gr/en/" TargetMode="External"/><Relationship Id="rId7" Type="http://schemas.openxmlformats.org/officeDocument/2006/relationships/hyperlink" Target="https://energy.gov.cy/" TargetMode="External"/><Relationship Id="rId12" Type="http://schemas.openxmlformats.org/officeDocument/2006/relationships/hyperlink" Target="https://www.europe-airports.com/" TargetMode="External"/><Relationship Id="rId2" Type="http://schemas.openxmlformats.org/officeDocument/2006/relationships/hyperlink" Target="https://www.transport.gov.mt/maritime-40" TargetMode="External"/><Relationship Id="rId1" Type="http://schemas.openxmlformats.org/officeDocument/2006/relationships/hyperlink" Target="https://www.cpa.gov.cy/en/home" TargetMode="External"/><Relationship Id="rId6" Type="http://schemas.openxmlformats.org/officeDocument/2006/relationships/hyperlink" Target="https://www.portsdebalears.com/en/" TargetMode="External"/><Relationship Id="rId11" Type="http://schemas.openxmlformats.org/officeDocument/2006/relationships/hyperlink" Target="https://www.icao.int" TargetMode="External"/><Relationship Id="rId5" Type="http://schemas.openxmlformats.org/officeDocument/2006/relationships/hyperlink" Target="https://www.gobiernodecanarias.org/principal/" TargetMode="External"/><Relationship Id="rId10" Type="http://schemas.openxmlformats.org/officeDocument/2006/relationships/hyperlink" Target="https://airportcodes.aero/" TargetMode="External"/><Relationship Id="rId4" Type="http://schemas.openxmlformats.org/officeDocument/2006/relationships/hyperlink" Target="https://www.bonifacio.co.uk/organisme/the-ports-in-corsica/" TargetMode="External"/><Relationship Id="rId9" Type="http://schemas.openxmlformats.org/officeDocument/2006/relationships/hyperlink" Target="https://doi.org/10.1016/j.jclepro.2019.1183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2696</Words>
  <Characters>15369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Zittis</dc:creator>
  <cp:keywords/>
  <dc:description/>
  <cp:lastModifiedBy>Sushmitha N.</cp:lastModifiedBy>
  <cp:revision>14</cp:revision>
  <dcterms:created xsi:type="dcterms:W3CDTF">2022-11-29T10:32:00Z</dcterms:created>
  <dcterms:modified xsi:type="dcterms:W3CDTF">2023-04-18T06:09:00Z</dcterms:modified>
</cp:coreProperties>
</file>