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23D5F" w14:textId="1A999B01" w:rsidR="00827CB2" w:rsidRPr="009B0099" w:rsidRDefault="00827CB2" w:rsidP="00827CB2">
      <w:pPr>
        <w:jc w:val="center"/>
        <w:rPr>
          <w:rFonts w:asciiTheme="majorBidi" w:hAnsiTheme="majorBidi" w:cstheme="majorBidi"/>
          <w:b/>
          <w:bCs/>
          <w:sz w:val="32"/>
          <w:szCs w:val="32"/>
        </w:rPr>
      </w:pPr>
      <w:r w:rsidRPr="009B0099">
        <w:rPr>
          <w:rFonts w:asciiTheme="majorBidi" w:hAnsiTheme="majorBidi" w:cstheme="majorBidi"/>
          <w:b/>
          <w:bCs/>
          <w:sz w:val="32"/>
          <w:szCs w:val="32"/>
        </w:rPr>
        <w:t>Assessing Carbon Capture: Public Policy, Science and Societal Need</w:t>
      </w:r>
    </w:p>
    <w:p w14:paraId="44794CC3" w14:textId="77777777" w:rsidR="00827CB2" w:rsidRPr="009B0099" w:rsidRDefault="00827CB2" w:rsidP="00827CB2">
      <w:pPr>
        <w:jc w:val="center"/>
        <w:rPr>
          <w:rFonts w:asciiTheme="majorBidi" w:hAnsiTheme="majorBidi" w:cstheme="majorBidi"/>
          <w:b/>
          <w:bCs/>
          <w:sz w:val="24"/>
        </w:rPr>
      </w:pPr>
      <w:r w:rsidRPr="009B0099">
        <w:rPr>
          <w:rFonts w:asciiTheme="majorBidi" w:hAnsiTheme="majorBidi" w:cstheme="majorBidi"/>
          <w:b/>
          <w:bCs/>
          <w:sz w:val="24"/>
        </w:rPr>
        <w:t>A review of the literature on industrial carbon removal.</w:t>
      </w:r>
    </w:p>
    <w:p w14:paraId="4562EEEE" w14:textId="63961049" w:rsidR="001155F1" w:rsidRPr="009B0099" w:rsidRDefault="001155F1">
      <w:pPr>
        <w:rPr>
          <w:rFonts w:asciiTheme="majorBidi" w:hAnsiTheme="majorBidi" w:cstheme="majorBidi"/>
        </w:rPr>
      </w:pPr>
    </w:p>
    <w:p w14:paraId="0EFBB603" w14:textId="77777777" w:rsidR="00827CB2" w:rsidRPr="009B0099" w:rsidRDefault="00827CB2">
      <w:pPr>
        <w:rPr>
          <w:rFonts w:asciiTheme="majorBidi" w:hAnsiTheme="majorBidi" w:cstheme="majorBidi"/>
        </w:rPr>
      </w:pPr>
    </w:p>
    <w:p w14:paraId="2BCC0710" w14:textId="4D37BF90" w:rsidR="005C0974" w:rsidRPr="009B0099" w:rsidRDefault="005C0974">
      <w:pPr>
        <w:rPr>
          <w:rFonts w:asciiTheme="majorBidi" w:hAnsiTheme="majorBidi" w:cstheme="majorBidi"/>
        </w:rPr>
      </w:pPr>
    </w:p>
    <w:p w14:paraId="1E4F4286" w14:textId="61B7CFCA" w:rsidR="00AD193A" w:rsidRPr="009B0099" w:rsidRDefault="005C0974"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Appendix 1</w:t>
      </w:r>
    </w:p>
    <w:p w14:paraId="6EBCCD7A" w14:textId="50224387" w:rsidR="005C0974" w:rsidRPr="009B0099" w:rsidRDefault="005C0974"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 xml:space="preserve">Impact on Carbon Balance </w:t>
      </w:r>
    </w:p>
    <w:p w14:paraId="621D4AED" w14:textId="18D04F4D" w:rsidR="005C0974" w:rsidRPr="009B0099" w:rsidRDefault="005C0974">
      <w:pPr>
        <w:rPr>
          <w:rFonts w:asciiTheme="majorBidi" w:hAnsiTheme="majorBidi" w:cstheme="majorBidi"/>
        </w:rPr>
      </w:pPr>
    </w:p>
    <w:p w14:paraId="0CBAE9F9" w14:textId="77777777" w:rsidR="005C0974" w:rsidRPr="009B0099" w:rsidRDefault="005C0974" w:rsidP="005C0974">
      <w:pPr>
        <w:rPr>
          <w:rFonts w:asciiTheme="majorBidi" w:hAnsiTheme="majorBidi" w:cstheme="majorBidi"/>
          <w:szCs w:val="22"/>
        </w:rPr>
      </w:pPr>
    </w:p>
    <w:p w14:paraId="79AEA76E" w14:textId="77777777" w:rsidR="005C0974" w:rsidRPr="009B0099" w:rsidRDefault="005C0974" w:rsidP="005C0974">
      <w:pPr>
        <w:rPr>
          <w:rFonts w:asciiTheme="majorBidi" w:hAnsiTheme="majorBidi" w:cstheme="majorBidi"/>
          <w:b/>
          <w:bCs/>
          <w:sz w:val="24"/>
          <w:u w:val="single"/>
        </w:rPr>
      </w:pPr>
      <w:bookmarkStart w:id="0" w:name="_Hlk37919474"/>
      <w:r w:rsidRPr="009B0099">
        <w:rPr>
          <w:rFonts w:asciiTheme="majorBidi" w:hAnsiTheme="majorBidi" w:cstheme="majorBidi"/>
          <w:b/>
          <w:bCs/>
          <w:i/>
          <w:iCs/>
          <w:sz w:val="24"/>
        </w:rPr>
        <w:t>DAC, fossil-fuel powered</w:t>
      </w:r>
    </w:p>
    <w:p w14:paraId="6A805DDC" w14:textId="4E33692B" w:rsidR="005C0974" w:rsidRPr="009B0099" w:rsidRDefault="005C0974" w:rsidP="005C0974">
      <w:pPr>
        <w:rPr>
          <w:rFonts w:asciiTheme="majorBidi" w:hAnsiTheme="majorBidi" w:cstheme="majorBidi"/>
          <w:color w:val="FF0000"/>
          <w:szCs w:val="22"/>
        </w:rPr>
      </w:pPr>
      <w:r w:rsidRPr="009B0099">
        <w:rPr>
          <w:rFonts w:asciiTheme="majorBidi" w:hAnsiTheme="majorBidi" w:cstheme="majorBidi"/>
        </w:rPr>
        <w:t>Direct air capture” when fossil-fuel powered is regularly found to be net CO</w:t>
      </w:r>
      <w:r w:rsidRPr="009B0099">
        <w:rPr>
          <w:rFonts w:asciiTheme="majorBidi" w:hAnsiTheme="majorBidi" w:cstheme="majorBidi"/>
          <w:vertAlign w:val="subscript"/>
        </w:rPr>
        <w:t>2</w:t>
      </w:r>
      <w:r w:rsidRPr="009B0099">
        <w:rPr>
          <w:rFonts w:asciiTheme="majorBidi" w:hAnsiTheme="majorBidi" w:cstheme="majorBidi"/>
        </w:rPr>
        <w:t xml:space="preserve"> additive (House et al 2011; Ranjan &amp; Herzog, 2011; National Academy of Sciences, 2015; Fuss et al, 2018; National Academy of Sciences, 2019). Some of these studies (Fuss 2018; National Academies of Sciences 2019</w:t>
      </w:r>
      <w:r w:rsidRPr="009B0099">
        <w:rPr>
          <w:rStyle w:val="FootnoteReference"/>
          <w:rFonts w:asciiTheme="majorBidi" w:hAnsiTheme="majorBidi" w:cstheme="majorBidi"/>
        </w:rPr>
        <w:footnoteReference w:id="1"/>
      </w:r>
      <w:r w:rsidRPr="009B0099">
        <w:rPr>
          <w:rFonts w:asciiTheme="majorBidi" w:hAnsiTheme="majorBidi" w:cstheme="majorBidi"/>
        </w:rPr>
        <w:t>) also estimate the process to be net CO</w:t>
      </w:r>
      <w:r w:rsidRPr="009B0099">
        <w:rPr>
          <w:rFonts w:asciiTheme="majorBidi" w:hAnsiTheme="majorBidi" w:cstheme="majorBidi"/>
          <w:vertAlign w:val="subscript"/>
        </w:rPr>
        <w:t>2</w:t>
      </w:r>
      <w:r w:rsidRPr="009B0099">
        <w:rPr>
          <w:rFonts w:asciiTheme="majorBidi" w:hAnsiTheme="majorBidi" w:cstheme="majorBidi"/>
        </w:rPr>
        <w:t xml:space="preserve"> reductive when using a partial life cycle analysis and under a variety of favorable assumptions. The net CO</w:t>
      </w:r>
      <w:r w:rsidRPr="009B0099">
        <w:rPr>
          <w:rFonts w:asciiTheme="majorBidi" w:hAnsiTheme="majorBidi" w:cstheme="majorBidi"/>
          <w:vertAlign w:val="subscript"/>
        </w:rPr>
        <w:t xml:space="preserve">2 </w:t>
      </w:r>
      <w:r w:rsidRPr="009B0099">
        <w:rPr>
          <w:rFonts w:asciiTheme="majorBidi" w:hAnsiTheme="majorBidi" w:cstheme="majorBidi"/>
        </w:rPr>
        <w:t>additive nature of fossil-fuel powered DAC is due to the large amounts of energy required for the capture and regeneration process, given the very low CO</w:t>
      </w:r>
      <w:r w:rsidRPr="009B0099">
        <w:rPr>
          <w:rFonts w:asciiTheme="majorBidi" w:hAnsiTheme="majorBidi" w:cstheme="majorBidi"/>
          <w:vertAlign w:val="subscript"/>
        </w:rPr>
        <w:t>2</w:t>
      </w:r>
      <w:r w:rsidRPr="009B0099">
        <w:rPr>
          <w:rFonts w:asciiTheme="majorBidi" w:hAnsiTheme="majorBidi" w:cstheme="majorBidi"/>
        </w:rPr>
        <w:t xml:space="preserve"> concentration of 400 ppm in ambient air</w:t>
      </w:r>
      <w:r w:rsidRPr="009B0099">
        <w:rPr>
          <w:rFonts w:asciiTheme="majorBidi" w:hAnsiTheme="majorBidi" w:cstheme="majorBidi"/>
          <w:szCs w:val="22"/>
        </w:rPr>
        <w:t xml:space="preserve">.  Calculations based on </w:t>
      </w:r>
      <w:r w:rsidR="003265EE" w:rsidRPr="009B0099">
        <w:rPr>
          <w:rFonts w:asciiTheme="majorBidi" w:hAnsiTheme="majorBidi" w:cstheme="majorBidi"/>
          <w:szCs w:val="22"/>
        </w:rPr>
        <w:t xml:space="preserve">a </w:t>
      </w:r>
      <w:r w:rsidRPr="009B0099">
        <w:rPr>
          <w:rFonts w:asciiTheme="majorBidi" w:hAnsiTheme="majorBidi" w:cstheme="majorBidi"/>
          <w:szCs w:val="22"/>
        </w:rPr>
        <w:t>widely-cited study (Smith et. al. 2016) show that fossil-fuel powered DAC emits from 1.46 (natural gas powered) to 3.44 tons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(coal powered) for every ton removed (</w:t>
      </w:r>
      <m:oMath>
        <m:sSub>
          <m:sSubPr>
            <m:ctrlPr>
              <w:rPr>
                <w:rFonts w:ascii="Cambria Math" w:eastAsiaTheme="minorEastAsia" w:hAnsi="Cambria Math" w:cstheme="majorBidi"/>
                <w:i/>
                <w:szCs w:val="22"/>
              </w:rPr>
            </m:ctrlPr>
          </m:sSubPr>
          <m:e>
            <m:r>
              <m:rPr>
                <m:sty m:val="p"/>
              </m:rPr>
              <w:rPr>
                <w:rFonts w:ascii="Cambria Math" w:eastAsiaTheme="minorEastAsia" w:hAnsi="Cambria Math" w:cstheme="majorBidi"/>
                <w:szCs w:val="22"/>
              </w:rPr>
              <m:t>γ</m:t>
            </m:r>
            <m:ctrlPr>
              <w:rPr>
                <w:rFonts w:ascii="Cambria Math" w:eastAsiaTheme="minorEastAsia" w:hAnsi="Cambria Math" w:cstheme="majorBidi"/>
                <w:szCs w:val="22"/>
              </w:rPr>
            </m:ctrlPr>
          </m:e>
          <m:sub>
            <m:r>
              <w:rPr>
                <w:rFonts w:ascii="Cambria Math" w:eastAsiaTheme="minorEastAsia" w:hAnsi="Cambria Math" w:cstheme="majorBidi"/>
                <w:szCs w:val="22"/>
              </w:rPr>
              <m:t>CO2</m:t>
            </m:r>
          </m:sub>
        </m:sSub>
      </m:oMath>
      <w:r w:rsidRPr="009B0099">
        <w:rPr>
          <w:rFonts w:asciiTheme="majorBidi" w:eastAsiaTheme="minorEastAsia" w:hAnsiTheme="majorBidi" w:cstheme="majorBidi"/>
          <w:szCs w:val="22"/>
        </w:rPr>
        <w:t>= 1.5 to 3.4)</w:t>
      </w:r>
      <w:r w:rsidRPr="009B0099">
        <w:rPr>
          <w:rStyle w:val="FootnoteReference"/>
          <w:rFonts w:asciiTheme="majorBidi" w:hAnsiTheme="majorBidi" w:cstheme="majorBidi"/>
          <w:szCs w:val="22"/>
        </w:rPr>
        <w:t xml:space="preserve"> </w:t>
      </w:r>
      <w:r w:rsidRPr="009B0099">
        <w:rPr>
          <w:rStyle w:val="FootnoteReference"/>
          <w:rFonts w:asciiTheme="majorBidi" w:hAnsiTheme="majorBidi" w:cstheme="majorBidi"/>
          <w:szCs w:val="22"/>
        </w:rPr>
        <w:footnoteReference w:id="2"/>
      </w:r>
      <w:r w:rsidRPr="009B0099">
        <w:rPr>
          <w:rFonts w:asciiTheme="majorBidi" w:eastAsiaTheme="minorEastAsia" w:hAnsiTheme="majorBidi" w:cstheme="majorBidi"/>
          <w:szCs w:val="22"/>
        </w:rPr>
        <w:t>.</w:t>
      </w:r>
      <w:r w:rsidRPr="009B0099">
        <w:rPr>
          <w:rFonts w:asciiTheme="majorBidi" w:hAnsiTheme="majorBidi" w:cstheme="majorBidi"/>
          <w:szCs w:val="22"/>
        </w:rPr>
        <w:t xml:space="preserve"> An analysis by House et. al. (2011) concluded that: DAC “can only be viable (i.e., net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negative) if powered by non-CO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emitting sources.” A DAC literature review by the World Resources Institute (Mulligan et al, 2018a) also concludes that, to be viable, DAC requires </w:t>
      </w:r>
      <w:r w:rsidRPr="009B0099">
        <w:rPr>
          <w:rFonts w:asciiTheme="majorBidi" w:hAnsiTheme="majorBidi" w:cstheme="majorBidi"/>
          <w:color w:val="000000"/>
          <w:szCs w:val="22"/>
        </w:rPr>
        <w:t>“the widespread availability of low-cost, carbon-neutral energy.”</w:t>
      </w:r>
      <w:r w:rsidRPr="009B0099">
        <w:rPr>
          <w:rFonts w:asciiTheme="majorBidi" w:hAnsiTheme="majorBidi" w:cstheme="majorBidi"/>
          <w:szCs w:val="22"/>
        </w:rPr>
        <w:t xml:space="preserve"> Yet, almost all DAC operations in North America have been fossil fuel powered. (Global Thermostat has stated that it intends to used residual heat from adjacent fossil power plants to power its carbon removal machinery; Chichilnisky 2019.) Emissions estimates in most studies are for the capture process only, and do not include embodied emissions, emissions from sorbent manufacture or downstream emissions</w:t>
      </w:r>
      <w:r w:rsidRPr="009B0099">
        <w:rPr>
          <w:rFonts w:asciiTheme="majorBidi" w:hAnsiTheme="majorBidi" w:cstheme="majorBidi"/>
        </w:rPr>
        <w:t xml:space="preserve"> from compression, from transporting the captured CO</w:t>
      </w:r>
      <w:r w:rsidRPr="009B0099">
        <w:rPr>
          <w:rFonts w:asciiTheme="majorBidi" w:hAnsiTheme="majorBidi" w:cstheme="majorBidi"/>
          <w:vertAlign w:val="subscript"/>
        </w:rPr>
        <w:t>2</w:t>
      </w:r>
      <w:r w:rsidRPr="009B0099">
        <w:rPr>
          <w:rFonts w:asciiTheme="majorBidi" w:hAnsiTheme="majorBidi" w:cstheme="majorBidi"/>
        </w:rPr>
        <w:t xml:space="preserve"> to subsurface storage, from subsurface injection, or from long-term storage maintenance.</w:t>
      </w:r>
      <w:r w:rsidRPr="009B0099">
        <w:rPr>
          <w:rFonts w:asciiTheme="majorBidi" w:hAnsiTheme="majorBidi" w:cstheme="majorBidi"/>
          <w:color w:val="FF0000"/>
        </w:rPr>
        <w:t xml:space="preserve"> </w:t>
      </w:r>
    </w:p>
    <w:bookmarkEnd w:id="0"/>
    <w:p w14:paraId="599DBBF4" w14:textId="77777777" w:rsidR="005C0974" w:rsidRPr="009B0099" w:rsidRDefault="005C0974" w:rsidP="005C0974">
      <w:pPr>
        <w:rPr>
          <w:rFonts w:asciiTheme="majorBidi" w:hAnsiTheme="majorBidi" w:cstheme="majorBidi"/>
          <w:szCs w:val="22"/>
        </w:rPr>
      </w:pPr>
    </w:p>
    <w:p w14:paraId="13406339" w14:textId="77777777" w:rsidR="005C0974" w:rsidRPr="009B0099" w:rsidRDefault="005C0974" w:rsidP="005C0974">
      <w:pPr>
        <w:rPr>
          <w:rFonts w:asciiTheme="majorBidi" w:hAnsiTheme="majorBidi" w:cstheme="majorBidi"/>
          <w:b/>
          <w:bCs/>
          <w:i/>
          <w:iCs/>
          <w:sz w:val="24"/>
        </w:rPr>
      </w:pPr>
      <w:r w:rsidRPr="009B0099">
        <w:rPr>
          <w:rFonts w:asciiTheme="majorBidi" w:hAnsiTheme="majorBidi" w:cstheme="majorBidi"/>
          <w:b/>
          <w:bCs/>
          <w:i/>
          <w:iCs/>
          <w:sz w:val="24"/>
        </w:rPr>
        <w:t xml:space="preserve">DAC-EOR </w:t>
      </w:r>
    </w:p>
    <w:p w14:paraId="282B448B" w14:textId="5527C981" w:rsidR="005C0974" w:rsidRPr="009B0099" w:rsidRDefault="005C0974" w:rsidP="005C0974">
      <w:pPr>
        <w:rPr>
          <w:rStyle w:val="s2"/>
          <w:rFonts w:asciiTheme="majorBidi" w:hAnsiTheme="majorBidi" w:cstheme="majorBidi"/>
        </w:rPr>
      </w:pPr>
      <w:r w:rsidRPr="009B0099">
        <w:rPr>
          <w:rFonts w:asciiTheme="majorBidi" w:hAnsiTheme="majorBidi" w:cstheme="majorBidi"/>
        </w:rPr>
        <w:t>As noted above, DAC is regularly reported to be net CO</w:t>
      </w:r>
      <w:r w:rsidRPr="009B0099">
        <w:rPr>
          <w:rFonts w:asciiTheme="majorBidi" w:hAnsiTheme="majorBidi" w:cstheme="majorBidi"/>
          <w:vertAlign w:val="subscript"/>
        </w:rPr>
        <w:t>2</w:t>
      </w:r>
      <w:r w:rsidRPr="009B0099">
        <w:rPr>
          <w:rFonts w:asciiTheme="majorBidi" w:hAnsiTheme="majorBidi" w:cstheme="majorBidi"/>
        </w:rPr>
        <w:t xml:space="preserve"> positive when the power source is fossil fuels without even considering use of the captured CO</w:t>
      </w:r>
      <w:r w:rsidRPr="009B0099">
        <w:rPr>
          <w:rFonts w:asciiTheme="majorBidi" w:hAnsiTheme="majorBidi" w:cstheme="majorBidi"/>
          <w:vertAlign w:val="subscript"/>
        </w:rPr>
        <w:t>2</w:t>
      </w:r>
      <w:r w:rsidRPr="009B0099">
        <w:rPr>
          <w:rFonts w:asciiTheme="majorBidi" w:hAnsiTheme="majorBidi" w:cstheme="majorBidi"/>
        </w:rPr>
        <w:t xml:space="preserve"> for EOR. Far more emissions would result from a DAC-EOR process, which is being planned. For example, Carbon Engineering</w:t>
      </w:r>
      <w:r w:rsidRPr="009B0099">
        <w:rPr>
          <w:rStyle w:val="FootnoteReference"/>
          <w:rFonts w:asciiTheme="majorBidi" w:hAnsiTheme="majorBidi" w:cstheme="majorBidi"/>
        </w:rPr>
        <w:footnoteReference w:id="3"/>
      </w:r>
      <w:r w:rsidRPr="009B0099">
        <w:rPr>
          <w:rFonts w:asciiTheme="majorBidi" w:hAnsiTheme="majorBidi" w:cstheme="majorBidi"/>
        </w:rPr>
        <w:t xml:space="preserve"> originally stated that its captured CO</w:t>
      </w:r>
      <w:r w:rsidRPr="009B0099">
        <w:rPr>
          <w:rFonts w:asciiTheme="majorBidi" w:hAnsiTheme="majorBidi" w:cstheme="majorBidi"/>
          <w:vertAlign w:val="subscript"/>
        </w:rPr>
        <w:t>2</w:t>
      </w:r>
      <w:r w:rsidRPr="009B0099">
        <w:rPr>
          <w:rFonts w:asciiTheme="majorBidi" w:hAnsiTheme="majorBidi" w:cstheme="majorBidi"/>
        </w:rPr>
        <w:t xml:space="preserve"> would be used to produce synfuels, but in 2019 announced that it was partnering with Occidental Petroleum to build a DAC-EOR plant in the Permian Basin to produce oil. This operation will be taxpayer-subsidized by both federal and state sources.</w:t>
      </w:r>
      <w:r w:rsidRPr="009B0099">
        <w:rPr>
          <w:rStyle w:val="FootnoteReference"/>
          <w:rFonts w:asciiTheme="majorBidi" w:hAnsiTheme="majorBidi" w:cstheme="majorBidi"/>
        </w:rPr>
        <w:footnoteReference w:id="4"/>
      </w:r>
      <w:r w:rsidRPr="009B0099">
        <w:rPr>
          <w:rFonts w:asciiTheme="majorBidi" w:hAnsiTheme="majorBidi" w:cstheme="majorBidi"/>
        </w:rPr>
        <w:t xml:space="preserve">  Another DAC startup – Global Thermostat – announced plans to partner with ExxonMobil (Temple 2019b). Graciela Chichilnisky, a co-founder and CEO of Global Thermostat, notes that “</w:t>
      </w:r>
      <w:r w:rsidRPr="009B0099">
        <w:rPr>
          <w:rStyle w:val="s2"/>
          <w:rFonts w:asciiTheme="majorBidi" w:hAnsiTheme="majorBidi" w:cstheme="majorBidi"/>
        </w:rPr>
        <w:t>The gas</w:t>
      </w:r>
      <w:r w:rsidRPr="009B0099">
        <w:rPr>
          <w:rFonts w:asciiTheme="majorBidi" w:hAnsiTheme="majorBidi" w:cstheme="majorBidi"/>
        </w:rPr>
        <w:t xml:space="preserve"> </w:t>
      </w:r>
      <w:r w:rsidRPr="009B0099">
        <w:rPr>
          <w:rStyle w:val="s2"/>
          <w:rFonts w:asciiTheme="majorBidi" w:hAnsiTheme="majorBidi" w:cstheme="majorBidi"/>
        </w:rPr>
        <w:t>captured at [Global Thermostat’s DAC operations]…is available for use in applications such as enhanced oil recovery…” (Chichilnisky 2019).</w:t>
      </w:r>
    </w:p>
    <w:p w14:paraId="282C93AE" w14:textId="77777777" w:rsidR="00924ADC" w:rsidRPr="009B0099" w:rsidRDefault="00924ADC" w:rsidP="005C0974">
      <w:pPr>
        <w:rPr>
          <w:rStyle w:val="s2"/>
          <w:rFonts w:asciiTheme="majorBidi" w:hAnsiTheme="majorBidi" w:cstheme="majorBidi"/>
        </w:rPr>
      </w:pPr>
    </w:p>
    <w:p w14:paraId="2D78CD5D" w14:textId="77777777" w:rsidR="005C0974" w:rsidRPr="009B0099" w:rsidRDefault="005C0974" w:rsidP="005C0974">
      <w:pPr>
        <w:rPr>
          <w:rFonts w:asciiTheme="majorBidi" w:hAnsiTheme="majorBidi" w:cstheme="majorBidi"/>
          <w:b/>
          <w:bCs/>
          <w:i/>
          <w:iCs/>
          <w:sz w:val="24"/>
        </w:rPr>
      </w:pPr>
      <w:r w:rsidRPr="009B0099">
        <w:rPr>
          <w:rFonts w:asciiTheme="majorBidi" w:hAnsiTheme="majorBidi" w:cstheme="majorBidi"/>
          <w:b/>
          <w:bCs/>
          <w:i/>
          <w:iCs/>
          <w:sz w:val="24"/>
        </w:rPr>
        <w:t>DAC</w:t>
      </w:r>
      <w:r w:rsidRPr="009B0099">
        <w:rPr>
          <w:rFonts w:asciiTheme="majorBidi" w:hAnsiTheme="majorBidi" w:cstheme="majorBidi"/>
          <w:i/>
          <w:iCs/>
          <w:sz w:val="24"/>
        </w:rPr>
        <w:t xml:space="preserve"> </w:t>
      </w:r>
      <w:r w:rsidRPr="009B0099">
        <w:rPr>
          <w:rFonts w:asciiTheme="majorBidi" w:hAnsiTheme="majorBidi" w:cstheme="majorBidi"/>
          <w:b/>
          <w:bCs/>
          <w:i/>
          <w:iCs/>
          <w:sz w:val="24"/>
        </w:rPr>
        <w:t>– renewables-powered</w:t>
      </w:r>
    </w:p>
    <w:p w14:paraId="0E6B3717" w14:textId="77777777" w:rsidR="005C0974" w:rsidRPr="009B0099" w:rsidRDefault="005C0974" w:rsidP="005C0974">
      <w:pPr>
        <w:rPr>
          <w:rStyle w:val="s2"/>
          <w:rFonts w:asciiTheme="majorBidi" w:hAnsiTheme="majorBidi" w:cstheme="majorBidi"/>
          <w:color w:val="FF0000"/>
          <w:szCs w:val="22"/>
        </w:rPr>
      </w:pPr>
      <w:r w:rsidRPr="009B0099">
        <w:rPr>
          <w:rFonts w:asciiTheme="majorBidi" w:hAnsiTheme="majorBidi" w:cstheme="majorBidi"/>
          <w:szCs w:val="22"/>
        </w:rPr>
        <w:t>While, in principle it is postulated that renewables-powered DAC could be net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reductive, (e.g., House et. al. 2011) there are no DAC operations of significant scale powered by renewable energy sources. Climeworks in Europe uses waste heat from a municipal incinerator for some of its demonstration operations (Evans, 2017; Mufson 2019), but remains extremely small scale.</w:t>
      </w:r>
      <w:r w:rsidRPr="009B0099">
        <w:rPr>
          <w:rStyle w:val="s2"/>
          <w:rFonts w:asciiTheme="majorBidi" w:hAnsiTheme="majorBidi" w:cstheme="majorBidi"/>
          <w:color w:val="FF0000"/>
          <w:sz w:val="32"/>
          <w:szCs w:val="32"/>
        </w:rPr>
        <w:t xml:space="preserve"> </w:t>
      </w:r>
    </w:p>
    <w:p w14:paraId="422D19B7" w14:textId="77777777" w:rsidR="005C0974" w:rsidRPr="009B0099" w:rsidRDefault="005C0974" w:rsidP="005C0974">
      <w:pPr>
        <w:rPr>
          <w:rFonts w:asciiTheme="majorBidi" w:hAnsiTheme="majorBidi" w:cstheme="majorBidi"/>
          <w:szCs w:val="22"/>
        </w:rPr>
      </w:pPr>
    </w:p>
    <w:p w14:paraId="57404956" w14:textId="77777777" w:rsidR="005C0974" w:rsidRPr="009B0099" w:rsidRDefault="005C0974" w:rsidP="005C0974">
      <w:pPr>
        <w:rPr>
          <w:rFonts w:asciiTheme="majorBidi" w:hAnsiTheme="majorBidi" w:cstheme="majorBidi"/>
          <w:b/>
          <w:bCs/>
          <w:i/>
          <w:iCs/>
          <w:color w:val="2F5496" w:themeColor="accent1" w:themeShade="BF"/>
          <w:sz w:val="24"/>
        </w:rPr>
      </w:pPr>
      <w:r w:rsidRPr="009B0099">
        <w:rPr>
          <w:rFonts w:asciiTheme="majorBidi" w:hAnsiTheme="majorBidi" w:cstheme="majorBidi"/>
          <w:b/>
          <w:bCs/>
          <w:i/>
          <w:iCs/>
          <w:sz w:val="24"/>
        </w:rPr>
        <w:t>Captured CO</w:t>
      </w:r>
      <w:r w:rsidRPr="009B0099">
        <w:rPr>
          <w:rFonts w:asciiTheme="majorBidi" w:hAnsiTheme="majorBidi" w:cstheme="majorBidi"/>
          <w:b/>
          <w:bCs/>
          <w:i/>
          <w:iCs/>
          <w:sz w:val="24"/>
          <w:vertAlign w:val="subscript"/>
        </w:rPr>
        <w:t>2</w:t>
      </w:r>
      <w:r w:rsidRPr="009B0099">
        <w:rPr>
          <w:rFonts w:asciiTheme="majorBidi" w:hAnsiTheme="majorBidi" w:cstheme="majorBidi"/>
          <w:b/>
          <w:bCs/>
          <w:i/>
          <w:iCs/>
          <w:sz w:val="24"/>
        </w:rPr>
        <w:t xml:space="preserve"> is primarily used for oil extraction </w:t>
      </w:r>
    </w:p>
    <w:p w14:paraId="1B2B28A6" w14:textId="4B48FFF4" w:rsidR="00673A67" w:rsidRPr="009B0099" w:rsidRDefault="005C0974" w:rsidP="00827CB2">
      <w:pPr>
        <w:rPr>
          <w:rFonts w:asciiTheme="majorBidi" w:hAnsiTheme="majorBidi" w:cstheme="majorBidi"/>
          <w:vertAlign w:val="superscript"/>
        </w:rPr>
      </w:pPr>
      <w:r w:rsidRPr="009B0099">
        <w:rPr>
          <w:rFonts w:asciiTheme="majorBidi" w:hAnsiTheme="majorBidi" w:cstheme="majorBidi"/>
          <w:szCs w:val="22"/>
        </w:rPr>
        <w:t>The predominant “utilization” of captured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to date has been for enhanced oil recovery (EOR) in which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is injected into partially-depleted oil reservoirs to extract residual oil. In the United States, which is the world leader in CCS, virtually the only use of the captured carbon is EOR. As Dismukes et al (2018) stress: “</w:t>
      </w:r>
      <w:r w:rsidRPr="009B0099">
        <w:rPr>
          <w:rFonts w:asciiTheme="majorBidi" w:hAnsiTheme="majorBidi" w:cstheme="majorBidi"/>
        </w:rPr>
        <w:t xml:space="preserve">The use of EOR changes the nature of carbon from being a pollutant to a valuable commercial input…” </w:t>
      </w:r>
      <w:r w:rsidRPr="009B0099">
        <w:rPr>
          <w:rFonts w:asciiTheme="majorBidi" w:hAnsiTheme="majorBidi" w:cstheme="majorBidi"/>
          <w:szCs w:val="22"/>
        </w:rPr>
        <w:t>The largest CCS facility in U.S. that uses CO</w:t>
      </w:r>
      <w:r w:rsidRPr="009B0099">
        <w:rPr>
          <w:rFonts w:asciiTheme="majorBidi" w:hAnsiTheme="majorBidi" w:cstheme="majorBidi"/>
          <w:szCs w:val="22"/>
          <w:vertAlign w:val="subscript"/>
        </w:rPr>
        <w:t xml:space="preserve">2 </w:t>
      </w:r>
      <w:r w:rsidRPr="009B0099">
        <w:rPr>
          <w:rFonts w:asciiTheme="majorBidi" w:hAnsiTheme="majorBidi" w:cstheme="majorBidi"/>
          <w:szCs w:val="22"/>
        </w:rPr>
        <w:t xml:space="preserve">captured from fossil-fueled power plants is Petra Nova </w:t>
      </w:r>
      <w:r w:rsidRPr="009B0099">
        <w:rPr>
          <w:rFonts w:asciiTheme="majorBidi" w:hAnsiTheme="majorBidi" w:cstheme="majorBidi"/>
          <w:szCs w:val="22"/>
        </w:rPr>
        <w:lastRenderedPageBreak/>
        <w:t>in Texas</w:t>
      </w:r>
      <w:r w:rsidR="002564DE" w:rsidRPr="009B0099">
        <w:rPr>
          <w:rStyle w:val="FootnoteReference"/>
          <w:rFonts w:asciiTheme="majorBidi" w:hAnsiTheme="majorBidi" w:cstheme="majorBidi"/>
          <w:szCs w:val="22"/>
        </w:rPr>
        <w:footnoteReference w:id="5"/>
      </w:r>
      <w:r w:rsidRPr="009B0099">
        <w:rPr>
          <w:rFonts w:asciiTheme="majorBidi" w:hAnsiTheme="majorBidi" w:cstheme="majorBidi"/>
          <w:szCs w:val="22"/>
        </w:rPr>
        <w:t>. It sells its captured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for enhanced oil recovery (Congressional Research Service 2018). Globally, there are only two large-scale fossil energy power plants with carbon capture (Muffett and Feit 2019 pg 15) -- Petra Nova, and Boundary Dam in Canada -- and both use the captured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for EOR. EOR is also the primary use of captured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globally (</w:t>
      </w:r>
      <w:r w:rsidRPr="009B0099">
        <w:rPr>
          <w:rFonts w:asciiTheme="majorBidi" w:eastAsia="Times New Roman" w:hAnsiTheme="majorBidi" w:cstheme="majorBidi"/>
          <w:szCs w:val="22"/>
        </w:rPr>
        <w:t>Foehringer Merchant, 2018)</w:t>
      </w:r>
      <w:r w:rsidRPr="009B0099">
        <w:rPr>
          <w:rFonts w:asciiTheme="majorBidi" w:hAnsiTheme="majorBidi" w:cstheme="majorBidi"/>
          <w:szCs w:val="22"/>
        </w:rPr>
        <w:t xml:space="preserve">. </w:t>
      </w:r>
      <w:r w:rsidR="00827CB2" w:rsidRPr="009B0099">
        <w:rPr>
          <w:rFonts w:asciiTheme="majorBidi" w:hAnsiTheme="majorBidi" w:cstheme="majorBidi"/>
          <w:szCs w:val="22"/>
        </w:rPr>
        <w:t>T</w:t>
      </w:r>
      <w:r w:rsidRPr="009B0099">
        <w:rPr>
          <w:rFonts w:asciiTheme="majorBidi" w:hAnsiTheme="majorBidi" w:cstheme="majorBidi"/>
          <w:szCs w:val="22"/>
        </w:rPr>
        <w:t>he vast majority of captured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that has been injected for subterranean storage worldwide was first used for oil extraction via EOR</w:t>
      </w:r>
      <w:r w:rsidR="00827CB2" w:rsidRPr="009B0099">
        <w:rPr>
          <w:rFonts w:asciiTheme="majorBidi" w:hAnsiTheme="majorBidi" w:cstheme="majorBidi"/>
          <w:szCs w:val="22"/>
        </w:rPr>
        <w:t xml:space="preserve"> (Foehringer Merchant 2018)</w:t>
      </w:r>
      <w:r w:rsidRPr="009B0099">
        <w:rPr>
          <w:rFonts w:asciiTheme="majorBidi" w:hAnsiTheme="majorBidi" w:cstheme="majorBidi"/>
          <w:szCs w:val="22"/>
        </w:rPr>
        <w:t>.  An analysis of the “Facility Data” on the Global Carbon Capture Institute website also indicates that most captured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is used for EOR.</w:t>
      </w:r>
      <w:r w:rsidRPr="009B0099">
        <w:rPr>
          <w:rFonts w:asciiTheme="majorBidi" w:hAnsiTheme="majorBidi" w:cstheme="majorBidi"/>
          <w:vertAlign w:val="superscript"/>
        </w:rPr>
        <w:t xml:space="preserve"> </w:t>
      </w:r>
      <w:r w:rsidRPr="009B0099">
        <w:rPr>
          <w:rFonts w:asciiTheme="majorBidi" w:hAnsiTheme="majorBidi" w:cstheme="majorBidi"/>
          <w:vertAlign w:val="superscript"/>
        </w:rPr>
        <w:footnoteReference w:id="6"/>
      </w:r>
      <w:r w:rsidRPr="009B0099">
        <w:rPr>
          <w:rFonts w:asciiTheme="majorBidi" w:hAnsiTheme="majorBidi" w:cstheme="majorBidi"/>
          <w:vertAlign w:val="superscript"/>
        </w:rPr>
        <w:t xml:space="preserve"> </w:t>
      </w:r>
      <w:r w:rsidRPr="009B0099">
        <w:rPr>
          <w:rFonts w:asciiTheme="majorBidi" w:hAnsiTheme="majorBidi" w:cstheme="majorBidi"/>
          <w:szCs w:val="22"/>
        </w:rPr>
        <w:t xml:space="preserve"> </w:t>
      </w:r>
    </w:p>
    <w:p w14:paraId="6ADDFE5F" w14:textId="77777777" w:rsidR="005C0974" w:rsidRPr="009B0099" w:rsidRDefault="005C0974" w:rsidP="005C0974">
      <w:pPr>
        <w:autoSpaceDE w:val="0"/>
        <w:autoSpaceDN w:val="0"/>
        <w:adjustRightInd w:val="0"/>
        <w:spacing w:line="240" w:lineRule="auto"/>
        <w:contextualSpacing/>
        <w:rPr>
          <w:rFonts w:asciiTheme="majorBidi" w:hAnsiTheme="majorBidi" w:cstheme="majorBidi"/>
          <w:szCs w:val="22"/>
        </w:rPr>
      </w:pPr>
    </w:p>
    <w:p w14:paraId="61746E2F" w14:textId="77777777" w:rsidR="005C0974" w:rsidRPr="009B0099" w:rsidRDefault="005C0974" w:rsidP="009B0099">
      <w:r w:rsidRPr="009B0099">
        <w:t>Yet, scientific papers commonly stress that captured CO</w:t>
      </w:r>
      <w:r w:rsidRPr="009B0099">
        <w:rPr>
          <w:vertAlign w:val="subscript"/>
        </w:rPr>
        <w:t>2</w:t>
      </w:r>
      <w:r w:rsidRPr="009B0099">
        <w:t xml:space="preserve"> could be “utilized” for a variety of products including synfuels, chemicals, building materials, and cement (e.g., Sandalow et. al. 2017; Davis et. al. 2018; Soltoff 2019; Hepburn et. al. 2019). However, there is no climate-significant level of alternative demand for captured CO</w:t>
      </w:r>
      <w:r w:rsidRPr="009B0099">
        <w:rPr>
          <w:vertAlign w:val="subscript"/>
        </w:rPr>
        <w:t>2</w:t>
      </w:r>
      <w:r w:rsidRPr="009B0099">
        <w:t xml:space="preserve"> at this time (Foehringer Merchant 2018) or in the foreseeable near-future. Sch</w:t>
      </w:r>
      <w:r w:rsidRPr="009B0099">
        <w:rPr>
          <w:b/>
          <w:bCs/>
          <w:color w:val="5F6368"/>
          <w:sz w:val="21"/>
          <w:szCs w:val="21"/>
          <w:shd w:val="clear" w:color="auto" w:fill="FFFFFF"/>
        </w:rPr>
        <w:t>ä</w:t>
      </w:r>
      <w:r w:rsidRPr="009B0099">
        <w:t>fer et. al. (2015)</w:t>
      </w:r>
      <w:r w:rsidRPr="009B0099">
        <w:rPr>
          <w:rStyle w:val="FootnoteReference"/>
          <w:rFonts w:asciiTheme="majorBidi" w:hAnsiTheme="majorBidi" w:cstheme="majorBidi"/>
          <w:sz w:val="22"/>
          <w:szCs w:val="22"/>
        </w:rPr>
        <w:t xml:space="preserve"> </w:t>
      </w:r>
      <w:r w:rsidRPr="009B0099">
        <w:t>note that, outside of EOR, demand for CO</w:t>
      </w:r>
      <w:r w:rsidRPr="009B0099">
        <w:rPr>
          <w:vertAlign w:val="subscript"/>
        </w:rPr>
        <w:t>2</w:t>
      </w:r>
      <w:r w:rsidRPr="009B0099">
        <w:t xml:space="preserve"> as a marketable commodity is extremely small and is likely to remain so in comparison to anthropogenic CO</w:t>
      </w:r>
      <w:r w:rsidRPr="009B0099">
        <w:rPr>
          <w:vertAlign w:val="subscript"/>
        </w:rPr>
        <w:t>2</w:t>
      </w:r>
      <w:r w:rsidRPr="009B0099">
        <w:t xml:space="preserve"> emissions. Bennett et. al. (2014) find that other options are extremely limited due to scale challenges. Mac Dowell et. al. (2017) </w:t>
      </w:r>
      <w:r w:rsidRPr="009B0099">
        <w:rPr>
          <w:color w:val="000000"/>
        </w:rPr>
        <w:t>stress “how negligible the contribution of CCU [would] be to the global CO</w:t>
      </w:r>
      <w:r w:rsidRPr="009B0099">
        <w:rPr>
          <w:rStyle w:val="A8"/>
          <w:rFonts w:asciiTheme="majorBidi" w:hAnsiTheme="majorBidi" w:cstheme="majorBidi"/>
          <w:sz w:val="22"/>
          <w:szCs w:val="22"/>
        </w:rPr>
        <w:t xml:space="preserve">2 </w:t>
      </w:r>
      <w:r w:rsidRPr="009B0099">
        <w:rPr>
          <w:color w:val="000000"/>
        </w:rPr>
        <w:t>mitigation challenge. This emphasizes the danger of reinforcing the narrative that CO</w:t>
      </w:r>
      <w:r w:rsidRPr="009B0099">
        <w:rPr>
          <w:rStyle w:val="A8"/>
          <w:rFonts w:asciiTheme="majorBidi" w:hAnsiTheme="majorBidi" w:cstheme="majorBidi"/>
          <w:sz w:val="22"/>
          <w:szCs w:val="22"/>
        </w:rPr>
        <w:t xml:space="preserve">2 </w:t>
      </w:r>
      <w:r w:rsidRPr="009B0099">
        <w:rPr>
          <w:color w:val="000000"/>
        </w:rPr>
        <w:t>utilization is key to making CCS profitable in a simplistic commercial sense.”</w:t>
      </w:r>
      <w:r w:rsidRPr="009B0099">
        <w:t xml:space="preserve"> The Center for International Environmental Law (2019), citing the Norway-based research group NORCE, which actively advocates for CCUS, observed that “EOR is ‘currently the only commercially ready process allowing for si</w:t>
      </w:r>
      <w:r w:rsidRPr="009B0099">
        <w:softHyphen/>
        <w:t>multaneous utilization and storage (CCUS) of industrial-scale volumes[.]’” Even a leading CCS advocacy organization – the Global CCS Institute – notes that</w:t>
      </w:r>
      <w:r w:rsidRPr="009B0099">
        <w:rPr>
          <w:rFonts w:eastAsia="Times New Roman"/>
        </w:rPr>
        <w:t xml:space="preserve"> “the market for products derived from non-EOR use of CO</w:t>
      </w:r>
      <w:r w:rsidRPr="009B0099">
        <w:rPr>
          <w:rFonts w:eastAsia="Times New Roman"/>
          <w:vertAlign w:val="subscript"/>
        </w:rPr>
        <w:t>2</w:t>
      </w:r>
      <w:r w:rsidRPr="009B0099">
        <w:rPr>
          <w:rFonts w:eastAsia="Times New Roman"/>
        </w:rPr>
        <w:t xml:space="preserve"> is small relative to what is needed to be stored in order to limit global temperature rise…” (Global CCS Institute, undated).</w:t>
      </w:r>
      <w:r w:rsidRPr="009B0099">
        <w:t xml:space="preserve"> Also, permanence of sequestration in materials and products is an issue.  Production of liquid fuels is a frequently-mentioned use of CO</w:t>
      </w:r>
      <w:r w:rsidRPr="009B0099">
        <w:rPr>
          <w:vertAlign w:val="subscript"/>
        </w:rPr>
        <w:t>2</w:t>
      </w:r>
      <w:r w:rsidRPr="009B0099">
        <w:t xml:space="preserve">, </w:t>
      </w:r>
      <w:bookmarkStart w:id="2" w:name="_Hlk41750319"/>
      <w:r w:rsidRPr="009B0099">
        <w:t>but van Renssen (2020), summarizing an assessment of over 11,000 peer-reviewed papers by Hepburn et. al., (2019) notes that “while CO2 can stay in building materials for decades, it may be stored for just a few weeks in fuels like methanol</w:t>
      </w:r>
      <w:r w:rsidRPr="009B0099">
        <w:rPr>
          <w:b/>
          <w:bCs/>
        </w:rPr>
        <w:t>.</w:t>
      </w:r>
      <w:r w:rsidRPr="009B0099">
        <w:t xml:space="preserve"> The currently much-hyped low-carbon liquid fuels are at best a carbon neutral, not a carbon negative solution.”</w:t>
      </w:r>
    </w:p>
    <w:bookmarkEnd w:id="2"/>
    <w:p w14:paraId="4AB3DBAA" w14:textId="77777777" w:rsidR="005C0974" w:rsidRPr="009B0099" w:rsidRDefault="005C0974" w:rsidP="005C0974">
      <w:pPr>
        <w:rPr>
          <w:rFonts w:asciiTheme="majorBidi" w:hAnsiTheme="majorBidi" w:cstheme="majorBidi"/>
        </w:rPr>
      </w:pPr>
    </w:p>
    <w:p w14:paraId="2A50D534" w14:textId="7A0FE8CE" w:rsidR="005C0974" w:rsidRPr="009B0099" w:rsidRDefault="005C0974">
      <w:pPr>
        <w:rPr>
          <w:rFonts w:asciiTheme="majorBidi" w:hAnsiTheme="majorBidi" w:cstheme="majorBidi"/>
        </w:rPr>
      </w:pPr>
    </w:p>
    <w:p w14:paraId="15F6F33C" w14:textId="4D856A75" w:rsidR="00AD193A" w:rsidRPr="009B0099" w:rsidRDefault="009F5642"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Appendix 2</w:t>
      </w:r>
    </w:p>
    <w:p w14:paraId="1251F13C" w14:textId="50744224" w:rsidR="00AD193A" w:rsidRPr="009B0099" w:rsidRDefault="00AD193A"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Displacement assumption and efficiency factor</w:t>
      </w:r>
    </w:p>
    <w:p w14:paraId="410781FC" w14:textId="144DBEDF" w:rsidR="005C0974" w:rsidRPr="009B0099" w:rsidRDefault="005C0974">
      <w:pPr>
        <w:rPr>
          <w:rFonts w:asciiTheme="majorBidi" w:hAnsiTheme="majorBidi" w:cstheme="majorBidi"/>
        </w:rPr>
      </w:pPr>
    </w:p>
    <w:p w14:paraId="05A033A0" w14:textId="6DE946F5" w:rsidR="009F5642" w:rsidRPr="009B0099" w:rsidRDefault="009F5642">
      <w:pPr>
        <w:rPr>
          <w:rFonts w:asciiTheme="majorBidi" w:hAnsiTheme="majorBidi" w:cstheme="majorBidi"/>
        </w:rPr>
      </w:pPr>
    </w:p>
    <w:p w14:paraId="180DE314" w14:textId="0BD8E078" w:rsidR="009F5642" w:rsidRPr="009B0099" w:rsidRDefault="00AD193A" w:rsidP="00AD193A">
      <w:pPr>
        <w:rPr>
          <w:rFonts w:asciiTheme="majorBidi" w:hAnsiTheme="majorBidi" w:cstheme="majorBidi"/>
          <w:b/>
          <w:bCs/>
          <w:sz w:val="24"/>
        </w:rPr>
      </w:pPr>
      <w:r w:rsidRPr="009B0099">
        <w:rPr>
          <w:rFonts w:asciiTheme="majorBidi" w:hAnsiTheme="majorBidi" w:cstheme="majorBidi"/>
          <w:b/>
          <w:bCs/>
          <w:sz w:val="24"/>
        </w:rPr>
        <w:t>D</w:t>
      </w:r>
      <w:r w:rsidR="009F5642" w:rsidRPr="009B0099">
        <w:rPr>
          <w:rFonts w:asciiTheme="majorBidi" w:hAnsiTheme="majorBidi" w:cstheme="majorBidi"/>
          <w:b/>
          <w:bCs/>
          <w:sz w:val="24"/>
        </w:rPr>
        <w:t>isplacement assumption</w:t>
      </w:r>
    </w:p>
    <w:p w14:paraId="67CD3427" w14:textId="77777777" w:rsidR="009F5642" w:rsidRPr="009B0099" w:rsidRDefault="009F5642" w:rsidP="009F5642">
      <w:pPr>
        <w:rPr>
          <w:rFonts w:asciiTheme="majorBidi" w:hAnsiTheme="majorBidi" w:cstheme="majorBidi"/>
        </w:rPr>
      </w:pPr>
    </w:p>
    <w:p w14:paraId="4656BDB8" w14:textId="4BAF2759" w:rsidR="009F5642" w:rsidRPr="009B0099" w:rsidRDefault="009F5642" w:rsidP="009F5642">
      <w:pPr>
        <w:rPr>
          <w:rFonts w:asciiTheme="majorBidi" w:hAnsiTheme="majorBidi" w:cstheme="majorBidi"/>
          <w:color w:val="000000" w:themeColor="text1"/>
        </w:rPr>
      </w:pPr>
      <w:r w:rsidRPr="009B0099">
        <w:rPr>
          <w:rFonts w:asciiTheme="majorBidi" w:hAnsiTheme="majorBidi" w:cstheme="majorBidi"/>
        </w:rPr>
        <w:t>Some studies report that CCS-EOR represents climate change “mitigation” or “abatement” by making an assumption about energy production “displacement”. In t</w:t>
      </w:r>
      <w:r w:rsidRPr="009B0099">
        <w:rPr>
          <w:rFonts w:asciiTheme="majorBidi" w:hAnsiTheme="majorBidi" w:cstheme="majorBidi"/>
          <w:color w:val="000000" w:themeColor="text1"/>
        </w:rPr>
        <w:t>he “displacement” assumption, it is asserted that the CCS-EOR-produced oil displaces a certain amount of conventionally produced oil. EOR oil is said to have lower CO</w:t>
      </w:r>
      <w:r w:rsidRPr="009B0099">
        <w:rPr>
          <w:rFonts w:asciiTheme="majorBidi" w:hAnsiTheme="majorBidi" w:cstheme="majorBidi"/>
          <w:color w:val="000000" w:themeColor="text1"/>
          <w:vertAlign w:val="subscript"/>
        </w:rPr>
        <w:t>2</w:t>
      </w:r>
      <w:r w:rsidRPr="009B0099">
        <w:rPr>
          <w:rFonts w:asciiTheme="majorBidi" w:hAnsiTheme="majorBidi" w:cstheme="majorBidi"/>
          <w:color w:val="000000" w:themeColor="text1"/>
        </w:rPr>
        <w:t xml:space="preserve"> emissions than conventionally produced oil (because some of the CO</w:t>
      </w:r>
      <w:r w:rsidRPr="009B0099">
        <w:rPr>
          <w:rFonts w:asciiTheme="majorBidi" w:hAnsiTheme="majorBidi" w:cstheme="majorBidi"/>
          <w:color w:val="000000" w:themeColor="text1"/>
          <w:vertAlign w:val="subscript"/>
        </w:rPr>
        <w:t>2</w:t>
      </w:r>
      <w:r w:rsidRPr="009B0099">
        <w:rPr>
          <w:rFonts w:asciiTheme="majorBidi" w:hAnsiTheme="majorBidi" w:cstheme="majorBidi"/>
          <w:color w:val="000000" w:themeColor="text1"/>
        </w:rPr>
        <w:t xml:space="preserve"> remains underground), and, using the assumption that the EOR oil displaces conventionally-produced oil, authors are able to assert that a relative CO</w:t>
      </w:r>
      <w:r w:rsidRPr="009B0099">
        <w:rPr>
          <w:rFonts w:asciiTheme="majorBidi" w:hAnsiTheme="majorBidi" w:cstheme="majorBidi"/>
          <w:color w:val="000000" w:themeColor="text1"/>
          <w:vertAlign w:val="subscript"/>
        </w:rPr>
        <w:t>2</w:t>
      </w:r>
      <w:r w:rsidRPr="009B0099">
        <w:rPr>
          <w:rFonts w:asciiTheme="majorBidi" w:hAnsiTheme="majorBidi" w:cstheme="majorBidi"/>
          <w:color w:val="000000" w:themeColor="text1"/>
        </w:rPr>
        <w:t xml:space="preserve"> emissions reduction takes place.  In the reviewed literature we found that the way the displacement argument unfolds is either by constricting the carbon accounting framework to a partial LCA (i.e. cutting off the downstream part as in Faltinson &amp; Gunter 2011) and thereby ignoring those emissions, or by treating the difference of emissions between conventional and non-conventional oil as an amount that can be further deducted (e.g. in </w:t>
      </w:r>
      <w:r w:rsidRPr="009B0099">
        <w:rPr>
          <w:rFonts w:asciiTheme="majorBidi" w:hAnsiTheme="majorBidi" w:cstheme="majorBidi"/>
          <w:szCs w:val="22"/>
        </w:rPr>
        <w:t>International Energy Agency</w:t>
      </w:r>
      <w:r w:rsidRPr="009B0099">
        <w:rPr>
          <w:rFonts w:asciiTheme="majorBidi" w:hAnsiTheme="majorBidi" w:cstheme="majorBidi"/>
          <w:color w:val="000000" w:themeColor="text1"/>
        </w:rPr>
        <w:t xml:space="preserve"> 2015). In some studies, the displacement factor is not “credited” to conventional barrels of oil but to electricity generation at the point where the CO</w:t>
      </w:r>
      <w:r w:rsidRPr="009B0099">
        <w:rPr>
          <w:rFonts w:asciiTheme="majorBidi" w:hAnsiTheme="majorBidi" w:cstheme="majorBidi"/>
          <w:color w:val="000000" w:themeColor="text1"/>
          <w:vertAlign w:val="subscript"/>
        </w:rPr>
        <w:t>2</w:t>
      </w:r>
      <w:r w:rsidRPr="009B0099">
        <w:rPr>
          <w:rFonts w:asciiTheme="majorBidi" w:hAnsiTheme="majorBidi" w:cstheme="majorBidi"/>
          <w:color w:val="000000" w:themeColor="text1"/>
        </w:rPr>
        <w:t xml:space="preserve"> was sourced (e.g. Azzolina et al. 2016). In effect, even though the overall CCS-EOR process is net-CO</w:t>
      </w:r>
      <w:r w:rsidRPr="009B0099">
        <w:rPr>
          <w:rFonts w:asciiTheme="majorBidi" w:hAnsiTheme="majorBidi" w:cstheme="majorBidi"/>
          <w:color w:val="000000" w:themeColor="text1"/>
          <w:vertAlign w:val="subscript"/>
        </w:rPr>
        <w:t>2</w:t>
      </w:r>
      <w:r w:rsidRPr="009B0099">
        <w:rPr>
          <w:rFonts w:asciiTheme="majorBidi" w:hAnsiTheme="majorBidi" w:cstheme="majorBidi"/>
          <w:color w:val="000000" w:themeColor="text1"/>
        </w:rPr>
        <w:t xml:space="preserve"> additive (releases more CO</w:t>
      </w:r>
      <w:r w:rsidRPr="009B0099">
        <w:rPr>
          <w:rFonts w:asciiTheme="majorBidi" w:hAnsiTheme="majorBidi" w:cstheme="majorBidi"/>
          <w:color w:val="000000" w:themeColor="text1"/>
          <w:vertAlign w:val="subscript"/>
        </w:rPr>
        <w:t>2</w:t>
      </w:r>
      <w:r w:rsidRPr="009B0099">
        <w:rPr>
          <w:rFonts w:asciiTheme="majorBidi" w:hAnsiTheme="majorBidi" w:cstheme="majorBidi"/>
          <w:color w:val="000000" w:themeColor="text1"/>
        </w:rPr>
        <w:t xml:space="preserve"> than it sequesters) it is claimed that the EOR-produced oil results in “net reductions” (</w:t>
      </w:r>
      <w:r w:rsidRPr="009B0099">
        <w:rPr>
          <w:rFonts w:asciiTheme="majorBidi" w:hAnsiTheme="majorBidi" w:cstheme="majorBidi"/>
          <w:szCs w:val="22"/>
        </w:rPr>
        <w:t>International Energy Agency</w:t>
      </w:r>
      <w:r w:rsidRPr="009B0099">
        <w:rPr>
          <w:rFonts w:asciiTheme="majorBidi" w:hAnsiTheme="majorBidi" w:cstheme="majorBidi"/>
          <w:color w:val="000000" w:themeColor="text1"/>
        </w:rPr>
        <w:t xml:space="preserve"> 2015). Such a perspective frames “net reductive” not in the way of absolute reduction but in the sense of releasing </w:t>
      </w:r>
      <w:r w:rsidRPr="009B0099">
        <w:rPr>
          <w:rFonts w:asciiTheme="majorBidi" w:hAnsiTheme="majorBidi" w:cstheme="majorBidi"/>
          <w:i/>
          <w:iCs/>
          <w:color w:val="000000" w:themeColor="text1"/>
        </w:rPr>
        <w:t>fewer</w:t>
      </w:r>
      <w:r w:rsidRPr="009B0099">
        <w:rPr>
          <w:rFonts w:asciiTheme="majorBidi" w:hAnsiTheme="majorBidi" w:cstheme="majorBidi"/>
          <w:color w:val="000000" w:themeColor="text1"/>
        </w:rPr>
        <w:t xml:space="preserve"> emissions than oil produced in the business as usual scenario. That theoretical, comparative, “reduction” in emissions is labeled “mitigation”. The displacement argument is primarily made in studies of CCS-EOR, but would also apply to DAC-EOR.  </w:t>
      </w:r>
    </w:p>
    <w:p w14:paraId="08B917DC" w14:textId="77777777" w:rsidR="009F5642" w:rsidRPr="009B0099" w:rsidRDefault="009F5642" w:rsidP="009F5642">
      <w:pPr>
        <w:rPr>
          <w:rFonts w:asciiTheme="majorBidi" w:hAnsiTheme="majorBidi" w:cstheme="majorBidi"/>
          <w:color w:val="000000" w:themeColor="text1"/>
        </w:rPr>
      </w:pPr>
    </w:p>
    <w:p w14:paraId="3FD5087F" w14:textId="77777777" w:rsidR="009F5642" w:rsidRPr="009B0099" w:rsidRDefault="009F5642" w:rsidP="009F5642">
      <w:pPr>
        <w:rPr>
          <w:rFonts w:asciiTheme="majorBidi" w:eastAsiaTheme="minorEastAsia" w:hAnsiTheme="majorBidi" w:cstheme="majorBidi"/>
        </w:rPr>
      </w:pPr>
      <w:r w:rsidRPr="009B0099">
        <w:rPr>
          <w:rFonts w:asciiTheme="majorBidi" w:hAnsiTheme="majorBidi" w:cstheme="majorBidi"/>
        </w:rPr>
        <w:t>The displacement argument was laid out a decade ago by Faltinson and Gunter (2011): “World oil production is determined by world oil demand and if CO</w:t>
      </w:r>
      <w:r w:rsidRPr="009B0099">
        <w:rPr>
          <w:rFonts w:asciiTheme="majorBidi" w:hAnsiTheme="majorBidi" w:cstheme="majorBidi"/>
          <w:vertAlign w:val="subscript"/>
        </w:rPr>
        <w:t>2</w:t>
      </w:r>
      <w:r w:rsidRPr="009B0099">
        <w:rPr>
          <w:rFonts w:asciiTheme="majorBidi" w:hAnsiTheme="majorBidi" w:cstheme="majorBidi"/>
        </w:rPr>
        <w:t>-EOR projects were not undertaken, some other source of oil would step forward and fill the gap. Therefore, executing CO</w:t>
      </w:r>
      <w:r w:rsidRPr="009B0099">
        <w:rPr>
          <w:rFonts w:asciiTheme="majorBidi" w:hAnsiTheme="majorBidi" w:cstheme="majorBidi"/>
          <w:vertAlign w:val="subscript"/>
        </w:rPr>
        <w:t>2</w:t>
      </w:r>
      <w:r w:rsidRPr="009B0099">
        <w:rPr>
          <w:rFonts w:asciiTheme="majorBidi" w:hAnsiTheme="majorBidi" w:cstheme="majorBidi"/>
        </w:rPr>
        <w:t xml:space="preserve">-EOR projects will not result in incremental aggregate refining and consumption emissions.” From the gate-to-gate perspective on which their findings are based (stages M and N in Figure 3, which excludes upstream and downstream emissions), we calculate a mean </w:t>
      </w:r>
      <m:oMath>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vertAlign w:val="subscript"/>
              </w:rPr>
              <m:t>CO2</m:t>
            </m:r>
          </m:sub>
        </m:sSub>
      </m:oMath>
      <w:r w:rsidRPr="009B0099">
        <w:rPr>
          <w:rFonts w:asciiTheme="majorBidi" w:hAnsiTheme="majorBidi" w:cstheme="majorBidi"/>
        </w:rPr>
        <w:t xml:space="preserve"> of 0.81 (a CO</w:t>
      </w:r>
      <w:r w:rsidRPr="009B0099">
        <w:rPr>
          <w:rFonts w:asciiTheme="majorBidi" w:hAnsiTheme="majorBidi" w:cstheme="majorBidi"/>
          <w:vertAlign w:val="subscript"/>
        </w:rPr>
        <w:t>2</w:t>
      </w:r>
      <w:r w:rsidRPr="009B0099">
        <w:rPr>
          <w:rFonts w:asciiTheme="majorBidi" w:hAnsiTheme="majorBidi" w:cstheme="majorBidi"/>
        </w:rPr>
        <w:t xml:space="preserve"> reduction) for the inspected EOR projects. When we also include their data on combustion emissions (a gate-to-grave perspective; stages M through Q in Figure 3) the overall carbon emission-storage ratio becomes 2.55 (the process is a net CO</w:t>
      </w:r>
      <w:r w:rsidRPr="009B0099">
        <w:rPr>
          <w:rFonts w:asciiTheme="majorBidi" w:hAnsiTheme="majorBidi" w:cstheme="majorBidi"/>
          <w:vertAlign w:val="subscript"/>
        </w:rPr>
        <w:t>2</w:t>
      </w:r>
      <w:r w:rsidRPr="009B0099">
        <w:rPr>
          <w:rFonts w:asciiTheme="majorBidi" w:hAnsiTheme="majorBidi" w:cstheme="majorBidi"/>
        </w:rPr>
        <w:t xml:space="preserve"> emitter). And note that even that significant emissions amount excludes the upstream emissions. Thus, despite the paper’s argument that EOR is a “promising method for reducing carbon dioxide (CO</w:t>
      </w:r>
      <w:r w:rsidRPr="009B0099">
        <w:rPr>
          <w:rFonts w:asciiTheme="majorBidi" w:hAnsiTheme="majorBidi" w:cstheme="majorBidi"/>
          <w:vertAlign w:val="subscript"/>
        </w:rPr>
        <w:t>2</w:t>
      </w:r>
      <w:r w:rsidRPr="009B0099">
        <w:rPr>
          <w:rFonts w:asciiTheme="majorBidi" w:hAnsiTheme="majorBidi" w:cstheme="majorBidi"/>
        </w:rPr>
        <w:t xml:space="preserve">) emissions,” our examination of the data they supplied reveals that their study shows that the process results in net </w:t>
      </w:r>
      <w:r w:rsidRPr="009B0099">
        <w:rPr>
          <w:rFonts w:asciiTheme="majorBidi" w:hAnsiTheme="majorBidi" w:cstheme="majorBidi"/>
          <w:i/>
          <w:iCs/>
        </w:rPr>
        <w:t>additional</w:t>
      </w:r>
      <w:r w:rsidRPr="009B0099">
        <w:rPr>
          <w:rFonts w:asciiTheme="majorBidi" w:hAnsiTheme="majorBidi" w:cstheme="majorBidi"/>
        </w:rPr>
        <w:t xml:space="preserve"> CO</w:t>
      </w:r>
      <w:r w:rsidRPr="009B0099">
        <w:rPr>
          <w:rFonts w:asciiTheme="majorBidi" w:hAnsiTheme="majorBidi" w:cstheme="majorBidi"/>
          <w:vertAlign w:val="subscript"/>
        </w:rPr>
        <w:t>2</w:t>
      </w:r>
      <w:r w:rsidRPr="009B0099">
        <w:rPr>
          <w:rFonts w:asciiTheme="majorBidi" w:hAnsiTheme="majorBidi" w:cstheme="majorBidi"/>
        </w:rPr>
        <w:t xml:space="preserve"> emissions.</w:t>
      </w:r>
    </w:p>
    <w:p w14:paraId="6AB3C51A" w14:textId="77777777" w:rsidR="009F5642" w:rsidRPr="009B0099" w:rsidRDefault="009F5642" w:rsidP="009F5642">
      <w:pPr>
        <w:rPr>
          <w:rFonts w:asciiTheme="majorBidi" w:hAnsiTheme="majorBidi" w:cstheme="majorBidi"/>
          <w:color w:val="000000" w:themeColor="text1"/>
        </w:rPr>
      </w:pPr>
    </w:p>
    <w:p w14:paraId="0D9D75E7" w14:textId="77777777" w:rsidR="009F5642" w:rsidRPr="009B0099" w:rsidRDefault="009F5642" w:rsidP="009F5642">
      <w:pPr>
        <w:rPr>
          <w:rFonts w:asciiTheme="majorBidi" w:hAnsiTheme="majorBidi" w:cstheme="majorBidi"/>
        </w:rPr>
      </w:pPr>
      <w:r w:rsidRPr="009B0099">
        <w:rPr>
          <w:rFonts w:asciiTheme="majorBidi" w:hAnsiTheme="majorBidi" w:cstheme="majorBidi"/>
          <w:color w:val="000000" w:themeColor="text1"/>
        </w:rPr>
        <w:t xml:space="preserve">Numerous studies invoke the displacement assumption (See Table 3), and by doing so are able to look past the </w:t>
      </w:r>
      <w:r w:rsidRPr="009B0099">
        <w:rPr>
          <w:rFonts w:asciiTheme="majorBidi" w:hAnsiTheme="majorBidi" w:cstheme="majorBidi"/>
          <w:i/>
          <w:iCs/>
          <w:color w:val="000000" w:themeColor="text1"/>
        </w:rPr>
        <w:t>actual</w:t>
      </w:r>
      <w:r w:rsidRPr="009B0099">
        <w:rPr>
          <w:rFonts w:asciiTheme="majorBidi" w:hAnsiTheme="majorBidi" w:cstheme="majorBidi"/>
          <w:color w:val="000000" w:themeColor="text1"/>
        </w:rPr>
        <w:t xml:space="preserve"> amount of CO</w:t>
      </w:r>
      <w:r w:rsidRPr="009B0099">
        <w:rPr>
          <w:rFonts w:asciiTheme="majorBidi" w:hAnsiTheme="majorBidi" w:cstheme="majorBidi"/>
          <w:color w:val="000000" w:themeColor="text1"/>
          <w:vertAlign w:val="subscript"/>
        </w:rPr>
        <w:t>2</w:t>
      </w:r>
      <w:r w:rsidRPr="009B0099">
        <w:rPr>
          <w:rFonts w:asciiTheme="majorBidi" w:hAnsiTheme="majorBidi" w:cstheme="majorBidi"/>
          <w:color w:val="000000" w:themeColor="text1"/>
        </w:rPr>
        <w:t xml:space="preserve"> emitted over the entire ICR process and draw their conclusions based on a theoretical net amount after factoring in displacement. Studies that </w:t>
      </w:r>
      <w:bookmarkStart w:id="3" w:name="_Hlk41115343"/>
      <w:bookmarkStart w:id="4" w:name="_Hlk38450543"/>
      <w:r w:rsidRPr="009B0099">
        <w:rPr>
          <w:rFonts w:asciiTheme="majorBidi" w:hAnsiTheme="majorBidi" w:cstheme="majorBidi"/>
        </w:rPr>
        <w:t xml:space="preserve">have incorporated the displacement argument include: Hussain et al. (2013 pp 132, 134); </w:t>
      </w:r>
      <w:r w:rsidRPr="009B0099">
        <w:rPr>
          <w:rFonts w:asciiTheme="majorBidi" w:hAnsiTheme="majorBidi" w:cstheme="majorBidi"/>
          <w:color w:val="000000" w:themeColor="text1"/>
        </w:rPr>
        <w:t>Wong et al. (2013); Cooney et. al. (2015); International Energy Agency (2015); Azzolina (2016);</w:t>
      </w:r>
      <w:r w:rsidRPr="009B0099">
        <w:rPr>
          <w:rFonts w:asciiTheme="majorBidi" w:hAnsiTheme="majorBidi" w:cstheme="majorBidi"/>
        </w:rPr>
        <w:t xml:space="preserve">  Nagabhushan &amp; Walzer (2016)</w:t>
      </w:r>
      <w:r w:rsidRPr="009B0099">
        <w:rPr>
          <w:rFonts w:asciiTheme="majorBidi" w:hAnsiTheme="majorBidi" w:cstheme="majorBidi"/>
          <w:color w:val="000000" w:themeColor="text1"/>
        </w:rPr>
        <w:t xml:space="preserve">; Nunez-Lopez &amp; Moskal (2019); Nagabhushan &amp; Thompson (2019). </w:t>
      </w:r>
      <w:r w:rsidRPr="009B0099">
        <w:rPr>
          <w:rFonts w:asciiTheme="majorBidi" w:hAnsiTheme="majorBidi" w:cstheme="majorBidi"/>
        </w:rPr>
        <w:t xml:space="preserve">Choosing to invoke this assertion is determinative. </w:t>
      </w:r>
      <w:r w:rsidRPr="009B0099">
        <w:rPr>
          <w:rFonts w:asciiTheme="majorBidi" w:hAnsiTheme="majorBidi" w:cstheme="majorBidi"/>
          <w:color w:val="000000" w:themeColor="text1"/>
        </w:rPr>
        <w:t xml:space="preserve">Kolster et. al. (2017) point out how studies </w:t>
      </w:r>
      <w:r w:rsidRPr="009B0099">
        <w:rPr>
          <w:rFonts w:asciiTheme="majorBidi" w:hAnsiTheme="majorBidi" w:cstheme="majorBidi"/>
          <w:color w:val="000000" w:themeColor="text1"/>
          <w:szCs w:val="22"/>
        </w:rPr>
        <w:t>differ in their “accounting treatment” of produced oil:</w:t>
      </w:r>
      <w:r w:rsidRPr="009B0099">
        <w:rPr>
          <w:rFonts w:asciiTheme="majorBidi" w:hAnsiTheme="majorBidi" w:cstheme="majorBidi"/>
          <w:szCs w:val="22"/>
        </w:rPr>
        <w:t xml:space="preserve"> choosing to invoke the displacement assumption “results in net negative emissions from CO</w:t>
      </w:r>
      <w:r w:rsidRPr="009B0099">
        <w:rPr>
          <w:rFonts w:asciiTheme="majorBidi" w:hAnsiTheme="majorBidi" w:cstheme="majorBidi"/>
          <w:szCs w:val="22"/>
          <w:vertAlign w:val="subscript"/>
        </w:rPr>
        <w:t>2</w:t>
      </w:r>
      <w:r w:rsidRPr="009B0099">
        <w:rPr>
          <w:rFonts w:asciiTheme="majorBidi" w:hAnsiTheme="majorBidi" w:cstheme="majorBidi"/>
          <w:szCs w:val="22"/>
        </w:rPr>
        <w:t>-EOR,” whereas assuming that the oil produced by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-EOR is </w:t>
      </w:r>
      <w:r w:rsidRPr="009B0099">
        <w:rPr>
          <w:rFonts w:asciiTheme="majorBidi" w:hAnsiTheme="majorBidi" w:cstheme="majorBidi"/>
          <w:i/>
          <w:iCs/>
          <w:szCs w:val="22"/>
        </w:rPr>
        <w:t>additional</w:t>
      </w:r>
      <w:r w:rsidRPr="009B0099">
        <w:rPr>
          <w:rFonts w:asciiTheme="majorBidi" w:hAnsiTheme="majorBidi" w:cstheme="majorBidi"/>
          <w:szCs w:val="22"/>
        </w:rPr>
        <w:t xml:space="preserve"> oil “results in CO2-EOR with net positive emissions.” </w:t>
      </w:r>
      <w:bookmarkStart w:id="5" w:name="_Hlk41812081"/>
      <w:bookmarkEnd w:id="3"/>
      <w:r w:rsidRPr="009B0099">
        <w:rPr>
          <w:rFonts w:asciiTheme="majorBidi" w:hAnsiTheme="majorBidi" w:cstheme="majorBidi"/>
          <w:szCs w:val="22"/>
        </w:rPr>
        <w:t xml:space="preserve">For example, our </w:t>
      </w:r>
      <w:r w:rsidRPr="009B0099">
        <w:rPr>
          <w:rFonts w:asciiTheme="majorBidi" w:eastAsia="Arial" w:hAnsiTheme="majorBidi" w:cstheme="majorBidi"/>
          <w:szCs w:val="22"/>
        </w:rPr>
        <w:t xml:space="preserve">calculations using the data in Azzolina et al. (2016) show that a net emissions value of 0.96 (net reduction) increases to 1.55 (net addition) for the estimate of life-cycle greenhouse gas generation </w:t>
      </w:r>
      <w:r w:rsidRPr="009B0099">
        <w:rPr>
          <w:rFonts w:asciiTheme="majorBidi" w:hAnsiTheme="majorBidi" w:cstheme="majorBidi"/>
          <w:i/>
          <w:iCs/>
          <w:szCs w:val="22"/>
        </w:rPr>
        <w:t>when the displacement assumption is not invoked</w:t>
      </w:r>
      <w:r w:rsidRPr="009B0099">
        <w:rPr>
          <w:rFonts w:asciiTheme="majorBidi" w:hAnsiTheme="majorBidi" w:cstheme="majorBidi"/>
          <w:szCs w:val="22"/>
        </w:rPr>
        <w:t>.</w:t>
      </w:r>
    </w:p>
    <w:bookmarkEnd w:id="4"/>
    <w:bookmarkEnd w:id="5"/>
    <w:p w14:paraId="6CC0D144" w14:textId="6859A24C" w:rsidR="009F5642" w:rsidRPr="009B0099" w:rsidRDefault="009F5642" w:rsidP="009F5642">
      <w:pPr>
        <w:autoSpaceDE w:val="0"/>
        <w:autoSpaceDN w:val="0"/>
        <w:adjustRightInd w:val="0"/>
        <w:spacing w:line="240" w:lineRule="auto"/>
        <w:rPr>
          <w:rFonts w:asciiTheme="majorBidi" w:hAnsiTheme="majorBidi" w:cstheme="majorBidi"/>
          <w:color w:val="000000" w:themeColor="text1"/>
        </w:rPr>
      </w:pPr>
    </w:p>
    <w:p w14:paraId="51B42768" w14:textId="0758ACE8" w:rsidR="00AD193A" w:rsidRPr="009B0099" w:rsidRDefault="00AD193A" w:rsidP="009F5642">
      <w:pPr>
        <w:autoSpaceDE w:val="0"/>
        <w:autoSpaceDN w:val="0"/>
        <w:adjustRightInd w:val="0"/>
        <w:spacing w:line="240" w:lineRule="auto"/>
        <w:rPr>
          <w:rFonts w:asciiTheme="majorBidi" w:hAnsiTheme="majorBidi" w:cstheme="majorBidi"/>
          <w:color w:val="000000" w:themeColor="text1"/>
        </w:rPr>
      </w:pPr>
    </w:p>
    <w:p w14:paraId="6FEDF7E0" w14:textId="62365DD1" w:rsidR="00AD193A" w:rsidRPr="009B0099" w:rsidRDefault="00AD193A" w:rsidP="009F5642">
      <w:pPr>
        <w:autoSpaceDE w:val="0"/>
        <w:autoSpaceDN w:val="0"/>
        <w:adjustRightInd w:val="0"/>
        <w:spacing w:line="240" w:lineRule="auto"/>
        <w:rPr>
          <w:rFonts w:asciiTheme="majorBidi" w:hAnsiTheme="majorBidi" w:cstheme="majorBidi"/>
          <w:b/>
          <w:bCs/>
          <w:color w:val="000000" w:themeColor="text1"/>
          <w:sz w:val="24"/>
        </w:rPr>
      </w:pPr>
      <w:r w:rsidRPr="009B0099">
        <w:rPr>
          <w:rFonts w:asciiTheme="majorBidi" w:hAnsiTheme="majorBidi" w:cstheme="majorBidi"/>
          <w:b/>
          <w:bCs/>
          <w:color w:val="000000" w:themeColor="text1"/>
          <w:sz w:val="24"/>
        </w:rPr>
        <w:t>Efficiency Factor</w:t>
      </w:r>
    </w:p>
    <w:p w14:paraId="5AB9F6DD" w14:textId="77777777" w:rsidR="00AD193A" w:rsidRPr="009B0099" w:rsidRDefault="00AD193A" w:rsidP="009F5642">
      <w:pPr>
        <w:autoSpaceDE w:val="0"/>
        <w:autoSpaceDN w:val="0"/>
        <w:adjustRightInd w:val="0"/>
        <w:spacing w:line="240" w:lineRule="auto"/>
        <w:rPr>
          <w:rFonts w:asciiTheme="majorBidi" w:hAnsiTheme="majorBidi" w:cstheme="majorBidi"/>
          <w:color w:val="000000" w:themeColor="text1"/>
        </w:rPr>
      </w:pPr>
    </w:p>
    <w:p w14:paraId="3C29204E" w14:textId="77777777" w:rsidR="009F5642" w:rsidRPr="009B0099" w:rsidRDefault="009F5642" w:rsidP="009F5642">
      <w:pPr>
        <w:autoSpaceDE w:val="0"/>
        <w:autoSpaceDN w:val="0"/>
        <w:adjustRightInd w:val="0"/>
        <w:spacing w:line="240" w:lineRule="auto"/>
        <w:rPr>
          <w:rFonts w:asciiTheme="majorBidi" w:eastAsia="Arial" w:hAnsiTheme="majorBidi" w:cstheme="majorBidi"/>
          <w:szCs w:val="22"/>
        </w:rPr>
      </w:pPr>
      <w:r w:rsidRPr="009B0099">
        <w:rPr>
          <w:rFonts w:asciiTheme="majorBidi" w:hAnsiTheme="majorBidi" w:cstheme="majorBidi"/>
          <w:color w:val="000000" w:themeColor="text1"/>
        </w:rPr>
        <w:t xml:space="preserve">The “displacement” argument is further complicated by arguments about what “efficiency factor” to use. </w:t>
      </w:r>
      <w:r w:rsidRPr="009B0099">
        <w:rPr>
          <w:rFonts w:asciiTheme="majorBidi" w:hAnsiTheme="majorBidi" w:cstheme="majorBidi"/>
          <w:szCs w:val="22"/>
        </w:rPr>
        <w:t xml:space="preserve">The </w:t>
      </w:r>
      <w:r w:rsidRPr="009B0099">
        <w:rPr>
          <w:rFonts w:asciiTheme="majorBidi" w:hAnsiTheme="majorBidi" w:cstheme="majorBidi"/>
          <w:i/>
          <w:iCs/>
          <w:szCs w:val="22"/>
        </w:rPr>
        <w:t>amount</w:t>
      </w:r>
      <w:r w:rsidRPr="009B0099">
        <w:rPr>
          <w:rFonts w:asciiTheme="majorBidi" w:hAnsiTheme="majorBidi" w:cstheme="majorBidi"/>
          <w:szCs w:val="22"/>
        </w:rPr>
        <w:t xml:space="preserve"> of displacement that is calculated is, in part, dependent upon what “efficiency factor” is chosen. (This factor also goes by other names, such as the “crude recovery ratio,” or “net utilization rate”)</w:t>
      </w:r>
      <w:r w:rsidRPr="009B0099">
        <w:rPr>
          <w:rFonts w:asciiTheme="majorBidi" w:eastAsia="Arial" w:hAnsiTheme="majorBidi" w:cstheme="majorBidi"/>
          <w:color w:val="C45911" w:themeColor="accent2" w:themeShade="BF"/>
          <w:szCs w:val="22"/>
        </w:rPr>
        <w:t xml:space="preserve">. </w:t>
      </w:r>
      <w:r w:rsidRPr="009B0099">
        <w:rPr>
          <w:rFonts w:asciiTheme="majorBidi" w:hAnsiTheme="majorBidi" w:cstheme="majorBidi"/>
          <w:szCs w:val="22"/>
        </w:rPr>
        <w:t xml:space="preserve">As the International Energy Agency (2015) explains: “net </w:t>
      </w:r>
      <w:r w:rsidRPr="009B0099">
        <w:rPr>
          <w:rFonts w:asciiTheme="majorBidi" w:eastAsia="Arial" w:hAnsiTheme="majorBidi" w:cstheme="majorBidi"/>
          <w:szCs w:val="22"/>
        </w:rPr>
        <w:t xml:space="preserve">utilization </w:t>
      </w:r>
      <w:r w:rsidRPr="009B0099">
        <w:rPr>
          <w:rFonts w:asciiTheme="majorBidi" w:hAnsiTheme="majorBidi" w:cstheme="majorBidi"/>
          <w:szCs w:val="22"/>
        </w:rPr>
        <w:t>is a key factor in determining the emissions from CO2-EOR projects.” The “efficiency factor” of the CO</w:t>
      </w:r>
      <w:r w:rsidRPr="009B0099">
        <w:rPr>
          <w:rFonts w:asciiTheme="majorBidi" w:hAnsiTheme="majorBidi" w:cstheme="majorBidi"/>
          <w:szCs w:val="22"/>
          <w:vertAlign w:val="subscript"/>
        </w:rPr>
        <w:t>2</w:t>
      </w:r>
      <w:r w:rsidRPr="009B0099">
        <w:rPr>
          <w:rFonts w:asciiTheme="majorBidi" w:hAnsiTheme="majorBidi" w:cstheme="majorBidi"/>
          <w:szCs w:val="22"/>
        </w:rPr>
        <w:t>-EOR process is a production ratio of how much oil is produced, or theoretically produced, compared</w:t>
      </w:r>
      <w:r w:rsidRPr="009B0099">
        <w:rPr>
          <w:rFonts w:asciiTheme="majorBidi" w:hAnsiTheme="majorBidi" w:cstheme="majorBidi"/>
        </w:rPr>
        <w:t xml:space="preserve"> to the amount of CO</w:t>
      </w:r>
      <w:r w:rsidRPr="009B0099">
        <w:rPr>
          <w:rFonts w:asciiTheme="majorBidi" w:hAnsiTheme="majorBidi" w:cstheme="majorBidi"/>
          <w:vertAlign w:val="subscript"/>
        </w:rPr>
        <w:t>2</w:t>
      </w:r>
      <w:r w:rsidRPr="009B0099">
        <w:rPr>
          <w:rFonts w:asciiTheme="majorBidi" w:hAnsiTheme="majorBidi" w:cstheme="majorBidi"/>
        </w:rPr>
        <w:t xml:space="preserve"> purchased for injection, a factor that is also referred to as “EOR process efficiency” (Hussain et al. 2013) or “crude recovery ratio” (Cooney et al. 2015). </w:t>
      </w:r>
      <w:r w:rsidRPr="009B0099">
        <w:rPr>
          <w:rFonts w:asciiTheme="majorBidi" w:eastAsia="Arial" w:hAnsiTheme="majorBidi" w:cstheme="majorBidi"/>
          <w:szCs w:val="22"/>
        </w:rPr>
        <w:t>Many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-EOR studies are engrossed with efficiency factor analysis – technicalities about the amount of oil that is produced by a particular amount of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 xml:space="preserve"> injected – provoking debates about what factor is appropriate to apply. The argument is that even though the net reduction of carbon is higher for saline injection (i.e., no utilization) than for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-EOR (Jaramillo et al. 2009; Cuéllar-Franca &amp; Azpagic 2015) carbon reduction benefits of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-EOR can be obtained and are determined by the efficiency of the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 xml:space="preserve"> usage (Dismukes et al. 2018). The benefits of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-EOR as a mitigation method are lower if there is a higher number of barrels of oil produced per ton of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 xml:space="preserve"> purchased for injection (bbl/tCO2), and the emission benefits increase if the oil production efficiency decreases (Dismukes et al. 2018). The crude recovery ratio of 4.6-6.5 bbl/tCO2 that was reported by Jaramillo et al. (2009) was criticized by Cooney et. al. (2015) (which </w:t>
      </w:r>
      <w:r w:rsidRPr="009B0099">
        <w:rPr>
          <w:rFonts w:asciiTheme="majorBidi" w:eastAsia="Arial" w:hAnsiTheme="majorBidi" w:cstheme="majorBidi"/>
          <w:color w:val="222222"/>
          <w:szCs w:val="22"/>
        </w:rPr>
        <w:t>refers to estimates from Murrell and DiPietro),</w:t>
      </w:r>
      <w:r w:rsidRPr="009B0099">
        <w:rPr>
          <w:rFonts w:asciiTheme="majorBidi" w:eastAsia="Arial" w:hAnsiTheme="majorBidi" w:cstheme="majorBidi"/>
          <w:szCs w:val="22"/>
        </w:rPr>
        <w:t xml:space="preserve"> and by Azzolina et al. (2016), which </w:t>
      </w:r>
      <w:r w:rsidRPr="009B0099">
        <w:rPr>
          <w:rFonts w:asciiTheme="majorBidi" w:eastAsia="Arial" w:hAnsiTheme="majorBidi" w:cstheme="majorBidi"/>
          <w:color w:val="222222"/>
          <w:szCs w:val="22"/>
        </w:rPr>
        <w:t>refers to lower recovery ratios than Jaramillo et al. (2009). Azzolina et al. (2016) state that the Jaramillo et al. (2009) paper "greatly exaggerates the efficiency,</w:t>
      </w:r>
      <w:r w:rsidRPr="009B0099">
        <w:rPr>
          <w:rFonts w:asciiTheme="majorBidi" w:eastAsia="Arial" w:hAnsiTheme="majorBidi" w:cstheme="majorBidi"/>
          <w:color w:val="000000" w:themeColor="text1"/>
          <w:szCs w:val="22"/>
        </w:rPr>
        <w:t xml:space="preserve"> which, in turn, significantly reduces the amount of CO2 that is estimated to be stored in the reservoir.</w:t>
      </w:r>
      <w:r w:rsidRPr="009B0099">
        <w:rPr>
          <w:rFonts w:asciiTheme="majorBidi" w:eastAsia="Arial" w:hAnsiTheme="majorBidi" w:cstheme="majorBidi"/>
          <w:szCs w:val="22"/>
        </w:rPr>
        <w:t>”</w:t>
      </w:r>
      <w:r w:rsidRPr="009B0099">
        <w:rPr>
          <w:rFonts w:asciiTheme="majorBidi" w:hAnsiTheme="majorBidi" w:cstheme="majorBidi"/>
        </w:rPr>
        <w:t xml:space="preserve"> </w:t>
      </w:r>
      <w:r w:rsidRPr="009B0099">
        <w:rPr>
          <w:rFonts w:asciiTheme="majorBidi" w:eastAsia="Arial" w:hAnsiTheme="majorBidi" w:cstheme="majorBidi"/>
          <w:szCs w:val="22"/>
        </w:rPr>
        <w:t>Importantly, however, the finding of Jaramillo et. al. (2009) that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-EOR projects are net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 xml:space="preserve"> positive was not rejected by other estimates of the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 xml:space="preserve"> utilization rate. And even Azzolina et al. (2016) show a net positive value for GHG emissions when the displacement assumption is disregarded.</w:t>
      </w:r>
    </w:p>
    <w:p w14:paraId="295409EF" w14:textId="77AACFD6" w:rsidR="009F5642" w:rsidRPr="009B0099" w:rsidRDefault="009F5642">
      <w:pPr>
        <w:rPr>
          <w:rFonts w:asciiTheme="majorBidi" w:hAnsiTheme="majorBidi" w:cstheme="majorBidi"/>
        </w:rPr>
      </w:pPr>
    </w:p>
    <w:p w14:paraId="7FD9DBC5" w14:textId="4D09CF3B" w:rsidR="00BF25A6" w:rsidRPr="009B0099" w:rsidRDefault="00BF25A6">
      <w:pPr>
        <w:rPr>
          <w:rFonts w:asciiTheme="majorBidi" w:hAnsiTheme="majorBidi" w:cstheme="majorBidi"/>
        </w:rPr>
      </w:pPr>
    </w:p>
    <w:p w14:paraId="245E1461" w14:textId="48408B0E" w:rsidR="00AD193A" w:rsidRPr="009B0099" w:rsidRDefault="00AD193A"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Appendix 3</w:t>
      </w:r>
    </w:p>
    <w:p w14:paraId="0C5FE1BB" w14:textId="6F236C4E" w:rsidR="00BF25A6" w:rsidRPr="009B0099" w:rsidRDefault="00AD193A"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Resource usage and biophysical impacts at scale</w:t>
      </w:r>
    </w:p>
    <w:p w14:paraId="2FFC57BF" w14:textId="77777777" w:rsidR="00AD193A" w:rsidRPr="009B0099" w:rsidRDefault="00AD193A" w:rsidP="00BF25A6">
      <w:pPr>
        <w:jc w:val="center"/>
        <w:rPr>
          <w:rFonts w:asciiTheme="majorBidi" w:hAnsiTheme="majorBidi" w:cstheme="majorBidi"/>
          <w:b/>
          <w:bCs/>
          <w:sz w:val="24"/>
        </w:rPr>
      </w:pPr>
      <w:bookmarkStart w:id="6" w:name="_Hlk45108329"/>
    </w:p>
    <w:p w14:paraId="41C2EE0B" w14:textId="59C6CF93" w:rsidR="00AD193A" w:rsidRPr="009B0099" w:rsidRDefault="00D12789" w:rsidP="00BF25A6">
      <w:pPr>
        <w:rPr>
          <w:rFonts w:asciiTheme="majorBidi" w:hAnsiTheme="majorBidi" w:cstheme="majorBidi"/>
          <w:sz w:val="24"/>
        </w:rPr>
      </w:pPr>
      <w:r w:rsidRPr="009B0099">
        <w:rPr>
          <w:rFonts w:asciiTheme="majorBidi" w:hAnsiTheme="majorBidi" w:cstheme="majorBidi"/>
          <w:b/>
          <w:bCs/>
          <w:sz w:val="28"/>
          <w:szCs w:val="28"/>
        </w:rPr>
        <w:t>Resource usage</w:t>
      </w:r>
    </w:p>
    <w:p w14:paraId="6504EE43" w14:textId="6034A9BE" w:rsidR="00AD193A" w:rsidRPr="009B0099" w:rsidRDefault="00AD193A" w:rsidP="00AD193A">
      <w:pPr>
        <w:rPr>
          <w:rFonts w:asciiTheme="majorBidi" w:hAnsiTheme="majorBidi" w:cstheme="majorBidi"/>
          <w:b/>
          <w:bCs/>
          <w:i/>
          <w:iCs/>
          <w:color w:val="0070C0"/>
          <w:sz w:val="24"/>
        </w:rPr>
      </w:pPr>
      <w:r w:rsidRPr="009B0099">
        <w:rPr>
          <w:rFonts w:asciiTheme="majorBidi" w:hAnsiTheme="majorBidi" w:cstheme="majorBidi"/>
          <w:b/>
          <w:bCs/>
          <w:i/>
          <w:iCs/>
          <w:color w:val="0070C0"/>
          <w:sz w:val="24"/>
        </w:rPr>
        <w:t>Energy required to capture 1 Gt CO2</w:t>
      </w:r>
    </w:p>
    <w:p w14:paraId="326197AF" w14:textId="77777777" w:rsidR="00AD193A" w:rsidRPr="009B0099" w:rsidRDefault="00AD193A" w:rsidP="00BF25A6">
      <w:pPr>
        <w:rPr>
          <w:rFonts w:asciiTheme="majorBidi" w:hAnsiTheme="majorBidi" w:cstheme="majorBidi"/>
          <w:sz w:val="24"/>
        </w:rPr>
      </w:pPr>
    </w:p>
    <w:p w14:paraId="5691442A" w14:textId="77777777" w:rsidR="00BF25A6" w:rsidRPr="009B0099" w:rsidRDefault="00BF25A6" w:rsidP="00BF25A6">
      <w:pPr>
        <w:ind w:left="288"/>
        <w:rPr>
          <w:rFonts w:asciiTheme="majorBidi" w:hAnsiTheme="majorBidi" w:cstheme="majorBidi"/>
          <w:i/>
          <w:iCs/>
          <w:szCs w:val="22"/>
        </w:rPr>
      </w:pPr>
      <w:r w:rsidRPr="009B0099">
        <w:rPr>
          <w:rFonts w:asciiTheme="majorBidi" w:hAnsiTheme="majorBidi" w:cstheme="majorBidi"/>
          <w:i/>
          <w:iCs/>
          <w:szCs w:val="22"/>
        </w:rPr>
        <w:t>Direct Air Capture, fossil fuel powered</w:t>
      </w:r>
    </w:p>
    <w:p w14:paraId="1DF0E17E" w14:textId="77777777" w:rsidR="00BF25A6" w:rsidRPr="009B0099" w:rsidRDefault="00BF25A6" w:rsidP="00BF25A6">
      <w:pPr>
        <w:rPr>
          <w:rFonts w:asciiTheme="majorBidi" w:hAnsiTheme="majorBidi" w:cstheme="majorBidi"/>
          <w:szCs w:val="22"/>
        </w:rPr>
      </w:pPr>
      <w:bookmarkStart w:id="7" w:name="_Hlk45108371"/>
    </w:p>
    <w:p w14:paraId="3D075745" w14:textId="0D810232" w:rsidR="00BF25A6" w:rsidRPr="009B0099" w:rsidRDefault="00BF25A6" w:rsidP="009B0099">
      <w:pPr>
        <w:rPr>
          <w:color w:val="833C0B" w:themeColor="accent2" w:themeShade="80"/>
        </w:rPr>
      </w:pPr>
      <w:r w:rsidRPr="009B0099">
        <w:t>As described earlier, there is a growing consensus that the direct air capture method when fossil-fueled is thermodynamically counter-productive. Beyond this fundamental problem is the immense</w:t>
      </w:r>
      <w:r w:rsidRPr="009B0099">
        <w:rPr>
          <w:color w:val="FF0000"/>
        </w:rPr>
        <w:t xml:space="preserve"> </w:t>
      </w:r>
      <w:r w:rsidRPr="009B0099">
        <w:t>energy consumption of DAC when operated at scale. For example, Smith et. al. (2016)</w:t>
      </w:r>
      <w:r w:rsidRPr="009B0099">
        <w:rPr>
          <w:rStyle w:val="FootnoteReference"/>
          <w:rFonts w:asciiTheme="majorBidi" w:hAnsiTheme="majorBidi" w:cstheme="majorBidi"/>
          <w:sz w:val="22"/>
          <w:szCs w:val="22"/>
        </w:rPr>
        <w:t xml:space="preserve"> </w:t>
      </w:r>
      <w:r w:rsidRPr="009B0099">
        <w:t xml:space="preserve"> reported that the energy requirements for a net removal of ~3.3 gigatons of carbon equivalents by amine DAC “would amount to a global energy requirement of </w:t>
      </w:r>
      <w:r w:rsidRPr="009B0099">
        <w:rPr>
          <w:color w:val="000000"/>
        </w:rPr>
        <w:t>156 EJ yr</w:t>
      </w:r>
      <w:r w:rsidRPr="009B0099">
        <w:rPr>
          <w:rStyle w:val="A5"/>
          <w:rFonts w:asciiTheme="majorBidi" w:hAnsiTheme="majorBidi" w:cstheme="majorBidi"/>
          <w:sz w:val="22"/>
          <w:szCs w:val="22"/>
          <w:vertAlign w:val="superscript"/>
        </w:rPr>
        <w:t>−1</w:t>
      </w:r>
      <w:r w:rsidRPr="009B0099">
        <w:rPr>
          <w:rStyle w:val="A5"/>
          <w:rFonts w:asciiTheme="majorBidi" w:hAnsiTheme="majorBidi" w:cstheme="majorBidi"/>
          <w:sz w:val="22"/>
          <w:szCs w:val="22"/>
        </w:rPr>
        <w:t xml:space="preserve"> </w:t>
      </w:r>
      <w:r w:rsidRPr="009B0099">
        <w:rPr>
          <w:color w:val="000000"/>
        </w:rPr>
        <w:t>if all energy costs are included. This is equivalent to 29% of total global energy use in 2013 (540 EJ yr</w:t>
      </w:r>
      <w:r w:rsidRPr="009B0099">
        <w:rPr>
          <w:rStyle w:val="A5"/>
          <w:rFonts w:asciiTheme="majorBidi" w:hAnsiTheme="majorBidi" w:cstheme="majorBidi"/>
          <w:sz w:val="22"/>
          <w:szCs w:val="22"/>
          <w:vertAlign w:val="superscript"/>
        </w:rPr>
        <w:t>−1</w:t>
      </w:r>
      <w:r w:rsidRPr="009B0099">
        <w:rPr>
          <w:color w:val="000000"/>
        </w:rPr>
        <w:t xml:space="preserve">)…” </w:t>
      </w:r>
      <w:r w:rsidRPr="009B0099">
        <w:t>Translating these figures into 1 Gt CO</w:t>
      </w:r>
      <w:r w:rsidRPr="009B0099">
        <w:rPr>
          <w:vertAlign w:val="subscript"/>
        </w:rPr>
        <w:t>2</w:t>
      </w:r>
      <w:r w:rsidRPr="009B0099">
        <w:t xml:space="preserve"> removal yields 3,580.9 terawatt hours,</w:t>
      </w:r>
      <w:r w:rsidRPr="009B0099">
        <w:rPr>
          <w:vertAlign w:val="superscript"/>
        </w:rPr>
        <w:footnoteReference w:id="7"/>
      </w:r>
      <w:r w:rsidRPr="009B0099">
        <w:t xml:space="preserve"> which is slightly more than the figure of 3,417 terawatt hours reported by Climate Advisers (2018), and equates to nearly the total amount of electricity generated in the U.S. in 2017. Yet, even these amounts omit some downstream components of the DAC life cycle process, such as the energy requirements for transportation or sequestration of the captured CO</w:t>
      </w:r>
      <w:r w:rsidRPr="009B0099">
        <w:rPr>
          <w:vertAlign w:val="subscript"/>
        </w:rPr>
        <w:t>2</w:t>
      </w:r>
      <w:r w:rsidRPr="009B0099">
        <w:t>. Also omitted are the energy requirements for manufacturing sorbent at scale (Realmonte et al. 2019). Socolow et. al. (2011), Smith et. al. (2016), Climate Advisors (2018), House et. al. (2011), Realmonte et. al. (2019) and the U.S. National Academies of Sciences (2019) address energy consumption and are summarized</w:t>
      </w:r>
      <w:r w:rsidR="00DF7DE8" w:rsidRPr="009B0099">
        <w:t xml:space="preserve"> below.</w:t>
      </w:r>
      <w:r w:rsidRPr="009B0099">
        <w:t xml:space="preserve"> </w:t>
      </w:r>
    </w:p>
    <w:bookmarkEnd w:id="6"/>
    <w:p w14:paraId="5DABCA41" w14:textId="77777777" w:rsidR="00BF25A6" w:rsidRPr="009B0099" w:rsidRDefault="00BF25A6" w:rsidP="009B0099"/>
    <w:bookmarkEnd w:id="7"/>
    <w:p w14:paraId="227B17CD" w14:textId="09659E6E" w:rsidR="00BF25A6" w:rsidRPr="009B0099" w:rsidRDefault="00BF25A6" w:rsidP="009B0099">
      <w:r w:rsidRPr="009B0099">
        <w:t>One of the most frequently-cited studies of DAC is by the American Physical Society (Socolow et. al. 2011), which reported 12.5 GJ of energy to capture 1 ton of CO</w:t>
      </w:r>
      <w:r w:rsidRPr="009B0099">
        <w:rPr>
          <w:vertAlign w:val="subscript"/>
        </w:rPr>
        <w:t>2</w:t>
      </w:r>
      <w:r w:rsidRPr="009B0099">
        <w:t>, assuming a 40% conversion efficiency rate of electrical energy. Assuming current carbon intensity estimates for electricity (0.45tCO</w:t>
      </w:r>
      <w:r w:rsidRPr="009B0099">
        <w:rPr>
          <w:vertAlign w:val="subscript"/>
        </w:rPr>
        <w:t>2</w:t>
      </w:r>
      <w:r w:rsidRPr="009B0099">
        <w:t>/MWh) and natural gas (0.42tCO</w:t>
      </w:r>
      <w:r w:rsidRPr="009B0099">
        <w:rPr>
          <w:vertAlign w:val="subscript"/>
        </w:rPr>
        <w:t>2</w:t>
      </w:r>
      <w:r w:rsidRPr="009B0099">
        <w:t>/MWh; see EIA 2020) for the powering the capturing and carbon regeneration process respectively we find a CO</w:t>
      </w:r>
      <w:r w:rsidRPr="009B0099">
        <w:rPr>
          <w:vertAlign w:val="subscript"/>
        </w:rPr>
        <w:t>2</w:t>
      </w:r>
      <w:r w:rsidRPr="009B0099">
        <w:t xml:space="preserve"> emission-storage ratio of 1.50 which makes the DAC process CO</w:t>
      </w:r>
      <w:r w:rsidRPr="009B0099">
        <w:rPr>
          <w:vertAlign w:val="subscript"/>
        </w:rPr>
        <w:t>2</w:t>
      </w:r>
      <w:r w:rsidRPr="009B0099">
        <w:t xml:space="preserve"> additive. By leaving out the requirement of thermal energy for carbon regeneration—and the additional energy/emissions for capturing the thermal process emissions -- as the Socolow et al. study does, that ratio would decrease to 0.3 (see Table 3). Further, it is important to note that this study itself underscores that it does not address full life cycle emissions. As the authors state, the focus is purely capturing and compressing CO</w:t>
      </w:r>
      <w:r w:rsidRPr="009B0099">
        <w:rPr>
          <w:vertAlign w:val="subscript"/>
        </w:rPr>
        <w:t>2</w:t>
      </w:r>
      <w:r w:rsidRPr="009B0099">
        <w:t>; the estimates do not deal with CO</w:t>
      </w:r>
      <w:r w:rsidRPr="009B0099">
        <w:rPr>
          <w:vertAlign w:val="subscript"/>
        </w:rPr>
        <w:t xml:space="preserve">2 </w:t>
      </w:r>
      <w:r w:rsidRPr="009B0099">
        <w:t>beyond the boundary of the capture facility. The energy estimates do not account for transport, sequestration or end-product processing (p. ii).</w:t>
      </w:r>
    </w:p>
    <w:p w14:paraId="674CD46F" w14:textId="77777777" w:rsidR="00BF25A6" w:rsidRPr="009B0099" w:rsidRDefault="00BF25A6" w:rsidP="009B0099"/>
    <w:p w14:paraId="097E92AD" w14:textId="77777777" w:rsidR="00BF25A6" w:rsidRPr="009B0099" w:rsidRDefault="00BF25A6" w:rsidP="009B0099">
      <w:pPr>
        <w:rPr>
          <w:b/>
          <w:bCs/>
          <w:szCs w:val="20"/>
        </w:rPr>
      </w:pPr>
      <w:r w:rsidRPr="009B0099">
        <w:rPr>
          <w:szCs w:val="20"/>
        </w:rPr>
        <w:t>Smith et. al. (2016)</w:t>
      </w:r>
      <w:r w:rsidRPr="009B0099">
        <w:rPr>
          <w:rStyle w:val="FootnoteReference"/>
          <w:rFonts w:asciiTheme="majorBidi" w:hAnsiTheme="majorBidi" w:cstheme="majorBidi"/>
          <w:szCs w:val="20"/>
        </w:rPr>
        <w:t xml:space="preserve"> </w:t>
      </w:r>
      <w:r w:rsidRPr="009B0099">
        <w:rPr>
          <w:szCs w:val="20"/>
        </w:rPr>
        <w:t xml:space="preserve"> reported that the energy requirements for a net removal of ~3.3 gigatons of carbon equivalents by amine DAC “would amount to a global energy requirement of </w:t>
      </w:r>
      <w:r w:rsidRPr="009B0099">
        <w:rPr>
          <w:color w:val="000000"/>
          <w:szCs w:val="20"/>
        </w:rPr>
        <w:t>156 EJ yr</w:t>
      </w:r>
      <w:r w:rsidRPr="009B0099">
        <w:rPr>
          <w:rStyle w:val="A5"/>
          <w:rFonts w:asciiTheme="majorBidi" w:hAnsiTheme="majorBidi" w:cstheme="majorBidi"/>
          <w:sz w:val="20"/>
          <w:szCs w:val="20"/>
          <w:vertAlign w:val="superscript"/>
        </w:rPr>
        <w:t>−1</w:t>
      </w:r>
      <w:r w:rsidRPr="009B0099">
        <w:rPr>
          <w:rStyle w:val="A5"/>
          <w:rFonts w:asciiTheme="majorBidi" w:hAnsiTheme="majorBidi" w:cstheme="majorBidi"/>
          <w:sz w:val="20"/>
          <w:szCs w:val="20"/>
        </w:rPr>
        <w:t xml:space="preserve"> </w:t>
      </w:r>
      <w:r w:rsidRPr="009B0099">
        <w:rPr>
          <w:color w:val="000000"/>
          <w:szCs w:val="20"/>
        </w:rPr>
        <w:t>if all energy costs are included. This is equivalent to 29% of total global energy use in 2013 (540 EJ yr</w:t>
      </w:r>
      <w:r w:rsidRPr="009B0099">
        <w:rPr>
          <w:rStyle w:val="A5"/>
          <w:rFonts w:asciiTheme="majorBidi" w:hAnsiTheme="majorBidi" w:cstheme="majorBidi"/>
          <w:sz w:val="20"/>
          <w:szCs w:val="20"/>
          <w:vertAlign w:val="superscript"/>
        </w:rPr>
        <w:t>−1</w:t>
      </w:r>
      <w:r w:rsidRPr="009B0099">
        <w:rPr>
          <w:color w:val="000000"/>
          <w:szCs w:val="20"/>
        </w:rPr>
        <w:t xml:space="preserve">)…” </w:t>
      </w:r>
      <w:r w:rsidRPr="009B0099">
        <w:rPr>
          <w:szCs w:val="20"/>
        </w:rPr>
        <w:t>Translating these figures into 1 Gt CO</w:t>
      </w:r>
      <w:r w:rsidRPr="009B0099">
        <w:rPr>
          <w:szCs w:val="20"/>
          <w:vertAlign w:val="subscript"/>
        </w:rPr>
        <w:t>2</w:t>
      </w:r>
      <w:r w:rsidRPr="009B0099">
        <w:rPr>
          <w:szCs w:val="20"/>
        </w:rPr>
        <w:t xml:space="preserve"> removal yields 3,580.9 terawatt hours,</w:t>
      </w:r>
      <w:r w:rsidRPr="009B0099">
        <w:rPr>
          <w:szCs w:val="20"/>
          <w:vertAlign w:val="superscript"/>
        </w:rPr>
        <w:footnoteReference w:id="8"/>
      </w:r>
      <w:r w:rsidRPr="009B0099">
        <w:rPr>
          <w:szCs w:val="20"/>
        </w:rPr>
        <w:t xml:space="preserve"> which is slightly more than the figure of 3,417 terawatt hours reported by Climate Advisers (2018), and equates to nearly the total amount of electricity generated in the U.S. in 2017. </w:t>
      </w:r>
    </w:p>
    <w:p w14:paraId="57CD9CFC" w14:textId="77777777" w:rsidR="00BF25A6" w:rsidRPr="009B0099" w:rsidRDefault="00BF25A6" w:rsidP="009B0099"/>
    <w:p w14:paraId="060C5AD9" w14:textId="77777777" w:rsidR="00BF25A6" w:rsidRPr="009B0099" w:rsidRDefault="00BF25A6" w:rsidP="009B0099">
      <w:pPr>
        <w:rPr>
          <w:b/>
          <w:bCs/>
        </w:rPr>
      </w:pPr>
      <w:r w:rsidRPr="009B0099">
        <w:rPr>
          <w:bCs/>
        </w:rPr>
        <w:t>In order to translate scientific notation for wide readership,</w:t>
      </w:r>
      <w:r w:rsidRPr="009B0099">
        <w:t xml:space="preserve"> Climate Advisers (2018) </w:t>
      </w:r>
      <w:r w:rsidRPr="009B0099">
        <w:rPr>
          <w:bCs/>
        </w:rPr>
        <w:t xml:space="preserve">converted GJ into US energy usage and summarizes, using </w:t>
      </w:r>
      <w:r w:rsidRPr="009B0099">
        <w:t>12.3 GJ per ton of CO</w:t>
      </w:r>
      <w:r w:rsidRPr="009B0099">
        <w:rPr>
          <w:vertAlign w:val="subscript"/>
        </w:rPr>
        <w:t>2</w:t>
      </w:r>
      <w:r w:rsidRPr="009B0099">
        <w:t xml:space="preserve"> captured: “At this rate, achieving 1 Gt of removals could require 3,417 terawatt-hours of electricity annually—an amount that is nearly equivalent to all electricity generated in the United States in 2017.”</w:t>
      </w:r>
      <w:r w:rsidRPr="009B0099">
        <w:rPr>
          <w:b/>
          <w:bCs/>
        </w:rPr>
        <w:t xml:space="preserve"> </w:t>
      </w:r>
      <w:r w:rsidRPr="009B0099">
        <w:t xml:space="preserve"> (This amount does not include the additional energy consumption that would be associated with transport, injection/sequestration or end-product processing.) </w:t>
      </w:r>
      <w:r w:rsidRPr="009B0099">
        <w:rPr>
          <w:b/>
          <w:bCs/>
        </w:rPr>
        <w:t xml:space="preserve"> </w:t>
      </w:r>
    </w:p>
    <w:p w14:paraId="2305EE81" w14:textId="77777777" w:rsidR="00BF25A6" w:rsidRPr="009B0099" w:rsidRDefault="00BF25A6" w:rsidP="00BF25A6">
      <w:pPr>
        <w:rPr>
          <w:rFonts w:asciiTheme="majorBidi" w:hAnsiTheme="majorBidi" w:cstheme="majorBidi"/>
          <w:b/>
          <w:bCs/>
          <w:szCs w:val="22"/>
        </w:rPr>
      </w:pPr>
    </w:p>
    <w:p w14:paraId="359BA321" w14:textId="1A7B8F72" w:rsidR="00BF25A6" w:rsidRPr="009B0099" w:rsidRDefault="00BF25A6" w:rsidP="00BF25A6">
      <w:pPr>
        <w:autoSpaceDE w:val="0"/>
        <w:autoSpaceDN w:val="0"/>
        <w:adjustRightInd w:val="0"/>
        <w:spacing w:line="240" w:lineRule="auto"/>
        <w:rPr>
          <w:rFonts w:asciiTheme="majorBidi" w:hAnsiTheme="majorBidi" w:cstheme="majorBidi"/>
          <w:szCs w:val="22"/>
        </w:rPr>
      </w:pPr>
      <w:r w:rsidRPr="009B0099">
        <w:rPr>
          <w:rFonts w:asciiTheme="majorBidi" w:hAnsiTheme="majorBidi" w:cstheme="majorBidi"/>
          <w:szCs w:val="22"/>
        </w:rPr>
        <w:t>House et. al., (2011) review a number of published studies on DAC and analyze operating commercial DAC processes. The authors conclude that DAC “can only be viable (i.e., net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negative) if powered by non-CO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emitting sources.”  In summarizing their research on DAC energy requirements, the authors find that 1 Gt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removal using DAC could require from 3,156 terawatt hours to 5,049 terawatt hours (conversion from 500–800 kJ primary energy/mol CO</w:t>
      </w:r>
      <w:r w:rsidRPr="009B0099">
        <w:rPr>
          <w:rFonts w:asciiTheme="majorBidi" w:hAnsiTheme="majorBidi" w:cstheme="majorBidi"/>
          <w:szCs w:val="22"/>
          <w:vertAlign w:val="subscript"/>
        </w:rPr>
        <w:t>2</w:t>
      </w:r>
      <w:r w:rsidRPr="009B0099">
        <w:rPr>
          <w:rFonts w:asciiTheme="majorBidi" w:hAnsiTheme="majorBidi" w:cstheme="majorBidi"/>
          <w:szCs w:val="22"/>
        </w:rPr>
        <w:t>; House et.al., 2011 p2). This is commensurate with the findings of 3,580.9</w:t>
      </w:r>
      <w:r w:rsidR="0076107C">
        <w:rPr>
          <w:rFonts w:asciiTheme="majorBidi" w:hAnsiTheme="majorBidi" w:cstheme="majorBidi"/>
          <w:szCs w:val="22"/>
        </w:rPr>
        <w:t xml:space="preserve"> </w:t>
      </w:r>
      <w:r w:rsidRPr="009B0099">
        <w:rPr>
          <w:rFonts w:asciiTheme="majorBidi" w:hAnsiTheme="majorBidi" w:cstheme="majorBidi"/>
          <w:szCs w:val="22"/>
        </w:rPr>
        <w:t>TWh from Smith et. al. (2016) and 3,417</w:t>
      </w:r>
      <w:r w:rsidR="008212EA" w:rsidRPr="009B0099">
        <w:rPr>
          <w:rFonts w:asciiTheme="majorBidi" w:hAnsiTheme="majorBidi" w:cstheme="majorBidi"/>
          <w:szCs w:val="22"/>
        </w:rPr>
        <w:t xml:space="preserve"> </w:t>
      </w:r>
      <w:r w:rsidRPr="009B0099">
        <w:rPr>
          <w:rFonts w:asciiTheme="majorBidi" w:hAnsiTheme="majorBidi" w:cstheme="majorBidi"/>
          <w:szCs w:val="22"/>
        </w:rPr>
        <w:t>TWh from Climate Advisers (2018).</w:t>
      </w:r>
    </w:p>
    <w:p w14:paraId="2ECE01C8" w14:textId="77777777" w:rsidR="00BF25A6" w:rsidRPr="009B0099" w:rsidRDefault="00BF25A6" w:rsidP="00BF25A6">
      <w:pPr>
        <w:autoSpaceDE w:val="0"/>
        <w:autoSpaceDN w:val="0"/>
        <w:adjustRightInd w:val="0"/>
        <w:spacing w:line="240" w:lineRule="auto"/>
        <w:ind w:left="288"/>
        <w:rPr>
          <w:rFonts w:asciiTheme="majorBidi" w:hAnsiTheme="majorBidi" w:cstheme="majorBidi"/>
          <w:szCs w:val="22"/>
        </w:rPr>
      </w:pPr>
    </w:p>
    <w:p w14:paraId="30271280" w14:textId="77777777" w:rsidR="00BF25A6" w:rsidRPr="009B0099" w:rsidRDefault="00BF25A6" w:rsidP="00BF25A6">
      <w:pPr>
        <w:rPr>
          <w:rFonts w:asciiTheme="majorBidi" w:eastAsia="Times New Roman" w:hAnsiTheme="majorBidi" w:cstheme="majorBidi"/>
          <w:spacing w:val="3"/>
          <w:szCs w:val="22"/>
        </w:rPr>
      </w:pPr>
      <w:r w:rsidRPr="009B0099">
        <w:rPr>
          <w:rFonts w:asciiTheme="majorBidi" w:hAnsiTheme="majorBidi" w:cstheme="majorBidi"/>
          <w:szCs w:val="22"/>
        </w:rPr>
        <w:t xml:space="preserve">Realmonte et al. (2019) advocate for the development of DAC, which, they stress, could be a means to delay the phaseout of fossil fuels: </w:t>
      </w:r>
      <w:r w:rsidRPr="009B0099">
        <w:rPr>
          <w:rFonts w:asciiTheme="majorBidi" w:hAnsiTheme="majorBidi" w:cstheme="majorBidi"/>
          <w:color w:val="222222"/>
          <w:spacing w:val="3"/>
          <w:szCs w:val="22"/>
        </w:rPr>
        <w:t xml:space="preserve">“DACCS enables delaying the phase-out of fossil-based electricity generation until after 2050.” This paper </w:t>
      </w:r>
      <w:r w:rsidRPr="009B0099">
        <w:rPr>
          <w:rFonts w:asciiTheme="majorBidi" w:hAnsiTheme="majorBidi" w:cstheme="majorBidi"/>
          <w:szCs w:val="22"/>
        </w:rPr>
        <w:t xml:space="preserve">models scenarios for DAC development under various “techno-economic assumptions”.  </w:t>
      </w:r>
      <w:r w:rsidRPr="009B0099">
        <w:rPr>
          <w:rFonts w:asciiTheme="majorBidi" w:eastAsia="Times New Roman" w:hAnsiTheme="majorBidi" w:cstheme="majorBidi"/>
          <w:spacing w:val="3"/>
          <w:szCs w:val="22"/>
        </w:rPr>
        <w:t>Their projection of 300 EJ/yr by 2100 portends substantial energy usage: this projection would equate to 55.56 billion MWh to capture 1Gt/CO</w:t>
      </w:r>
      <w:r w:rsidRPr="009B0099">
        <w:rPr>
          <w:rFonts w:asciiTheme="majorBidi" w:eastAsia="Times New Roman" w:hAnsiTheme="majorBidi" w:cstheme="majorBidi"/>
          <w:spacing w:val="3"/>
          <w:szCs w:val="22"/>
          <w:vertAlign w:val="subscript"/>
        </w:rPr>
        <w:t>2</w:t>
      </w:r>
      <w:r w:rsidRPr="009B0099">
        <w:rPr>
          <w:rFonts w:asciiTheme="majorBidi" w:eastAsia="Times New Roman" w:hAnsiTheme="majorBidi" w:cstheme="majorBidi"/>
          <w:spacing w:val="3"/>
          <w:szCs w:val="22"/>
        </w:rPr>
        <w:t>yr.</w:t>
      </w:r>
      <w:r w:rsidRPr="009B0099">
        <w:rPr>
          <w:rStyle w:val="FootnoteReference"/>
          <w:rFonts w:asciiTheme="majorBidi" w:eastAsia="Times New Roman" w:hAnsiTheme="majorBidi" w:cstheme="majorBidi"/>
          <w:spacing w:val="3"/>
          <w:szCs w:val="22"/>
        </w:rPr>
        <w:footnoteReference w:id="9"/>
      </w:r>
      <w:r w:rsidRPr="009B0099">
        <w:rPr>
          <w:rFonts w:asciiTheme="majorBidi" w:eastAsia="Times New Roman" w:hAnsiTheme="majorBidi" w:cstheme="majorBidi"/>
          <w:spacing w:val="3"/>
          <w:szCs w:val="22"/>
        </w:rPr>
        <w:t xml:space="preserve">  </w:t>
      </w:r>
      <w:r w:rsidRPr="009B0099">
        <w:rPr>
          <w:rFonts w:asciiTheme="majorBidi" w:hAnsiTheme="majorBidi" w:cstheme="majorBidi"/>
          <w:szCs w:val="22"/>
        </w:rPr>
        <w:t>However, this projection represents only a partial LCA that leaves out energy requirements for processing and use of the captured CO</w:t>
      </w:r>
      <w:r w:rsidRPr="009B0099">
        <w:rPr>
          <w:rFonts w:asciiTheme="majorBidi" w:hAnsiTheme="majorBidi" w:cstheme="majorBidi"/>
          <w:szCs w:val="22"/>
          <w:vertAlign w:val="subscript"/>
        </w:rPr>
        <w:t>2</w:t>
      </w:r>
      <w:r w:rsidRPr="009B0099">
        <w:rPr>
          <w:rFonts w:asciiTheme="majorBidi" w:hAnsiTheme="majorBidi" w:cstheme="majorBidi"/>
          <w:szCs w:val="22"/>
        </w:rPr>
        <w:t>.  Moreover, one scenario modeled incorporates the use of waste heat – “</w:t>
      </w:r>
      <w:r w:rsidRPr="009B0099">
        <w:rPr>
          <w:rFonts w:asciiTheme="majorBidi" w:eastAsia="Times New Roman" w:hAnsiTheme="majorBidi" w:cstheme="majorBidi"/>
          <w:spacing w:val="3"/>
          <w:szCs w:val="22"/>
        </w:rPr>
        <w:t>We include the use of waste heat to operate the amine-based plants, recovering it from energy-intensive industries and renewable power plants” – a scenario that is not presently supportable at a climate-significant level of CO</w:t>
      </w:r>
      <w:r w:rsidRPr="009B0099">
        <w:rPr>
          <w:rFonts w:asciiTheme="majorBidi" w:eastAsia="Times New Roman" w:hAnsiTheme="majorBidi" w:cstheme="majorBidi"/>
          <w:spacing w:val="3"/>
          <w:szCs w:val="22"/>
          <w:vertAlign w:val="subscript"/>
        </w:rPr>
        <w:t>2</w:t>
      </w:r>
      <w:r w:rsidRPr="009B0099">
        <w:rPr>
          <w:rFonts w:asciiTheme="majorBidi" w:eastAsia="Times New Roman" w:hAnsiTheme="majorBidi" w:cstheme="majorBidi"/>
          <w:spacing w:val="3"/>
          <w:szCs w:val="22"/>
        </w:rPr>
        <w:t xml:space="preserve"> removal. </w:t>
      </w:r>
    </w:p>
    <w:p w14:paraId="65FD7EDB" w14:textId="77777777" w:rsidR="00BF25A6" w:rsidRPr="009B0099" w:rsidRDefault="00BF25A6" w:rsidP="00BF25A6">
      <w:pPr>
        <w:rPr>
          <w:rFonts w:asciiTheme="majorBidi" w:eastAsia="Times New Roman" w:hAnsiTheme="majorBidi" w:cstheme="majorBidi"/>
          <w:spacing w:val="3"/>
          <w:szCs w:val="22"/>
        </w:rPr>
      </w:pPr>
    </w:p>
    <w:p w14:paraId="48F886E7" w14:textId="77777777" w:rsidR="00BF25A6" w:rsidRPr="009B0099" w:rsidRDefault="00BF25A6" w:rsidP="00BF25A6">
      <w:pPr>
        <w:rPr>
          <w:rFonts w:asciiTheme="majorBidi" w:hAnsiTheme="majorBidi" w:cstheme="majorBidi"/>
          <w:szCs w:val="22"/>
        </w:rPr>
      </w:pPr>
      <w:r w:rsidRPr="009B0099">
        <w:rPr>
          <w:rFonts w:asciiTheme="majorBidi" w:hAnsiTheme="majorBidi" w:cstheme="majorBidi"/>
          <w:szCs w:val="22"/>
        </w:rPr>
        <w:t>The National Academies of Sciences, “Negative Emissions Technologies” study (2019) reviewed energy usage in the literature. The study reports a wide range of 1.93 to 23.09 GJ per ton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captured for best to worst case scenarios for solid sorbent DAC systems. The respective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emission-storage ratio ranges from 0.13-1.67 if powered by natural gas and from 0.19-2.7 if powered by coal. Liquid solvent systems require higher temperatures for the material regeneration which increases the energy requirements. </w:t>
      </w:r>
    </w:p>
    <w:p w14:paraId="015C229D" w14:textId="77777777" w:rsidR="00BF25A6" w:rsidRPr="009B0099" w:rsidRDefault="00BF25A6" w:rsidP="00BF25A6">
      <w:pPr>
        <w:rPr>
          <w:rFonts w:asciiTheme="majorBidi" w:hAnsiTheme="majorBidi" w:cstheme="majorBidi"/>
          <w:szCs w:val="22"/>
        </w:rPr>
      </w:pPr>
    </w:p>
    <w:p w14:paraId="46A89A94" w14:textId="77777777" w:rsidR="00BF25A6" w:rsidRPr="009B0099" w:rsidRDefault="00BF25A6" w:rsidP="00BF25A6">
      <w:pPr>
        <w:rPr>
          <w:rFonts w:asciiTheme="majorBidi" w:hAnsiTheme="majorBidi" w:cstheme="majorBidi"/>
          <w:szCs w:val="22"/>
        </w:rPr>
      </w:pPr>
      <w:r w:rsidRPr="009B0099">
        <w:rPr>
          <w:rFonts w:asciiTheme="majorBidi" w:hAnsiTheme="majorBidi" w:cstheme="majorBidi"/>
          <w:szCs w:val="22"/>
        </w:rPr>
        <w:t xml:space="preserve">Some scientific and engineering papers on DAC argue that DAC can be </w:t>
      </w:r>
      <w:r w:rsidRPr="009B0099">
        <w:rPr>
          <w:rFonts w:asciiTheme="majorBidi" w:hAnsiTheme="majorBidi" w:cstheme="majorBidi"/>
          <w:i/>
          <w:iCs/>
          <w:szCs w:val="22"/>
        </w:rPr>
        <w:t>financially</w:t>
      </w:r>
      <w:r w:rsidRPr="009B0099">
        <w:rPr>
          <w:rFonts w:asciiTheme="majorBidi" w:hAnsiTheme="majorBidi" w:cstheme="majorBidi"/>
          <w:szCs w:val="22"/>
        </w:rPr>
        <w:t xml:space="preserve"> viable, regardless of thermodynamic outcomes, particularly if government investment is directed to developing the technology. Several authors of scientific and engineering reports have financial interests in or ownership of DAC startup businesses.   </w:t>
      </w:r>
    </w:p>
    <w:p w14:paraId="0ACB3A8A" w14:textId="1F564FDD" w:rsidR="00B95172" w:rsidRPr="009B0099" w:rsidRDefault="00B95172">
      <w:pPr>
        <w:rPr>
          <w:rFonts w:asciiTheme="majorBidi" w:hAnsiTheme="majorBidi" w:cstheme="majorBidi"/>
        </w:rPr>
      </w:pPr>
    </w:p>
    <w:p w14:paraId="0D0B7195" w14:textId="77777777" w:rsidR="00B95172" w:rsidRPr="009B0099" w:rsidRDefault="00B95172" w:rsidP="00B95172">
      <w:pPr>
        <w:rPr>
          <w:rFonts w:asciiTheme="majorBidi" w:hAnsiTheme="majorBidi" w:cstheme="majorBidi"/>
          <w:sz w:val="24"/>
        </w:rPr>
      </w:pPr>
    </w:p>
    <w:p w14:paraId="0B111E0D" w14:textId="77777777" w:rsidR="00B95172" w:rsidRPr="009B0099" w:rsidRDefault="00B95172" w:rsidP="00B95172">
      <w:pPr>
        <w:ind w:firstLine="288"/>
        <w:rPr>
          <w:rFonts w:asciiTheme="majorBidi" w:hAnsiTheme="majorBidi" w:cstheme="majorBidi"/>
          <w:i/>
          <w:iCs/>
          <w:sz w:val="24"/>
        </w:rPr>
      </w:pPr>
      <w:r w:rsidRPr="009B0099">
        <w:rPr>
          <w:rFonts w:asciiTheme="majorBidi" w:hAnsiTheme="majorBidi" w:cstheme="majorBidi"/>
          <w:i/>
          <w:iCs/>
          <w:sz w:val="24"/>
        </w:rPr>
        <w:t xml:space="preserve">Direct Air Capture – Renewables Powered   </w:t>
      </w:r>
    </w:p>
    <w:p w14:paraId="2ABA7FB0" w14:textId="77777777" w:rsidR="00B95172" w:rsidRPr="009B0099" w:rsidRDefault="00B95172" w:rsidP="00B95172">
      <w:pPr>
        <w:rPr>
          <w:rFonts w:asciiTheme="majorBidi" w:hAnsiTheme="majorBidi" w:cstheme="majorBidi"/>
          <w:sz w:val="24"/>
        </w:rPr>
      </w:pPr>
    </w:p>
    <w:p w14:paraId="44EC342D" w14:textId="77777777" w:rsidR="00B95172" w:rsidRPr="009B0099" w:rsidRDefault="00B95172" w:rsidP="00B95172">
      <w:pPr>
        <w:rPr>
          <w:rFonts w:asciiTheme="majorBidi" w:eastAsiaTheme="minorEastAsia" w:hAnsiTheme="majorBidi" w:cstheme="majorBidi"/>
          <w:szCs w:val="22"/>
        </w:rPr>
      </w:pPr>
      <w:r w:rsidRPr="009B0099">
        <w:rPr>
          <w:rFonts w:asciiTheme="majorBidi" w:hAnsiTheme="majorBidi" w:cstheme="majorBidi"/>
          <w:szCs w:val="22"/>
        </w:rPr>
        <w:t>There appears to be a growing consensus among researchers that DAC is thermodynamically counter-productive unless powered by non-carbon energy sources.  E.g., House et. al argued that DAC “can only be viable (i.e.,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negative) if powered by non-CO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emitting sources.” Also the report of the National Academy of Sciences (2019) shows that net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reductive emission-storage ratios can only with certainty obtained when using non-carbon intensive power sources (</w:t>
      </w:r>
      <m:oMath>
        <m:sSub>
          <m:sSubPr>
            <m:ctrlPr>
              <w:rPr>
                <w:rFonts w:ascii="Cambria Math" w:hAnsi="Cambria Math" w:cstheme="majorBidi"/>
                <w:i/>
                <w:szCs w:val="22"/>
              </w:rPr>
            </m:ctrlPr>
          </m:sSubPr>
          <m:e>
            <m:r>
              <m:rPr>
                <m:sty m:val="p"/>
              </m:rPr>
              <w:rPr>
                <w:rFonts w:ascii="Cambria Math" w:hAnsi="Cambria Math" w:cstheme="majorBidi"/>
                <w:szCs w:val="22"/>
              </w:rPr>
              <m:t>γ</m:t>
            </m:r>
            <m:ctrlPr>
              <w:rPr>
                <w:rFonts w:ascii="Cambria Math" w:hAnsi="Cambria Math" w:cstheme="majorBidi"/>
                <w:szCs w:val="22"/>
              </w:rPr>
            </m:ctrlPr>
          </m:e>
          <m:sub>
            <m:r>
              <w:rPr>
                <w:rFonts w:ascii="Cambria Math" w:hAnsi="Cambria Math" w:cstheme="majorBidi"/>
                <w:szCs w:val="22"/>
              </w:rPr>
              <m:t>CO2</m:t>
            </m:r>
          </m:sub>
        </m:sSub>
      </m:oMath>
      <w:r w:rsidRPr="009B0099">
        <w:rPr>
          <w:rFonts w:asciiTheme="majorBidi" w:eastAsiaTheme="minorEastAsia" w:hAnsiTheme="majorBidi" w:cstheme="majorBidi"/>
          <w:szCs w:val="22"/>
        </w:rPr>
        <w:t xml:space="preserve"> ratios for solar energy are 0.0045-0.066 and for nuclear energy 0.0022-0.032; ranges were only available for the solid sorbent case)</w:t>
      </w:r>
      <w:r w:rsidRPr="009B0099">
        <w:rPr>
          <w:rStyle w:val="FootnoteReference"/>
          <w:rFonts w:asciiTheme="majorBidi" w:eastAsiaTheme="minorEastAsia" w:hAnsiTheme="majorBidi" w:cstheme="majorBidi"/>
          <w:szCs w:val="22"/>
        </w:rPr>
        <w:footnoteReference w:id="10"/>
      </w:r>
      <w:r w:rsidRPr="009B0099">
        <w:rPr>
          <w:rFonts w:asciiTheme="majorBidi" w:eastAsiaTheme="minorEastAsia" w:hAnsiTheme="majorBidi" w:cstheme="majorBidi"/>
          <w:szCs w:val="22"/>
        </w:rPr>
        <w:t>.</w:t>
      </w:r>
    </w:p>
    <w:p w14:paraId="349A7EBC" w14:textId="77777777" w:rsidR="00B95172" w:rsidRPr="009B0099" w:rsidRDefault="00B95172" w:rsidP="00B95172">
      <w:pPr>
        <w:rPr>
          <w:rFonts w:asciiTheme="majorBidi" w:hAnsiTheme="majorBidi" w:cstheme="majorBidi"/>
          <w:szCs w:val="22"/>
        </w:rPr>
      </w:pPr>
    </w:p>
    <w:p w14:paraId="25FCCAB7" w14:textId="12A11549" w:rsidR="00B95172" w:rsidRPr="009B0099" w:rsidRDefault="00B95172" w:rsidP="00B95172">
      <w:pPr>
        <w:rPr>
          <w:rFonts w:asciiTheme="majorBidi" w:hAnsiTheme="majorBidi" w:cstheme="majorBidi"/>
          <w:szCs w:val="22"/>
        </w:rPr>
      </w:pPr>
      <w:r w:rsidRPr="009B0099">
        <w:rPr>
          <w:rFonts w:asciiTheme="majorBidi" w:hAnsiTheme="majorBidi" w:cstheme="majorBidi"/>
          <w:szCs w:val="22"/>
        </w:rPr>
        <w:t>Yet, according to the energy requirements shown in Smith et. al. (2016), renewables-powered DAC would require all of the wind and solar power generated in the U.S. in 2018 to capture just 1/10</w:t>
      </w:r>
      <w:r w:rsidRPr="009B0099">
        <w:rPr>
          <w:rFonts w:asciiTheme="majorBidi" w:hAnsiTheme="majorBidi" w:cstheme="majorBidi"/>
          <w:szCs w:val="22"/>
          <w:vertAlign w:val="superscript"/>
        </w:rPr>
        <w:t>th</w:t>
      </w:r>
      <w:r w:rsidRPr="009B0099">
        <w:rPr>
          <w:rFonts w:asciiTheme="majorBidi" w:hAnsiTheme="majorBidi" w:cstheme="majorBidi"/>
          <w:szCs w:val="22"/>
        </w:rPr>
        <w:t xml:space="preserve"> Gt CO</w:t>
      </w:r>
      <w:r w:rsidRPr="009B0099">
        <w:rPr>
          <w:rFonts w:asciiTheme="majorBidi" w:hAnsiTheme="majorBidi" w:cstheme="majorBidi"/>
          <w:szCs w:val="22"/>
          <w:vertAlign w:val="subscript"/>
        </w:rPr>
        <w:t>2</w:t>
      </w:r>
      <w:r w:rsidRPr="009B0099">
        <w:rPr>
          <w:rFonts w:asciiTheme="majorBidi" w:hAnsiTheme="majorBidi" w:cstheme="majorBidi"/>
          <w:szCs w:val="22"/>
        </w:rPr>
        <w:t>.</w:t>
      </w:r>
      <w:r w:rsidRPr="009B0099">
        <w:rPr>
          <w:rStyle w:val="FootnoteReference"/>
          <w:rFonts w:asciiTheme="majorBidi" w:hAnsiTheme="majorBidi" w:cstheme="majorBidi"/>
          <w:szCs w:val="22"/>
        </w:rPr>
        <w:footnoteReference w:id="11"/>
      </w:r>
      <w:r w:rsidRPr="009B0099">
        <w:rPr>
          <w:rFonts w:asciiTheme="majorBidi" w:hAnsiTheme="majorBidi" w:cstheme="majorBidi"/>
          <w:szCs w:val="22"/>
        </w:rPr>
        <w:t xml:space="preserve"> Realmonte et al (2019) project that DAC would “use around a quarter of global energy demand to provide power and heat for DACCS technologies by the end of the century</w:t>
      </w:r>
      <w:bookmarkStart w:id="8" w:name="_Hlk49417391"/>
      <w:r w:rsidRPr="009B0099">
        <w:rPr>
          <w:rFonts w:asciiTheme="majorBidi" w:hAnsiTheme="majorBidi" w:cstheme="majorBidi"/>
          <w:szCs w:val="22"/>
        </w:rPr>
        <w:t xml:space="preserve">.”  Fridley and Heinberg (2018) </w:t>
      </w:r>
      <w:r w:rsidR="00CE3A1D" w:rsidRPr="009B0099">
        <w:rPr>
          <w:rFonts w:asciiTheme="majorBidi" w:hAnsiTheme="majorBidi" w:cstheme="majorBidi"/>
          <w:szCs w:val="22"/>
        </w:rPr>
        <w:t xml:space="preserve">note </w:t>
      </w:r>
      <w:r w:rsidRPr="009B0099">
        <w:rPr>
          <w:rFonts w:asciiTheme="majorBidi" w:hAnsiTheme="majorBidi" w:cstheme="majorBidi"/>
          <w:szCs w:val="22"/>
        </w:rPr>
        <w:t xml:space="preserve">that </w:t>
      </w:r>
      <w:r w:rsidR="00CE3A1D" w:rsidRPr="009B0099">
        <w:rPr>
          <w:rFonts w:asciiTheme="majorBidi" w:hAnsiTheme="majorBidi" w:cstheme="majorBidi"/>
          <w:szCs w:val="22"/>
        </w:rPr>
        <w:t xml:space="preserve">the energy requirement for the DAC fans alone </w:t>
      </w:r>
      <w:r w:rsidR="003D09EA" w:rsidRPr="009B0099">
        <w:rPr>
          <w:rFonts w:asciiTheme="majorBidi" w:hAnsiTheme="majorBidi" w:cstheme="majorBidi"/>
          <w:szCs w:val="22"/>
        </w:rPr>
        <w:t>in removing 1 Gt CO</w:t>
      </w:r>
      <w:r w:rsidR="003D09EA" w:rsidRPr="009B0099">
        <w:rPr>
          <w:rFonts w:asciiTheme="majorBidi" w:hAnsiTheme="majorBidi" w:cstheme="majorBidi"/>
          <w:szCs w:val="22"/>
          <w:vertAlign w:val="subscript"/>
        </w:rPr>
        <w:t>2</w:t>
      </w:r>
      <w:r w:rsidR="003D09EA" w:rsidRPr="009B0099">
        <w:rPr>
          <w:rFonts w:asciiTheme="majorBidi" w:hAnsiTheme="majorBidi" w:cstheme="majorBidi"/>
          <w:szCs w:val="22"/>
        </w:rPr>
        <w:t xml:space="preserve"> </w:t>
      </w:r>
      <w:r w:rsidR="00CE3A1D" w:rsidRPr="009B0099">
        <w:rPr>
          <w:rFonts w:asciiTheme="majorBidi" w:hAnsiTheme="majorBidi" w:cstheme="majorBidi"/>
          <w:szCs w:val="22"/>
        </w:rPr>
        <w:t xml:space="preserve">would be more than all the solar power generation in the U.S. in 2017 – based on Keith </w:t>
      </w:r>
      <w:r w:rsidR="00520DF9" w:rsidRPr="009B0099">
        <w:rPr>
          <w:rFonts w:asciiTheme="majorBidi" w:hAnsiTheme="majorBidi" w:cstheme="majorBidi"/>
          <w:szCs w:val="22"/>
        </w:rPr>
        <w:t xml:space="preserve">et al., </w:t>
      </w:r>
      <w:r w:rsidR="00CE3A1D" w:rsidRPr="009B0099">
        <w:rPr>
          <w:rFonts w:asciiTheme="majorBidi" w:hAnsiTheme="majorBidi" w:cstheme="majorBidi"/>
          <w:szCs w:val="22"/>
        </w:rPr>
        <w:t>(2018)</w:t>
      </w:r>
      <w:r w:rsidR="001740CA" w:rsidRPr="009B0099">
        <w:rPr>
          <w:rFonts w:asciiTheme="majorBidi" w:hAnsiTheme="majorBidi" w:cstheme="majorBidi"/>
          <w:szCs w:val="22"/>
        </w:rPr>
        <w:t>,</w:t>
      </w:r>
      <w:r w:rsidR="00CE3A1D" w:rsidRPr="009B0099">
        <w:rPr>
          <w:rFonts w:asciiTheme="majorBidi" w:hAnsiTheme="majorBidi" w:cstheme="majorBidi"/>
          <w:szCs w:val="22"/>
        </w:rPr>
        <w:t xml:space="preserve"> who </w:t>
      </w:r>
      <w:r w:rsidR="003D09EA" w:rsidRPr="009B0099">
        <w:rPr>
          <w:rFonts w:asciiTheme="majorBidi" w:hAnsiTheme="majorBidi" w:cstheme="majorBidi"/>
          <w:szCs w:val="22"/>
        </w:rPr>
        <w:t xml:space="preserve">reported an energy requirement of </w:t>
      </w:r>
      <w:r w:rsidRPr="009B0099">
        <w:rPr>
          <w:rFonts w:asciiTheme="majorBidi" w:hAnsiTheme="majorBidi" w:cstheme="majorBidi"/>
          <w:szCs w:val="22"/>
        </w:rPr>
        <w:t xml:space="preserve">61 </w:t>
      </w:r>
      <w:r w:rsidR="003D09EA" w:rsidRPr="009B0099">
        <w:rPr>
          <w:rFonts w:asciiTheme="majorBidi" w:hAnsiTheme="majorBidi" w:cstheme="majorBidi"/>
          <w:szCs w:val="22"/>
        </w:rPr>
        <w:t>kWh/t-CO</w:t>
      </w:r>
      <w:r w:rsidR="003D09EA" w:rsidRPr="009B0099">
        <w:rPr>
          <w:rFonts w:asciiTheme="majorBidi" w:hAnsiTheme="majorBidi" w:cstheme="majorBidi"/>
          <w:szCs w:val="22"/>
          <w:vertAlign w:val="subscript"/>
        </w:rPr>
        <w:t>2</w:t>
      </w:r>
      <w:r w:rsidR="00CE3A1D" w:rsidRPr="009B0099">
        <w:rPr>
          <w:rFonts w:asciiTheme="majorBidi" w:hAnsiTheme="majorBidi" w:cstheme="majorBidi"/>
          <w:szCs w:val="22"/>
        </w:rPr>
        <w:t xml:space="preserve"> </w:t>
      </w:r>
      <w:r w:rsidRPr="009B0099">
        <w:rPr>
          <w:rFonts w:asciiTheme="majorBidi" w:hAnsiTheme="majorBidi" w:cstheme="majorBidi"/>
          <w:szCs w:val="22"/>
        </w:rPr>
        <w:t xml:space="preserve">for the fans alone. </w:t>
      </w:r>
      <w:bookmarkStart w:id="9" w:name="_Hlk40339489"/>
      <w:r w:rsidR="00CE3A1D" w:rsidRPr="009B0099">
        <w:rPr>
          <w:rFonts w:asciiTheme="majorBidi" w:hAnsiTheme="majorBidi" w:cstheme="majorBidi"/>
          <w:szCs w:val="22"/>
        </w:rPr>
        <w:t>Further,</w:t>
      </w:r>
      <w:r w:rsidRPr="009B0099">
        <w:rPr>
          <w:rFonts w:asciiTheme="majorBidi" w:hAnsiTheme="majorBidi" w:cstheme="majorBidi"/>
          <w:szCs w:val="22"/>
        </w:rPr>
        <w:t xml:space="preserve"> Fridley</w:t>
      </w:r>
      <w:r w:rsidR="00CE3A1D" w:rsidRPr="009B0099">
        <w:rPr>
          <w:rFonts w:asciiTheme="majorBidi" w:hAnsiTheme="majorBidi" w:cstheme="majorBidi"/>
          <w:szCs w:val="22"/>
        </w:rPr>
        <w:t>, in commenting on</w:t>
      </w:r>
      <w:r w:rsidR="00DA3653" w:rsidRPr="009B0099">
        <w:rPr>
          <w:rFonts w:asciiTheme="majorBidi" w:hAnsiTheme="majorBidi" w:cstheme="majorBidi"/>
          <w:szCs w:val="22"/>
        </w:rPr>
        <w:t xml:space="preserve"> DAC energy requirements discussed in</w:t>
      </w:r>
      <w:r w:rsidR="00CE3A1D" w:rsidRPr="009B0099">
        <w:rPr>
          <w:rFonts w:asciiTheme="majorBidi" w:hAnsiTheme="majorBidi" w:cstheme="majorBidi"/>
          <w:szCs w:val="22"/>
        </w:rPr>
        <w:t xml:space="preserve"> Realmonte et.a</w:t>
      </w:r>
      <w:r w:rsidR="00DA3653" w:rsidRPr="009B0099">
        <w:rPr>
          <w:rFonts w:asciiTheme="majorBidi" w:hAnsiTheme="majorBidi" w:cstheme="majorBidi"/>
          <w:szCs w:val="22"/>
        </w:rPr>
        <w:t>l</w:t>
      </w:r>
      <w:r w:rsidR="00CE3A1D" w:rsidRPr="009B0099">
        <w:rPr>
          <w:rFonts w:asciiTheme="majorBidi" w:hAnsiTheme="majorBidi" w:cstheme="majorBidi"/>
          <w:szCs w:val="22"/>
        </w:rPr>
        <w:t xml:space="preserve">. 2019, </w:t>
      </w:r>
      <w:r w:rsidRPr="009B0099">
        <w:rPr>
          <w:rStyle w:val="FootnoteReference"/>
          <w:rFonts w:asciiTheme="majorBidi" w:hAnsiTheme="majorBidi" w:cstheme="majorBidi"/>
          <w:szCs w:val="22"/>
        </w:rPr>
        <w:footnoteReference w:id="12"/>
      </w:r>
      <w:r w:rsidRPr="009B0099">
        <w:rPr>
          <w:rFonts w:asciiTheme="majorBidi" w:hAnsiTheme="majorBidi" w:cstheme="majorBidi"/>
          <w:szCs w:val="22"/>
        </w:rPr>
        <w:t xml:space="preserve"> </w:t>
      </w:r>
      <w:r w:rsidR="00CE3A1D" w:rsidRPr="009B0099">
        <w:rPr>
          <w:rFonts w:asciiTheme="majorBidi" w:hAnsiTheme="majorBidi" w:cstheme="majorBidi"/>
          <w:szCs w:val="22"/>
        </w:rPr>
        <w:t xml:space="preserve">notes that </w:t>
      </w:r>
      <w:r w:rsidRPr="009B0099">
        <w:rPr>
          <w:rFonts w:asciiTheme="majorBidi" w:hAnsiTheme="majorBidi" w:cstheme="majorBidi"/>
          <w:szCs w:val="22"/>
        </w:rPr>
        <w:t>--</w:t>
      </w:r>
    </w:p>
    <w:bookmarkEnd w:id="9"/>
    <w:p w14:paraId="6DF98ED7" w14:textId="77777777" w:rsidR="00B95172" w:rsidRPr="009B0099" w:rsidRDefault="00B95172" w:rsidP="00B95172">
      <w:pPr>
        <w:rPr>
          <w:rFonts w:asciiTheme="majorBidi" w:hAnsiTheme="majorBidi" w:cstheme="majorBidi"/>
          <w:szCs w:val="22"/>
        </w:rPr>
      </w:pPr>
    </w:p>
    <w:p w14:paraId="19E9CF6F" w14:textId="3F441764" w:rsidR="00B95172" w:rsidRPr="009B0099" w:rsidRDefault="00B95172" w:rsidP="00B95172">
      <w:pPr>
        <w:ind w:left="288"/>
        <w:rPr>
          <w:rFonts w:asciiTheme="majorBidi" w:hAnsiTheme="majorBidi" w:cstheme="majorBidi"/>
          <w:szCs w:val="22"/>
        </w:rPr>
      </w:pPr>
      <w:r w:rsidRPr="009B0099">
        <w:rPr>
          <w:rFonts w:asciiTheme="majorBidi" w:hAnsiTheme="majorBidi" w:cstheme="majorBidi"/>
          <w:szCs w:val="22"/>
        </w:rPr>
        <w:t>“In terms of energy requirements for electricity alone</w:t>
      </w:r>
      <w:r w:rsidR="00DA3653" w:rsidRPr="009B0099">
        <w:rPr>
          <w:rFonts w:asciiTheme="majorBidi" w:hAnsiTheme="majorBidi" w:cstheme="majorBidi"/>
          <w:szCs w:val="22"/>
        </w:rPr>
        <w:t>…</w:t>
      </w:r>
      <w:r w:rsidRPr="009B0099">
        <w:rPr>
          <w:rFonts w:asciiTheme="majorBidi" w:hAnsiTheme="majorBidi" w:cstheme="majorBidi"/>
          <w:szCs w:val="22"/>
        </w:rPr>
        <w:t>, around 500 TWh would be needed to capture 1 Gt of CO</w:t>
      </w:r>
      <w:r w:rsidRPr="009B0099">
        <w:rPr>
          <w:rFonts w:asciiTheme="majorBidi" w:hAnsiTheme="majorBidi" w:cstheme="majorBidi"/>
          <w:szCs w:val="22"/>
          <w:vertAlign w:val="subscript"/>
        </w:rPr>
        <w:t>2</w:t>
      </w:r>
      <w:r w:rsidR="00DA3653" w:rsidRPr="009B0099">
        <w:rPr>
          <w:rFonts w:asciiTheme="majorBidi" w:hAnsiTheme="majorBidi" w:cstheme="majorBidi"/>
          <w:szCs w:val="22"/>
        </w:rPr>
        <w:t xml:space="preserve"> [</w:t>
      </w:r>
      <w:r w:rsidR="003D09EA" w:rsidRPr="009B0099">
        <w:rPr>
          <w:rFonts w:asciiTheme="majorBidi" w:hAnsiTheme="majorBidi" w:cstheme="majorBidi"/>
          <w:szCs w:val="22"/>
        </w:rPr>
        <w:t xml:space="preserve">based on the data in </w:t>
      </w:r>
      <w:r w:rsidR="00DA3653" w:rsidRPr="009B0099">
        <w:rPr>
          <w:rFonts w:asciiTheme="majorBidi" w:hAnsiTheme="majorBidi" w:cstheme="majorBidi"/>
          <w:szCs w:val="22"/>
        </w:rPr>
        <w:t>Keith</w:t>
      </w:r>
      <w:r w:rsidR="00520DF9" w:rsidRPr="009B0099">
        <w:rPr>
          <w:rFonts w:asciiTheme="majorBidi" w:hAnsiTheme="majorBidi" w:cstheme="majorBidi"/>
          <w:szCs w:val="22"/>
        </w:rPr>
        <w:t xml:space="preserve"> et al.,</w:t>
      </w:r>
      <w:r w:rsidR="00DA3653" w:rsidRPr="009B0099">
        <w:rPr>
          <w:rFonts w:asciiTheme="majorBidi" w:hAnsiTheme="majorBidi" w:cstheme="majorBidi"/>
          <w:szCs w:val="22"/>
        </w:rPr>
        <w:t xml:space="preserve"> 2018],</w:t>
      </w:r>
      <w:r w:rsidRPr="009B0099">
        <w:rPr>
          <w:rFonts w:asciiTheme="majorBidi" w:hAnsiTheme="majorBidi" w:cstheme="majorBidi"/>
          <w:szCs w:val="22"/>
        </w:rPr>
        <w:t xml:space="preserve"> and to avoid creating additional offsetting emissions, this electricity would need to come from renewable sources, specifically variable renewable generation as mentioned in the </w:t>
      </w:r>
      <w:r w:rsidR="00DA3653" w:rsidRPr="009B0099">
        <w:rPr>
          <w:rFonts w:asciiTheme="majorBidi" w:hAnsiTheme="majorBidi" w:cstheme="majorBidi"/>
          <w:szCs w:val="22"/>
        </w:rPr>
        <w:t xml:space="preserve">[Realmonte et. al.] </w:t>
      </w:r>
      <w:r w:rsidRPr="009B0099">
        <w:rPr>
          <w:rFonts w:asciiTheme="majorBidi" w:hAnsiTheme="majorBidi" w:cstheme="majorBidi"/>
          <w:szCs w:val="22"/>
        </w:rPr>
        <w:t>study. 500 TWh, however, is more than total renewable generation in the US</w:t>
      </w:r>
      <w:r w:rsidRPr="009B0099">
        <w:rPr>
          <w:rFonts w:asciiTheme="majorBidi" w:hAnsiTheme="majorBidi" w:cstheme="majorBidi"/>
          <w:b/>
          <w:bCs/>
          <w:szCs w:val="22"/>
        </w:rPr>
        <w:t xml:space="preserve"> </w:t>
      </w:r>
      <w:r w:rsidRPr="009B0099">
        <w:rPr>
          <w:rFonts w:asciiTheme="majorBidi" w:hAnsiTheme="majorBidi" w:cstheme="majorBidi"/>
          <w:szCs w:val="22"/>
        </w:rPr>
        <w:t>(375 TWh in 2018),</w:t>
      </w:r>
      <w:r w:rsidRPr="009B0099">
        <w:rPr>
          <w:rFonts w:asciiTheme="majorBidi" w:hAnsiTheme="majorBidi" w:cstheme="majorBidi"/>
          <w:b/>
          <w:bCs/>
          <w:szCs w:val="22"/>
        </w:rPr>
        <w:t xml:space="preserve"> </w:t>
      </w:r>
      <w:bookmarkEnd w:id="8"/>
      <w:r w:rsidRPr="009B0099">
        <w:rPr>
          <w:rFonts w:asciiTheme="majorBidi" w:hAnsiTheme="majorBidi" w:cstheme="majorBidi"/>
          <w:szCs w:val="22"/>
        </w:rPr>
        <w:t xml:space="preserve">about 27% of the world total, and is nearly double the increment in renewable generation growth between 2017 and 2018 globally (which was less the increment between 2016 and 2017)...While an individual plant may be able to run on a local supply of renewable electricity, massive scaling of the technology would quickly consume all available renewable electricity, at a time when it is also assumed to be available for a myriad of other uses. It’s really a question of biophysical scalability, not financial cost. </w:t>
      </w:r>
    </w:p>
    <w:p w14:paraId="39C79C95" w14:textId="77777777" w:rsidR="00B95172" w:rsidRPr="009B0099" w:rsidRDefault="00B95172" w:rsidP="00B95172">
      <w:pPr>
        <w:rPr>
          <w:rFonts w:asciiTheme="majorBidi" w:hAnsiTheme="majorBidi" w:cstheme="majorBidi"/>
        </w:rPr>
      </w:pPr>
    </w:p>
    <w:p w14:paraId="39CED001" w14:textId="77777777" w:rsidR="00B95172" w:rsidRPr="009B0099" w:rsidRDefault="00B95172" w:rsidP="00B95172">
      <w:pPr>
        <w:rPr>
          <w:rFonts w:asciiTheme="majorBidi" w:hAnsiTheme="majorBidi" w:cstheme="majorBidi"/>
          <w:szCs w:val="22"/>
        </w:rPr>
      </w:pPr>
      <w:r w:rsidRPr="009B0099">
        <w:rPr>
          <w:rFonts w:asciiTheme="majorBidi" w:hAnsiTheme="majorBidi" w:cstheme="majorBidi"/>
          <w:szCs w:val="22"/>
        </w:rPr>
        <w:t>Given the enormous energy requirements for direct air capture, the question for policymakers is whether to use public financing to divert renewable energy production to DAC or to support the development and deployment of renewables to power buildings, industry and transport in order to directly curtail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emissions. </w:t>
      </w:r>
    </w:p>
    <w:p w14:paraId="4E0E81F7" w14:textId="77777777" w:rsidR="00B95172" w:rsidRPr="009B0099" w:rsidRDefault="00B95172" w:rsidP="00B95172">
      <w:pPr>
        <w:rPr>
          <w:rFonts w:asciiTheme="majorBidi" w:hAnsiTheme="majorBidi" w:cstheme="majorBidi"/>
          <w:sz w:val="24"/>
        </w:rPr>
      </w:pPr>
    </w:p>
    <w:p w14:paraId="03E12B6D" w14:textId="704B9F14" w:rsidR="0090534F" w:rsidRPr="009B0099" w:rsidRDefault="0090534F">
      <w:pPr>
        <w:rPr>
          <w:rFonts w:asciiTheme="majorBidi" w:hAnsiTheme="majorBidi" w:cstheme="majorBidi"/>
        </w:rPr>
      </w:pPr>
    </w:p>
    <w:p w14:paraId="6B9F94F7" w14:textId="77777777" w:rsidR="0090534F" w:rsidRPr="009B0099" w:rsidRDefault="0090534F" w:rsidP="0090534F">
      <w:pPr>
        <w:rPr>
          <w:rFonts w:asciiTheme="majorBidi" w:hAnsiTheme="majorBidi" w:cstheme="majorBidi"/>
          <w:b/>
          <w:bCs/>
          <w:i/>
          <w:iCs/>
          <w:color w:val="0070C0"/>
          <w:sz w:val="24"/>
        </w:rPr>
      </w:pPr>
      <w:r w:rsidRPr="009B0099">
        <w:rPr>
          <w:rFonts w:asciiTheme="majorBidi" w:hAnsiTheme="majorBidi" w:cstheme="majorBidi"/>
          <w:b/>
          <w:bCs/>
          <w:i/>
          <w:iCs/>
          <w:color w:val="0070C0"/>
          <w:sz w:val="24"/>
        </w:rPr>
        <w:t>Land required to capture 1 Gt CO2</w:t>
      </w:r>
    </w:p>
    <w:p w14:paraId="6422BC8B" w14:textId="77777777" w:rsidR="0090534F" w:rsidRPr="009B0099" w:rsidRDefault="0090534F" w:rsidP="0090534F">
      <w:pPr>
        <w:rPr>
          <w:rFonts w:asciiTheme="majorBidi" w:hAnsiTheme="majorBidi" w:cstheme="majorBidi"/>
          <w:szCs w:val="22"/>
        </w:rPr>
      </w:pPr>
    </w:p>
    <w:p w14:paraId="23A8013B" w14:textId="77777777" w:rsidR="0090534F" w:rsidRPr="009B0099" w:rsidRDefault="0090534F" w:rsidP="0090534F">
      <w:pPr>
        <w:ind w:firstLine="288"/>
        <w:rPr>
          <w:rFonts w:asciiTheme="majorBidi" w:hAnsiTheme="majorBidi" w:cstheme="majorBidi"/>
          <w:i/>
          <w:iCs/>
          <w:sz w:val="24"/>
        </w:rPr>
      </w:pPr>
      <w:r w:rsidRPr="009B0099">
        <w:rPr>
          <w:rFonts w:asciiTheme="majorBidi" w:hAnsiTheme="majorBidi" w:cstheme="majorBidi"/>
          <w:i/>
          <w:iCs/>
          <w:sz w:val="24"/>
        </w:rPr>
        <w:t xml:space="preserve">Direct Air Capture – Land requirements </w:t>
      </w:r>
    </w:p>
    <w:p w14:paraId="7F43FB03" w14:textId="77777777" w:rsidR="0090534F" w:rsidRPr="009B0099" w:rsidRDefault="0090534F" w:rsidP="0090534F">
      <w:pPr>
        <w:ind w:firstLine="288"/>
        <w:rPr>
          <w:rFonts w:asciiTheme="majorBidi" w:hAnsiTheme="majorBidi" w:cstheme="majorBidi"/>
          <w:i/>
          <w:iCs/>
          <w:color w:val="0070C0"/>
          <w:sz w:val="24"/>
        </w:rPr>
      </w:pPr>
    </w:p>
    <w:p w14:paraId="6E01A656" w14:textId="77777777" w:rsidR="0090534F" w:rsidRPr="009B0099" w:rsidRDefault="0090534F" w:rsidP="0090534F">
      <w:pPr>
        <w:rPr>
          <w:rFonts w:asciiTheme="majorBidi" w:hAnsiTheme="majorBidi" w:cstheme="majorBidi"/>
          <w:szCs w:val="22"/>
        </w:rPr>
      </w:pPr>
      <w:bookmarkStart w:id="10" w:name="_Hlk45110315"/>
      <w:r w:rsidRPr="009B0099">
        <w:rPr>
          <w:rFonts w:asciiTheme="majorBidi" w:hAnsiTheme="majorBidi" w:cstheme="majorBidi"/>
          <w:szCs w:val="22"/>
        </w:rPr>
        <w:t>Most reports on direct air capture (DAC) elide or ignore the land requirements of this method, which become enormous when operating at scale, particularly if powered by renewable energy.</w:t>
      </w:r>
    </w:p>
    <w:p w14:paraId="50572202" w14:textId="77777777" w:rsidR="0090534F" w:rsidRPr="009B0099" w:rsidRDefault="0090534F" w:rsidP="0090534F">
      <w:pPr>
        <w:rPr>
          <w:rFonts w:asciiTheme="majorBidi" w:hAnsiTheme="majorBidi" w:cstheme="majorBidi"/>
          <w:szCs w:val="22"/>
        </w:rPr>
      </w:pPr>
    </w:p>
    <w:p w14:paraId="39C08ECD" w14:textId="36F870C8" w:rsidR="0090534F" w:rsidRPr="009B0099" w:rsidRDefault="0090534F" w:rsidP="0090534F">
      <w:pPr>
        <w:rPr>
          <w:rFonts w:asciiTheme="majorBidi" w:hAnsiTheme="majorBidi" w:cstheme="majorBidi"/>
          <w:szCs w:val="22"/>
        </w:rPr>
      </w:pPr>
      <w:r w:rsidRPr="009B0099">
        <w:rPr>
          <w:rFonts w:asciiTheme="majorBidi" w:hAnsiTheme="majorBidi" w:cstheme="majorBidi"/>
        </w:rPr>
        <w:t>To operate at scale (capture of 1 Gt CO</w:t>
      </w:r>
      <w:r w:rsidRPr="009B0099">
        <w:rPr>
          <w:rFonts w:asciiTheme="majorBidi" w:hAnsiTheme="majorBidi" w:cstheme="majorBidi"/>
          <w:vertAlign w:val="subscript"/>
        </w:rPr>
        <w:t>2</w:t>
      </w:r>
      <w:r w:rsidRPr="009B0099">
        <w:rPr>
          <w:rFonts w:asciiTheme="majorBidi" w:hAnsiTheme="majorBidi" w:cstheme="majorBidi"/>
        </w:rPr>
        <w:t xml:space="preserve">), a liquid solvent DAC system powered by natural gas would require a land area more than five (5) times the size of the city of Los Angeles. This projection is based on the National Academies of Sciences report on </w:t>
      </w:r>
      <w:r w:rsidRPr="009B0099">
        <w:rPr>
          <w:rFonts w:asciiTheme="majorBidi" w:hAnsiTheme="majorBidi" w:cstheme="majorBidi"/>
          <w:i/>
          <w:iCs/>
        </w:rPr>
        <w:t>Negative Emissions Technologies</w:t>
      </w:r>
      <w:r w:rsidRPr="009B0099">
        <w:rPr>
          <w:rFonts w:asciiTheme="majorBidi" w:hAnsiTheme="majorBidi" w:cstheme="majorBidi"/>
        </w:rPr>
        <w:t xml:space="preserve"> (2019 pp 224-226).</w:t>
      </w:r>
      <w:r w:rsidRPr="009B0099">
        <w:rPr>
          <w:rFonts w:asciiTheme="majorBidi" w:hAnsiTheme="majorBidi" w:cstheme="majorBidi"/>
          <w:vertAlign w:val="superscript"/>
        </w:rPr>
        <w:t xml:space="preserve">  </w:t>
      </w:r>
      <w:r w:rsidRPr="009B0099">
        <w:rPr>
          <w:rFonts w:asciiTheme="majorBidi" w:hAnsiTheme="majorBidi" w:cstheme="majorBidi"/>
        </w:rPr>
        <w:t xml:space="preserve">The report goes on to explain that, if solar is used to replace the fossil fuel power source, then the required land area expands dramatically. </w:t>
      </w:r>
      <w:bookmarkStart w:id="11" w:name="_Hlk30324523"/>
      <w:r w:rsidRPr="009B0099">
        <w:rPr>
          <w:rFonts w:asciiTheme="majorBidi" w:hAnsiTheme="majorBidi" w:cstheme="majorBidi"/>
        </w:rPr>
        <w:t>Thus, to remove 1Gt of CO</w:t>
      </w:r>
      <w:r w:rsidRPr="009B0099">
        <w:rPr>
          <w:rFonts w:asciiTheme="majorBidi" w:hAnsiTheme="majorBidi" w:cstheme="majorBidi"/>
          <w:vertAlign w:val="subscript"/>
        </w:rPr>
        <w:t>2</w:t>
      </w:r>
      <w:r w:rsidRPr="009B0099">
        <w:rPr>
          <w:rFonts w:asciiTheme="majorBidi" w:hAnsiTheme="majorBidi" w:cstheme="majorBidi"/>
        </w:rPr>
        <w:t xml:space="preserve"> would require a land area ten (10) times the size of the state of Delaware</w:t>
      </w:r>
      <w:bookmarkEnd w:id="11"/>
      <w:r w:rsidRPr="009B0099">
        <w:rPr>
          <w:rFonts w:asciiTheme="majorBidi" w:hAnsiTheme="majorBidi" w:cstheme="majorBidi"/>
        </w:rPr>
        <w:t>.</w:t>
      </w:r>
      <w:r w:rsidRPr="009B0099">
        <w:rPr>
          <w:rStyle w:val="FootnoteReference"/>
          <w:rFonts w:asciiTheme="majorBidi" w:hAnsiTheme="majorBidi" w:cstheme="majorBidi"/>
        </w:rPr>
        <w:footnoteReference w:id="13"/>
      </w:r>
      <w:r w:rsidRPr="009B0099">
        <w:rPr>
          <w:rFonts w:asciiTheme="majorBidi" w:hAnsiTheme="majorBidi" w:cstheme="majorBidi"/>
        </w:rPr>
        <w:t xml:space="preserve"> </w:t>
      </w:r>
      <w:r w:rsidRPr="009B0099">
        <w:rPr>
          <w:rFonts w:asciiTheme="majorBidi" w:hAnsiTheme="majorBidi" w:cstheme="majorBidi"/>
          <w:szCs w:val="22"/>
        </w:rPr>
        <w:t>And this does not count the land required for transport, injection and storage after the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has been captured.  </w:t>
      </w:r>
      <w:r w:rsidRPr="009B0099">
        <w:rPr>
          <w:rFonts w:asciiTheme="majorBidi" w:hAnsiTheme="majorBidi" w:cstheme="majorBidi"/>
        </w:rPr>
        <w:t>Socolow et. al. (2011) did note the substantial land requirements for DAC. A 30-kilometer (19 miles) long “direct air capture” structure would be needed just to balance out the CO</w:t>
      </w:r>
      <w:r w:rsidRPr="009B0099">
        <w:rPr>
          <w:rFonts w:asciiTheme="majorBidi" w:hAnsiTheme="majorBidi" w:cstheme="majorBidi"/>
          <w:vertAlign w:val="subscript"/>
        </w:rPr>
        <w:t>2</w:t>
      </w:r>
      <w:r w:rsidRPr="009B0099">
        <w:rPr>
          <w:rFonts w:asciiTheme="majorBidi" w:hAnsiTheme="majorBidi" w:cstheme="majorBidi"/>
        </w:rPr>
        <w:t xml:space="preserve"> emitted from a single 1000-MW coal-fired power plant. </w:t>
      </w:r>
    </w:p>
    <w:bookmarkEnd w:id="10"/>
    <w:p w14:paraId="2B3333C7" w14:textId="77777777" w:rsidR="0090534F" w:rsidRPr="009B0099" w:rsidRDefault="0090534F" w:rsidP="0090534F">
      <w:pPr>
        <w:rPr>
          <w:rFonts w:asciiTheme="majorBidi" w:hAnsiTheme="majorBidi" w:cstheme="majorBidi"/>
          <w:sz w:val="24"/>
        </w:rPr>
      </w:pPr>
    </w:p>
    <w:p w14:paraId="665622F2" w14:textId="77777777" w:rsidR="0090534F" w:rsidRPr="009B0099" w:rsidRDefault="0090534F" w:rsidP="0090534F">
      <w:pPr>
        <w:autoSpaceDE w:val="0"/>
        <w:autoSpaceDN w:val="0"/>
        <w:adjustRightInd w:val="0"/>
        <w:spacing w:line="240" w:lineRule="auto"/>
        <w:ind w:left="288"/>
        <w:rPr>
          <w:rFonts w:asciiTheme="majorBidi" w:hAnsiTheme="majorBidi" w:cstheme="majorBidi"/>
          <w:i/>
          <w:iCs/>
          <w:sz w:val="24"/>
        </w:rPr>
      </w:pPr>
      <w:r w:rsidRPr="009B0099">
        <w:rPr>
          <w:rFonts w:asciiTheme="majorBidi" w:hAnsiTheme="majorBidi" w:cstheme="majorBidi"/>
          <w:i/>
          <w:iCs/>
          <w:sz w:val="24"/>
        </w:rPr>
        <w:t>Land use: CCS-EOR compared to photovoltaic</w:t>
      </w:r>
    </w:p>
    <w:p w14:paraId="11878CF6" w14:textId="77777777" w:rsidR="0090534F" w:rsidRPr="009B0099" w:rsidRDefault="0090534F" w:rsidP="0090534F">
      <w:pPr>
        <w:autoSpaceDE w:val="0"/>
        <w:autoSpaceDN w:val="0"/>
        <w:adjustRightInd w:val="0"/>
        <w:spacing w:line="240" w:lineRule="auto"/>
        <w:rPr>
          <w:rFonts w:asciiTheme="majorBidi" w:hAnsiTheme="majorBidi" w:cstheme="majorBidi"/>
        </w:rPr>
      </w:pPr>
    </w:p>
    <w:p w14:paraId="18377430" w14:textId="32CA5697" w:rsidR="0090534F" w:rsidRPr="009B0099" w:rsidRDefault="0090534F" w:rsidP="0090534F">
      <w:pPr>
        <w:autoSpaceDE w:val="0"/>
        <w:autoSpaceDN w:val="0"/>
        <w:adjustRightInd w:val="0"/>
        <w:spacing w:line="240" w:lineRule="auto"/>
        <w:rPr>
          <w:rFonts w:asciiTheme="majorBidi" w:hAnsiTheme="majorBidi" w:cstheme="majorBidi"/>
          <w:szCs w:val="22"/>
        </w:rPr>
      </w:pPr>
      <w:r w:rsidRPr="009B0099">
        <w:rPr>
          <w:rFonts w:asciiTheme="majorBidi" w:hAnsiTheme="majorBidi" w:cstheme="majorBidi"/>
        </w:rPr>
        <w:t xml:space="preserve">Groesbeck </w:t>
      </w:r>
      <w:r w:rsidR="007234A0">
        <w:rPr>
          <w:rFonts w:asciiTheme="majorBidi" w:hAnsiTheme="majorBidi" w:cstheme="majorBidi"/>
        </w:rPr>
        <w:t>and Pearce</w:t>
      </w:r>
      <w:bookmarkStart w:id="12" w:name="_GoBack"/>
      <w:bookmarkEnd w:id="12"/>
      <w:r w:rsidRPr="009B0099">
        <w:rPr>
          <w:rFonts w:asciiTheme="majorBidi" w:hAnsiTheme="majorBidi" w:cstheme="majorBidi"/>
        </w:rPr>
        <w:t xml:space="preserve"> (2018) compared land use for CCS-EOR (when the CO</w:t>
      </w:r>
      <w:r w:rsidRPr="009B0099">
        <w:rPr>
          <w:rFonts w:asciiTheme="majorBidi" w:hAnsiTheme="majorBidi" w:cstheme="majorBidi"/>
          <w:vertAlign w:val="subscript"/>
        </w:rPr>
        <w:t>2</w:t>
      </w:r>
      <w:r w:rsidRPr="009B0099">
        <w:rPr>
          <w:rFonts w:asciiTheme="majorBidi" w:hAnsiTheme="majorBidi" w:cstheme="majorBidi"/>
        </w:rPr>
        <w:t xml:space="preserve"> capture is from coal-fired electricity plants) with land use for photovoltaic (PV). The study found that land use for CCS-EOR was greater than that for PV:</w:t>
      </w:r>
    </w:p>
    <w:p w14:paraId="22711F78" w14:textId="77777777" w:rsidR="0090534F" w:rsidRPr="009B0099" w:rsidRDefault="0090534F" w:rsidP="0090534F">
      <w:pPr>
        <w:autoSpaceDE w:val="0"/>
        <w:autoSpaceDN w:val="0"/>
        <w:adjustRightInd w:val="0"/>
        <w:spacing w:line="240" w:lineRule="auto"/>
        <w:rPr>
          <w:rFonts w:asciiTheme="majorBidi" w:hAnsiTheme="majorBidi" w:cstheme="majorBidi"/>
          <w:szCs w:val="22"/>
        </w:rPr>
      </w:pPr>
    </w:p>
    <w:p w14:paraId="68D103C0" w14:textId="77777777" w:rsidR="0090534F" w:rsidRPr="009B0099" w:rsidRDefault="0090534F" w:rsidP="0090534F">
      <w:pPr>
        <w:autoSpaceDE w:val="0"/>
        <w:autoSpaceDN w:val="0"/>
        <w:adjustRightInd w:val="0"/>
        <w:spacing w:line="240" w:lineRule="auto"/>
        <w:ind w:left="288"/>
        <w:rPr>
          <w:rFonts w:asciiTheme="majorBidi" w:hAnsiTheme="majorBidi" w:cstheme="majorBidi"/>
          <w:szCs w:val="22"/>
        </w:rPr>
      </w:pPr>
      <w:r w:rsidRPr="009B0099">
        <w:rPr>
          <w:rFonts w:asciiTheme="majorBidi" w:hAnsiTheme="majorBidi" w:cstheme="majorBidi"/>
          <w:szCs w:val="22"/>
        </w:rPr>
        <w:t xml:space="preserve">the use of coal to provide climate-neutral power </w:t>
      </w:r>
      <w:r w:rsidRPr="009B0099">
        <w:rPr>
          <w:rFonts w:asciiTheme="majorBidi" w:hAnsiTheme="majorBidi" w:cstheme="majorBidi"/>
          <w:b/>
          <w:bCs/>
          <w:szCs w:val="22"/>
        </w:rPr>
        <w:t>cannot be justified</w:t>
      </w:r>
      <w:r w:rsidRPr="009B0099">
        <w:rPr>
          <w:rFonts w:asciiTheme="majorBidi" w:hAnsiTheme="majorBidi" w:cstheme="majorBidi"/>
          <w:szCs w:val="22"/>
        </w:rPr>
        <w:t xml:space="preserve"> because the potential for far more effective use of land with PV. This study showed that solar photovoltaic technology is a far superior use of land for climate neutral electricity generation than any technology coupled to coal….</w:t>
      </w:r>
      <w:r w:rsidRPr="009B0099">
        <w:rPr>
          <w:rFonts w:asciiTheme="majorBidi" w:hAnsiTheme="majorBidi" w:cstheme="majorBidi"/>
          <w:b/>
          <w:bCs/>
          <w:szCs w:val="22"/>
        </w:rPr>
        <w:t>Carbon capture and storage and enhanced oil recovery</w:t>
      </w:r>
      <w:r w:rsidRPr="009B0099">
        <w:rPr>
          <w:rFonts w:asciiTheme="majorBidi" w:hAnsiTheme="majorBidi" w:cstheme="majorBidi"/>
          <w:szCs w:val="22"/>
        </w:rPr>
        <w:t xml:space="preserve"> can improve coal performance, but for all cases the results </w:t>
      </w:r>
      <w:r w:rsidRPr="009B0099">
        <w:rPr>
          <w:rFonts w:asciiTheme="majorBidi" w:hAnsiTheme="majorBidi" w:cstheme="majorBidi"/>
          <w:b/>
          <w:bCs/>
          <w:szCs w:val="22"/>
        </w:rPr>
        <w:t xml:space="preserve">clearly show that PV is a far more effective use of land. </w:t>
      </w:r>
      <w:r w:rsidRPr="009B0099">
        <w:rPr>
          <w:rFonts w:asciiTheme="majorBidi" w:hAnsiTheme="majorBidi" w:cstheme="majorBidi"/>
          <w:szCs w:val="22"/>
        </w:rPr>
        <w:t>(Emphasis added.)</w:t>
      </w:r>
    </w:p>
    <w:p w14:paraId="3589CFB1" w14:textId="33D1DA00" w:rsidR="0090534F" w:rsidRPr="009B0099" w:rsidRDefault="0090534F" w:rsidP="0090534F">
      <w:pPr>
        <w:rPr>
          <w:rFonts w:asciiTheme="majorBidi" w:hAnsiTheme="majorBidi" w:cstheme="majorBidi"/>
          <w:sz w:val="24"/>
        </w:rPr>
      </w:pPr>
    </w:p>
    <w:p w14:paraId="14A4F1B1" w14:textId="77777777" w:rsidR="00D12789" w:rsidRPr="009B0099" w:rsidRDefault="00D12789" w:rsidP="0090534F">
      <w:pPr>
        <w:rPr>
          <w:rFonts w:asciiTheme="majorBidi" w:hAnsiTheme="majorBidi" w:cstheme="majorBidi"/>
          <w:sz w:val="24"/>
        </w:rPr>
      </w:pPr>
    </w:p>
    <w:p w14:paraId="46965CD4" w14:textId="3D63AC32" w:rsidR="00D12789" w:rsidRPr="009B0099" w:rsidRDefault="00D12789" w:rsidP="00D12789">
      <w:pPr>
        <w:autoSpaceDE w:val="0"/>
        <w:autoSpaceDN w:val="0"/>
        <w:adjustRightInd w:val="0"/>
        <w:spacing w:line="240" w:lineRule="auto"/>
        <w:ind w:left="288"/>
        <w:rPr>
          <w:rFonts w:asciiTheme="majorBidi" w:hAnsiTheme="majorBidi" w:cstheme="majorBidi"/>
          <w:i/>
          <w:iCs/>
          <w:sz w:val="24"/>
        </w:rPr>
      </w:pPr>
      <w:r w:rsidRPr="009B0099">
        <w:rPr>
          <w:rFonts w:asciiTheme="majorBidi" w:hAnsiTheme="majorBidi" w:cstheme="majorBidi"/>
          <w:i/>
          <w:iCs/>
          <w:sz w:val="24"/>
        </w:rPr>
        <w:t>Land use for transport: Pipelines land requirements</w:t>
      </w:r>
    </w:p>
    <w:p w14:paraId="21BBD75E" w14:textId="77777777" w:rsidR="00D37A8B" w:rsidRPr="009B0099" w:rsidRDefault="00D37A8B" w:rsidP="00D37A8B">
      <w:pPr>
        <w:rPr>
          <w:rFonts w:asciiTheme="majorBidi" w:hAnsiTheme="majorBidi" w:cstheme="majorBidi"/>
          <w:szCs w:val="22"/>
        </w:rPr>
      </w:pPr>
    </w:p>
    <w:p w14:paraId="3E4205E5" w14:textId="77777777" w:rsidR="00D37A8B" w:rsidRPr="009B0099" w:rsidRDefault="00D37A8B" w:rsidP="00D37A8B">
      <w:pPr>
        <w:rPr>
          <w:rFonts w:asciiTheme="majorBidi" w:hAnsiTheme="majorBidi" w:cstheme="majorBidi"/>
        </w:rPr>
      </w:pPr>
      <w:bookmarkStart w:id="13" w:name="_Hlk45110706"/>
      <w:r w:rsidRPr="009B0099">
        <w:rPr>
          <w:rFonts w:asciiTheme="majorBidi" w:hAnsiTheme="majorBidi" w:cstheme="majorBidi"/>
          <w:szCs w:val="22"/>
        </w:rPr>
        <w:t>A surface land requirement lacking a prominent place the scientific literature is the vast territory needed for pipelines to transport the captured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to injection sites – whether for EOR or dedicated subsurface storage. </w:t>
      </w:r>
      <w:bookmarkEnd w:id="13"/>
      <w:r w:rsidRPr="009B0099">
        <w:rPr>
          <w:rFonts w:asciiTheme="majorBidi" w:hAnsiTheme="majorBidi" w:cstheme="majorBidi"/>
        </w:rPr>
        <w:t>At scale the requirement is massive.</w:t>
      </w:r>
      <w:r w:rsidRPr="009B0099">
        <w:rPr>
          <w:rFonts w:asciiTheme="majorBidi" w:hAnsiTheme="majorBidi" w:cstheme="majorBidi"/>
          <w:b/>
          <w:bCs/>
        </w:rPr>
        <w:t xml:space="preserve"> </w:t>
      </w:r>
      <w:r w:rsidRPr="009B0099">
        <w:rPr>
          <w:rFonts w:asciiTheme="majorBidi" w:hAnsiTheme="majorBidi" w:cstheme="majorBidi"/>
          <w:szCs w:val="22"/>
        </w:rPr>
        <w:t xml:space="preserve">Extensive amounts of land would have to first be acquired – no small undertaking – and then be occupied. </w:t>
      </w:r>
      <w:bookmarkStart w:id="14" w:name="_Hlk45110746"/>
      <w:r w:rsidRPr="009B0099">
        <w:rPr>
          <w:rFonts w:asciiTheme="majorBidi" w:hAnsiTheme="majorBidi" w:cstheme="majorBidi"/>
          <w:szCs w:val="22"/>
        </w:rPr>
        <w:t>One Gt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capture and transport</w:t>
      </w:r>
      <w:r w:rsidRPr="009B0099">
        <w:rPr>
          <w:rFonts w:asciiTheme="majorBidi" w:hAnsiTheme="majorBidi" w:cstheme="majorBidi"/>
          <w:b/>
          <w:bCs/>
          <w:szCs w:val="22"/>
        </w:rPr>
        <w:t xml:space="preserve"> </w:t>
      </w:r>
      <w:r w:rsidRPr="009B0099">
        <w:rPr>
          <w:rFonts w:asciiTheme="majorBidi" w:hAnsiTheme="majorBidi" w:cstheme="majorBidi"/>
          <w:szCs w:val="22"/>
        </w:rPr>
        <w:t>would entail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pipeline capacity larger than the existing petroleum pipeline system (Fridley, 2019; Mac Dowell et al 2017). </w:t>
      </w:r>
      <w:bookmarkEnd w:id="14"/>
      <w:r w:rsidRPr="009B0099">
        <w:rPr>
          <w:rFonts w:asciiTheme="majorBidi" w:hAnsiTheme="majorBidi" w:cstheme="majorBidi"/>
          <w:szCs w:val="22"/>
        </w:rPr>
        <w:t>“The scope of the pipeline infrastructure that would need to be added cannot be overstated,” note Schlisel and Wamsted (2018).</w:t>
      </w:r>
      <w:r w:rsidRPr="009B0099">
        <w:rPr>
          <w:rFonts w:asciiTheme="majorBidi" w:hAnsiTheme="majorBidi" w:cstheme="majorBidi"/>
          <w:color w:val="FF0000"/>
        </w:rPr>
        <w:t xml:space="preserve"> </w:t>
      </w:r>
      <w:r w:rsidRPr="009B0099">
        <w:rPr>
          <w:rFonts w:asciiTheme="majorBidi" w:hAnsiTheme="majorBidi" w:cstheme="majorBidi"/>
        </w:rPr>
        <w:t xml:space="preserve"> CO</w:t>
      </w:r>
      <w:r w:rsidRPr="009B0099">
        <w:rPr>
          <w:rFonts w:asciiTheme="majorBidi" w:hAnsiTheme="majorBidi" w:cstheme="majorBidi"/>
          <w:vertAlign w:val="subscript"/>
        </w:rPr>
        <w:t>2</w:t>
      </w:r>
      <w:r w:rsidRPr="009B0099">
        <w:rPr>
          <w:rFonts w:asciiTheme="majorBidi" w:hAnsiTheme="majorBidi" w:cstheme="majorBidi"/>
        </w:rPr>
        <w:t xml:space="preserve"> pipeline development is the subject of reports at the state and local government levels in the U.S. The “State CO</w:t>
      </w:r>
      <w:r w:rsidRPr="009B0099">
        <w:rPr>
          <w:rFonts w:asciiTheme="majorBidi" w:hAnsiTheme="majorBidi" w:cstheme="majorBidi"/>
          <w:vertAlign w:val="subscript"/>
        </w:rPr>
        <w:t>2</w:t>
      </w:r>
      <w:r w:rsidRPr="009B0099">
        <w:rPr>
          <w:rFonts w:asciiTheme="majorBidi" w:hAnsiTheme="majorBidi" w:cstheme="majorBidi"/>
        </w:rPr>
        <w:t>-EOR Deployment Work Group” (2017) issued a report on pipeline buildout and called for government subsidy of pipeline construction. At the federal level, a workgroup has been established to plan for “CO</w:t>
      </w:r>
      <w:r w:rsidRPr="009B0099">
        <w:rPr>
          <w:rFonts w:asciiTheme="majorBidi" w:hAnsiTheme="majorBidi" w:cstheme="majorBidi"/>
          <w:vertAlign w:val="subscript"/>
        </w:rPr>
        <w:t>2</w:t>
      </w:r>
      <w:r w:rsidRPr="009B0099">
        <w:rPr>
          <w:rFonts w:asciiTheme="majorBidi" w:hAnsiTheme="majorBidi" w:cstheme="majorBidi"/>
        </w:rPr>
        <w:t xml:space="preserve"> pipeline network routing” (U.S. Department of Energy – U. S. Department of Agriculture 2020) as part of a program sponsored by the Office of Fossil Energy, U.S. Dept. of Energy.</w:t>
      </w:r>
    </w:p>
    <w:p w14:paraId="05E8E661" w14:textId="77777777" w:rsidR="00D37A8B" w:rsidRPr="009B0099" w:rsidRDefault="00D37A8B" w:rsidP="00D37A8B">
      <w:pPr>
        <w:rPr>
          <w:rFonts w:asciiTheme="majorBidi" w:hAnsiTheme="majorBidi" w:cstheme="majorBidi"/>
          <w:color w:val="C45911" w:themeColor="accent2" w:themeShade="BF"/>
          <w:szCs w:val="22"/>
        </w:rPr>
      </w:pPr>
    </w:p>
    <w:p w14:paraId="52DAD5F4" w14:textId="512A48A9" w:rsidR="00D37A8B" w:rsidRPr="009B0099" w:rsidRDefault="00D37A8B" w:rsidP="00D37A8B">
      <w:pPr>
        <w:rPr>
          <w:rFonts w:asciiTheme="majorBidi" w:hAnsiTheme="majorBidi" w:cstheme="majorBidi"/>
          <w:szCs w:val="22"/>
        </w:rPr>
      </w:pPr>
      <w:r w:rsidRPr="009B0099">
        <w:rPr>
          <w:rFonts w:asciiTheme="majorBidi" w:hAnsiTheme="majorBidi" w:cstheme="majorBidi"/>
          <w:szCs w:val="22"/>
        </w:rPr>
        <w:t>At the scale of 1 Gt removal, the volume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would require a pipeline infrastructure that exceeds the current global oil handling infrastructure. And “this begs the question of the ‘induced demand’ to mine the ores, process them, and build all the pipelines, compressors, etc. that such a new huge infrastructure would require. This is usually hidden as a monetary cost, not a new source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emissions” (Fridley 2019).  Similarly, </w:t>
      </w:r>
      <w:bookmarkStart w:id="15" w:name="_Hlk45110801"/>
      <w:r w:rsidRPr="009B0099">
        <w:rPr>
          <w:rFonts w:asciiTheme="majorBidi" w:hAnsiTheme="majorBidi" w:cstheme="majorBidi"/>
          <w:szCs w:val="22"/>
        </w:rPr>
        <w:t>Mac Dowell et. al. (2017) stress the enormous infrastructure buildout that would be required for CO</w:t>
      </w:r>
      <w:r w:rsidRPr="009B0099">
        <w:rPr>
          <w:rFonts w:asciiTheme="majorBidi" w:hAnsiTheme="majorBidi" w:cstheme="majorBidi"/>
          <w:szCs w:val="22"/>
          <w:vertAlign w:val="subscript"/>
        </w:rPr>
        <w:t xml:space="preserve">2 </w:t>
      </w:r>
      <w:r w:rsidRPr="009B0099">
        <w:rPr>
          <w:rFonts w:asciiTheme="majorBidi" w:hAnsiTheme="majorBidi" w:cstheme="majorBidi"/>
          <w:szCs w:val="22"/>
        </w:rPr>
        <w:t>capture and storage to operate at scale. “Given that CCS is expected to account for the mitigation of approximately 14 - 20% of total anthropogenic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emissions, in 2050 the CCS industry will need to be larger by a factor of 2 - 4 in volume terms than the current global oil industry.” </w:t>
      </w:r>
    </w:p>
    <w:p w14:paraId="5E325C0D" w14:textId="77777777" w:rsidR="00924ADC" w:rsidRPr="009B0099" w:rsidRDefault="00924ADC" w:rsidP="00D37A8B">
      <w:pPr>
        <w:rPr>
          <w:rFonts w:asciiTheme="majorBidi" w:hAnsiTheme="majorBidi" w:cstheme="majorBidi"/>
          <w:szCs w:val="22"/>
        </w:rPr>
      </w:pPr>
    </w:p>
    <w:p w14:paraId="5BD29DF6" w14:textId="43030EBD" w:rsidR="00F97FE5" w:rsidRPr="009B0099" w:rsidRDefault="00F97FE5" w:rsidP="00F97FE5">
      <w:pPr>
        <w:contextualSpacing/>
        <w:rPr>
          <w:rFonts w:asciiTheme="majorBidi" w:hAnsiTheme="majorBidi" w:cstheme="majorBidi"/>
          <w:szCs w:val="22"/>
        </w:rPr>
      </w:pPr>
      <w:bookmarkStart w:id="16" w:name="_Hlk40865866"/>
      <w:bookmarkStart w:id="17" w:name="_Hlk45184967"/>
      <w:bookmarkEnd w:id="15"/>
    </w:p>
    <w:p w14:paraId="674A6F4E" w14:textId="7B69D921" w:rsidR="00D12789" w:rsidRPr="009B0099" w:rsidRDefault="00D12789" w:rsidP="00D12789">
      <w:pPr>
        <w:rPr>
          <w:rFonts w:asciiTheme="majorBidi" w:hAnsiTheme="majorBidi" w:cstheme="majorBidi"/>
          <w:b/>
          <w:bCs/>
          <w:sz w:val="28"/>
          <w:szCs w:val="28"/>
        </w:rPr>
      </w:pPr>
      <w:r w:rsidRPr="009B0099">
        <w:rPr>
          <w:rFonts w:asciiTheme="majorBidi" w:hAnsiTheme="majorBidi" w:cstheme="majorBidi"/>
          <w:b/>
          <w:bCs/>
          <w:sz w:val="28"/>
          <w:szCs w:val="28"/>
        </w:rPr>
        <w:t>Biophysical impacts at scale</w:t>
      </w:r>
    </w:p>
    <w:p w14:paraId="74218252" w14:textId="77777777" w:rsidR="00D12789" w:rsidRPr="009B0099" w:rsidRDefault="00D12789" w:rsidP="00F97FE5">
      <w:pPr>
        <w:contextualSpacing/>
        <w:rPr>
          <w:rFonts w:asciiTheme="majorBidi" w:hAnsiTheme="majorBidi" w:cstheme="majorBidi"/>
          <w:szCs w:val="22"/>
        </w:rPr>
      </w:pPr>
    </w:p>
    <w:p w14:paraId="1681A660" w14:textId="7FA83C62" w:rsidR="00D12789" w:rsidRPr="009B0099" w:rsidRDefault="00D12789" w:rsidP="00D12789">
      <w:pPr>
        <w:ind w:left="720"/>
        <w:contextualSpacing/>
        <w:rPr>
          <w:rFonts w:asciiTheme="majorBidi" w:hAnsiTheme="majorBidi" w:cstheme="majorBidi"/>
          <w:i/>
          <w:iCs/>
          <w:sz w:val="24"/>
        </w:rPr>
      </w:pPr>
      <w:r w:rsidRPr="009B0099">
        <w:rPr>
          <w:rFonts w:asciiTheme="majorBidi" w:hAnsiTheme="majorBidi" w:cstheme="majorBidi"/>
          <w:i/>
          <w:iCs/>
          <w:sz w:val="24"/>
        </w:rPr>
        <w:t>Geologic storage: storage quality, uncertainty and risks</w:t>
      </w:r>
    </w:p>
    <w:p w14:paraId="1B2B93EC" w14:textId="77777777" w:rsidR="00D12789" w:rsidRPr="009B0099" w:rsidRDefault="00D12789" w:rsidP="00F97FE5">
      <w:pPr>
        <w:contextualSpacing/>
        <w:rPr>
          <w:rFonts w:asciiTheme="majorBidi" w:hAnsiTheme="majorBidi" w:cstheme="majorBidi"/>
          <w:szCs w:val="22"/>
        </w:rPr>
      </w:pPr>
    </w:p>
    <w:p w14:paraId="2CBF484F" w14:textId="44917468" w:rsidR="00F97FE5" w:rsidRPr="009B0099" w:rsidRDefault="00F97FE5" w:rsidP="00F97FE5">
      <w:pPr>
        <w:contextualSpacing/>
        <w:rPr>
          <w:rFonts w:asciiTheme="majorBidi" w:hAnsiTheme="majorBidi" w:cstheme="majorBidi"/>
          <w:szCs w:val="22"/>
        </w:rPr>
      </w:pPr>
      <w:r w:rsidRPr="009B0099">
        <w:rPr>
          <w:rFonts w:asciiTheme="majorBidi" w:hAnsiTheme="majorBidi" w:cstheme="majorBidi"/>
          <w:szCs w:val="22"/>
        </w:rPr>
        <w:t>Storage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captured through mechanical-chemical methods requires injection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into a suitable subsurface geological formation, which raises a variety of issues: quality and quantity of suitable</w:t>
      </w:r>
      <w:r w:rsidRPr="009B0099">
        <w:rPr>
          <w:rFonts w:asciiTheme="majorBidi" w:hAnsiTheme="majorBidi" w:cstheme="majorBidi"/>
          <w:color w:val="FF0000"/>
          <w:szCs w:val="22"/>
        </w:rPr>
        <w:t xml:space="preserve"> </w:t>
      </w:r>
      <w:r w:rsidRPr="009B0099">
        <w:rPr>
          <w:rFonts w:asciiTheme="majorBidi" w:hAnsiTheme="majorBidi" w:cstheme="majorBidi"/>
          <w:szCs w:val="22"/>
        </w:rPr>
        <w:t>storage sites; longevity of storage; leakage and safety.</w:t>
      </w:r>
      <w:r w:rsidRPr="009B0099">
        <w:rPr>
          <w:rStyle w:val="FootnoteReference"/>
          <w:rFonts w:asciiTheme="majorBidi" w:hAnsiTheme="majorBidi" w:cstheme="majorBidi"/>
          <w:szCs w:val="22"/>
        </w:rPr>
        <w:t xml:space="preserve"> </w:t>
      </w:r>
      <w:r w:rsidRPr="009B0099">
        <w:rPr>
          <w:rFonts w:asciiTheme="majorBidi" w:hAnsiTheme="majorBidi" w:cstheme="majorBidi"/>
          <w:szCs w:val="22"/>
        </w:rPr>
        <w:t xml:space="preserve">(“Mineralization” of CO2 -- “solid storage” -- is also discussed in the literature as a possibility. But there are hurdles; the feasibility of this approach is uncertain; and carbon dioxide removal at scale could entail burying “mountains” of solidified carbon [Clemens 2019; Barnard 2019]).   </w:t>
      </w:r>
    </w:p>
    <w:p w14:paraId="4145CF9F" w14:textId="77777777" w:rsidR="00F97FE5" w:rsidRPr="009B0099" w:rsidRDefault="00F97FE5" w:rsidP="00F97FE5">
      <w:pPr>
        <w:contextualSpacing/>
        <w:rPr>
          <w:rFonts w:asciiTheme="majorBidi" w:hAnsiTheme="majorBidi" w:cstheme="majorBidi"/>
        </w:rPr>
      </w:pPr>
    </w:p>
    <w:p w14:paraId="2E3AE732" w14:textId="77777777" w:rsidR="00F97FE5" w:rsidRPr="009B0099" w:rsidRDefault="00F97FE5" w:rsidP="00F97FE5">
      <w:pPr>
        <w:contextualSpacing/>
        <w:rPr>
          <w:rFonts w:asciiTheme="majorBidi" w:hAnsiTheme="majorBidi" w:cstheme="majorBidi"/>
          <w:szCs w:val="22"/>
        </w:rPr>
      </w:pPr>
      <w:r w:rsidRPr="009B0099">
        <w:rPr>
          <w:rFonts w:asciiTheme="majorBidi" w:hAnsiTheme="majorBidi" w:cstheme="majorBidi"/>
        </w:rPr>
        <w:t>Most captured CO</w:t>
      </w:r>
      <w:r w:rsidRPr="009B0099">
        <w:rPr>
          <w:rFonts w:asciiTheme="majorBidi" w:hAnsiTheme="majorBidi" w:cstheme="majorBidi"/>
          <w:vertAlign w:val="subscript"/>
        </w:rPr>
        <w:t>2</w:t>
      </w:r>
      <w:r w:rsidRPr="009B0099">
        <w:rPr>
          <w:rFonts w:asciiTheme="majorBidi" w:hAnsiTheme="majorBidi" w:cstheme="majorBidi"/>
        </w:rPr>
        <w:t xml:space="preserve"> is currently used for EOR (as discussed earlier); the CO</w:t>
      </w:r>
      <w:r w:rsidRPr="009B0099">
        <w:rPr>
          <w:rFonts w:asciiTheme="majorBidi" w:hAnsiTheme="majorBidi" w:cstheme="majorBidi"/>
          <w:vertAlign w:val="subscript"/>
        </w:rPr>
        <w:t>2</w:t>
      </w:r>
      <w:r w:rsidRPr="009B0099">
        <w:rPr>
          <w:rFonts w:asciiTheme="majorBidi" w:hAnsiTheme="majorBidi" w:cstheme="majorBidi"/>
        </w:rPr>
        <w:t xml:space="preserve"> is injected into an oil reservoir where it is meant to remain in perpetuity. Other locations for storage are saline formations and unminable coal seams (Herzog 2011). But there is almost no experience with large scale, commercial geologic storage (Congressional Research Service 2020a and 2020b), and only two low-volume, dedicated storage commercial sites in Norway (which operate based on government incentives). Storage sites must have particular qualities to reduce the extent or likelihood of leakage, a layer of caprock being crucial. For dedicated storage, possible sites must be examined and selected based on other qualities such as porosity, permeability and potential for leakage (Congressional Research Service, 2018).</w:t>
      </w:r>
    </w:p>
    <w:p w14:paraId="24C43A3D" w14:textId="77777777" w:rsidR="00F97FE5" w:rsidRPr="009B0099" w:rsidRDefault="00F97FE5" w:rsidP="00F97FE5">
      <w:pPr>
        <w:contextualSpacing/>
        <w:rPr>
          <w:rFonts w:asciiTheme="majorBidi" w:hAnsiTheme="majorBidi" w:cstheme="majorBidi"/>
          <w:szCs w:val="22"/>
        </w:rPr>
      </w:pPr>
    </w:p>
    <w:p w14:paraId="16FAFE2B" w14:textId="77777777" w:rsidR="00F97FE5" w:rsidRPr="009B0099" w:rsidRDefault="00F97FE5" w:rsidP="00F97FE5">
      <w:pPr>
        <w:contextualSpacing/>
        <w:rPr>
          <w:rFonts w:asciiTheme="majorBidi" w:hAnsiTheme="majorBidi" w:cstheme="majorBidi"/>
        </w:rPr>
      </w:pPr>
      <w:r w:rsidRPr="009B0099">
        <w:rPr>
          <w:rFonts w:asciiTheme="majorBidi" w:hAnsiTheme="majorBidi" w:cstheme="majorBidi"/>
          <w:szCs w:val="22"/>
        </w:rPr>
        <w:t>The longevity of storage can depend not only on the suitability of sites for long-term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storage, but also can be affected by seismic activity and leakage. CRS (2018) stresses that “keeping the gas isolated from the atmosphere in perpetuity” is an “assumption [that] is untested...” EASAC (2018) notes the “debate in Germany over the use of porous sedimentary rocks containing saltwater [which] has focused on dangers of leakage, so that the presence of suitable impermeable strata above the reservoir, speed of carbonation into solid forms and resistance to any unexpected earthquakes become issues.” </w:t>
      </w:r>
      <w:r w:rsidRPr="009B0099">
        <w:rPr>
          <w:rFonts w:asciiTheme="majorBidi" w:hAnsiTheme="majorBidi" w:cstheme="majorBidi"/>
        </w:rPr>
        <w:t>Further, as Bruhn et. al., (2016) advise, storage is not necessarily “permanent,” but rather only for a limited time. This study also discussed the wariness of the European public about subsurface storage of CO</w:t>
      </w:r>
      <w:r w:rsidRPr="009B0099">
        <w:rPr>
          <w:rFonts w:asciiTheme="majorBidi" w:hAnsiTheme="majorBidi" w:cstheme="majorBidi"/>
          <w:vertAlign w:val="subscript"/>
        </w:rPr>
        <w:t>2</w:t>
      </w:r>
      <w:r w:rsidRPr="009B0099">
        <w:rPr>
          <w:rFonts w:asciiTheme="majorBidi" w:hAnsiTheme="majorBidi" w:cstheme="majorBidi"/>
        </w:rPr>
        <w:t xml:space="preserve">: due to concerns about “safety and permanence of geological storage of CO2”. </w:t>
      </w:r>
    </w:p>
    <w:p w14:paraId="35F58074" w14:textId="77777777" w:rsidR="00F97FE5" w:rsidRPr="009B0099" w:rsidRDefault="00F97FE5" w:rsidP="00F97FE5">
      <w:pPr>
        <w:rPr>
          <w:rFonts w:asciiTheme="majorBidi" w:hAnsiTheme="majorBidi" w:cstheme="majorBidi"/>
          <w:szCs w:val="22"/>
        </w:rPr>
      </w:pPr>
    </w:p>
    <w:p w14:paraId="264DAAE6" w14:textId="77777777" w:rsidR="00F97FE5" w:rsidRPr="009B0099" w:rsidRDefault="00F97FE5" w:rsidP="00F97FE5">
      <w:pPr>
        <w:rPr>
          <w:rFonts w:asciiTheme="majorBidi" w:eastAsia="Arial" w:hAnsiTheme="majorBidi" w:cstheme="majorBidi"/>
          <w:szCs w:val="22"/>
        </w:rPr>
      </w:pPr>
      <w:r w:rsidRPr="009B0099">
        <w:rPr>
          <w:rFonts w:asciiTheme="majorBidi" w:eastAsia="Arial" w:hAnsiTheme="majorBidi" w:cstheme="majorBidi"/>
          <w:szCs w:val="22"/>
        </w:rPr>
        <w:t xml:space="preserve">Boot-Hanford, lays out the issues:  </w:t>
      </w:r>
    </w:p>
    <w:p w14:paraId="0CA1FB58" w14:textId="77777777" w:rsidR="00F97FE5" w:rsidRPr="009B0099" w:rsidRDefault="00F97FE5" w:rsidP="00F97FE5">
      <w:pPr>
        <w:autoSpaceDE w:val="0"/>
        <w:autoSpaceDN w:val="0"/>
        <w:adjustRightInd w:val="0"/>
        <w:spacing w:line="240" w:lineRule="auto"/>
        <w:ind w:left="288"/>
        <w:rPr>
          <w:rFonts w:asciiTheme="majorBidi" w:hAnsiTheme="majorBidi" w:cstheme="majorBidi"/>
          <w:szCs w:val="20"/>
        </w:rPr>
      </w:pPr>
      <w:r w:rsidRPr="009B0099">
        <w:rPr>
          <w:rFonts w:asciiTheme="majorBidi" w:hAnsiTheme="majorBidi" w:cstheme="majorBidi"/>
          <w:szCs w:val="20"/>
        </w:rPr>
        <w:t>“…CO2 storage poses a great deal of uncertainty. This is uncertainty in the quantification of storage potential, in the confirmation of outline assessments to a standard suitable for investment, the tracking verification and monitoring of injected CO2, and finally the fail-safe retention of CO2, so that a storage site can be transferred to government as a low-risk proposition for long term care and maintenance. There are significant engineering challenges to ensure that the injected CO2 remains in the subsurface for hundreds or thousands of years.</w:t>
      </w:r>
    </w:p>
    <w:p w14:paraId="3D3424E1" w14:textId="77777777" w:rsidR="00F97FE5" w:rsidRPr="009B0099" w:rsidRDefault="00F97FE5" w:rsidP="00F97FE5">
      <w:pPr>
        <w:rPr>
          <w:rFonts w:asciiTheme="majorBidi" w:eastAsia="Arial" w:hAnsiTheme="majorBidi" w:cstheme="majorBidi"/>
          <w:szCs w:val="22"/>
        </w:rPr>
      </w:pPr>
    </w:p>
    <w:p w14:paraId="2812FB3F" w14:textId="77777777" w:rsidR="00F97FE5" w:rsidRPr="009B0099" w:rsidRDefault="00F97FE5" w:rsidP="00F97FE5">
      <w:pPr>
        <w:rPr>
          <w:rFonts w:asciiTheme="majorBidi" w:hAnsiTheme="majorBidi" w:cstheme="majorBidi"/>
          <w:sz w:val="24"/>
        </w:rPr>
      </w:pPr>
      <w:bookmarkStart w:id="18" w:name="_Hlk40866074"/>
      <w:bookmarkEnd w:id="16"/>
    </w:p>
    <w:p w14:paraId="7B3D73BA" w14:textId="77777777" w:rsidR="00F97FE5" w:rsidRPr="009B0099" w:rsidRDefault="00F97FE5" w:rsidP="00F97FE5">
      <w:pPr>
        <w:ind w:left="288"/>
        <w:rPr>
          <w:rFonts w:asciiTheme="majorBidi" w:hAnsiTheme="majorBidi" w:cstheme="majorBidi"/>
          <w:i/>
          <w:iCs/>
          <w:sz w:val="24"/>
        </w:rPr>
      </w:pPr>
      <w:r w:rsidRPr="009B0099">
        <w:rPr>
          <w:rFonts w:asciiTheme="majorBidi" w:hAnsiTheme="majorBidi" w:cstheme="majorBidi"/>
          <w:i/>
          <w:iCs/>
          <w:sz w:val="24"/>
        </w:rPr>
        <w:t xml:space="preserve">Air pollution and impaired air quality, water contamination, blowouts, seismic activity </w:t>
      </w:r>
    </w:p>
    <w:p w14:paraId="7F8DB096" w14:textId="77777777" w:rsidR="00F97FE5" w:rsidRPr="009B0099" w:rsidRDefault="00F97FE5" w:rsidP="00F97FE5">
      <w:pPr>
        <w:rPr>
          <w:rFonts w:asciiTheme="majorBidi" w:hAnsiTheme="majorBidi" w:cstheme="majorBidi"/>
          <w:szCs w:val="22"/>
        </w:rPr>
      </w:pPr>
    </w:p>
    <w:p w14:paraId="79BC5ACE" w14:textId="04D14822" w:rsidR="00F97FE5" w:rsidRPr="009B0099" w:rsidRDefault="00F97FE5" w:rsidP="00F97FE5">
      <w:pPr>
        <w:rPr>
          <w:rFonts w:asciiTheme="majorBidi" w:hAnsiTheme="majorBidi" w:cstheme="majorBidi"/>
          <w:szCs w:val="22"/>
        </w:rPr>
      </w:pPr>
      <w:r w:rsidRPr="009B0099">
        <w:rPr>
          <w:rFonts w:asciiTheme="majorBidi" w:hAnsiTheme="majorBidi" w:cstheme="majorBidi"/>
          <w:szCs w:val="22"/>
        </w:rPr>
        <w:t xml:space="preserve">Jacobson (2019) </w:t>
      </w:r>
      <w:r w:rsidRPr="009B0099">
        <w:rPr>
          <w:rFonts w:asciiTheme="majorBidi" w:eastAsia="Arial" w:hAnsiTheme="majorBidi" w:cstheme="majorBidi"/>
          <w:szCs w:val="22"/>
        </w:rPr>
        <w:t>studied two carbon capture facilities, one a point-source capture at a power plant and the other a direct air capture facility, and concluded that not only are these methods inefficient in CO</w:t>
      </w:r>
      <w:r w:rsidRPr="009B0099">
        <w:rPr>
          <w:rFonts w:asciiTheme="majorBidi" w:eastAsia="Arial" w:hAnsiTheme="majorBidi" w:cstheme="majorBidi"/>
          <w:szCs w:val="22"/>
          <w:vertAlign w:val="subscript"/>
        </w:rPr>
        <w:t>2</w:t>
      </w:r>
      <w:r w:rsidRPr="009B0099">
        <w:rPr>
          <w:rFonts w:asciiTheme="majorBidi" w:eastAsia="Arial" w:hAnsiTheme="majorBidi" w:cstheme="majorBidi"/>
          <w:szCs w:val="22"/>
        </w:rPr>
        <w:t xml:space="preserve"> capture, but the processes also emit other greenhouse gasses, producing air pollution and resulting in health damage. </w:t>
      </w:r>
      <w:bookmarkStart w:id="19" w:name="_Hlk32181351"/>
      <w:r w:rsidRPr="009B0099">
        <w:rPr>
          <w:rFonts w:asciiTheme="majorBidi" w:hAnsiTheme="majorBidi" w:cstheme="majorBidi"/>
          <w:szCs w:val="22"/>
        </w:rPr>
        <w:t>Clean Water Action (2017) presents a summary of some of the environmental risks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-EOR, </w:t>
      </w:r>
      <w:bookmarkStart w:id="20" w:name="_Hlk49431267"/>
      <w:r w:rsidR="008212EA" w:rsidRPr="009B0099">
        <w:rPr>
          <w:rFonts w:asciiTheme="majorBidi" w:hAnsiTheme="majorBidi" w:cstheme="majorBidi"/>
          <w:szCs w:val="22"/>
        </w:rPr>
        <w:t>“</w:t>
      </w:r>
      <w:hyperlink r:id="rId7" w:history="1">
        <w:r w:rsidR="00591875" w:rsidRPr="009B0099">
          <w:rPr>
            <w:rStyle w:val="Hyperlink"/>
            <w:rFonts w:asciiTheme="majorBidi" w:hAnsiTheme="majorBidi" w:cstheme="majorBidi"/>
            <w:szCs w:val="22"/>
          </w:rPr>
          <w:t>Carbon Dioxide EOR - A Threat To Water and the Environment - Nov 2017</w:t>
        </w:r>
      </w:hyperlink>
      <w:r w:rsidRPr="0076107C">
        <w:rPr>
          <w:rStyle w:val="Hyperlink"/>
          <w:rFonts w:asciiTheme="majorBidi" w:hAnsiTheme="majorBidi" w:cstheme="majorBidi"/>
          <w:szCs w:val="22"/>
          <w:u w:val="none"/>
        </w:rPr>
        <w:t xml:space="preserve">, </w:t>
      </w:r>
      <w:bookmarkEnd w:id="19"/>
      <w:r w:rsidRPr="0076107C">
        <w:rPr>
          <w:rStyle w:val="Hyperlink"/>
          <w:rFonts w:asciiTheme="majorBidi" w:hAnsiTheme="majorBidi" w:cstheme="majorBidi"/>
          <w:color w:val="auto"/>
          <w:szCs w:val="22"/>
          <w:u w:val="none"/>
        </w:rPr>
        <w:t>including groundwater and drinking water contamination, carbonic acid production, and blowouts from CO</w:t>
      </w:r>
      <w:r w:rsidRPr="0076107C">
        <w:rPr>
          <w:rStyle w:val="Hyperlink"/>
          <w:rFonts w:asciiTheme="majorBidi" w:hAnsiTheme="majorBidi" w:cstheme="majorBidi"/>
          <w:color w:val="auto"/>
          <w:szCs w:val="22"/>
          <w:u w:val="none"/>
          <w:vertAlign w:val="subscript"/>
        </w:rPr>
        <w:t>2</w:t>
      </w:r>
      <w:r w:rsidRPr="0076107C">
        <w:rPr>
          <w:rStyle w:val="Hyperlink"/>
          <w:rFonts w:asciiTheme="majorBidi" w:hAnsiTheme="majorBidi" w:cstheme="majorBidi"/>
          <w:color w:val="auto"/>
          <w:szCs w:val="22"/>
          <w:u w:val="none"/>
        </w:rPr>
        <w:t>-EOR injection which can impair air quality and contaminate drinking water.</w:t>
      </w:r>
      <w:r w:rsidRPr="0076107C">
        <w:rPr>
          <w:rStyle w:val="Hyperlink"/>
          <w:rFonts w:asciiTheme="majorBidi" w:hAnsiTheme="majorBidi" w:cstheme="majorBidi"/>
          <w:color w:val="auto"/>
          <w:szCs w:val="22"/>
        </w:rPr>
        <w:t xml:space="preserve"> </w:t>
      </w:r>
      <w:bookmarkEnd w:id="20"/>
      <w:r w:rsidRPr="009B0099">
        <w:rPr>
          <w:rFonts w:asciiTheme="majorBidi" w:hAnsiTheme="majorBidi" w:cstheme="majorBidi"/>
          <w:szCs w:val="22"/>
        </w:rPr>
        <w:t>Herzog (2011) also noted the problem of “Liability [for] environmental or health problems.”</w:t>
      </w:r>
    </w:p>
    <w:p w14:paraId="10AB2968" w14:textId="77777777" w:rsidR="00591875" w:rsidRPr="009B0099" w:rsidRDefault="00591875" w:rsidP="00F97FE5">
      <w:pPr>
        <w:rPr>
          <w:rFonts w:asciiTheme="majorBidi" w:hAnsiTheme="majorBidi" w:cstheme="majorBidi"/>
          <w:color w:val="000000" w:themeColor="text1"/>
          <w:szCs w:val="22"/>
        </w:rPr>
      </w:pPr>
    </w:p>
    <w:p w14:paraId="49F49BD4" w14:textId="77777777" w:rsidR="00F97FE5" w:rsidRPr="009B0099" w:rsidRDefault="00F97FE5" w:rsidP="00F97FE5">
      <w:pPr>
        <w:spacing w:line="257" w:lineRule="auto"/>
        <w:rPr>
          <w:rFonts w:asciiTheme="majorBidi" w:hAnsiTheme="majorBidi" w:cstheme="majorBidi"/>
          <w:color w:val="000000"/>
          <w:szCs w:val="22"/>
        </w:rPr>
      </w:pPr>
      <w:r w:rsidRPr="009B0099">
        <w:rPr>
          <w:rFonts w:asciiTheme="majorBidi" w:hAnsiTheme="majorBidi" w:cstheme="majorBidi"/>
          <w:szCs w:val="22"/>
        </w:rPr>
        <w:t>Johnson (undated) summarized some of the side effects of industrial carbon removal methods:</w:t>
      </w:r>
    </w:p>
    <w:p w14:paraId="480AEBC2" w14:textId="77777777" w:rsidR="00F97FE5" w:rsidRPr="009B0099" w:rsidRDefault="00F97FE5" w:rsidP="00F97FE5">
      <w:pPr>
        <w:ind w:left="288"/>
        <w:rPr>
          <w:rFonts w:asciiTheme="majorBidi" w:hAnsiTheme="majorBidi" w:cstheme="majorBidi"/>
          <w:color w:val="000000" w:themeColor="text1"/>
          <w:sz w:val="24"/>
        </w:rPr>
      </w:pPr>
      <w:r w:rsidRPr="009B0099">
        <w:rPr>
          <w:rFonts w:asciiTheme="majorBidi" w:hAnsiTheme="majorBidi" w:cstheme="majorBidi"/>
          <w:color w:val="000000"/>
          <w:sz w:val="24"/>
        </w:rPr>
        <w:t>Transportation and geo-storage of captured CO2 from a CCUS system carries the potential for migration and leaks, increased seismic activity, and aquifer acidification. The long-term liability issues related to geo-storage will be shouldered by the taxpayer with mechanisms similar to the liability structures in the nuclear energy industry.</w:t>
      </w:r>
      <w:r w:rsidRPr="009B0099">
        <w:rPr>
          <w:rFonts w:asciiTheme="majorBidi" w:hAnsiTheme="majorBidi" w:cstheme="majorBidi"/>
          <w:color w:val="000000"/>
          <w:szCs w:val="22"/>
        </w:rPr>
        <w:t xml:space="preserve"> </w:t>
      </w:r>
    </w:p>
    <w:p w14:paraId="66033FD9" w14:textId="77777777" w:rsidR="00F97FE5" w:rsidRPr="009B0099" w:rsidRDefault="00F97FE5" w:rsidP="00F97FE5">
      <w:pPr>
        <w:rPr>
          <w:rFonts w:asciiTheme="majorBidi" w:hAnsiTheme="majorBidi" w:cstheme="majorBidi"/>
          <w:color w:val="000000" w:themeColor="text1"/>
          <w:szCs w:val="22"/>
        </w:rPr>
      </w:pPr>
    </w:p>
    <w:p w14:paraId="25B567E3" w14:textId="77777777" w:rsidR="00F97FE5" w:rsidRPr="009B0099" w:rsidRDefault="00F97FE5" w:rsidP="00F97FE5">
      <w:pPr>
        <w:ind w:left="288"/>
        <w:rPr>
          <w:rFonts w:asciiTheme="majorBidi" w:hAnsiTheme="majorBidi" w:cstheme="majorBidi"/>
          <w:i/>
          <w:iCs/>
          <w:sz w:val="24"/>
        </w:rPr>
      </w:pPr>
      <w:r w:rsidRPr="009B0099">
        <w:rPr>
          <w:rFonts w:asciiTheme="majorBidi" w:hAnsiTheme="majorBidi" w:cstheme="majorBidi"/>
          <w:i/>
          <w:iCs/>
          <w:sz w:val="24"/>
        </w:rPr>
        <w:t xml:space="preserve">Leakage, Venting, Flaring  </w:t>
      </w:r>
    </w:p>
    <w:p w14:paraId="3B5F3333" w14:textId="77777777" w:rsidR="00F97FE5" w:rsidRPr="009B0099" w:rsidRDefault="00F97FE5" w:rsidP="00F97FE5">
      <w:pPr>
        <w:rPr>
          <w:rFonts w:asciiTheme="majorBidi" w:hAnsiTheme="majorBidi" w:cstheme="majorBidi"/>
          <w:szCs w:val="22"/>
        </w:rPr>
      </w:pPr>
    </w:p>
    <w:p w14:paraId="4E3C0D29" w14:textId="77777777" w:rsidR="00F97FE5" w:rsidRPr="009B0099" w:rsidRDefault="00F97FE5" w:rsidP="00F97FE5">
      <w:pPr>
        <w:rPr>
          <w:rFonts w:asciiTheme="majorBidi" w:hAnsiTheme="majorBidi" w:cstheme="majorBidi"/>
          <w:szCs w:val="22"/>
        </w:rPr>
      </w:pPr>
      <w:r w:rsidRPr="009B0099">
        <w:rPr>
          <w:rFonts w:asciiTheme="majorBidi" w:hAnsiTheme="majorBidi" w:cstheme="majorBidi"/>
          <w:szCs w:val="22"/>
        </w:rPr>
        <w:t>Leakage is a risk and problem recognized in most ICR studies, including those that promote commercial ICR (C-ICR) as climate mitigation. Storage strata require certain qualities in order to minimize the amount or likelihood of leakage. But even with the desired criteria met, leakage, and even “massive release” events are possible. Another matter of concern to public policymakers is the “venting” of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into the atmosphere. This is discussed in several studies, e.g., Stewart &amp; Haszeldine (2015): “[W]e find that the largest contribution to offshore emissions is from flaring or venting of reproduced CH4 and CO2. These can already be greatly reduced by regulation.” </w:t>
      </w:r>
    </w:p>
    <w:p w14:paraId="70D1AB5E" w14:textId="11602711" w:rsidR="00F97FE5" w:rsidRPr="009B0099" w:rsidRDefault="00F97FE5" w:rsidP="00F97FE5">
      <w:pPr>
        <w:rPr>
          <w:rFonts w:asciiTheme="majorBidi" w:hAnsiTheme="majorBidi" w:cstheme="majorBidi"/>
          <w:szCs w:val="22"/>
        </w:rPr>
      </w:pPr>
    </w:p>
    <w:p w14:paraId="30C77811" w14:textId="77777777" w:rsidR="00591875" w:rsidRPr="009B0099" w:rsidRDefault="00591875" w:rsidP="00F97FE5">
      <w:pPr>
        <w:rPr>
          <w:rFonts w:asciiTheme="majorBidi" w:hAnsiTheme="majorBidi" w:cstheme="majorBidi"/>
          <w:szCs w:val="22"/>
        </w:rPr>
      </w:pPr>
    </w:p>
    <w:bookmarkEnd w:id="17"/>
    <w:bookmarkEnd w:id="18"/>
    <w:p w14:paraId="389EEA88" w14:textId="439825B8" w:rsidR="0090534F" w:rsidRPr="009B0099" w:rsidRDefault="0090534F">
      <w:pPr>
        <w:rPr>
          <w:rFonts w:asciiTheme="majorBidi" w:hAnsiTheme="majorBidi" w:cstheme="majorBidi"/>
        </w:rPr>
      </w:pPr>
    </w:p>
    <w:p w14:paraId="61D315F9" w14:textId="79FEDF73" w:rsidR="00AD193A" w:rsidRPr="009B0099" w:rsidRDefault="00AD193A"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Appendix 4:</w:t>
      </w:r>
    </w:p>
    <w:p w14:paraId="3EEBD42B" w14:textId="41CF317E" w:rsidR="0090534F" w:rsidRPr="009B0099" w:rsidRDefault="00AD193A" w:rsidP="00AD193A">
      <w:pPr>
        <w:jc w:val="center"/>
        <w:rPr>
          <w:rFonts w:asciiTheme="majorBidi" w:hAnsiTheme="majorBidi" w:cstheme="majorBidi"/>
          <w:b/>
          <w:bCs/>
          <w:sz w:val="28"/>
          <w:szCs w:val="28"/>
        </w:rPr>
      </w:pPr>
      <w:r w:rsidRPr="009B0099">
        <w:rPr>
          <w:rFonts w:asciiTheme="majorBidi" w:hAnsiTheme="majorBidi" w:cstheme="majorBidi"/>
          <w:b/>
          <w:bCs/>
          <w:sz w:val="28"/>
          <w:szCs w:val="28"/>
        </w:rPr>
        <w:t>Mitigation “In Principle: Theory, Practice and Public Policy</w:t>
      </w:r>
    </w:p>
    <w:p w14:paraId="37799B2D" w14:textId="77777777" w:rsidR="00AD193A" w:rsidRPr="009B0099" w:rsidRDefault="00AD193A" w:rsidP="00AD193A">
      <w:pPr>
        <w:rPr>
          <w:rFonts w:asciiTheme="majorBidi" w:hAnsiTheme="majorBidi" w:cstheme="majorBidi"/>
          <w:color w:val="FF00FF"/>
          <w:sz w:val="24"/>
        </w:rPr>
      </w:pPr>
    </w:p>
    <w:p w14:paraId="4F42F13A" w14:textId="0D4F9EAD" w:rsidR="00AD193A" w:rsidRPr="009B0099" w:rsidRDefault="00AD193A" w:rsidP="00AD193A">
      <w:pPr>
        <w:rPr>
          <w:rFonts w:asciiTheme="majorBidi" w:eastAsia="Times New Roman" w:hAnsiTheme="majorBidi" w:cstheme="majorBidi"/>
          <w:szCs w:val="22"/>
        </w:rPr>
      </w:pPr>
      <w:r w:rsidRPr="009B0099">
        <w:rPr>
          <w:rFonts w:asciiTheme="majorBidi" w:eastAsia="Times New Roman" w:hAnsiTheme="majorBidi" w:cstheme="majorBidi"/>
        </w:rPr>
        <w:t>Dedicated storage, not sale, appears to be the only disposition of captured CO</w:t>
      </w:r>
      <w:r w:rsidRPr="009B0099">
        <w:rPr>
          <w:rFonts w:asciiTheme="majorBidi" w:eastAsia="Times New Roman" w:hAnsiTheme="majorBidi" w:cstheme="majorBidi"/>
          <w:vertAlign w:val="subscript"/>
        </w:rPr>
        <w:t xml:space="preserve">2 </w:t>
      </w:r>
      <w:r w:rsidRPr="009B0099">
        <w:rPr>
          <w:rFonts w:asciiTheme="majorBidi" w:eastAsia="Times New Roman" w:hAnsiTheme="majorBidi" w:cstheme="majorBidi"/>
        </w:rPr>
        <w:t>that c</w:t>
      </w:r>
      <w:r w:rsidR="00496930" w:rsidRPr="009B0099">
        <w:rPr>
          <w:rFonts w:asciiTheme="majorBidi" w:eastAsia="Times New Roman" w:hAnsiTheme="majorBidi" w:cstheme="majorBidi"/>
        </w:rPr>
        <w:t>ould</w:t>
      </w:r>
      <w:r w:rsidRPr="009B0099">
        <w:rPr>
          <w:rFonts w:asciiTheme="majorBidi" w:eastAsia="Times New Roman" w:hAnsiTheme="majorBidi" w:cstheme="majorBidi"/>
        </w:rPr>
        <w:t xml:space="preserve"> produce a net reduction of atmospheric CO</w:t>
      </w:r>
      <w:r w:rsidRPr="009B0099">
        <w:rPr>
          <w:rFonts w:asciiTheme="majorBidi" w:eastAsia="Times New Roman" w:hAnsiTheme="majorBidi" w:cstheme="majorBidi"/>
          <w:vertAlign w:val="subscript"/>
        </w:rPr>
        <w:t>2</w:t>
      </w:r>
      <w:r w:rsidRPr="009B0099">
        <w:rPr>
          <w:rFonts w:asciiTheme="majorBidi" w:eastAsia="Times New Roman" w:hAnsiTheme="majorBidi" w:cstheme="majorBidi"/>
        </w:rPr>
        <w:t xml:space="preserve">. And further, since point-source capture can at best, and </w:t>
      </w:r>
      <w:r w:rsidRPr="0076107C">
        <w:rPr>
          <w:rFonts w:asciiTheme="majorBidi" w:eastAsia="Times New Roman" w:hAnsiTheme="majorBidi" w:cstheme="majorBidi"/>
        </w:rPr>
        <w:t>only theoretically</w:t>
      </w:r>
      <w:r w:rsidRPr="009B0099">
        <w:rPr>
          <w:rFonts w:asciiTheme="majorBidi" w:eastAsia="Times New Roman" w:hAnsiTheme="majorBidi" w:cstheme="majorBidi"/>
        </w:rPr>
        <w:t>, sequester as much CO</w:t>
      </w:r>
      <w:r w:rsidRPr="009B0099">
        <w:rPr>
          <w:rFonts w:asciiTheme="majorBidi" w:eastAsia="Times New Roman" w:hAnsiTheme="majorBidi" w:cstheme="majorBidi"/>
          <w:vertAlign w:val="subscript"/>
        </w:rPr>
        <w:t>2</w:t>
      </w:r>
      <w:r w:rsidRPr="009B0099">
        <w:rPr>
          <w:rFonts w:asciiTheme="majorBidi" w:eastAsia="Times New Roman" w:hAnsiTheme="majorBidi" w:cstheme="majorBidi"/>
        </w:rPr>
        <w:t xml:space="preserve"> as is emitted, only renewable-energy-powered direct air capture with dedicated storage might actually reduce the stock of atmospheric CO</w:t>
      </w:r>
      <w:r w:rsidRPr="009B0099">
        <w:rPr>
          <w:rFonts w:asciiTheme="majorBidi" w:eastAsia="Times New Roman" w:hAnsiTheme="majorBidi" w:cstheme="majorBidi"/>
          <w:vertAlign w:val="subscript"/>
        </w:rPr>
        <w:t>2</w:t>
      </w:r>
      <w:r w:rsidRPr="009B0099">
        <w:rPr>
          <w:rFonts w:asciiTheme="majorBidi" w:eastAsia="Times New Roman" w:hAnsiTheme="majorBidi" w:cstheme="majorBidi"/>
        </w:rPr>
        <w:t xml:space="preserve">. Dedicated </w:t>
      </w:r>
      <w:r w:rsidRPr="009B0099">
        <w:rPr>
          <w:rFonts w:asciiTheme="majorBidi" w:eastAsia="Times New Roman" w:hAnsiTheme="majorBidi" w:cstheme="majorBidi"/>
          <w:szCs w:val="22"/>
        </w:rPr>
        <w:t xml:space="preserve">storage is a non-market situation: there are no paying customers; the operation must be collectively (government) financed. </w:t>
      </w:r>
    </w:p>
    <w:p w14:paraId="562D1CC7" w14:textId="77777777" w:rsidR="00AD193A" w:rsidRPr="009B0099" w:rsidRDefault="00AD193A" w:rsidP="00AD193A">
      <w:pPr>
        <w:shd w:val="clear" w:color="auto" w:fill="FFFFFF"/>
        <w:spacing w:line="240" w:lineRule="auto"/>
        <w:rPr>
          <w:rFonts w:asciiTheme="majorBidi" w:eastAsia="Times New Roman" w:hAnsiTheme="majorBidi" w:cstheme="majorBidi"/>
          <w:color w:val="222222"/>
          <w:szCs w:val="22"/>
        </w:rPr>
      </w:pPr>
    </w:p>
    <w:p w14:paraId="1BB5EEEA" w14:textId="63A78DA9" w:rsidR="00AD193A" w:rsidRPr="009B0099" w:rsidRDefault="00AD193A" w:rsidP="00AD193A">
      <w:pPr>
        <w:rPr>
          <w:rFonts w:asciiTheme="majorBidi" w:eastAsia="Times New Roman" w:hAnsiTheme="majorBidi" w:cstheme="majorBidi"/>
          <w:color w:val="222222"/>
          <w:szCs w:val="22"/>
        </w:rPr>
      </w:pPr>
      <w:r w:rsidRPr="009B0099">
        <w:rPr>
          <w:rFonts w:asciiTheme="majorBidi" w:eastAsia="Times New Roman" w:hAnsiTheme="majorBidi" w:cstheme="majorBidi"/>
          <w:color w:val="222222"/>
          <w:szCs w:val="22"/>
        </w:rPr>
        <w:t xml:space="preserve">Yet, ICR studies tend to make an “in principle” argument which ignores this reality. Technical scenarios in the scientific discourse that are rooted in theory, and that are based on a constricted presentation of biophysical flows and impacts, lead to an unrealistic picture of what is possible. To take one example, </w:t>
      </w:r>
      <w:r w:rsidRPr="009B0099">
        <w:rPr>
          <w:rFonts w:asciiTheme="majorBidi" w:eastAsia="Arial" w:hAnsiTheme="majorBidi" w:cstheme="majorBidi"/>
          <w:szCs w:val="22"/>
        </w:rPr>
        <w:t xml:space="preserve">Hepburn et. al. (2019) argue </w:t>
      </w:r>
      <w:r w:rsidRPr="009B0099">
        <w:rPr>
          <w:rFonts w:asciiTheme="majorBidi" w:hAnsiTheme="majorBidi" w:cstheme="majorBidi"/>
          <w:szCs w:val="22"/>
        </w:rPr>
        <w:t>that “</w:t>
      </w:r>
      <w:r w:rsidRPr="009B0099">
        <w:rPr>
          <w:rFonts w:asciiTheme="majorBidi" w:hAnsiTheme="majorBidi" w:cstheme="majorBidi"/>
          <w:b/>
          <w:bCs/>
          <w:szCs w:val="22"/>
        </w:rPr>
        <w:t xml:space="preserve">in principle </w:t>
      </w:r>
      <w:r w:rsidRPr="009B0099">
        <w:rPr>
          <w:rFonts w:asciiTheme="majorBidi" w:hAnsiTheme="majorBidi" w:cstheme="majorBidi"/>
          <w:szCs w:val="22"/>
        </w:rPr>
        <w:t xml:space="preserve">(emphasis added)—and depending on operating conditions and project type—CO2-EOR </w:t>
      </w:r>
      <w:r w:rsidRPr="009B0099">
        <w:rPr>
          <w:rFonts w:asciiTheme="majorBidi" w:hAnsiTheme="majorBidi" w:cstheme="majorBidi"/>
          <w:b/>
          <w:bCs/>
          <w:szCs w:val="22"/>
        </w:rPr>
        <w:t>can be operated</w:t>
      </w:r>
      <w:r w:rsidRPr="009B0099">
        <w:rPr>
          <w:rFonts w:asciiTheme="majorBidi" w:hAnsiTheme="majorBidi" w:cstheme="majorBidi"/>
          <w:szCs w:val="22"/>
        </w:rPr>
        <w:t xml:space="preserve"> (emphasis added) such that, on a life-cycle basis, more CO2 is injected than is produced upon consumption of the final oil product.” Yet there are fundamental flaws in this argument. First, the analysis is based on a partial life cycle. Second, it relies on the notion of commercial operators injecting CO</w:t>
      </w:r>
      <w:r w:rsidRPr="009B0099">
        <w:rPr>
          <w:rFonts w:asciiTheme="majorBidi" w:hAnsiTheme="majorBidi" w:cstheme="majorBidi"/>
          <w:szCs w:val="22"/>
          <w:vertAlign w:val="subscript"/>
        </w:rPr>
        <w:t>2</w:t>
      </w:r>
      <w:r w:rsidRPr="009B0099">
        <w:rPr>
          <w:rFonts w:asciiTheme="majorBidi" w:hAnsiTheme="majorBidi" w:cstheme="majorBidi"/>
          <w:szCs w:val="22"/>
        </w:rPr>
        <w:t xml:space="preserve"> into subsurface storage with no financial compensation from paying customers – a practice that would result in the firm’s eventual financial failure. This paper relies on a study </w:t>
      </w:r>
      <w:r w:rsidRPr="009B0099">
        <w:rPr>
          <w:rFonts w:asciiTheme="majorBidi" w:eastAsia="Times New Roman" w:hAnsiTheme="majorBidi" w:cstheme="majorBidi"/>
          <w:color w:val="222222"/>
          <w:szCs w:val="22"/>
        </w:rPr>
        <w:t xml:space="preserve">by Stewart and Haszeldine (2015), which is a theoretical simulation. Their approach assumes that oil producers will optimize for carbon storage rather than profit. There is no basis for such an assumption: a commercial operator must make a profit to survive (unless it receives an outside subsidy). To take another example, Nunez-Lopez et al. (2019), which is another simulation, argues that well operators could achieve carbon negative results if they stopped extracting oil at an earlier point in the CCS-EOR process, prioritizing storage and foregoing profits. Once again, there is no basis for such an assumption about oil producer behavior. The only scenario in which a for-profit firm would optimize for carbon storage is if their operation is being publicly paid-for, in which case this </w:t>
      </w:r>
      <w:r w:rsidRPr="009B0099">
        <w:rPr>
          <w:rFonts w:asciiTheme="majorBidi" w:eastAsia="Times New Roman" w:hAnsiTheme="majorBidi" w:cstheme="majorBidi"/>
          <w:i/>
          <w:iCs/>
          <w:color w:val="222222"/>
          <w:szCs w:val="22"/>
        </w:rPr>
        <w:t>is no longer a market situation</w:t>
      </w:r>
      <w:r w:rsidRPr="009B0099">
        <w:rPr>
          <w:rFonts w:asciiTheme="majorBidi" w:eastAsia="Times New Roman" w:hAnsiTheme="majorBidi" w:cstheme="majorBidi"/>
          <w:color w:val="222222"/>
          <w:szCs w:val="22"/>
        </w:rPr>
        <w:t>.</w:t>
      </w:r>
    </w:p>
    <w:p w14:paraId="2D9B3AB6" w14:textId="77777777" w:rsidR="00AD193A" w:rsidRPr="009B0099" w:rsidRDefault="00AD193A" w:rsidP="00AD193A">
      <w:pPr>
        <w:shd w:val="clear" w:color="auto" w:fill="FFFFFF"/>
        <w:spacing w:line="240" w:lineRule="auto"/>
        <w:rPr>
          <w:rFonts w:asciiTheme="majorBidi" w:eastAsia="Times New Roman" w:hAnsiTheme="majorBidi" w:cstheme="majorBidi"/>
          <w:color w:val="833C0B" w:themeColor="accent2" w:themeShade="80"/>
          <w:szCs w:val="22"/>
        </w:rPr>
      </w:pPr>
    </w:p>
    <w:p w14:paraId="6758281C" w14:textId="3C079BBB" w:rsidR="0090534F" w:rsidRPr="009B0099" w:rsidRDefault="0090534F">
      <w:pPr>
        <w:rPr>
          <w:rFonts w:asciiTheme="majorBidi" w:hAnsiTheme="majorBidi" w:cstheme="majorBidi"/>
        </w:rPr>
      </w:pPr>
    </w:p>
    <w:p w14:paraId="0AEE1B72" w14:textId="77777777" w:rsidR="0090534F" w:rsidRPr="009B0099" w:rsidRDefault="0090534F">
      <w:pPr>
        <w:rPr>
          <w:rFonts w:asciiTheme="majorBidi" w:hAnsiTheme="majorBidi" w:cstheme="majorBidi"/>
        </w:rPr>
      </w:pPr>
    </w:p>
    <w:sectPr w:rsidR="0090534F" w:rsidRPr="009B0099" w:rsidSect="00507EE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82C38" w14:textId="77777777" w:rsidR="009431D6" w:rsidRDefault="009431D6" w:rsidP="005C0974">
      <w:pPr>
        <w:spacing w:line="240" w:lineRule="auto"/>
      </w:pPr>
      <w:r>
        <w:separator/>
      </w:r>
    </w:p>
  </w:endnote>
  <w:endnote w:type="continuationSeparator" w:id="0">
    <w:p w14:paraId="560043CF" w14:textId="77777777" w:rsidR="009431D6" w:rsidRDefault="009431D6" w:rsidP="005C0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Rounded MT Bold">
    <w:altName w:val="Nyala"/>
    <w:charset w:val="00"/>
    <w:family w:val="swiss"/>
    <w:pitch w:val="variable"/>
    <w:sig w:usb0="00000003" w:usb1="00000000" w:usb2="00000000" w:usb3="00000000" w:csb0="00000001" w:csb1="00000000"/>
  </w:font>
  <w:font w:name="MyriadPro-Regular">
    <w:altName w:val="Cambria"/>
    <w:panose1 w:val="00000000000000000000"/>
    <w:charset w:val="00"/>
    <w:family w:val="roman"/>
    <w:notTrueType/>
    <w:pitch w:val="default"/>
    <w:sig w:usb0="00000081" w:usb1="00000000" w:usb2="00000000" w:usb3="00000000" w:csb0="00000008"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7ADA2" w14:textId="77777777" w:rsidR="009431D6" w:rsidRDefault="009431D6" w:rsidP="005C0974">
      <w:pPr>
        <w:spacing w:line="240" w:lineRule="auto"/>
      </w:pPr>
      <w:r>
        <w:separator/>
      </w:r>
    </w:p>
  </w:footnote>
  <w:footnote w:type="continuationSeparator" w:id="0">
    <w:p w14:paraId="69EC8DB1" w14:textId="77777777" w:rsidR="009431D6" w:rsidRDefault="009431D6" w:rsidP="005C0974">
      <w:pPr>
        <w:spacing w:line="240" w:lineRule="auto"/>
      </w:pPr>
      <w:r>
        <w:continuationSeparator/>
      </w:r>
    </w:p>
  </w:footnote>
  <w:footnote w:id="1">
    <w:p w14:paraId="56907446" w14:textId="77777777" w:rsidR="005C0974" w:rsidRDefault="005C0974" w:rsidP="005C0974">
      <w:pPr>
        <w:pStyle w:val="FootnoteText"/>
      </w:pPr>
      <w:r>
        <w:rPr>
          <w:rStyle w:val="FootnoteReference"/>
        </w:rPr>
        <w:footnoteRef/>
      </w:r>
      <w:r>
        <w:t xml:space="preserve"> </w:t>
      </w:r>
      <w:r>
        <w:rPr>
          <w:sz w:val="18"/>
          <w:szCs w:val="18"/>
        </w:rPr>
        <w:t xml:space="preserve">The National Academies of Sciences, </w:t>
      </w:r>
      <w:r w:rsidRPr="00BD7A97">
        <w:rPr>
          <w:i/>
          <w:iCs/>
          <w:sz w:val="18"/>
          <w:szCs w:val="18"/>
        </w:rPr>
        <w:t>Negative Emissions Technologies</w:t>
      </w:r>
      <w:r>
        <w:rPr>
          <w:sz w:val="18"/>
          <w:szCs w:val="18"/>
        </w:rPr>
        <w:t xml:space="preserve"> (2019) report presents </w:t>
      </w:r>
      <w:r w:rsidRPr="006E1F52">
        <w:rPr>
          <w:sz w:val="18"/>
          <w:szCs w:val="18"/>
        </w:rPr>
        <w:t xml:space="preserve">“best case” scenarios, based on </w:t>
      </w:r>
      <w:r>
        <w:rPr>
          <w:sz w:val="18"/>
          <w:szCs w:val="18"/>
        </w:rPr>
        <w:t xml:space="preserve">assumptions about the </w:t>
      </w:r>
      <w:r w:rsidRPr="006E1F52">
        <w:rPr>
          <w:sz w:val="18"/>
          <w:szCs w:val="18"/>
        </w:rPr>
        <w:t>sorbent process</w:t>
      </w:r>
      <w:r>
        <w:rPr>
          <w:sz w:val="18"/>
          <w:szCs w:val="18"/>
        </w:rPr>
        <w:t xml:space="preserve"> and a partial life cycle analysis</w:t>
      </w:r>
      <w:r w:rsidRPr="006E1F52">
        <w:rPr>
          <w:sz w:val="18"/>
          <w:szCs w:val="18"/>
        </w:rPr>
        <w:t>, suggests that DAC could be CO</w:t>
      </w:r>
      <w:r w:rsidRPr="00BD7A97">
        <w:rPr>
          <w:sz w:val="18"/>
          <w:szCs w:val="18"/>
          <w:vertAlign w:val="subscript"/>
        </w:rPr>
        <w:t>2</w:t>
      </w:r>
      <w:r w:rsidRPr="006E1F52">
        <w:rPr>
          <w:sz w:val="18"/>
          <w:szCs w:val="18"/>
        </w:rPr>
        <w:t xml:space="preserve"> reductive</w:t>
      </w:r>
      <w:r>
        <w:rPr>
          <w:sz w:val="18"/>
          <w:szCs w:val="18"/>
        </w:rPr>
        <w:t>.</w:t>
      </w:r>
      <w:r>
        <w:t xml:space="preserve"> </w:t>
      </w:r>
      <w:r w:rsidRPr="00405F9A">
        <w:rPr>
          <w:sz w:val="18"/>
          <w:szCs w:val="18"/>
        </w:rPr>
        <w:t xml:space="preserve">DAC has differing energy requirements partially depending on whether the </w:t>
      </w:r>
      <w:r>
        <w:rPr>
          <w:sz w:val="18"/>
          <w:szCs w:val="18"/>
        </w:rPr>
        <w:t>process</w:t>
      </w:r>
      <w:r w:rsidRPr="00405F9A">
        <w:rPr>
          <w:sz w:val="18"/>
          <w:szCs w:val="18"/>
        </w:rPr>
        <w:t xml:space="preserve"> uses a liquid for absorption or a solid for adsorption. The</w:t>
      </w:r>
      <w:r>
        <w:rPr>
          <w:sz w:val="18"/>
          <w:szCs w:val="18"/>
        </w:rPr>
        <w:t xml:space="preserve"> latter</w:t>
      </w:r>
      <w:r w:rsidRPr="00405F9A">
        <w:rPr>
          <w:sz w:val="18"/>
          <w:szCs w:val="18"/>
        </w:rPr>
        <w:t xml:space="preserve"> has lower temperature requirements and thus lower energy requirements. </w:t>
      </w:r>
      <w:r>
        <w:rPr>
          <w:sz w:val="18"/>
          <w:szCs w:val="18"/>
        </w:rPr>
        <w:t xml:space="preserve">The report </w:t>
      </w:r>
      <w:r w:rsidRPr="00405F9A">
        <w:rPr>
          <w:sz w:val="18"/>
          <w:szCs w:val="18"/>
        </w:rPr>
        <w:t xml:space="preserve">presents </w:t>
      </w:r>
      <w:r>
        <w:rPr>
          <w:sz w:val="18"/>
          <w:szCs w:val="18"/>
        </w:rPr>
        <w:t>estimates</w:t>
      </w:r>
      <w:r w:rsidRPr="00405F9A">
        <w:rPr>
          <w:sz w:val="18"/>
          <w:szCs w:val="18"/>
        </w:rPr>
        <w:t xml:space="preserve"> for a solid adsorption process in which projections range from net reductive by a factor of 0.13 to net additive by a factor of 2.7.</w:t>
      </w:r>
    </w:p>
  </w:footnote>
  <w:footnote w:id="2">
    <w:p w14:paraId="7EC9775E" w14:textId="77777777" w:rsidR="005C0974" w:rsidRPr="00E25FDC" w:rsidRDefault="005C0974" w:rsidP="005C0974">
      <w:pPr>
        <w:pStyle w:val="FootnoteText"/>
      </w:pPr>
      <w:r>
        <w:rPr>
          <w:rStyle w:val="FootnoteReference"/>
        </w:rPr>
        <w:footnoteRef/>
      </w:r>
      <w:r>
        <w:t xml:space="preserve"> </w:t>
      </w:r>
      <w:r w:rsidRPr="00405F9A">
        <w:rPr>
          <w:sz w:val="18"/>
          <w:szCs w:val="18"/>
        </w:rPr>
        <w:t xml:space="preserve">Based on Smith et al. 2016 pg 47: 156 EJ/yr required to capture ~3.3 Gt Ceq/yr. </w:t>
      </w:r>
      <w:r w:rsidRPr="00E25FDC">
        <w:rPr>
          <w:sz w:val="18"/>
          <w:szCs w:val="18"/>
        </w:rPr>
        <w:t xml:space="preserve">Calculations performed by </w:t>
      </w:r>
      <w:r>
        <w:rPr>
          <w:sz w:val="18"/>
          <w:szCs w:val="18"/>
        </w:rPr>
        <w:t xml:space="preserve">Smith et al co-author </w:t>
      </w:r>
      <w:r w:rsidRPr="00E25FDC">
        <w:rPr>
          <w:sz w:val="18"/>
          <w:szCs w:val="18"/>
        </w:rPr>
        <w:t>S. Davis</w:t>
      </w:r>
      <w:r>
        <w:rPr>
          <w:sz w:val="18"/>
          <w:szCs w:val="18"/>
        </w:rPr>
        <w:t>;</w:t>
      </w:r>
      <w:r w:rsidRPr="00E25FDC">
        <w:rPr>
          <w:sz w:val="18"/>
          <w:szCs w:val="18"/>
        </w:rPr>
        <w:t xml:space="preserve"> 8-19-19; personal communication. Calculations showed the emissions ratio associated with natural gas as the DAC power source to be 1.46 to 1 [rounded to 1.5 to 1); the ratio with coal as DAC power source is 3.44 to 1.</w:t>
      </w:r>
      <w:r w:rsidRPr="00E25FDC">
        <w:rPr>
          <w:b/>
          <w:bCs/>
          <w:color w:val="FF0000"/>
          <w:sz w:val="18"/>
          <w:szCs w:val="18"/>
        </w:rPr>
        <w:t xml:space="preserve"> </w:t>
      </w:r>
    </w:p>
  </w:footnote>
  <w:footnote w:id="3">
    <w:p w14:paraId="11F55E77" w14:textId="77777777" w:rsidR="005C0974" w:rsidRPr="0030674C" w:rsidRDefault="005C0974" w:rsidP="005C0974">
      <w:pPr>
        <w:pStyle w:val="FootnoteText"/>
        <w:rPr>
          <w:rFonts w:cs="Arial"/>
          <w:sz w:val="18"/>
          <w:szCs w:val="18"/>
        </w:rPr>
      </w:pPr>
      <w:r w:rsidRPr="0030674C">
        <w:rPr>
          <w:rStyle w:val="FootnoteReference"/>
          <w:rFonts w:cs="Arial"/>
          <w:sz w:val="18"/>
          <w:szCs w:val="18"/>
        </w:rPr>
        <w:footnoteRef/>
      </w:r>
      <w:r w:rsidRPr="0030674C">
        <w:rPr>
          <w:rFonts w:cs="Arial"/>
          <w:sz w:val="18"/>
          <w:szCs w:val="18"/>
        </w:rPr>
        <w:t xml:space="preserve"> A</w:t>
      </w:r>
      <w:bookmarkStart w:id="1" w:name="_Hlk40345368"/>
      <w:r w:rsidRPr="0030674C">
        <w:rPr>
          <w:rFonts w:cs="Arial"/>
          <w:sz w:val="18"/>
          <w:szCs w:val="18"/>
        </w:rPr>
        <w:t xml:space="preserve"> DAC startup in which Bill Gates originally invested</w:t>
      </w:r>
      <w:r>
        <w:rPr>
          <w:rFonts w:cs="Arial"/>
          <w:sz w:val="18"/>
          <w:szCs w:val="18"/>
        </w:rPr>
        <w:t xml:space="preserve"> </w:t>
      </w:r>
      <w:r w:rsidRPr="00E5502E">
        <w:rPr>
          <w:rFonts w:cs="Arial"/>
          <w:sz w:val="18"/>
          <w:szCs w:val="18"/>
        </w:rPr>
        <w:t>(Vidal 2018, Morgan 2019, Gunther 2011).</w:t>
      </w:r>
      <w:bookmarkEnd w:id="1"/>
    </w:p>
  </w:footnote>
  <w:footnote w:id="4">
    <w:p w14:paraId="0D35C4E3" w14:textId="77777777" w:rsidR="005C0974" w:rsidRPr="0030674C" w:rsidRDefault="005C0974" w:rsidP="005C0974">
      <w:pPr>
        <w:pStyle w:val="FootnoteText"/>
        <w:rPr>
          <w:rFonts w:cs="Arial"/>
          <w:sz w:val="18"/>
          <w:szCs w:val="18"/>
        </w:rPr>
      </w:pPr>
      <w:r w:rsidRPr="0030674C">
        <w:rPr>
          <w:rStyle w:val="FootnoteReference"/>
          <w:rFonts w:cs="Arial"/>
          <w:sz w:val="18"/>
          <w:szCs w:val="18"/>
        </w:rPr>
        <w:footnoteRef/>
      </w:r>
      <w:r w:rsidRPr="0030674C">
        <w:rPr>
          <w:rFonts w:cs="Arial"/>
          <w:sz w:val="18"/>
          <w:szCs w:val="18"/>
        </w:rPr>
        <w:t xml:space="preserve"> The facility “will be designed to qualify for both the US federal 45Q tax credits, and California’s Low Carbon Fuel Standard credits.” Global Carbon Institute, 5 Jun 2019: “Oxy and Carbon Engineering partner to Combine Direct Air Capture and Enhanced Oil Recovery storage.” </w:t>
      </w:r>
    </w:p>
  </w:footnote>
  <w:footnote w:id="5">
    <w:p w14:paraId="4A90119A" w14:textId="797D9921" w:rsidR="002564DE" w:rsidRPr="002564DE" w:rsidRDefault="002564DE">
      <w:pPr>
        <w:pStyle w:val="FootnoteText"/>
        <w:rPr>
          <w:sz w:val="18"/>
          <w:szCs w:val="18"/>
        </w:rPr>
      </w:pPr>
      <w:r w:rsidRPr="002564DE">
        <w:rPr>
          <w:rStyle w:val="FootnoteReference"/>
          <w:sz w:val="18"/>
          <w:szCs w:val="18"/>
        </w:rPr>
        <w:footnoteRef/>
      </w:r>
      <w:r w:rsidRPr="002564DE">
        <w:rPr>
          <w:sz w:val="18"/>
          <w:szCs w:val="18"/>
        </w:rPr>
        <w:t xml:space="preserve"> The Petra Nova </w:t>
      </w:r>
      <w:r>
        <w:rPr>
          <w:sz w:val="18"/>
          <w:szCs w:val="18"/>
        </w:rPr>
        <w:t>carbon capture operation</w:t>
      </w:r>
      <w:r w:rsidRPr="002564DE">
        <w:rPr>
          <w:sz w:val="18"/>
          <w:szCs w:val="18"/>
        </w:rPr>
        <w:t xml:space="preserve"> was shuttered in May 2020; it is not clear whether the closing is temporary or permanent.</w:t>
      </w:r>
    </w:p>
  </w:footnote>
  <w:footnote w:id="6">
    <w:p w14:paraId="62CF0125" w14:textId="77777777" w:rsidR="005C0974" w:rsidRPr="006263FE" w:rsidRDefault="005C0974" w:rsidP="005C0974">
      <w:pPr>
        <w:rPr>
          <w:rFonts w:ascii="Arial Rounded MT Bold" w:eastAsia="Arial" w:hAnsi="Arial Rounded MT Bold" w:cs="Arial"/>
          <w:color w:val="FF0000"/>
          <w:sz w:val="18"/>
          <w:szCs w:val="18"/>
        </w:rPr>
      </w:pPr>
      <w:r w:rsidRPr="0002512B">
        <w:rPr>
          <w:rStyle w:val="FootnoteReference"/>
        </w:rPr>
        <w:footnoteRef/>
      </w:r>
      <w:r w:rsidRPr="0002512B">
        <w:t xml:space="preserve"> </w:t>
      </w:r>
      <w:r w:rsidRPr="0002512B">
        <w:rPr>
          <w:rFonts w:eastAsia="Arial" w:cs="Arial"/>
          <w:sz w:val="18"/>
          <w:szCs w:val="18"/>
        </w:rPr>
        <w:t xml:space="preserve"> </w:t>
      </w:r>
      <w:hyperlink r:id="rId1" w:history="1">
        <w:r w:rsidRPr="0002512B">
          <w:rPr>
            <w:rStyle w:val="Hyperlink"/>
            <w:rFonts w:eastAsia="Arial" w:cs="Arial"/>
            <w:sz w:val="18"/>
            <w:szCs w:val="18"/>
          </w:rPr>
          <w:t>https://co2re.co/FacilityData</w:t>
        </w:r>
      </w:hyperlink>
      <w:r w:rsidRPr="0002512B">
        <w:rPr>
          <w:rFonts w:eastAsia="Arial" w:cs="Arial"/>
          <w:sz w:val="18"/>
          <w:szCs w:val="18"/>
        </w:rPr>
        <w:t xml:space="preserve">  Concerning the usage of CO</w:t>
      </w:r>
      <w:r w:rsidRPr="0002512B">
        <w:rPr>
          <w:rFonts w:eastAsia="Arial" w:cs="Arial"/>
          <w:sz w:val="18"/>
          <w:szCs w:val="18"/>
          <w:vertAlign w:val="subscript"/>
        </w:rPr>
        <w:t>2</w:t>
      </w:r>
      <w:r w:rsidRPr="0002512B">
        <w:rPr>
          <w:rFonts w:eastAsia="Arial" w:cs="Arial"/>
          <w:sz w:val="18"/>
          <w:szCs w:val="18"/>
        </w:rPr>
        <w:t xml:space="preserve"> from the CCS projects, filtering the data for largescale CCS projects -- almost every project in the list</w:t>
      </w:r>
      <w:r>
        <w:rPr>
          <w:rFonts w:eastAsia="Arial" w:cs="Arial"/>
          <w:sz w:val="18"/>
          <w:szCs w:val="18"/>
        </w:rPr>
        <w:t xml:space="preserve"> indicates</w:t>
      </w:r>
      <w:r w:rsidRPr="0002512B">
        <w:rPr>
          <w:rFonts w:eastAsia="Arial" w:cs="Arial"/>
          <w:sz w:val="18"/>
          <w:szCs w:val="18"/>
        </w:rPr>
        <w:t xml:space="preserve"> that captured CO</w:t>
      </w:r>
      <w:r w:rsidRPr="0002512B">
        <w:rPr>
          <w:rFonts w:eastAsia="Arial" w:cs="Arial"/>
          <w:sz w:val="18"/>
          <w:szCs w:val="18"/>
          <w:vertAlign w:val="subscript"/>
        </w:rPr>
        <w:t>2</w:t>
      </w:r>
      <w:r w:rsidRPr="0002512B">
        <w:rPr>
          <w:rFonts w:eastAsia="Arial" w:cs="Arial"/>
          <w:sz w:val="18"/>
          <w:szCs w:val="18"/>
        </w:rPr>
        <w:t xml:space="preserve"> is</w:t>
      </w:r>
      <w:r>
        <w:rPr>
          <w:rFonts w:eastAsia="Arial" w:cs="Arial"/>
          <w:sz w:val="18"/>
          <w:szCs w:val="18"/>
        </w:rPr>
        <w:t>, or will be,</w:t>
      </w:r>
      <w:r w:rsidRPr="0002512B">
        <w:rPr>
          <w:rFonts w:eastAsia="Arial" w:cs="Arial"/>
          <w:sz w:val="18"/>
          <w:szCs w:val="18"/>
        </w:rPr>
        <w:t xml:space="preserve"> used for EOR (</w:t>
      </w:r>
      <w:r>
        <w:rPr>
          <w:rFonts w:eastAsia="Arial" w:cs="Arial"/>
          <w:sz w:val="18"/>
          <w:szCs w:val="18"/>
        </w:rPr>
        <w:t>d</w:t>
      </w:r>
      <w:r w:rsidRPr="0002512B">
        <w:rPr>
          <w:rFonts w:eastAsia="Arial" w:cs="Arial"/>
          <w:sz w:val="18"/>
          <w:szCs w:val="18"/>
        </w:rPr>
        <w:t>ata retrieved 05-30-20).</w:t>
      </w:r>
      <w:r w:rsidRPr="0002512B">
        <w:rPr>
          <w:rFonts w:ascii="Arial Rounded MT Bold" w:eastAsia="Arial" w:hAnsi="Arial Rounded MT Bold" w:cs="Arial"/>
          <w:sz w:val="18"/>
          <w:szCs w:val="18"/>
        </w:rPr>
        <w:t xml:space="preserve"> </w:t>
      </w:r>
    </w:p>
  </w:footnote>
  <w:footnote w:id="7">
    <w:p w14:paraId="4D3F0CC9" w14:textId="77777777" w:rsidR="00BF25A6" w:rsidRPr="00C512CD" w:rsidRDefault="00BF25A6" w:rsidP="00BF25A6">
      <w:pPr>
        <w:pStyle w:val="FootnoteText"/>
        <w:rPr>
          <w:sz w:val="16"/>
          <w:szCs w:val="16"/>
        </w:rPr>
      </w:pPr>
      <w:r>
        <w:rPr>
          <w:rStyle w:val="FootnoteReference"/>
        </w:rPr>
        <w:footnoteRef/>
      </w:r>
      <w:r>
        <w:t xml:space="preserve"> </w:t>
      </w:r>
      <w:r w:rsidRPr="00C512CD">
        <w:rPr>
          <w:sz w:val="18"/>
          <w:szCs w:val="18"/>
        </w:rPr>
        <w:t>Smith et al. 2016 pg 47; calculations performed by S. Davis, co-author</w:t>
      </w:r>
      <w:r>
        <w:rPr>
          <w:sz w:val="18"/>
          <w:szCs w:val="18"/>
        </w:rPr>
        <w:t xml:space="preserve">, </w:t>
      </w:r>
      <w:r w:rsidRPr="00C512CD">
        <w:rPr>
          <w:sz w:val="18"/>
          <w:szCs w:val="18"/>
        </w:rPr>
        <w:t xml:space="preserve">Smith et. al. Personal communication </w:t>
      </w:r>
      <w:r w:rsidRPr="00C512CD">
        <w:rPr>
          <w:sz w:val="16"/>
          <w:szCs w:val="16"/>
        </w:rPr>
        <w:t>8-19-18.</w:t>
      </w:r>
    </w:p>
  </w:footnote>
  <w:footnote w:id="8">
    <w:p w14:paraId="06DA6B57" w14:textId="77777777" w:rsidR="00BF25A6" w:rsidRPr="00827CB2" w:rsidRDefault="00BF25A6" w:rsidP="00BF25A6">
      <w:pPr>
        <w:pStyle w:val="FootnoteText"/>
        <w:rPr>
          <w:rFonts w:cs="Times New Roman"/>
          <w:sz w:val="18"/>
          <w:szCs w:val="18"/>
        </w:rPr>
      </w:pPr>
      <w:r w:rsidRPr="00827CB2">
        <w:rPr>
          <w:rStyle w:val="FootnoteReference"/>
          <w:rFonts w:cs="Times New Roman"/>
          <w:sz w:val="18"/>
          <w:szCs w:val="18"/>
        </w:rPr>
        <w:footnoteRef/>
      </w:r>
      <w:r w:rsidRPr="00827CB2">
        <w:rPr>
          <w:rFonts w:cs="Times New Roman"/>
          <w:sz w:val="18"/>
          <w:szCs w:val="18"/>
        </w:rPr>
        <w:t xml:space="preserve"> Smith et al. 2016 pg 47; calculations performed by S. Davis, co-author, Smith et. al. Personal communication 8-19-18.</w:t>
      </w:r>
    </w:p>
  </w:footnote>
  <w:footnote w:id="9">
    <w:p w14:paraId="0454A6CD" w14:textId="77777777" w:rsidR="00BF25A6" w:rsidRPr="00827CB2" w:rsidRDefault="00BF25A6" w:rsidP="00BF25A6">
      <w:pPr>
        <w:pStyle w:val="FootnoteText"/>
        <w:rPr>
          <w:rFonts w:cs="Times New Roman"/>
          <w:sz w:val="18"/>
          <w:szCs w:val="18"/>
        </w:rPr>
      </w:pPr>
      <w:r w:rsidRPr="00827CB2">
        <w:rPr>
          <w:rStyle w:val="FootnoteReference"/>
          <w:rFonts w:cs="Times New Roman"/>
          <w:sz w:val="18"/>
          <w:szCs w:val="18"/>
        </w:rPr>
        <w:footnoteRef/>
      </w:r>
      <w:r w:rsidRPr="00827CB2">
        <w:rPr>
          <w:rFonts w:cs="Times New Roman"/>
          <w:sz w:val="18"/>
          <w:szCs w:val="18"/>
        </w:rPr>
        <w:t xml:space="preserve"> If 1.5Gt/yr -&gt; 300EJ/yr then 1Gt/yr -&gt; 200EJ/yr = 55.56 billion MWh.</w:t>
      </w:r>
    </w:p>
  </w:footnote>
  <w:footnote w:id="10">
    <w:p w14:paraId="1D9CC523" w14:textId="77777777" w:rsidR="00B95172" w:rsidRPr="00827CB2" w:rsidRDefault="00B95172" w:rsidP="00B95172">
      <w:pPr>
        <w:pStyle w:val="FootnoteText"/>
        <w:rPr>
          <w:rFonts w:cs="Times New Roman"/>
          <w:sz w:val="18"/>
          <w:szCs w:val="18"/>
        </w:rPr>
      </w:pPr>
      <w:r w:rsidRPr="00827CB2">
        <w:rPr>
          <w:rStyle w:val="FootnoteReference"/>
          <w:rFonts w:cs="Times New Roman"/>
          <w:sz w:val="18"/>
          <w:szCs w:val="18"/>
        </w:rPr>
        <w:footnoteRef/>
      </w:r>
      <w:r w:rsidRPr="00827CB2">
        <w:rPr>
          <w:rFonts w:cs="Times New Roman"/>
          <w:sz w:val="18"/>
          <w:szCs w:val="18"/>
        </w:rPr>
        <w:t xml:space="preserve"> Liquid solvent DAC plant technology requires high temperatures for the regeneration of carbon capture materials (up to 900°C) which is not possible with the application of renewable energy sources. </w:t>
      </w:r>
    </w:p>
  </w:footnote>
  <w:footnote w:id="11">
    <w:p w14:paraId="2243927A" w14:textId="77777777" w:rsidR="00B95172" w:rsidRPr="00827CB2" w:rsidRDefault="00B95172" w:rsidP="00B95172">
      <w:pPr>
        <w:pStyle w:val="FootnoteText"/>
        <w:rPr>
          <w:rFonts w:cs="Times New Roman"/>
          <w:sz w:val="18"/>
          <w:szCs w:val="18"/>
        </w:rPr>
      </w:pPr>
      <w:r w:rsidRPr="00827CB2">
        <w:rPr>
          <w:rStyle w:val="FootnoteReference"/>
          <w:rFonts w:cs="Times New Roman"/>
          <w:sz w:val="18"/>
          <w:szCs w:val="18"/>
        </w:rPr>
        <w:footnoteRef/>
      </w:r>
      <w:r w:rsidRPr="00827CB2">
        <w:rPr>
          <w:rFonts w:cs="Times New Roman"/>
          <w:sz w:val="18"/>
          <w:szCs w:val="18"/>
        </w:rPr>
        <w:t xml:space="preserve"> Calculations by Steven J. Davis, (Smith et al 2016 co-author); personal communication 8-19-19: U.S. Wind 2018 -- CO2 capture capability: 76.8 million tons. U.S. Solar 2018 –CO</w:t>
      </w:r>
      <w:r w:rsidRPr="00827CB2">
        <w:rPr>
          <w:rFonts w:cs="Times New Roman"/>
          <w:sz w:val="18"/>
          <w:szCs w:val="18"/>
          <w:vertAlign w:val="subscript"/>
        </w:rPr>
        <w:t>2</w:t>
      </w:r>
      <w:r w:rsidRPr="00827CB2">
        <w:rPr>
          <w:rFonts w:cs="Times New Roman"/>
          <w:sz w:val="18"/>
          <w:szCs w:val="18"/>
        </w:rPr>
        <w:t xml:space="preserve"> capture capability 26.8 million tons. </w:t>
      </w:r>
    </w:p>
  </w:footnote>
  <w:footnote w:id="12">
    <w:p w14:paraId="15572618" w14:textId="77777777" w:rsidR="00B95172" w:rsidRPr="00827CB2" w:rsidRDefault="00B95172" w:rsidP="00B95172">
      <w:pPr>
        <w:pStyle w:val="FootnoteText"/>
        <w:rPr>
          <w:rFonts w:cs="Times New Roman"/>
          <w:sz w:val="18"/>
          <w:szCs w:val="18"/>
        </w:rPr>
      </w:pPr>
      <w:r w:rsidRPr="00827CB2">
        <w:rPr>
          <w:rStyle w:val="FootnoteReference"/>
          <w:rFonts w:cs="Times New Roman"/>
          <w:sz w:val="18"/>
          <w:szCs w:val="18"/>
        </w:rPr>
        <w:footnoteRef/>
      </w:r>
      <w:r w:rsidRPr="00827CB2">
        <w:rPr>
          <w:rFonts w:cs="Times New Roman"/>
          <w:sz w:val="18"/>
          <w:szCs w:val="18"/>
        </w:rPr>
        <w:t xml:space="preserve"> Fellow, Post-Carbon Institute; Staff Scientist (retired), Lawrence Berkeley Laboratory; personal communications August 2019 and April 9, 2020.  </w:t>
      </w:r>
    </w:p>
  </w:footnote>
  <w:footnote w:id="13">
    <w:p w14:paraId="068FF5CF" w14:textId="0A6E0E5E" w:rsidR="0090534F" w:rsidRPr="00671773" w:rsidRDefault="0090534F" w:rsidP="0090534F">
      <w:pPr>
        <w:autoSpaceDE w:val="0"/>
        <w:autoSpaceDN w:val="0"/>
        <w:adjustRightInd w:val="0"/>
        <w:spacing w:line="240" w:lineRule="auto"/>
        <w:rPr>
          <w:rFonts w:cs="Arial"/>
        </w:rPr>
      </w:pPr>
      <w:r w:rsidRPr="00827CB2">
        <w:rPr>
          <w:rStyle w:val="FootnoteReference"/>
          <w:rFonts w:cs="Times New Roman"/>
          <w:sz w:val="18"/>
          <w:szCs w:val="18"/>
        </w:rPr>
        <w:footnoteRef/>
      </w:r>
      <w:r w:rsidRPr="00827CB2">
        <w:rPr>
          <w:rFonts w:cs="Times New Roman"/>
          <w:sz w:val="18"/>
          <w:szCs w:val="18"/>
        </w:rPr>
        <w:t xml:space="preserve"> </w:t>
      </w:r>
      <w:r w:rsidR="00827CB2" w:rsidRPr="00827CB2">
        <w:rPr>
          <w:rFonts w:cs="Times New Roman"/>
          <w:sz w:val="18"/>
          <w:szCs w:val="18"/>
        </w:rPr>
        <w:t xml:space="preserve">National Academies of Sciences 2019: </w:t>
      </w:r>
      <w:r w:rsidRPr="00827CB2">
        <w:rPr>
          <w:rFonts w:cs="Times New Roman"/>
          <w:sz w:val="18"/>
          <w:szCs w:val="18"/>
        </w:rPr>
        <w:t>“If solar is used to offset 25 percent of the electric and thermal requirements, an additional 3,600 acres of total land area is required. In the theoretical limit where solar power and the Conservation Stewardship Program (CSP) are used to offset all electric and thermal requirements, total land use escalates to 14,500 acres, or roughly 58.6 km</w:t>
      </w:r>
      <w:r w:rsidRPr="00827CB2">
        <w:rPr>
          <w:rFonts w:cs="Times New Roman"/>
          <w:sz w:val="18"/>
          <w:szCs w:val="18"/>
          <w:vertAlign w:val="superscript"/>
        </w:rPr>
        <w:t>2</w:t>
      </w:r>
      <w:r w:rsidRPr="00827CB2">
        <w:rPr>
          <w:rFonts w:cs="Times New Roman"/>
          <w:sz w:val="18"/>
          <w:szCs w:val="18"/>
        </w:rPr>
        <w:t>. One-hundred such facilities (representing 100 Mt CO2 removal per year) would require a land area roughly the size of Delaware.”</w:t>
      </w:r>
      <w:r w:rsidRPr="009C5F3A">
        <w:rPr>
          <w:rFonts w:ascii="MyriadPro-Regular" w:hAnsi="MyriadPro-Regular" w:cs="MyriadPro-Regular"/>
          <w:sz w:val="18"/>
          <w:szCs w:val="18"/>
        </w:rPr>
        <w:t xml:space="preserve"> </w:t>
      </w:r>
      <w:r w:rsidRPr="009C5F3A">
        <w:rPr>
          <w:rFonts w:cs="Arial"/>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974"/>
    <w:rsid w:val="00065839"/>
    <w:rsid w:val="000C6929"/>
    <w:rsid w:val="000D4227"/>
    <w:rsid w:val="000E194C"/>
    <w:rsid w:val="001155F1"/>
    <w:rsid w:val="00153A1A"/>
    <w:rsid w:val="001740CA"/>
    <w:rsid w:val="002140D8"/>
    <w:rsid w:val="002564DE"/>
    <w:rsid w:val="003265EE"/>
    <w:rsid w:val="0038540F"/>
    <w:rsid w:val="003D09EA"/>
    <w:rsid w:val="003E61B7"/>
    <w:rsid w:val="00460242"/>
    <w:rsid w:val="00464BE2"/>
    <w:rsid w:val="00496930"/>
    <w:rsid w:val="004C460F"/>
    <w:rsid w:val="00507EE4"/>
    <w:rsid w:val="00520DF9"/>
    <w:rsid w:val="00591875"/>
    <w:rsid w:val="005C0974"/>
    <w:rsid w:val="005C16C6"/>
    <w:rsid w:val="005C1A2B"/>
    <w:rsid w:val="0060319A"/>
    <w:rsid w:val="00620391"/>
    <w:rsid w:val="00673A67"/>
    <w:rsid w:val="006A4A7C"/>
    <w:rsid w:val="006D0EEB"/>
    <w:rsid w:val="006E7FA6"/>
    <w:rsid w:val="007234A0"/>
    <w:rsid w:val="0076107C"/>
    <w:rsid w:val="007870E3"/>
    <w:rsid w:val="00790371"/>
    <w:rsid w:val="007977E3"/>
    <w:rsid w:val="007B5BA0"/>
    <w:rsid w:val="007D6F27"/>
    <w:rsid w:val="00813334"/>
    <w:rsid w:val="008212EA"/>
    <w:rsid w:val="00827CB2"/>
    <w:rsid w:val="00887BE5"/>
    <w:rsid w:val="0090534F"/>
    <w:rsid w:val="00924ADC"/>
    <w:rsid w:val="009431D6"/>
    <w:rsid w:val="00947FCB"/>
    <w:rsid w:val="009B0099"/>
    <w:rsid w:val="009D1F54"/>
    <w:rsid w:val="009E6CF8"/>
    <w:rsid w:val="009F5642"/>
    <w:rsid w:val="00AB453F"/>
    <w:rsid w:val="00AD193A"/>
    <w:rsid w:val="00B22671"/>
    <w:rsid w:val="00B95172"/>
    <w:rsid w:val="00BA5BC6"/>
    <w:rsid w:val="00BF25A6"/>
    <w:rsid w:val="00C371D3"/>
    <w:rsid w:val="00CE3A1D"/>
    <w:rsid w:val="00CF217A"/>
    <w:rsid w:val="00D12789"/>
    <w:rsid w:val="00D37A8B"/>
    <w:rsid w:val="00D74E89"/>
    <w:rsid w:val="00D95DB7"/>
    <w:rsid w:val="00DA3653"/>
    <w:rsid w:val="00DF7DE8"/>
    <w:rsid w:val="00E1479D"/>
    <w:rsid w:val="00E56BC9"/>
    <w:rsid w:val="00EA0C5E"/>
    <w:rsid w:val="00EB0095"/>
    <w:rsid w:val="00EB7748"/>
    <w:rsid w:val="00F37AD9"/>
    <w:rsid w:val="00F56ED7"/>
    <w:rsid w:val="00F6707B"/>
    <w:rsid w:val="00F97FE5"/>
    <w:rsid w:val="00FA11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742B"/>
  <w15:chartTrackingRefBased/>
  <w15:docId w15:val="{1D885077-F9FC-4AC4-98AE-1EE50A41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099"/>
    <w:rPr>
      <w:rFonts w:ascii="Times New Roman" w:hAnsi="Times New Roman"/>
      <w:sz w:val="20"/>
    </w:rPr>
  </w:style>
  <w:style w:type="paragraph" w:styleId="Heading2">
    <w:name w:val="heading 2"/>
    <w:basedOn w:val="Normal"/>
    <w:next w:val="Normal"/>
    <w:link w:val="Heading2Char"/>
    <w:uiPriority w:val="9"/>
    <w:unhideWhenUsed/>
    <w:qFormat/>
    <w:rsid w:val="00AD193A"/>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A8B"/>
    <w:pPr>
      <w:keepNext/>
      <w:keepLines/>
      <w:spacing w:before="40"/>
      <w:outlineLvl w:val="2"/>
    </w:pPr>
    <w:rPr>
      <w:rFonts w:eastAsiaTheme="majorEastAsia"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391"/>
    <w:pPr>
      <w:ind w:left="720"/>
      <w:contextualSpacing/>
    </w:pPr>
    <w:rPr>
      <w:sz w:val="24"/>
    </w:rPr>
  </w:style>
  <w:style w:type="character" w:styleId="Hyperlink">
    <w:name w:val="Hyperlink"/>
    <w:basedOn w:val="DefaultParagraphFont"/>
    <w:uiPriority w:val="99"/>
    <w:unhideWhenUsed/>
    <w:rsid w:val="005C0974"/>
    <w:rPr>
      <w:color w:val="0000FF"/>
      <w:u w:val="single"/>
    </w:rPr>
  </w:style>
  <w:style w:type="paragraph" w:styleId="FootnoteText">
    <w:name w:val="footnote text"/>
    <w:basedOn w:val="Normal"/>
    <w:link w:val="FootnoteTextChar"/>
    <w:uiPriority w:val="99"/>
    <w:unhideWhenUsed/>
    <w:rsid w:val="005C0974"/>
    <w:pPr>
      <w:spacing w:line="240" w:lineRule="auto"/>
    </w:pPr>
    <w:rPr>
      <w:szCs w:val="20"/>
    </w:rPr>
  </w:style>
  <w:style w:type="character" w:customStyle="1" w:styleId="FootnoteTextChar">
    <w:name w:val="Footnote Text Char"/>
    <w:basedOn w:val="DefaultParagraphFont"/>
    <w:link w:val="FootnoteText"/>
    <w:uiPriority w:val="99"/>
    <w:rsid w:val="005C0974"/>
    <w:rPr>
      <w:sz w:val="20"/>
      <w:szCs w:val="20"/>
    </w:rPr>
  </w:style>
  <w:style w:type="character" w:styleId="FootnoteReference">
    <w:name w:val="footnote reference"/>
    <w:basedOn w:val="DefaultParagraphFont"/>
    <w:uiPriority w:val="99"/>
    <w:semiHidden/>
    <w:unhideWhenUsed/>
    <w:rsid w:val="005C0974"/>
    <w:rPr>
      <w:vertAlign w:val="superscript"/>
    </w:rPr>
  </w:style>
  <w:style w:type="paragraph" w:styleId="Caption">
    <w:name w:val="caption"/>
    <w:basedOn w:val="Normal"/>
    <w:next w:val="Normal"/>
    <w:uiPriority w:val="35"/>
    <w:unhideWhenUsed/>
    <w:qFormat/>
    <w:rsid w:val="005C0974"/>
    <w:pPr>
      <w:spacing w:after="200" w:line="240" w:lineRule="auto"/>
    </w:pPr>
    <w:rPr>
      <w:rFonts w:asciiTheme="minorHAnsi" w:hAnsiTheme="minorHAnsi"/>
      <w:i/>
      <w:iCs/>
      <w:color w:val="44546A" w:themeColor="text2"/>
      <w:sz w:val="18"/>
      <w:szCs w:val="18"/>
      <w:lang w:val="en-GB"/>
    </w:rPr>
  </w:style>
  <w:style w:type="character" w:customStyle="1" w:styleId="A8">
    <w:name w:val="A8"/>
    <w:uiPriority w:val="99"/>
    <w:rsid w:val="005C0974"/>
    <w:rPr>
      <w:rFonts w:cs="Minion Pro"/>
      <w:color w:val="000000"/>
      <w:sz w:val="11"/>
      <w:szCs w:val="11"/>
    </w:rPr>
  </w:style>
  <w:style w:type="character" w:customStyle="1" w:styleId="s2">
    <w:name w:val="s2"/>
    <w:basedOn w:val="DefaultParagraphFont"/>
    <w:rsid w:val="005C0974"/>
  </w:style>
  <w:style w:type="paragraph" w:customStyle="1" w:styleId="Pa6">
    <w:name w:val="Pa6"/>
    <w:basedOn w:val="Normal"/>
    <w:next w:val="Normal"/>
    <w:uiPriority w:val="99"/>
    <w:rsid w:val="005C0974"/>
    <w:pPr>
      <w:autoSpaceDE w:val="0"/>
      <w:autoSpaceDN w:val="0"/>
      <w:adjustRightInd w:val="0"/>
      <w:spacing w:line="187" w:lineRule="atLeast"/>
    </w:pPr>
    <w:rPr>
      <w:rFonts w:ascii="Minion Pro" w:hAnsi="Minion Pro"/>
      <w:sz w:val="24"/>
    </w:rPr>
  </w:style>
  <w:style w:type="paragraph" w:styleId="BalloonText">
    <w:name w:val="Balloon Text"/>
    <w:basedOn w:val="Normal"/>
    <w:link w:val="BalloonTextChar"/>
    <w:uiPriority w:val="99"/>
    <w:semiHidden/>
    <w:unhideWhenUsed/>
    <w:rsid w:val="006031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19A"/>
    <w:rPr>
      <w:rFonts w:ascii="Segoe UI" w:hAnsi="Segoe UI" w:cs="Segoe UI"/>
      <w:sz w:val="18"/>
      <w:szCs w:val="18"/>
    </w:rPr>
  </w:style>
  <w:style w:type="character" w:customStyle="1" w:styleId="A5">
    <w:name w:val="A5"/>
    <w:uiPriority w:val="99"/>
    <w:rsid w:val="00BF25A6"/>
    <w:rPr>
      <w:rFonts w:cs="Minion Pro"/>
      <w:color w:val="000000"/>
      <w:sz w:val="11"/>
      <w:szCs w:val="11"/>
    </w:rPr>
  </w:style>
  <w:style w:type="character" w:customStyle="1" w:styleId="Heading3Char">
    <w:name w:val="Heading 3 Char"/>
    <w:basedOn w:val="DefaultParagraphFont"/>
    <w:link w:val="Heading3"/>
    <w:uiPriority w:val="9"/>
    <w:rsid w:val="00D37A8B"/>
    <w:rPr>
      <w:rFonts w:eastAsiaTheme="majorEastAsia" w:cstheme="majorBidi"/>
      <w:color w:val="1F3763" w:themeColor="accent1" w:themeShade="7F"/>
    </w:rPr>
  </w:style>
  <w:style w:type="character" w:customStyle="1" w:styleId="Heading2Char">
    <w:name w:val="Heading 2 Char"/>
    <w:basedOn w:val="DefaultParagraphFont"/>
    <w:link w:val="Heading2"/>
    <w:uiPriority w:val="9"/>
    <w:rsid w:val="00AD193A"/>
    <w:rPr>
      <w:rFonts w:eastAsiaTheme="majorEastAsia" w:cstheme="majorBidi"/>
      <w:color w:val="2F5496" w:themeColor="accent1" w:themeShade="BF"/>
      <w:sz w:val="26"/>
      <w:szCs w:val="26"/>
    </w:rPr>
  </w:style>
  <w:style w:type="character" w:styleId="FollowedHyperlink">
    <w:name w:val="FollowedHyperlink"/>
    <w:basedOn w:val="DefaultParagraphFont"/>
    <w:uiPriority w:val="99"/>
    <w:semiHidden/>
    <w:unhideWhenUsed/>
    <w:rsid w:val="005918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leanwateraction.org/sites/default/files/docs/publications/Carbon%20Dioxide%20EOR%20-%20A%20Threat%20To%20Water%20and%20the%20Environment%20-%20Nov%20201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o2re.co/Facility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9645D-BC7C-414B-B969-46C84FBC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4971</Words>
  <Characters>28341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Sekera, June</dc:creator>
  <cp:keywords/>
  <dc:description/>
  <cp:lastModifiedBy>Suganya D.</cp:lastModifiedBy>
  <cp:revision>5</cp:revision>
  <dcterms:created xsi:type="dcterms:W3CDTF">2020-09-01T17:07:00Z</dcterms:created>
  <dcterms:modified xsi:type="dcterms:W3CDTF">2020-09-23T05:11:00Z</dcterms:modified>
</cp:coreProperties>
</file>