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B6E" w:rsidRDefault="00992B6E" w:rsidP="00992B6E">
      <w:pPr>
        <w:pStyle w:val="Tabletitle"/>
      </w:pPr>
      <w:r>
        <w:t xml:space="preserve">Appendix 1. </w:t>
      </w:r>
      <w:r w:rsidRPr="00025EBC">
        <w:rPr>
          <w:lang w:val="en-US"/>
        </w:rPr>
        <w:t>List of articles (Stage 4, n=84), whether they provided a definition for competence/competences and/or competency/competencies, and source of definition</w:t>
      </w:r>
      <w: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8"/>
        <w:gridCol w:w="3535"/>
        <w:gridCol w:w="1643"/>
        <w:gridCol w:w="3150"/>
        <w:gridCol w:w="3690"/>
      </w:tblGrid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  <w:rPr>
                <w:b/>
              </w:rPr>
            </w:pPr>
            <w:r w:rsidRPr="00677538">
              <w:rPr>
                <w:b/>
              </w:rPr>
              <w:t xml:space="preserve">No./no in records </w:t>
            </w:r>
          </w:p>
        </w:tc>
        <w:tc>
          <w:tcPr>
            <w:tcW w:w="3535" w:type="dxa"/>
          </w:tcPr>
          <w:p w:rsidR="00992B6E" w:rsidRPr="00677538" w:rsidRDefault="00992B6E" w:rsidP="00FC1055">
            <w:pPr>
              <w:spacing w:line="240" w:lineRule="auto"/>
              <w:rPr>
                <w:b/>
              </w:rPr>
            </w:pPr>
            <w:r w:rsidRPr="00677538">
              <w:rPr>
                <w:b/>
              </w:rPr>
              <w:t>Reference</w:t>
            </w:r>
          </w:p>
        </w:tc>
        <w:tc>
          <w:tcPr>
            <w:tcW w:w="1643" w:type="dxa"/>
          </w:tcPr>
          <w:p w:rsidR="00992B6E" w:rsidRPr="00677538" w:rsidRDefault="00992B6E" w:rsidP="00FC1055">
            <w:pPr>
              <w:spacing w:line="240" w:lineRule="auto"/>
              <w:rPr>
                <w:b/>
              </w:rPr>
            </w:pPr>
            <w:r w:rsidRPr="00677538">
              <w:rPr>
                <w:b/>
              </w:rPr>
              <w:t>Is definition provided? (Yes/No)</w:t>
            </w:r>
            <w:r>
              <w:rPr>
                <w:b/>
              </w:rPr>
              <w:t>/ Competences, Competencies or Both used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  <w:rPr>
                <w:b/>
              </w:rPr>
            </w:pPr>
            <w:r w:rsidRPr="00677538">
              <w:rPr>
                <w:b/>
              </w:rPr>
              <w:t>Sources of the definition (Academic, European Commiss</w:t>
            </w:r>
            <w:r>
              <w:rPr>
                <w:b/>
              </w:rPr>
              <w:t>ion (EC), OECD, National Law/Policy Document</w:t>
            </w:r>
            <w:r w:rsidRPr="00677538">
              <w:rPr>
                <w:b/>
              </w:rPr>
              <w:t>)</w:t>
            </w:r>
          </w:p>
        </w:tc>
        <w:tc>
          <w:tcPr>
            <w:tcW w:w="3690" w:type="dxa"/>
          </w:tcPr>
          <w:p w:rsidR="00992B6E" w:rsidRPr="00677538" w:rsidRDefault="00992B6E" w:rsidP="00FC1055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Is definition generic or specific to an individual competence/competency? / </w:t>
            </w:r>
            <w:r w:rsidRPr="00677538">
              <w:rPr>
                <w:b/>
              </w:rPr>
              <w:t>References used in relation to the definition</w:t>
            </w:r>
          </w:p>
        </w:tc>
      </w:tr>
      <w:tr w:rsidR="00992B6E" w:rsidRPr="00677538" w:rsidTr="00FC1055">
        <w:tc>
          <w:tcPr>
            <w:tcW w:w="13086" w:type="dxa"/>
            <w:gridSpan w:val="5"/>
          </w:tcPr>
          <w:p w:rsidR="00992B6E" w:rsidRPr="00677538" w:rsidRDefault="00992B6E" w:rsidP="00FC1055">
            <w:pPr>
              <w:spacing w:line="240" w:lineRule="auto"/>
              <w:rPr>
                <w:b/>
              </w:rPr>
            </w:pPr>
            <w:r w:rsidRPr="00677538">
              <w:rPr>
                <w:b/>
              </w:rPr>
              <w:t xml:space="preserve">Curriculum Policy 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 w:rsidRPr="00677538">
              <w:t>1</w:t>
            </w:r>
            <w:r>
              <w:t>/10</w:t>
            </w:r>
          </w:p>
        </w:tc>
        <w:tc>
          <w:tcPr>
            <w:tcW w:w="3535" w:type="dxa"/>
          </w:tcPr>
          <w:p w:rsidR="00992B6E" w:rsidRPr="00E8649C" w:rsidRDefault="00992B6E" w:rsidP="00FC1055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E8649C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Leat, D., Thomas, U., &amp; Reid, A. (2012). The epistemological fog in realising learning to learn in European curriculum policies. </w:t>
            </w:r>
            <w:r w:rsidRPr="00E8649C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European Educational Research Journal</w:t>
            </w:r>
            <w:r w:rsidRPr="00E8649C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, </w:t>
            </w:r>
            <w:r w:rsidRPr="00E8649C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11</w:t>
            </w:r>
            <w:r w:rsidRPr="00E8649C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(3), 400-412.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YES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Competences</w:t>
            </w:r>
          </w:p>
        </w:tc>
        <w:tc>
          <w:tcPr>
            <w:tcW w:w="3150" w:type="dxa"/>
          </w:tcPr>
          <w:p w:rsidR="00992B6E" w:rsidRDefault="00992B6E" w:rsidP="00FC1055">
            <w:pPr>
              <w:spacing w:line="240" w:lineRule="auto"/>
            </w:pPr>
            <w:r>
              <w:t>OECD</w:t>
            </w:r>
          </w:p>
          <w:p w:rsidR="00992B6E" w:rsidRPr="00677538" w:rsidRDefault="00992B6E" w:rsidP="00FC1055">
            <w:pPr>
              <w:spacing w:line="240" w:lineRule="auto"/>
            </w:pPr>
            <w:r>
              <w:t>EC</w:t>
            </w:r>
          </w:p>
        </w:tc>
        <w:tc>
          <w:tcPr>
            <w:tcW w:w="3690" w:type="dxa"/>
          </w:tcPr>
          <w:p w:rsidR="00992B6E" w:rsidRDefault="00992B6E" w:rsidP="00FC1055">
            <w:pPr>
              <w:spacing w:line="240" w:lineRule="auto"/>
            </w:pPr>
            <w:r>
              <w:t xml:space="preserve">Generic </w:t>
            </w:r>
          </w:p>
          <w:p w:rsidR="00992B6E" w:rsidRDefault="00992B6E" w:rsidP="00FC1055">
            <w:pPr>
              <w:spacing w:line="240" w:lineRule="auto"/>
            </w:pPr>
            <w:r>
              <w:t>(OECD/DeSeCo, 2005)</w:t>
            </w:r>
          </w:p>
          <w:p w:rsidR="00992B6E" w:rsidRDefault="00992B6E" w:rsidP="00FC1055">
            <w:pPr>
              <w:spacing w:line="240" w:lineRule="auto"/>
            </w:pPr>
            <w:r>
              <w:t>(EC/OJEU, 2006)</w:t>
            </w:r>
          </w:p>
          <w:p w:rsidR="00992B6E" w:rsidRPr="00677538" w:rsidRDefault="00992B6E" w:rsidP="00FC1055">
            <w:pPr>
              <w:spacing w:line="240" w:lineRule="auto"/>
            </w:pPr>
            <w:r w:rsidRPr="00E8649C">
              <w:t>(Rychen &amp; Salagnik, 2003</w:t>
            </w:r>
            <w:r>
              <w:t xml:space="preserve"> [OECD DeSeCo related]</w:t>
            </w:r>
            <w:r w:rsidRPr="00E8649C">
              <w:t>)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 w:rsidRPr="00677538">
              <w:t>2</w:t>
            </w:r>
            <w:r>
              <w:t>/58</w:t>
            </w:r>
          </w:p>
        </w:tc>
        <w:tc>
          <w:tcPr>
            <w:tcW w:w="3535" w:type="dxa"/>
          </w:tcPr>
          <w:p w:rsidR="00992B6E" w:rsidRPr="00F806DE" w:rsidRDefault="00992B6E" w:rsidP="00FC1055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F806DE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Halász, G., &amp; Michel, A. (2011). Key Competences in Europe: interpretation, policy formulation and implementation. </w:t>
            </w:r>
            <w:r w:rsidRPr="00F806DE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European Journal of Education</w:t>
            </w:r>
            <w:r w:rsidRPr="00F806DE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, </w:t>
            </w:r>
            <w:r w:rsidRPr="00F806DE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46</w:t>
            </w:r>
            <w:r w:rsidRPr="00F806DE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(3), 289-306.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YES</w:t>
            </w:r>
            <w:r>
              <w:br/>
            </w:r>
          </w:p>
          <w:p w:rsidR="00992B6E" w:rsidRPr="00677538" w:rsidRDefault="00992B6E" w:rsidP="00FC1055">
            <w:pPr>
              <w:spacing w:line="240" w:lineRule="auto"/>
            </w:pPr>
            <w:r>
              <w:t>Both</w:t>
            </w:r>
          </w:p>
        </w:tc>
        <w:tc>
          <w:tcPr>
            <w:tcW w:w="3150" w:type="dxa"/>
          </w:tcPr>
          <w:p w:rsidR="00992B6E" w:rsidRDefault="00992B6E" w:rsidP="00FC1055">
            <w:pPr>
              <w:spacing w:line="240" w:lineRule="auto"/>
            </w:pPr>
            <w:r>
              <w:t>OECD</w:t>
            </w:r>
          </w:p>
          <w:p w:rsidR="00992B6E" w:rsidRPr="00677538" w:rsidRDefault="00992B6E" w:rsidP="00FC1055">
            <w:pPr>
              <w:spacing w:line="240" w:lineRule="auto"/>
            </w:pPr>
            <w:r>
              <w:t>EC</w:t>
            </w:r>
          </w:p>
        </w:tc>
        <w:tc>
          <w:tcPr>
            <w:tcW w:w="3690" w:type="dxa"/>
          </w:tcPr>
          <w:p w:rsidR="00992B6E" w:rsidRDefault="00992B6E" w:rsidP="00FC1055">
            <w:pPr>
              <w:spacing w:line="240" w:lineRule="auto"/>
            </w:pPr>
            <w:r>
              <w:t xml:space="preserve">Generic </w:t>
            </w:r>
          </w:p>
          <w:p w:rsidR="00992B6E" w:rsidRDefault="00992B6E" w:rsidP="00FC1055">
            <w:pPr>
              <w:spacing w:line="240" w:lineRule="auto"/>
            </w:pPr>
            <w:r>
              <w:t>(OECD/DeSeCo, 2005)</w:t>
            </w:r>
          </w:p>
          <w:p w:rsidR="00992B6E" w:rsidRDefault="00992B6E" w:rsidP="00FC1055">
            <w:pPr>
              <w:spacing w:line="240" w:lineRule="auto"/>
            </w:pPr>
            <w:r>
              <w:t>(EC/OJEU, 2006)</w:t>
            </w:r>
          </w:p>
          <w:p w:rsidR="00992B6E" w:rsidRPr="00677538" w:rsidRDefault="00992B6E" w:rsidP="00FC1055">
            <w:pPr>
              <w:spacing w:line="240" w:lineRule="auto"/>
            </w:pPr>
            <w:r w:rsidRPr="00F806DE">
              <w:t>(Rychen &amp; Tiana, 2004</w:t>
            </w:r>
            <w:r>
              <w:t xml:space="preserve"> [OECD &amp; UNESCO International Bureau of Education related]</w:t>
            </w:r>
            <w:r w:rsidRPr="00F806DE">
              <w:t>)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 w:rsidRPr="00677538">
              <w:t>3</w:t>
            </w:r>
            <w:r>
              <w:t>/59</w:t>
            </w:r>
          </w:p>
        </w:tc>
        <w:tc>
          <w:tcPr>
            <w:tcW w:w="3535" w:type="dxa"/>
          </w:tcPr>
          <w:p w:rsidR="00992B6E" w:rsidRPr="000D0B21" w:rsidRDefault="00992B6E" w:rsidP="00FC1055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0D0B21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Dąbrowski, M., &amp; Wiśniewski, J. (2011). Translating Key Competences into the School Curriculum: lessons from the Polish experience. </w:t>
            </w:r>
            <w:r w:rsidRPr="000D0B21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European Journal of Education</w:t>
            </w:r>
            <w:r w:rsidRPr="000D0B21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, </w:t>
            </w:r>
            <w:r w:rsidRPr="000D0B21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46</w:t>
            </w:r>
            <w:r w:rsidRPr="000D0B21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(3), 323-334.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NO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Both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</w:pPr>
            <w:r>
              <w:t>--</w:t>
            </w:r>
          </w:p>
        </w:tc>
        <w:tc>
          <w:tcPr>
            <w:tcW w:w="3690" w:type="dxa"/>
          </w:tcPr>
          <w:p w:rsidR="00992B6E" w:rsidRPr="00677538" w:rsidRDefault="00992B6E" w:rsidP="00FC1055">
            <w:pPr>
              <w:spacing w:line="240" w:lineRule="auto"/>
            </w:pPr>
            <w:r>
              <w:t>--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 w:rsidRPr="00677538">
              <w:t>4</w:t>
            </w:r>
            <w:r>
              <w:t>/62</w:t>
            </w:r>
          </w:p>
        </w:tc>
        <w:tc>
          <w:tcPr>
            <w:tcW w:w="3535" w:type="dxa"/>
          </w:tcPr>
          <w:p w:rsidR="00992B6E" w:rsidRPr="004913E5" w:rsidRDefault="00992B6E" w:rsidP="00FC1055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4913E5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Pirrie, A., &amp; Thoutenhoofd, E. D. (2013). Learning to learn in the European Reference Framework for lifelong learning. </w:t>
            </w:r>
            <w:r w:rsidRPr="004913E5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Oxford Review of Education</w:t>
            </w:r>
            <w:r w:rsidRPr="004913E5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, </w:t>
            </w:r>
            <w:r w:rsidRPr="004913E5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39</w:t>
            </w:r>
            <w:r w:rsidRPr="004913E5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(5), 609-626.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YES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Competences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</w:pPr>
            <w:r>
              <w:t>EC</w:t>
            </w:r>
          </w:p>
        </w:tc>
        <w:tc>
          <w:tcPr>
            <w:tcW w:w="3690" w:type="dxa"/>
          </w:tcPr>
          <w:p w:rsidR="00992B6E" w:rsidRDefault="00992B6E" w:rsidP="00FC1055">
            <w:pPr>
              <w:spacing w:line="240" w:lineRule="auto"/>
            </w:pPr>
            <w:r>
              <w:t>Specific (learning to learn competence)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(EC/OJEU, 2006)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 w:rsidRPr="00677538">
              <w:lastRenderedPageBreak/>
              <w:t>5</w:t>
            </w:r>
            <w:r>
              <w:t>/63</w:t>
            </w:r>
          </w:p>
        </w:tc>
        <w:tc>
          <w:tcPr>
            <w:tcW w:w="3535" w:type="dxa"/>
          </w:tcPr>
          <w:p w:rsidR="00992B6E" w:rsidRPr="007A6282" w:rsidRDefault="00992B6E" w:rsidP="00FC1055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7A6282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Hoskins, B. (2008). The discourse of social justice within European education policy developments: The example of key competences and indicator development towards assuring the continuation of democracy. </w:t>
            </w:r>
            <w:r w:rsidRPr="007A6282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European Educational Research Journal</w:t>
            </w:r>
            <w:r w:rsidRPr="007A6282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, </w:t>
            </w:r>
            <w:r w:rsidRPr="007A6282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7</w:t>
            </w:r>
            <w:r w:rsidRPr="007A6282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(3), 319-330.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YES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Competences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</w:pPr>
            <w:r>
              <w:t>EC/EU</w:t>
            </w:r>
          </w:p>
        </w:tc>
        <w:tc>
          <w:tcPr>
            <w:tcW w:w="3690" w:type="dxa"/>
          </w:tcPr>
          <w:p w:rsidR="00992B6E" w:rsidRDefault="00992B6E" w:rsidP="00FC1055">
            <w:pPr>
              <w:spacing w:line="240" w:lineRule="auto"/>
            </w:pPr>
            <w:r>
              <w:t xml:space="preserve">Generic 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(EC/OJEU, 2006)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 w:rsidRPr="00677538">
              <w:t>6</w:t>
            </w:r>
            <w:r>
              <w:t>/64</w:t>
            </w:r>
          </w:p>
        </w:tc>
        <w:tc>
          <w:tcPr>
            <w:tcW w:w="3535" w:type="dxa"/>
          </w:tcPr>
          <w:p w:rsidR="00992B6E" w:rsidRPr="006C5A0B" w:rsidRDefault="00992B6E" w:rsidP="00FC1055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6C5A0B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Moon, Y. L. (2007). Education reform and competency-based education. </w:t>
            </w:r>
            <w:r w:rsidRPr="006C5A0B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Asia Pacific Education Review</w:t>
            </w:r>
            <w:r w:rsidRPr="006C5A0B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, </w:t>
            </w:r>
            <w:r w:rsidRPr="006C5A0B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8</w:t>
            </w:r>
            <w:r w:rsidRPr="006C5A0B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(2), 337-341.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NO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Both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</w:pPr>
            <w:r>
              <w:t>--</w:t>
            </w:r>
          </w:p>
        </w:tc>
        <w:tc>
          <w:tcPr>
            <w:tcW w:w="3690" w:type="dxa"/>
          </w:tcPr>
          <w:p w:rsidR="00992B6E" w:rsidRPr="00677538" w:rsidRDefault="00992B6E" w:rsidP="00FC1055">
            <w:pPr>
              <w:spacing w:line="240" w:lineRule="auto"/>
            </w:pPr>
            <w:r>
              <w:t>--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 w:rsidRPr="00677538">
              <w:t>7</w:t>
            </w:r>
            <w:r>
              <w:t>/69</w:t>
            </w:r>
          </w:p>
        </w:tc>
        <w:tc>
          <w:tcPr>
            <w:tcW w:w="3535" w:type="dxa"/>
          </w:tcPr>
          <w:p w:rsidR="00992B6E" w:rsidRPr="002964E8" w:rsidRDefault="00992B6E" w:rsidP="00FC1055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2964E8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Tedesco, J. C., Opertti, R., &amp; Amadio, M. (2014). The curriculum debate: Why it is important today. </w:t>
            </w:r>
            <w:r w:rsidRPr="002964E8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Prospects</w:t>
            </w:r>
            <w:r w:rsidRPr="002964E8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, </w:t>
            </w:r>
            <w:r w:rsidRPr="002964E8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44</w:t>
            </w:r>
            <w:r w:rsidRPr="002964E8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(4), 527-546.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YES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Both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</w:pPr>
            <w:r>
              <w:t>EC/EU</w:t>
            </w:r>
          </w:p>
        </w:tc>
        <w:tc>
          <w:tcPr>
            <w:tcW w:w="3690" w:type="dxa"/>
          </w:tcPr>
          <w:p w:rsidR="00992B6E" w:rsidRDefault="00992B6E" w:rsidP="00FC1055">
            <w:pPr>
              <w:spacing w:line="240" w:lineRule="auto"/>
            </w:pPr>
            <w:r>
              <w:t xml:space="preserve">Generic 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(EC/OJEU, 2006)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 w:rsidRPr="00677538">
              <w:t>8</w:t>
            </w:r>
            <w:r>
              <w:t>/75</w:t>
            </w:r>
          </w:p>
        </w:tc>
        <w:tc>
          <w:tcPr>
            <w:tcW w:w="3535" w:type="dxa"/>
          </w:tcPr>
          <w:p w:rsidR="00992B6E" w:rsidRPr="00E33CE0" w:rsidRDefault="00992B6E" w:rsidP="00FC1055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E33CE0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Higgins, S. (2014). Critical thinking for 21</w:t>
            </w:r>
            <w:r w:rsidRPr="00E33CE0">
              <w:rPr>
                <w:color w:val="222222"/>
                <w:sz w:val="20"/>
                <w:szCs w:val="20"/>
                <w:shd w:val="clear" w:color="auto" w:fill="FFFFFF"/>
                <w:vertAlign w:val="superscript"/>
                <w:lang w:val="en-CA"/>
              </w:rPr>
              <w:t>st</w:t>
            </w:r>
            <w:r w:rsidRPr="00E33CE0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 xml:space="preserve"> century education: A cyber-tooth curriculum? </w:t>
            </w:r>
            <w:r w:rsidRPr="00E33CE0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Prospects</w:t>
            </w:r>
            <w:r w:rsidRPr="00E33CE0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, </w:t>
            </w:r>
            <w:r w:rsidRPr="00E33CE0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44</w:t>
            </w:r>
            <w:r w:rsidRPr="00E33CE0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(4), 559-574.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NO</w:t>
            </w:r>
          </w:p>
          <w:p w:rsidR="00992B6E" w:rsidRPr="00677538" w:rsidRDefault="00992B6E" w:rsidP="00FC1055">
            <w:pPr>
              <w:spacing w:line="240" w:lineRule="auto"/>
            </w:pPr>
            <w:r>
              <w:t>Competences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</w:pPr>
            <w:r>
              <w:t>--</w:t>
            </w:r>
          </w:p>
        </w:tc>
        <w:tc>
          <w:tcPr>
            <w:tcW w:w="3690" w:type="dxa"/>
          </w:tcPr>
          <w:p w:rsidR="00992B6E" w:rsidRPr="00677538" w:rsidRDefault="00992B6E" w:rsidP="00FC1055">
            <w:pPr>
              <w:spacing w:line="240" w:lineRule="auto"/>
            </w:pPr>
            <w:r>
              <w:t>--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 w:rsidRPr="00677538">
              <w:t>9</w:t>
            </w:r>
            <w:r>
              <w:t>/76</w:t>
            </w:r>
          </w:p>
        </w:tc>
        <w:tc>
          <w:tcPr>
            <w:tcW w:w="3535" w:type="dxa"/>
          </w:tcPr>
          <w:p w:rsidR="00992B6E" w:rsidRPr="00F73859" w:rsidRDefault="00992B6E" w:rsidP="00FC1055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F73859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Han, S. (2008). Competence: Commodification of human ability. </w:t>
            </w:r>
            <w:r w:rsidRPr="00F73859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Asia Pacific Education Review</w:t>
            </w:r>
            <w:r w:rsidRPr="00F73859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, </w:t>
            </w:r>
            <w:r w:rsidRPr="00F73859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9</w:t>
            </w:r>
            <w:r w:rsidRPr="00F73859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(1), 31-39.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Yes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Both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</w:pPr>
            <w:r>
              <w:t xml:space="preserve">OECD </w:t>
            </w:r>
          </w:p>
        </w:tc>
        <w:tc>
          <w:tcPr>
            <w:tcW w:w="3690" w:type="dxa"/>
          </w:tcPr>
          <w:p w:rsidR="00992B6E" w:rsidRDefault="00992B6E" w:rsidP="00FC1055">
            <w:pPr>
              <w:spacing w:line="240" w:lineRule="auto"/>
            </w:pPr>
            <w:r>
              <w:t>Generic</w:t>
            </w:r>
          </w:p>
          <w:p w:rsidR="00992B6E" w:rsidRPr="00677538" w:rsidRDefault="00992B6E" w:rsidP="00FC1055">
            <w:pPr>
              <w:spacing w:line="240" w:lineRule="auto"/>
            </w:pPr>
            <w:r>
              <w:t>(</w:t>
            </w:r>
            <w:r w:rsidRPr="00F73859">
              <w:t>Rychen &amp; Salganik, 2003</w:t>
            </w:r>
            <w:r>
              <w:t>[OECD/DeSeCo related])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 w:rsidRPr="00677538">
              <w:t>10</w:t>
            </w:r>
            <w:r>
              <w:t>/82</w:t>
            </w:r>
          </w:p>
        </w:tc>
        <w:tc>
          <w:tcPr>
            <w:tcW w:w="3535" w:type="dxa"/>
          </w:tcPr>
          <w:p w:rsidR="00992B6E" w:rsidRPr="00A31304" w:rsidRDefault="00992B6E" w:rsidP="00FC1055">
            <w:pPr>
              <w:spacing w:line="240" w:lineRule="auto"/>
            </w:pPr>
            <w:r w:rsidRPr="00A31304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Caviglia, F., Dalsgaard, C., Delfino, M., &amp; Pedersen, A. Y. (2017). Dialogic Literacy: contexts, competences and dispositions. </w:t>
            </w:r>
            <w:r w:rsidRPr="00A31304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L1 Educational Studies in Language and Literature</w:t>
            </w:r>
            <w:r w:rsidRPr="00A31304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 xml:space="preserve">, </w:t>
            </w:r>
            <w:r w:rsidRPr="00A31304">
              <w:rPr>
                <w:i/>
                <w:iCs/>
                <w:sz w:val="20"/>
                <w:szCs w:val="20"/>
              </w:rPr>
              <w:t xml:space="preserve">17, </w:t>
            </w:r>
            <w:r w:rsidRPr="00A31304">
              <w:rPr>
                <w:iCs/>
                <w:sz w:val="20"/>
                <w:szCs w:val="20"/>
              </w:rPr>
              <w:t>1-38. https://doi.org/10.17239/L1ESLL-2017.17.01.05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YES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Competences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</w:pPr>
            <w:r>
              <w:t>Academic</w:t>
            </w:r>
          </w:p>
        </w:tc>
        <w:tc>
          <w:tcPr>
            <w:tcW w:w="3690" w:type="dxa"/>
          </w:tcPr>
          <w:p w:rsidR="00992B6E" w:rsidRDefault="00992B6E" w:rsidP="00FC1055">
            <w:pPr>
              <w:spacing w:line="240" w:lineRule="auto"/>
            </w:pPr>
            <w:r>
              <w:t>Specific (dialogic literacy competence)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(Scardamalia, 2005)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 w:rsidRPr="00677538">
              <w:t>11</w:t>
            </w:r>
            <w:r>
              <w:t>/96</w:t>
            </w:r>
          </w:p>
        </w:tc>
        <w:tc>
          <w:tcPr>
            <w:tcW w:w="3535" w:type="dxa"/>
          </w:tcPr>
          <w:p w:rsidR="00992B6E" w:rsidRPr="00A31304" w:rsidRDefault="00992B6E" w:rsidP="00FC1055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A31304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Romero Pérez, C., &amp; Núñez Cubero, L. (2013). Promoting emotional, social and civic competencies: Educational policies in Spain. </w:t>
            </w:r>
            <w:r w:rsidRPr="00A31304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KEDI Journal of Educational Policy, Special Issue (2), 65-80.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YES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Both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</w:pPr>
            <w:r>
              <w:t>EC</w:t>
            </w:r>
          </w:p>
        </w:tc>
        <w:tc>
          <w:tcPr>
            <w:tcW w:w="3690" w:type="dxa"/>
          </w:tcPr>
          <w:p w:rsidR="00992B6E" w:rsidRDefault="00992B6E" w:rsidP="00FC1055">
            <w:pPr>
              <w:spacing w:line="240" w:lineRule="auto"/>
            </w:pPr>
            <w:r>
              <w:t xml:space="preserve">Generic 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(EC, 2007)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>
              <w:t>12/107</w:t>
            </w:r>
          </w:p>
        </w:tc>
        <w:tc>
          <w:tcPr>
            <w:tcW w:w="3535" w:type="dxa"/>
          </w:tcPr>
          <w:p w:rsidR="00992B6E" w:rsidRPr="0099664B" w:rsidRDefault="00992B6E" w:rsidP="00FC1055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99664B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Soare, E. (2015). Perspectives on designing the competence based curriculum. </w:t>
            </w:r>
            <w:r w:rsidRPr="0099664B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Procedia-Social and Behavioral Sciences</w:t>
            </w:r>
            <w:r w:rsidRPr="0099664B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, </w:t>
            </w:r>
            <w:r w:rsidRPr="0099664B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180</w:t>
            </w:r>
            <w:r w:rsidRPr="0099664B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, 972-977.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YES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Both</w:t>
            </w:r>
          </w:p>
        </w:tc>
        <w:tc>
          <w:tcPr>
            <w:tcW w:w="3150" w:type="dxa"/>
          </w:tcPr>
          <w:p w:rsidR="00992B6E" w:rsidRDefault="00992B6E" w:rsidP="00FC1055">
            <w:pPr>
              <w:spacing w:line="240" w:lineRule="auto"/>
            </w:pPr>
            <w:r>
              <w:t>Academic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&amp; National Policy Document</w:t>
            </w:r>
          </w:p>
        </w:tc>
        <w:tc>
          <w:tcPr>
            <w:tcW w:w="3690" w:type="dxa"/>
          </w:tcPr>
          <w:p w:rsidR="00992B6E" w:rsidRDefault="00992B6E" w:rsidP="00FC1055">
            <w:pPr>
              <w:spacing w:line="240" w:lineRule="auto"/>
            </w:pPr>
            <w:r>
              <w:t>Generic</w:t>
            </w:r>
          </w:p>
          <w:p w:rsidR="00992B6E" w:rsidRDefault="00992B6E" w:rsidP="00FC1055">
            <w:pPr>
              <w:spacing w:line="240" w:lineRule="auto"/>
            </w:pPr>
            <w:r>
              <w:t>(Mulder, 2001)</w:t>
            </w:r>
          </w:p>
          <w:p w:rsidR="00992B6E" w:rsidRDefault="00992B6E" w:rsidP="00FC1055">
            <w:pPr>
              <w:spacing w:line="240" w:lineRule="auto"/>
            </w:pPr>
            <w:r>
              <w:t>(Jones, 2002)</w:t>
            </w:r>
          </w:p>
          <w:p w:rsidR="00992B6E" w:rsidRDefault="00992B6E" w:rsidP="00FC1055">
            <w:pPr>
              <w:spacing w:line="240" w:lineRule="auto"/>
            </w:pPr>
            <w:r>
              <w:t>(Jonnaert, 2010)</w:t>
            </w:r>
          </w:p>
          <w:p w:rsidR="00992B6E" w:rsidRPr="00677538" w:rsidRDefault="00992B6E" w:rsidP="00FC1055">
            <w:pPr>
              <w:spacing w:line="240" w:lineRule="auto"/>
            </w:pPr>
            <w:r>
              <w:t>(Potolea &amp;</w:t>
            </w:r>
            <w:r w:rsidRPr="004C7D0B">
              <w:t xml:space="preserve"> Păun, 2002</w:t>
            </w:r>
            <w:r>
              <w:t>/Romania</w:t>
            </w:r>
            <w:r w:rsidRPr="004C7D0B">
              <w:t>)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>
              <w:t>13/108</w:t>
            </w:r>
          </w:p>
        </w:tc>
        <w:tc>
          <w:tcPr>
            <w:tcW w:w="3535" w:type="dxa"/>
          </w:tcPr>
          <w:p w:rsidR="00992B6E" w:rsidRPr="00AD7B13" w:rsidRDefault="00992B6E" w:rsidP="00FC1055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AD7B13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Singer, F. M., Samihaian, F., Holbrook, J., &amp; Crisan, A. (2014). Developing a competence-based curriculum for the 21st century: the case of Kuwait. </w:t>
            </w:r>
            <w:r w:rsidRPr="00AD7B13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Procedia-Social and behavioral sciences</w:t>
            </w:r>
            <w:r w:rsidRPr="00AD7B13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, </w:t>
            </w:r>
            <w:r w:rsidRPr="00AD7B13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128</w:t>
            </w:r>
            <w:r w:rsidRPr="00AD7B13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, 475-481.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NO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Competences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</w:pPr>
            <w:r>
              <w:t>--</w:t>
            </w:r>
          </w:p>
        </w:tc>
        <w:tc>
          <w:tcPr>
            <w:tcW w:w="3690" w:type="dxa"/>
          </w:tcPr>
          <w:p w:rsidR="00992B6E" w:rsidRPr="00677538" w:rsidRDefault="00992B6E" w:rsidP="00FC1055">
            <w:pPr>
              <w:spacing w:line="240" w:lineRule="auto"/>
            </w:pPr>
            <w:r>
              <w:t>--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>
              <w:t>14/115</w:t>
            </w:r>
          </w:p>
        </w:tc>
        <w:tc>
          <w:tcPr>
            <w:tcW w:w="3535" w:type="dxa"/>
          </w:tcPr>
          <w:p w:rsidR="00992B6E" w:rsidRPr="002C6D66" w:rsidRDefault="00992B6E" w:rsidP="00FC1055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2C6D66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Zadra, C. (2014). Schooling and lifelong learning. The role of transversal key competences. </w:t>
            </w:r>
            <w:r w:rsidRPr="002C6D66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Procedia-Social and Behavioral Sciences</w:t>
            </w:r>
            <w:r w:rsidRPr="002C6D66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, </w:t>
            </w:r>
            <w:r w:rsidRPr="002C6D66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116</w:t>
            </w:r>
            <w:r w:rsidRPr="002C6D66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, 4727-4731.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YES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Competences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</w:pPr>
            <w:r>
              <w:t>EC</w:t>
            </w:r>
          </w:p>
        </w:tc>
        <w:tc>
          <w:tcPr>
            <w:tcW w:w="3690" w:type="dxa"/>
          </w:tcPr>
          <w:p w:rsidR="00992B6E" w:rsidRDefault="00992B6E" w:rsidP="00FC1055">
            <w:pPr>
              <w:spacing w:line="240" w:lineRule="auto"/>
            </w:pPr>
            <w:r>
              <w:t>Generic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(EC/OJEU, 2006)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>
              <w:t>15/117</w:t>
            </w:r>
          </w:p>
        </w:tc>
        <w:tc>
          <w:tcPr>
            <w:tcW w:w="3535" w:type="dxa"/>
          </w:tcPr>
          <w:p w:rsidR="00992B6E" w:rsidRPr="004237E9" w:rsidRDefault="00992B6E" w:rsidP="00FC1055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4237E9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Voogt, J., &amp; Roblin, N. P. (2012). A comparative analysis of international frameworks for 21st century competences: Implications for national curriculum policies. </w:t>
            </w:r>
            <w:r w:rsidRPr="004237E9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Journal of curriculum studies</w:t>
            </w:r>
            <w:r w:rsidRPr="004237E9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, </w:t>
            </w:r>
            <w:r w:rsidRPr="004237E9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44</w:t>
            </w:r>
            <w:r w:rsidRPr="004237E9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 xml:space="preserve">(3), 299-321. </w:t>
            </w:r>
            <w:r w:rsidRPr="004237E9">
              <w:rPr>
                <w:sz w:val="20"/>
                <w:szCs w:val="20"/>
              </w:rPr>
              <w:t>DOI: 10.1080/00220272.2012.668938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YES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Both</w:t>
            </w:r>
          </w:p>
        </w:tc>
        <w:tc>
          <w:tcPr>
            <w:tcW w:w="3150" w:type="dxa"/>
          </w:tcPr>
          <w:p w:rsidR="00992B6E" w:rsidRDefault="00992B6E" w:rsidP="00FC1055">
            <w:pPr>
              <w:spacing w:line="240" w:lineRule="auto"/>
            </w:pPr>
            <w:r>
              <w:t xml:space="preserve">OECD </w:t>
            </w:r>
          </w:p>
          <w:p w:rsidR="00992B6E" w:rsidRDefault="00992B6E" w:rsidP="00FC1055">
            <w:pPr>
              <w:spacing w:line="240" w:lineRule="auto"/>
            </w:pPr>
            <w:r>
              <w:t>&amp;</w:t>
            </w:r>
          </w:p>
          <w:p w:rsidR="00992B6E" w:rsidRPr="00677538" w:rsidRDefault="00992B6E" w:rsidP="00FC1055">
            <w:pPr>
              <w:spacing w:line="240" w:lineRule="auto"/>
            </w:pPr>
            <w:r>
              <w:t>Academic</w:t>
            </w:r>
          </w:p>
        </w:tc>
        <w:tc>
          <w:tcPr>
            <w:tcW w:w="3690" w:type="dxa"/>
          </w:tcPr>
          <w:p w:rsidR="00992B6E" w:rsidRDefault="00992B6E" w:rsidP="00FC1055">
            <w:pPr>
              <w:spacing w:line="240" w:lineRule="auto"/>
            </w:pPr>
            <w:r>
              <w:t>Generic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Default="00992B6E" w:rsidP="00FC1055">
            <w:pPr>
              <w:spacing w:line="240" w:lineRule="auto"/>
            </w:pPr>
            <w:r>
              <w:t>(OECD, 2005)</w:t>
            </w:r>
          </w:p>
          <w:p w:rsidR="00992B6E" w:rsidRDefault="00992B6E" w:rsidP="00FC1055">
            <w:pPr>
              <w:spacing w:line="240" w:lineRule="auto"/>
            </w:pPr>
            <w:r>
              <w:t>(Westera, 2001)</w:t>
            </w:r>
          </w:p>
          <w:p w:rsidR="00992B6E" w:rsidRPr="00677538" w:rsidRDefault="00992B6E" w:rsidP="00FC1055">
            <w:pPr>
              <w:spacing w:line="240" w:lineRule="auto"/>
            </w:pPr>
            <w:r>
              <w:t>Gordon et al., 2009)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>
              <w:t>16/118</w:t>
            </w:r>
          </w:p>
        </w:tc>
        <w:tc>
          <w:tcPr>
            <w:tcW w:w="3535" w:type="dxa"/>
          </w:tcPr>
          <w:p w:rsidR="00992B6E" w:rsidRPr="00222AA0" w:rsidRDefault="00992B6E" w:rsidP="00FC1055">
            <w:pPr>
              <w:autoSpaceDE w:val="0"/>
              <w:autoSpaceDN w:val="0"/>
              <w:adjustRightInd w:val="0"/>
              <w:spacing w:line="240" w:lineRule="auto"/>
              <w:rPr>
                <w:sz w:val="20"/>
                <w:szCs w:val="20"/>
              </w:rPr>
            </w:pPr>
            <w:r w:rsidRPr="00222AA0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Harris, R., &amp; Burn, K. (2011). Curriculum theory, curriculum policy and the problem of ill</w:t>
            </w:r>
            <w:r w:rsidRPr="00222AA0">
              <w:rPr>
                <w:rFonts w:ascii="Palatino Linotype" w:hAnsi="Palatino Linotype" w:cs="Palatino Linotype"/>
                <w:color w:val="222222"/>
                <w:sz w:val="20"/>
                <w:szCs w:val="20"/>
                <w:shd w:val="clear" w:color="auto" w:fill="FFFFFF"/>
                <w:lang w:val="en-CA"/>
              </w:rPr>
              <w:t>‐</w:t>
            </w:r>
            <w:r w:rsidRPr="00222AA0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disciplined thinking. </w:t>
            </w:r>
            <w:r w:rsidRPr="00222AA0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Journal of Education Policy</w:t>
            </w:r>
            <w:r w:rsidRPr="00222AA0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, </w:t>
            </w:r>
            <w:r w:rsidRPr="00222AA0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26</w:t>
            </w:r>
            <w:r w:rsidRPr="00222AA0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 xml:space="preserve">(2), 245-261. </w:t>
            </w:r>
            <w:r w:rsidRPr="00222AA0">
              <w:rPr>
                <w:sz w:val="20"/>
                <w:szCs w:val="20"/>
              </w:rPr>
              <w:t>DOI:</w:t>
            </w:r>
          </w:p>
          <w:p w:rsidR="00992B6E" w:rsidRPr="00222AA0" w:rsidRDefault="00992B6E" w:rsidP="00FC105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222AA0">
              <w:rPr>
                <w:sz w:val="20"/>
                <w:szCs w:val="20"/>
              </w:rPr>
              <w:t>10.1080/02680939.2010.498902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NO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Both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</w:pPr>
            <w:r>
              <w:t>--</w:t>
            </w:r>
          </w:p>
        </w:tc>
        <w:tc>
          <w:tcPr>
            <w:tcW w:w="3690" w:type="dxa"/>
          </w:tcPr>
          <w:p w:rsidR="00992B6E" w:rsidRPr="00677538" w:rsidRDefault="00992B6E" w:rsidP="00FC1055">
            <w:pPr>
              <w:spacing w:line="240" w:lineRule="auto"/>
            </w:pPr>
            <w:r>
              <w:t>--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>
              <w:t>17/121</w:t>
            </w:r>
          </w:p>
        </w:tc>
        <w:tc>
          <w:tcPr>
            <w:tcW w:w="3535" w:type="dxa"/>
          </w:tcPr>
          <w:p w:rsidR="00992B6E" w:rsidRPr="002013C2" w:rsidRDefault="00992B6E" w:rsidP="00FC1055">
            <w:pPr>
              <w:autoSpaceDE w:val="0"/>
              <w:autoSpaceDN w:val="0"/>
              <w:adjustRightInd w:val="0"/>
              <w:spacing w:line="240" w:lineRule="auto"/>
              <w:rPr>
                <w:sz w:val="20"/>
                <w:szCs w:val="20"/>
              </w:rPr>
            </w:pPr>
            <w:r w:rsidRPr="002013C2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Willbergh, I. (2015). The problems of ‘competence’ and alternatives from the Scandinavian perspective of Bildung. </w:t>
            </w:r>
            <w:r w:rsidRPr="002013C2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Journal of Curriculum Studies</w:t>
            </w:r>
            <w:r w:rsidRPr="002013C2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, </w:t>
            </w:r>
            <w:r w:rsidRPr="002013C2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47</w:t>
            </w:r>
            <w:r w:rsidRPr="002013C2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 xml:space="preserve">(3), 334-354. </w:t>
            </w:r>
            <w:r w:rsidRPr="002013C2">
              <w:rPr>
                <w:sz w:val="20"/>
                <w:szCs w:val="20"/>
              </w:rPr>
              <w:t>DOI:</w:t>
            </w:r>
          </w:p>
          <w:p w:rsidR="00992B6E" w:rsidRPr="002013C2" w:rsidRDefault="00992B6E" w:rsidP="00FC105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2013C2">
              <w:rPr>
                <w:sz w:val="20"/>
                <w:szCs w:val="20"/>
              </w:rPr>
              <w:t>10.1080/00220272.2014.1002112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YES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Both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</w:pPr>
            <w:r>
              <w:t>OECD</w:t>
            </w:r>
          </w:p>
        </w:tc>
        <w:tc>
          <w:tcPr>
            <w:tcW w:w="3690" w:type="dxa"/>
          </w:tcPr>
          <w:p w:rsidR="00992B6E" w:rsidRDefault="00992B6E" w:rsidP="00FC1055">
            <w:pPr>
              <w:spacing w:line="240" w:lineRule="auto"/>
            </w:pPr>
            <w:r>
              <w:t>Generic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(Weinert, 2001 [OECD/DeSeCo related])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>
              <w:t>18/122</w:t>
            </w:r>
          </w:p>
        </w:tc>
        <w:tc>
          <w:tcPr>
            <w:tcW w:w="3535" w:type="dxa"/>
          </w:tcPr>
          <w:p w:rsidR="00992B6E" w:rsidRPr="00F35E31" w:rsidRDefault="00992B6E" w:rsidP="00FC1055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F35E31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Teodoro, A., &amp; Estrela, E. (2010). Curriculum policy in Portugal (1995–2007): global agendas and regional and national reconfigurations. </w:t>
            </w:r>
            <w:r w:rsidRPr="00F35E31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Journal of Curriculum Studies</w:t>
            </w:r>
            <w:r w:rsidRPr="00F35E31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, </w:t>
            </w:r>
            <w:r w:rsidRPr="00F35E31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42</w:t>
            </w:r>
            <w:r w:rsidRPr="00F35E31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(5), 621-647.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YES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Competences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</w:pPr>
            <w:r>
              <w:t>EC/EU</w:t>
            </w:r>
          </w:p>
        </w:tc>
        <w:tc>
          <w:tcPr>
            <w:tcW w:w="3690" w:type="dxa"/>
          </w:tcPr>
          <w:p w:rsidR="00992B6E" w:rsidRDefault="00992B6E" w:rsidP="00FC1055">
            <w:pPr>
              <w:spacing w:line="240" w:lineRule="auto"/>
            </w:pPr>
            <w:r>
              <w:t xml:space="preserve">Generic 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(EC, 2004)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>
              <w:t>19/128</w:t>
            </w:r>
          </w:p>
        </w:tc>
        <w:tc>
          <w:tcPr>
            <w:tcW w:w="3535" w:type="dxa"/>
          </w:tcPr>
          <w:p w:rsidR="00992B6E" w:rsidRPr="009230D9" w:rsidRDefault="00992B6E" w:rsidP="00FC1055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9230D9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Westera, W. (2001). Competences in education: a confusion of tongues. </w:t>
            </w:r>
            <w:r w:rsidRPr="009230D9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Journal of Curriculum Studies</w:t>
            </w:r>
            <w:r w:rsidRPr="009230D9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, </w:t>
            </w:r>
            <w:r w:rsidRPr="009230D9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33</w:t>
            </w:r>
            <w:r w:rsidRPr="009230D9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(1), 75-88.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YES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Competences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</w:pPr>
            <w:r>
              <w:t>Academic</w:t>
            </w:r>
          </w:p>
        </w:tc>
        <w:tc>
          <w:tcPr>
            <w:tcW w:w="3690" w:type="dxa"/>
          </w:tcPr>
          <w:p w:rsidR="00992B6E" w:rsidRDefault="00992B6E" w:rsidP="00FC1055">
            <w:pPr>
              <w:spacing w:line="240" w:lineRule="auto"/>
            </w:pPr>
            <w:r>
              <w:t>Generic and specific (linguistic competence)</w:t>
            </w:r>
          </w:p>
          <w:p w:rsidR="00992B6E" w:rsidRDefault="00992B6E" w:rsidP="00FC1055">
            <w:pPr>
              <w:spacing w:line="240" w:lineRule="auto"/>
            </w:pPr>
            <w:r>
              <w:t>(Chomsky, 1965)</w:t>
            </w:r>
          </w:p>
          <w:p w:rsidR="00992B6E" w:rsidRPr="00677538" w:rsidRDefault="00992B6E" w:rsidP="00FC1055">
            <w:pPr>
              <w:spacing w:line="240" w:lineRule="auto"/>
            </w:pPr>
            <w:r>
              <w:t>(Westera, 2001)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>
              <w:t>20/135</w:t>
            </w:r>
          </w:p>
        </w:tc>
        <w:tc>
          <w:tcPr>
            <w:tcW w:w="3535" w:type="dxa"/>
          </w:tcPr>
          <w:p w:rsidR="00992B6E" w:rsidRPr="00466C68" w:rsidRDefault="00992B6E" w:rsidP="00FC1055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466C68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Smidt, J. (2011). Finding voices in a changing world: Standard language education as a site for developing critical literacies. </w:t>
            </w:r>
            <w:r w:rsidRPr="00466C68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Scandinavian Journal of Educational Research</w:t>
            </w:r>
            <w:r w:rsidRPr="00466C68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, </w:t>
            </w:r>
            <w:r w:rsidRPr="00466C68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55</w:t>
            </w:r>
            <w:r w:rsidRPr="00466C68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(6), 655-669.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YES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Both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</w:pPr>
            <w:r>
              <w:t>OECD</w:t>
            </w:r>
          </w:p>
        </w:tc>
        <w:tc>
          <w:tcPr>
            <w:tcW w:w="3690" w:type="dxa"/>
          </w:tcPr>
          <w:p w:rsidR="00992B6E" w:rsidRDefault="00992B6E" w:rsidP="00FC1055">
            <w:pPr>
              <w:spacing w:line="240" w:lineRule="auto"/>
            </w:pPr>
            <w:r>
              <w:t xml:space="preserve">Generic 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(OECD/DeSeCo, 2005)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>
              <w:t>21/136</w:t>
            </w:r>
          </w:p>
        </w:tc>
        <w:tc>
          <w:tcPr>
            <w:tcW w:w="3535" w:type="dxa"/>
          </w:tcPr>
          <w:p w:rsidR="00992B6E" w:rsidRPr="001D4566" w:rsidRDefault="00992B6E" w:rsidP="00FC1055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1D4566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Charteris, J. (2013). Learning Agency: A dynamic element of the New Zealand Key Competencies. </w:t>
            </w:r>
            <w:r w:rsidRPr="001D4566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Teachers and Curriculum</w:t>
            </w:r>
            <w:r w:rsidRPr="001D4566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, </w:t>
            </w:r>
            <w:r w:rsidRPr="001D4566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13</w:t>
            </w:r>
            <w:r w:rsidRPr="001D4566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. 19-25.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YES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Competencies</w:t>
            </w:r>
          </w:p>
        </w:tc>
        <w:tc>
          <w:tcPr>
            <w:tcW w:w="3150" w:type="dxa"/>
          </w:tcPr>
          <w:p w:rsidR="00992B6E" w:rsidRDefault="00992B6E" w:rsidP="00FC1055">
            <w:pPr>
              <w:spacing w:line="240" w:lineRule="auto"/>
            </w:pPr>
            <w:r>
              <w:t xml:space="preserve">OECD </w:t>
            </w:r>
          </w:p>
          <w:p w:rsidR="00992B6E" w:rsidRDefault="00992B6E" w:rsidP="00FC1055">
            <w:pPr>
              <w:spacing w:line="240" w:lineRule="auto"/>
            </w:pPr>
            <w:r>
              <w:t>&amp;</w:t>
            </w:r>
          </w:p>
          <w:p w:rsidR="00992B6E" w:rsidRPr="00677538" w:rsidRDefault="00992B6E" w:rsidP="00FC1055">
            <w:pPr>
              <w:spacing w:line="240" w:lineRule="auto"/>
            </w:pPr>
            <w:r>
              <w:t>National Policy Document</w:t>
            </w:r>
          </w:p>
        </w:tc>
        <w:tc>
          <w:tcPr>
            <w:tcW w:w="3690" w:type="dxa"/>
          </w:tcPr>
          <w:p w:rsidR="00992B6E" w:rsidRDefault="00992B6E" w:rsidP="00FC1055">
            <w:pPr>
              <w:spacing w:line="240" w:lineRule="auto"/>
            </w:pPr>
            <w:r>
              <w:t xml:space="preserve">Generic </w:t>
            </w:r>
          </w:p>
          <w:p w:rsidR="00992B6E" w:rsidRDefault="00992B6E" w:rsidP="00FC1055">
            <w:pPr>
              <w:spacing w:line="240" w:lineRule="auto"/>
            </w:pPr>
            <w:r>
              <w:t>(OECD, 2005)</w:t>
            </w:r>
          </w:p>
          <w:p w:rsidR="00992B6E" w:rsidRPr="00677538" w:rsidRDefault="00992B6E" w:rsidP="00FC1055">
            <w:pPr>
              <w:spacing w:line="240" w:lineRule="auto"/>
            </w:pPr>
            <w:r>
              <w:t>(NZ Ministry of Education, 2010)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>
              <w:t>22/137</w:t>
            </w:r>
          </w:p>
        </w:tc>
        <w:tc>
          <w:tcPr>
            <w:tcW w:w="3535" w:type="dxa"/>
          </w:tcPr>
          <w:p w:rsidR="00992B6E" w:rsidRPr="00526D56" w:rsidRDefault="00992B6E" w:rsidP="00FC1055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526D56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Hunter, P. (2011). History in the New Zealand curriculum: Discourse shaping and Key Competencies possibilities. </w:t>
            </w:r>
            <w:r w:rsidRPr="00526D56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Teachers and Curriculum</w:t>
            </w:r>
            <w:r w:rsidRPr="00526D56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, </w:t>
            </w:r>
            <w:r w:rsidRPr="00526D56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12</w:t>
            </w:r>
            <w:r w:rsidRPr="00526D56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(1).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YES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Competencies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</w:pPr>
            <w:r>
              <w:t>Academic</w:t>
            </w:r>
          </w:p>
        </w:tc>
        <w:tc>
          <w:tcPr>
            <w:tcW w:w="3690" w:type="dxa"/>
          </w:tcPr>
          <w:p w:rsidR="00992B6E" w:rsidRDefault="00992B6E" w:rsidP="00FC1055">
            <w:pPr>
              <w:spacing w:line="240" w:lineRule="auto"/>
            </w:pPr>
            <w:r>
              <w:t>Generic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(Hunter, 2011)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>
              <w:t>23/144</w:t>
            </w:r>
          </w:p>
        </w:tc>
        <w:tc>
          <w:tcPr>
            <w:tcW w:w="3535" w:type="dxa"/>
          </w:tcPr>
          <w:p w:rsidR="00992B6E" w:rsidRPr="007F47A4" w:rsidRDefault="00992B6E" w:rsidP="00FC1055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7F47A4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Crick, R. D. (2008). Key Competencies for Education in a European Context: narratives of accountability or care. </w:t>
            </w:r>
            <w:r w:rsidRPr="007F47A4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European Educational Research Journal</w:t>
            </w:r>
            <w:r w:rsidRPr="007F47A4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, </w:t>
            </w:r>
            <w:r w:rsidRPr="007F47A4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7</w:t>
            </w:r>
            <w:r w:rsidRPr="007F47A4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(3), 311-318.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YES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Both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</w:pPr>
            <w:r>
              <w:t>EC</w:t>
            </w:r>
          </w:p>
        </w:tc>
        <w:tc>
          <w:tcPr>
            <w:tcW w:w="3690" w:type="dxa"/>
          </w:tcPr>
          <w:p w:rsidR="00992B6E" w:rsidRDefault="00992B6E" w:rsidP="00FC1055">
            <w:pPr>
              <w:spacing w:line="240" w:lineRule="auto"/>
            </w:pPr>
            <w:r>
              <w:t>Generic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(EU/OJEU, 2006)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>
              <w:t>24/151</w:t>
            </w:r>
          </w:p>
        </w:tc>
        <w:tc>
          <w:tcPr>
            <w:tcW w:w="3535" w:type="dxa"/>
          </w:tcPr>
          <w:p w:rsidR="00992B6E" w:rsidRPr="00DC4AF5" w:rsidRDefault="00992B6E" w:rsidP="00FC1055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DC4AF5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Nakayasu, C. (2016). School curriculum in Japan. </w:t>
            </w:r>
            <w:r w:rsidRPr="00DC4AF5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The Curriculum Journal</w:t>
            </w:r>
            <w:r w:rsidRPr="00DC4AF5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, </w:t>
            </w:r>
            <w:r w:rsidRPr="00DC4AF5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27</w:t>
            </w:r>
            <w:r w:rsidRPr="00DC4AF5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(1), 134-150.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NO</w:t>
            </w:r>
          </w:p>
          <w:p w:rsidR="00992B6E" w:rsidRPr="00677538" w:rsidRDefault="00992B6E" w:rsidP="00FC1055">
            <w:pPr>
              <w:spacing w:line="240" w:lineRule="auto"/>
            </w:pPr>
            <w:r>
              <w:t>Competencies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</w:pPr>
            <w:r>
              <w:t>--</w:t>
            </w:r>
          </w:p>
        </w:tc>
        <w:tc>
          <w:tcPr>
            <w:tcW w:w="3690" w:type="dxa"/>
          </w:tcPr>
          <w:p w:rsidR="00992B6E" w:rsidRPr="00677538" w:rsidRDefault="00992B6E" w:rsidP="00FC1055">
            <w:pPr>
              <w:spacing w:line="240" w:lineRule="auto"/>
            </w:pPr>
            <w:r>
              <w:t>--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>
              <w:t>25/154</w:t>
            </w:r>
          </w:p>
        </w:tc>
        <w:tc>
          <w:tcPr>
            <w:tcW w:w="3535" w:type="dxa"/>
          </w:tcPr>
          <w:p w:rsidR="00992B6E" w:rsidRPr="00E6321C" w:rsidRDefault="00992B6E" w:rsidP="00FC1055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E6321C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Takayama, K. (2013). OECD,</w:t>
            </w:r>
            <w:r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 xml:space="preserve"> </w:t>
            </w:r>
            <w:r w:rsidRPr="00E6321C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‘Key competencies’ and the new challenges of educational inequality. </w:t>
            </w:r>
            <w:r w:rsidRPr="00E6321C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Journal of Curriculum Studies</w:t>
            </w:r>
            <w:r w:rsidRPr="00E6321C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, </w:t>
            </w:r>
            <w:r w:rsidRPr="00E6321C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45</w:t>
            </w:r>
            <w:r w:rsidRPr="00E6321C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(1), 67-80.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YES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Both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</w:pPr>
            <w:r>
              <w:t>OECD</w:t>
            </w:r>
          </w:p>
        </w:tc>
        <w:tc>
          <w:tcPr>
            <w:tcW w:w="3690" w:type="dxa"/>
          </w:tcPr>
          <w:p w:rsidR="00992B6E" w:rsidRDefault="00992B6E" w:rsidP="00FC1055">
            <w:pPr>
              <w:spacing w:line="240" w:lineRule="auto"/>
            </w:pPr>
            <w:r>
              <w:t xml:space="preserve">Generic 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(OECD, 2005)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>
              <w:t>26/156</w:t>
            </w:r>
          </w:p>
        </w:tc>
        <w:tc>
          <w:tcPr>
            <w:tcW w:w="3535" w:type="dxa"/>
          </w:tcPr>
          <w:p w:rsidR="00992B6E" w:rsidRPr="0099692A" w:rsidRDefault="00992B6E" w:rsidP="00FC1055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99692A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Boyer, W., &amp; Crippen, C. L. (2014). Learning and teaching in the 21st century: An education plan for the new millennium developed in British Columbia, Canada. </w:t>
            </w:r>
            <w:r w:rsidRPr="0099692A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Childhood Education</w:t>
            </w:r>
            <w:r w:rsidRPr="0099692A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, </w:t>
            </w:r>
            <w:r w:rsidRPr="0099692A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90</w:t>
            </w:r>
            <w:r w:rsidRPr="0099692A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(5), 343-353.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NO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Competencies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</w:pPr>
            <w:r>
              <w:t>--</w:t>
            </w:r>
          </w:p>
        </w:tc>
        <w:tc>
          <w:tcPr>
            <w:tcW w:w="3690" w:type="dxa"/>
          </w:tcPr>
          <w:p w:rsidR="00992B6E" w:rsidRPr="00677538" w:rsidRDefault="00992B6E" w:rsidP="00FC1055">
            <w:pPr>
              <w:spacing w:line="240" w:lineRule="auto"/>
            </w:pPr>
            <w:r>
              <w:t>--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>
              <w:t>27/157</w:t>
            </w:r>
          </w:p>
        </w:tc>
        <w:tc>
          <w:tcPr>
            <w:tcW w:w="3535" w:type="dxa"/>
          </w:tcPr>
          <w:p w:rsidR="00992B6E" w:rsidRPr="004D2044" w:rsidRDefault="00992B6E" w:rsidP="00FC1055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4D2044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Soutter, A. K., O’Steen, B., &amp; Gilmore, A. (2012). Wellbeing in the New Zealand curriculum. </w:t>
            </w:r>
            <w:r w:rsidRPr="004D2044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Journal of Curriculum Studies</w:t>
            </w:r>
            <w:r w:rsidRPr="004D2044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, </w:t>
            </w:r>
            <w:r w:rsidRPr="004D2044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44</w:t>
            </w:r>
            <w:r w:rsidRPr="004D2044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(1), 111-142.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YES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Competencies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</w:pPr>
            <w:r>
              <w:t>OECD</w:t>
            </w:r>
          </w:p>
        </w:tc>
        <w:tc>
          <w:tcPr>
            <w:tcW w:w="3690" w:type="dxa"/>
          </w:tcPr>
          <w:p w:rsidR="00992B6E" w:rsidRDefault="00992B6E" w:rsidP="00FC1055">
            <w:pPr>
              <w:spacing w:line="240" w:lineRule="auto"/>
            </w:pPr>
            <w:r>
              <w:t xml:space="preserve">Generic </w:t>
            </w:r>
          </w:p>
          <w:p w:rsidR="00992B6E" w:rsidRPr="004D2044" w:rsidRDefault="00992B6E" w:rsidP="00FC1055">
            <w:pPr>
              <w:spacing w:line="240" w:lineRule="auto"/>
            </w:pPr>
            <w:r w:rsidRPr="004D2044">
              <w:t>(Rychen &amp; Salgnik, 2003</w:t>
            </w:r>
            <w:r>
              <w:t xml:space="preserve"> [OECD/DeSeCo related</w:t>
            </w:r>
            <w:r w:rsidRPr="004D2044">
              <w:t>)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>
              <w:t>28/163</w:t>
            </w:r>
          </w:p>
        </w:tc>
        <w:tc>
          <w:tcPr>
            <w:tcW w:w="3535" w:type="dxa"/>
          </w:tcPr>
          <w:p w:rsidR="00992B6E" w:rsidRPr="00FD5DF4" w:rsidRDefault="00992B6E" w:rsidP="00FC1055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FD5DF4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Tan, C., Chua, C. S., &amp; Goh, O. (2015, July). Rethinking the framework for 21st-century education: Toward a communitarian conception. In </w:t>
            </w:r>
            <w:r w:rsidRPr="00FD5DF4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The Educational Forum</w:t>
            </w:r>
            <w:r w:rsidRPr="00FD5DF4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 (Vol. 79, No. 3, pp. 307-320). Routledge.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NO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Both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</w:pPr>
            <w:r>
              <w:t>--</w:t>
            </w:r>
          </w:p>
        </w:tc>
        <w:tc>
          <w:tcPr>
            <w:tcW w:w="3690" w:type="dxa"/>
          </w:tcPr>
          <w:p w:rsidR="00992B6E" w:rsidRPr="00677538" w:rsidRDefault="00992B6E" w:rsidP="00FC1055">
            <w:pPr>
              <w:spacing w:line="240" w:lineRule="auto"/>
            </w:pPr>
            <w:r>
              <w:t>--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>
              <w:t>29/164</w:t>
            </w:r>
          </w:p>
        </w:tc>
        <w:tc>
          <w:tcPr>
            <w:tcW w:w="3535" w:type="dxa"/>
          </w:tcPr>
          <w:p w:rsidR="00992B6E" w:rsidRPr="00FD5DF4" w:rsidRDefault="00992B6E" w:rsidP="00FC1055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FD5DF4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Priestley, M., &amp; Sinnema, C. (2014). Downgraded curriculum? An analysis of knowledge in new curricula in Scotland and New Zealand. </w:t>
            </w:r>
            <w:r w:rsidRPr="00FD5DF4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Curriculum Journal</w:t>
            </w:r>
            <w:r w:rsidRPr="00FD5DF4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, </w:t>
            </w:r>
            <w:r w:rsidRPr="00FD5DF4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25</w:t>
            </w:r>
            <w:r w:rsidRPr="00FD5DF4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(1), 50-75.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NO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Competencies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</w:pPr>
            <w:r>
              <w:t>--</w:t>
            </w:r>
          </w:p>
        </w:tc>
        <w:tc>
          <w:tcPr>
            <w:tcW w:w="3690" w:type="dxa"/>
          </w:tcPr>
          <w:p w:rsidR="00992B6E" w:rsidRPr="00677538" w:rsidRDefault="00992B6E" w:rsidP="00FC1055">
            <w:pPr>
              <w:spacing w:line="240" w:lineRule="auto"/>
            </w:pPr>
            <w:r>
              <w:t>--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>
              <w:t>30/165</w:t>
            </w:r>
          </w:p>
        </w:tc>
        <w:tc>
          <w:tcPr>
            <w:tcW w:w="3535" w:type="dxa"/>
          </w:tcPr>
          <w:p w:rsidR="00992B6E" w:rsidRPr="00A578D1" w:rsidRDefault="00992B6E" w:rsidP="00FC1055">
            <w:pPr>
              <w:autoSpaceDE w:val="0"/>
              <w:autoSpaceDN w:val="0"/>
              <w:adjustRightInd w:val="0"/>
              <w:spacing w:line="240" w:lineRule="auto"/>
              <w:rPr>
                <w:sz w:val="20"/>
                <w:szCs w:val="20"/>
              </w:rPr>
            </w:pPr>
            <w:r w:rsidRPr="00A578D1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Greenlaw, J. (2015). Deconstructing the metanarrative of the 21st century skills movement. </w:t>
            </w:r>
            <w:r w:rsidRPr="00A578D1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Educational Philosophy and Theory</w:t>
            </w:r>
            <w:r w:rsidRPr="00A578D1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, </w:t>
            </w:r>
            <w:r w:rsidRPr="00A578D1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47</w:t>
            </w:r>
            <w:r w:rsidRPr="00A578D1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 xml:space="preserve">(9), 894-903. </w:t>
            </w:r>
            <w:r w:rsidRPr="00A578D1">
              <w:rPr>
                <w:sz w:val="20"/>
                <w:szCs w:val="20"/>
              </w:rPr>
              <w:t>DOI:</w:t>
            </w:r>
          </w:p>
          <w:p w:rsidR="00992B6E" w:rsidRPr="00A578D1" w:rsidRDefault="00992B6E" w:rsidP="00FC105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A578D1">
              <w:rPr>
                <w:sz w:val="20"/>
                <w:szCs w:val="20"/>
              </w:rPr>
              <w:t>10.1080/00131857.2015.1035156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NO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Competencies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</w:pPr>
            <w:r>
              <w:t>--</w:t>
            </w:r>
          </w:p>
        </w:tc>
        <w:tc>
          <w:tcPr>
            <w:tcW w:w="3690" w:type="dxa"/>
          </w:tcPr>
          <w:p w:rsidR="00992B6E" w:rsidRPr="00677538" w:rsidRDefault="00992B6E" w:rsidP="00FC1055">
            <w:pPr>
              <w:spacing w:line="240" w:lineRule="auto"/>
            </w:pPr>
            <w:r>
              <w:t>--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>
              <w:t>31/166</w:t>
            </w:r>
          </w:p>
        </w:tc>
        <w:tc>
          <w:tcPr>
            <w:tcW w:w="3535" w:type="dxa"/>
          </w:tcPr>
          <w:p w:rsidR="00992B6E" w:rsidRPr="00F93EDE" w:rsidRDefault="00992B6E" w:rsidP="00FC1055">
            <w:pPr>
              <w:autoSpaceDE w:val="0"/>
              <w:autoSpaceDN w:val="0"/>
              <w:adjustRightInd w:val="0"/>
              <w:spacing w:line="240" w:lineRule="auto"/>
              <w:rPr>
                <w:i/>
                <w:sz w:val="20"/>
                <w:szCs w:val="20"/>
              </w:rPr>
            </w:pPr>
            <w:r w:rsidRPr="00F93EDE">
              <w:rPr>
                <w:sz w:val="20"/>
                <w:szCs w:val="20"/>
              </w:rPr>
              <w:t xml:space="preserve">Le Métais, J. (2003). International Trends in Curriculum Frameworks, </w:t>
            </w:r>
            <w:r w:rsidRPr="00F93EDE">
              <w:rPr>
                <w:i/>
                <w:sz w:val="20"/>
                <w:szCs w:val="20"/>
              </w:rPr>
              <w:t>The Educational Forum</w:t>
            </w:r>
            <w:r w:rsidRPr="00F93EDE">
              <w:rPr>
                <w:sz w:val="20"/>
                <w:szCs w:val="20"/>
              </w:rPr>
              <w:t xml:space="preserve">, </w:t>
            </w:r>
            <w:r w:rsidRPr="00F93EDE">
              <w:rPr>
                <w:i/>
                <w:sz w:val="20"/>
                <w:szCs w:val="20"/>
              </w:rPr>
              <w:t>67</w:t>
            </w:r>
            <w:r w:rsidRPr="00F93EDE">
              <w:rPr>
                <w:sz w:val="20"/>
                <w:szCs w:val="20"/>
              </w:rPr>
              <w:t>(3), 235-247, DOI: 10.1080/00131720309335037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NO</w:t>
            </w:r>
          </w:p>
          <w:p w:rsidR="00992B6E" w:rsidRPr="00677538" w:rsidRDefault="00992B6E" w:rsidP="00FC1055">
            <w:pPr>
              <w:spacing w:line="240" w:lineRule="auto"/>
            </w:pPr>
            <w:r>
              <w:t>Competencies (primarily key skills)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</w:pPr>
            <w:r>
              <w:t>--</w:t>
            </w:r>
          </w:p>
        </w:tc>
        <w:tc>
          <w:tcPr>
            <w:tcW w:w="3690" w:type="dxa"/>
          </w:tcPr>
          <w:p w:rsidR="00992B6E" w:rsidRPr="00677538" w:rsidRDefault="00992B6E" w:rsidP="00FC1055">
            <w:pPr>
              <w:spacing w:line="240" w:lineRule="auto"/>
            </w:pPr>
            <w:r>
              <w:t>--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>
              <w:t>32/170</w:t>
            </w:r>
          </w:p>
        </w:tc>
        <w:tc>
          <w:tcPr>
            <w:tcW w:w="3535" w:type="dxa"/>
          </w:tcPr>
          <w:p w:rsidR="00992B6E" w:rsidRPr="000057E0" w:rsidRDefault="00992B6E" w:rsidP="00FC1055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125109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CA"/>
              </w:rPr>
              <w:t>Crujeiras, B., &amp; Jiménez-Aleixandre, M. P. (2013). Challenges in the implementation of a competency-based curriculum in Spain. </w:t>
            </w:r>
            <w:r w:rsidRPr="00125109"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Thinking Skills and Creativity</w:t>
            </w:r>
            <w:r w:rsidRPr="00125109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CA"/>
              </w:rPr>
              <w:t>, </w:t>
            </w:r>
            <w:r w:rsidRPr="00125109"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10</w:t>
            </w:r>
            <w:r w:rsidRPr="00125109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CA"/>
              </w:rPr>
              <w:t>, 208-220.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YES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Competencies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</w:pPr>
            <w:r>
              <w:t>OECD</w:t>
            </w:r>
          </w:p>
        </w:tc>
        <w:tc>
          <w:tcPr>
            <w:tcW w:w="3690" w:type="dxa"/>
          </w:tcPr>
          <w:p w:rsidR="00992B6E" w:rsidRDefault="00992B6E" w:rsidP="00FC1055">
            <w:pPr>
              <w:spacing w:line="240" w:lineRule="auto"/>
            </w:pPr>
            <w:r>
              <w:t>Generic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(OECD, 2005)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>
              <w:t>33/171</w:t>
            </w:r>
          </w:p>
        </w:tc>
        <w:tc>
          <w:tcPr>
            <w:tcW w:w="3535" w:type="dxa"/>
          </w:tcPr>
          <w:p w:rsidR="00992B6E" w:rsidRPr="00D40311" w:rsidRDefault="00992B6E" w:rsidP="00FC1055">
            <w:pPr>
              <w:spacing w:line="240" w:lineRule="auto"/>
            </w:pPr>
            <w:r w:rsidRPr="00D40311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Schleicher, A. (2007). Can competencies assessed by PISA be considered the fundamental school knowledge 15-year-olds should possess</w:t>
            </w:r>
            <w:proofErr w:type="gramStart"/>
            <w:r w:rsidRPr="00D40311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?.</w:t>
            </w:r>
            <w:proofErr w:type="gramEnd"/>
            <w:r w:rsidRPr="00D40311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 </w:t>
            </w:r>
            <w:r w:rsidRPr="00D40311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Journal of Educational Change</w:t>
            </w:r>
            <w:r w:rsidRPr="00D40311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, </w:t>
            </w:r>
            <w:r w:rsidRPr="00D40311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8</w:t>
            </w:r>
            <w:r w:rsidRPr="00D40311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 xml:space="preserve">(4), 349-357. </w:t>
            </w:r>
            <w:r w:rsidRPr="00D40311">
              <w:rPr>
                <w:sz w:val="20"/>
                <w:szCs w:val="20"/>
                <w:lang w:val="sv-SE"/>
              </w:rPr>
              <w:t xml:space="preserve">DOI </w:t>
            </w:r>
            <w:proofErr w:type="gramStart"/>
            <w:r w:rsidRPr="00D40311">
              <w:rPr>
                <w:sz w:val="20"/>
                <w:szCs w:val="20"/>
                <w:lang w:val="sv-SE"/>
              </w:rPr>
              <w:t>10.1007</w:t>
            </w:r>
            <w:proofErr w:type="gramEnd"/>
            <w:r w:rsidRPr="00D40311">
              <w:rPr>
                <w:sz w:val="20"/>
                <w:szCs w:val="20"/>
                <w:lang w:val="sv-SE"/>
              </w:rPr>
              <w:t>/s10833-007-9042-x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YES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Competencies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</w:pPr>
            <w:r>
              <w:t>OECD</w:t>
            </w:r>
          </w:p>
        </w:tc>
        <w:tc>
          <w:tcPr>
            <w:tcW w:w="3690" w:type="dxa"/>
          </w:tcPr>
          <w:p w:rsidR="00992B6E" w:rsidRDefault="00992B6E" w:rsidP="00FC1055">
            <w:pPr>
              <w:spacing w:line="240" w:lineRule="auto"/>
            </w:pPr>
            <w:r>
              <w:t>Generic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(OECD, 2006)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>
              <w:t>34/175</w:t>
            </w:r>
          </w:p>
        </w:tc>
        <w:tc>
          <w:tcPr>
            <w:tcW w:w="3535" w:type="dxa"/>
          </w:tcPr>
          <w:p w:rsidR="00992B6E" w:rsidRPr="00636BF7" w:rsidRDefault="00992B6E" w:rsidP="00FC1055">
            <w:pPr>
              <w:spacing w:line="240" w:lineRule="auto"/>
            </w:pPr>
            <w:r w:rsidRPr="00636BF7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So, K., &amp; Kang, J. (2014). Curriculum reform in Korea: Issues and challenges for twenty-first century learning. </w:t>
            </w:r>
            <w:r w:rsidRPr="00636BF7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The Asia-Pacific Education Researcher</w:t>
            </w:r>
            <w:r w:rsidRPr="00636BF7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, </w:t>
            </w:r>
            <w:r w:rsidRPr="00636BF7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23</w:t>
            </w:r>
            <w:r w:rsidRPr="00636BF7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 xml:space="preserve">(4), 795-803. </w:t>
            </w:r>
            <w:r w:rsidRPr="00636BF7">
              <w:rPr>
                <w:sz w:val="20"/>
                <w:szCs w:val="20"/>
                <w:lang w:val="sv-SE"/>
              </w:rPr>
              <w:t xml:space="preserve">DOI </w:t>
            </w:r>
            <w:proofErr w:type="gramStart"/>
            <w:r w:rsidRPr="00636BF7">
              <w:rPr>
                <w:sz w:val="20"/>
                <w:szCs w:val="20"/>
                <w:lang w:val="sv-SE"/>
              </w:rPr>
              <w:t>10.1007</w:t>
            </w:r>
            <w:proofErr w:type="gramEnd"/>
            <w:r w:rsidRPr="00636BF7">
              <w:rPr>
                <w:sz w:val="20"/>
                <w:szCs w:val="20"/>
                <w:lang w:val="sv-SE"/>
              </w:rPr>
              <w:t>/s40299-013-0161-2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YES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Competencies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</w:pPr>
            <w:r>
              <w:t>OECD</w:t>
            </w:r>
          </w:p>
        </w:tc>
        <w:tc>
          <w:tcPr>
            <w:tcW w:w="3690" w:type="dxa"/>
          </w:tcPr>
          <w:p w:rsidR="00992B6E" w:rsidRDefault="00992B6E" w:rsidP="00FC1055">
            <w:pPr>
              <w:spacing w:line="240" w:lineRule="auto"/>
            </w:pPr>
            <w:r>
              <w:t xml:space="preserve">Generic 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(Weinert, 2001 [OECD/DeSeCo related])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>
              <w:t>35/176</w:t>
            </w:r>
          </w:p>
        </w:tc>
        <w:tc>
          <w:tcPr>
            <w:tcW w:w="3535" w:type="dxa"/>
          </w:tcPr>
          <w:p w:rsidR="00992B6E" w:rsidRPr="00945C42" w:rsidRDefault="00992B6E" w:rsidP="00FC1055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945C42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Lew, H. C., Cho, W. Y., Koh, Y., Koh, H. K., &amp; Paek, J. (2012). New challenges in the 2011 revised middle school curriculum of South Korea: Mathematical process and mathematical attitude. </w:t>
            </w:r>
            <w:r w:rsidRPr="00945C42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ZDM</w:t>
            </w:r>
            <w:r w:rsidRPr="00945C42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, </w:t>
            </w:r>
            <w:r w:rsidRPr="00945C42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44</w:t>
            </w:r>
            <w:r w:rsidRPr="00945C42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(2), 109-119.</w:t>
            </w:r>
          </w:p>
          <w:p w:rsidR="00992B6E" w:rsidRPr="00945C42" w:rsidRDefault="00992B6E" w:rsidP="00FC105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945C42">
              <w:rPr>
                <w:sz w:val="20"/>
                <w:szCs w:val="20"/>
              </w:rPr>
              <w:t>DOI 10.1007/s11858-012-0392-3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YES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Both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</w:pPr>
            <w:r>
              <w:t>National Policy Document</w:t>
            </w:r>
          </w:p>
        </w:tc>
        <w:tc>
          <w:tcPr>
            <w:tcW w:w="3690" w:type="dxa"/>
          </w:tcPr>
          <w:p w:rsidR="00992B6E" w:rsidRDefault="00992B6E" w:rsidP="00FC1055">
            <w:pPr>
              <w:spacing w:line="240" w:lineRule="auto"/>
            </w:pPr>
            <w:r>
              <w:t>Specific (mathematics competencies)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(South Korea Ministry of Education, Science and Technology, 2011)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>
              <w:t>36/177</w:t>
            </w:r>
          </w:p>
        </w:tc>
        <w:tc>
          <w:tcPr>
            <w:tcW w:w="3535" w:type="dxa"/>
          </w:tcPr>
          <w:p w:rsidR="00992B6E" w:rsidRPr="00F2641C" w:rsidRDefault="00992B6E" w:rsidP="00FC1055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DB2479">
              <w:rPr>
                <w:color w:val="222222"/>
                <w:sz w:val="20"/>
                <w:szCs w:val="20"/>
                <w:shd w:val="clear" w:color="auto" w:fill="FFFFFF"/>
                <w:lang w:val="sv-SE"/>
              </w:rPr>
              <w:t xml:space="preserve">Dolin, J., &amp; Krogh, L. B. (2010). </w:t>
            </w:r>
            <w:r w:rsidRPr="00F2641C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The relevance and consequen</w:t>
            </w:r>
            <w:r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 xml:space="preserve">ces of PISA science in a Danish </w:t>
            </w:r>
            <w:r w:rsidRPr="00F2641C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context.</w:t>
            </w:r>
            <w:r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 xml:space="preserve"> </w:t>
            </w:r>
            <w:r w:rsidRPr="00F2641C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International Journal of Science and Mathematics Education</w:t>
            </w:r>
            <w:r w:rsidRPr="00F2641C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, </w:t>
            </w:r>
            <w:r w:rsidRPr="00F2641C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8</w:t>
            </w:r>
            <w:r w:rsidRPr="00F2641C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(3), 565-592.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YES</w:t>
            </w:r>
            <w:r>
              <w:br/>
            </w:r>
          </w:p>
          <w:p w:rsidR="00992B6E" w:rsidRPr="00677538" w:rsidRDefault="00992B6E" w:rsidP="00FC1055">
            <w:pPr>
              <w:spacing w:line="240" w:lineRule="auto"/>
            </w:pPr>
            <w:r>
              <w:t>Both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</w:pPr>
            <w:r>
              <w:t>OECD</w:t>
            </w:r>
          </w:p>
        </w:tc>
        <w:tc>
          <w:tcPr>
            <w:tcW w:w="3690" w:type="dxa"/>
          </w:tcPr>
          <w:p w:rsidR="00992B6E" w:rsidRDefault="00992B6E" w:rsidP="00FC1055">
            <w:pPr>
              <w:spacing w:line="240" w:lineRule="auto"/>
            </w:pPr>
            <w:r>
              <w:t>Specific (scientific literacy competency)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(OECD, 2006)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>
              <w:t>37/178</w:t>
            </w:r>
          </w:p>
        </w:tc>
        <w:tc>
          <w:tcPr>
            <w:tcW w:w="3535" w:type="dxa"/>
          </w:tcPr>
          <w:p w:rsidR="00992B6E" w:rsidRPr="00C11C68" w:rsidRDefault="00992B6E" w:rsidP="00FC1055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C11C68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Neumann, K., Fischer, H. E., &amp; Kauertz, A. (2010). From PISA to educational standards: The impact of large-scale assessments on science education in Germany. </w:t>
            </w:r>
            <w:r w:rsidRPr="00C11C68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International Journal of Science and Mathematics Education</w:t>
            </w:r>
            <w:r w:rsidRPr="00C11C68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, </w:t>
            </w:r>
            <w:r w:rsidRPr="00C11C68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8</w:t>
            </w:r>
            <w:r w:rsidRPr="00C11C68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(3), 545-563.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YES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Competencies</w:t>
            </w:r>
          </w:p>
        </w:tc>
        <w:tc>
          <w:tcPr>
            <w:tcW w:w="3150" w:type="dxa"/>
          </w:tcPr>
          <w:p w:rsidR="00992B6E" w:rsidRDefault="00992B6E" w:rsidP="00FC1055">
            <w:pPr>
              <w:spacing w:line="240" w:lineRule="auto"/>
            </w:pPr>
            <w:r>
              <w:t>OECD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Default="00992B6E" w:rsidP="00FC1055">
            <w:pPr>
              <w:spacing w:line="240" w:lineRule="auto"/>
            </w:pPr>
            <w:r>
              <w:t xml:space="preserve">&amp; </w:t>
            </w:r>
          </w:p>
          <w:p w:rsidR="00992B6E" w:rsidRPr="00677538" w:rsidRDefault="00992B6E" w:rsidP="00FC1055">
            <w:pPr>
              <w:spacing w:line="240" w:lineRule="auto"/>
            </w:pPr>
            <w:r>
              <w:t>Academic</w:t>
            </w:r>
          </w:p>
        </w:tc>
        <w:tc>
          <w:tcPr>
            <w:tcW w:w="3690" w:type="dxa"/>
          </w:tcPr>
          <w:p w:rsidR="00992B6E" w:rsidRDefault="00992B6E" w:rsidP="00FC1055">
            <w:pPr>
              <w:spacing w:line="240" w:lineRule="auto"/>
            </w:pPr>
            <w:r>
              <w:t>Specific (scientific literacy competency)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Default="00992B6E" w:rsidP="00FC1055">
            <w:pPr>
              <w:spacing w:line="240" w:lineRule="auto"/>
            </w:pPr>
            <w:r>
              <w:t>(OECD, 2001)</w:t>
            </w:r>
          </w:p>
          <w:p w:rsidR="00992B6E" w:rsidRPr="00C11C68" w:rsidRDefault="00992B6E" w:rsidP="00FC1055">
            <w:pPr>
              <w:spacing w:line="240" w:lineRule="auto"/>
              <w:rPr>
                <w:color w:val="000000" w:themeColor="text1"/>
              </w:rPr>
            </w:pPr>
            <w:r w:rsidRPr="00C11C68">
              <w:rPr>
                <w:color w:val="000000" w:themeColor="text1"/>
              </w:rPr>
              <w:t>(Bybee, McCrae &amp; Laurie, 2009)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>
              <w:t>38/179</w:t>
            </w:r>
          </w:p>
        </w:tc>
        <w:tc>
          <w:tcPr>
            <w:tcW w:w="3535" w:type="dxa"/>
          </w:tcPr>
          <w:p w:rsidR="00992B6E" w:rsidRPr="00C11C68" w:rsidRDefault="00992B6E" w:rsidP="00FC1055">
            <w:pPr>
              <w:spacing w:line="240" w:lineRule="auto"/>
            </w:pPr>
            <w:r w:rsidRPr="00DB2479">
              <w:rPr>
                <w:color w:val="222222"/>
                <w:sz w:val="20"/>
                <w:szCs w:val="20"/>
                <w:shd w:val="clear" w:color="auto" w:fill="FFFFFF"/>
                <w:lang w:val="sv-SE"/>
              </w:rPr>
              <w:t xml:space="preserve">Leuders, T., Barzel, B., &amp; Hußmann, S. (2005). </w:t>
            </w:r>
            <w:r w:rsidRPr="00C11C68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Outcome standards and core curricula: a new orientation for mathematics teachers in Germany. </w:t>
            </w:r>
            <w:r w:rsidRPr="00C11C68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ZDM</w:t>
            </w:r>
            <w:r w:rsidRPr="00C11C68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, </w:t>
            </w:r>
            <w:r w:rsidRPr="00C11C68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37</w:t>
            </w:r>
            <w:r w:rsidRPr="00C11C68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(4), 275-286.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NO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Both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</w:pPr>
            <w:r>
              <w:t>--</w:t>
            </w:r>
          </w:p>
        </w:tc>
        <w:tc>
          <w:tcPr>
            <w:tcW w:w="3690" w:type="dxa"/>
          </w:tcPr>
          <w:p w:rsidR="00992B6E" w:rsidRPr="00677538" w:rsidRDefault="00992B6E" w:rsidP="00FC1055">
            <w:pPr>
              <w:spacing w:line="240" w:lineRule="auto"/>
            </w:pPr>
            <w:r>
              <w:t>--</w:t>
            </w:r>
          </w:p>
        </w:tc>
      </w:tr>
      <w:tr w:rsidR="00992B6E" w:rsidRPr="00677538" w:rsidTr="00FC1055">
        <w:tc>
          <w:tcPr>
            <w:tcW w:w="13086" w:type="dxa"/>
            <w:gridSpan w:val="5"/>
          </w:tcPr>
          <w:p w:rsidR="00992B6E" w:rsidRPr="00677538" w:rsidRDefault="00992B6E" w:rsidP="00FC1055">
            <w:pPr>
              <w:spacing w:line="240" w:lineRule="auto"/>
              <w:rPr>
                <w:b/>
              </w:rPr>
            </w:pPr>
            <w:r w:rsidRPr="00677538">
              <w:rPr>
                <w:b/>
              </w:rPr>
              <w:t>Curriculum Implementation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  <w:rPr>
                <w:b/>
              </w:rPr>
            </w:pPr>
            <w:r w:rsidRPr="00677538">
              <w:rPr>
                <w:b/>
              </w:rPr>
              <w:t xml:space="preserve">No./no in records </w:t>
            </w:r>
          </w:p>
        </w:tc>
        <w:tc>
          <w:tcPr>
            <w:tcW w:w="3535" w:type="dxa"/>
          </w:tcPr>
          <w:p w:rsidR="00992B6E" w:rsidRPr="00677538" w:rsidRDefault="00992B6E" w:rsidP="00FC1055">
            <w:pPr>
              <w:spacing w:line="240" w:lineRule="auto"/>
              <w:rPr>
                <w:b/>
              </w:rPr>
            </w:pPr>
            <w:r w:rsidRPr="00677538">
              <w:rPr>
                <w:b/>
              </w:rPr>
              <w:t>Reference</w:t>
            </w:r>
          </w:p>
        </w:tc>
        <w:tc>
          <w:tcPr>
            <w:tcW w:w="1643" w:type="dxa"/>
          </w:tcPr>
          <w:p w:rsidR="00992B6E" w:rsidRPr="00677538" w:rsidRDefault="00992B6E" w:rsidP="00FC1055">
            <w:pPr>
              <w:spacing w:line="240" w:lineRule="auto"/>
              <w:rPr>
                <w:b/>
              </w:rPr>
            </w:pPr>
            <w:r w:rsidRPr="00677538">
              <w:rPr>
                <w:b/>
              </w:rPr>
              <w:t>Is definition provided? (Yes/No)</w:t>
            </w:r>
            <w:r>
              <w:rPr>
                <w:b/>
              </w:rPr>
              <w:t>/ Competences, Competencies or Both used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  <w:rPr>
                <w:b/>
              </w:rPr>
            </w:pPr>
            <w:r w:rsidRPr="00677538">
              <w:rPr>
                <w:b/>
              </w:rPr>
              <w:t>Sources of the definition (Academic, European Commiss</w:t>
            </w:r>
            <w:r>
              <w:rPr>
                <w:b/>
              </w:rPr>
              <w:t>ion (EC), OECD, National Law/Policy Document</w:t>
            </w:r>
            <w:r w:rsidRPr="00677538">
              <w:rPr>
                <w:b/>
              </w:rPr>
              <w:t>)</w:t>
            </w:r>
          </w:p>
        </w:tc>
        <w:tc>
          <w:tcPr>
            <w:tcW w:w="3690" w:type="dxa"/>
          </w:tcPr>
          <w:p w:rsidR="00992B6E" w:rsidRPr="00677538" w:rsidRDefault="00992B6E" w:rsidP="00FC1055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Is definition generic or specific to an individual competence/competency? / </w:t>
            </w:r>
            <w:r w:rsidRPr="00677538">
              <w:rPr>
                <w:b/>
              </w:rPr>
              <w:t>References used in relation to the definition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>
              <w:t>39/36</w:t>
            </w:r>
          </w:p>
        </w:tc>
        <w:tc>
          <w:tcPr>
            <w:tcW w:w="3535" w:type="dxa"/>
          </w:tcPr>
          <w:p w:rsidR="00992B6E" w:rsidRPr="001A574C" w:rsidRDefault="00992B6E" w:rsidP="00FC1055">
            <w:pPr>
              <w:spacing w:line="240" w:lineRule="auto"/>
              <w:rPr>
                <w:sz w:val="20"/>
                <w:szCs w:val="20"/>
              </w:rPr>
            </w:pPr>
            <w:r w:rsidRPr="001A574C">
              <w:rPr>
                <w:color w:val="222222"/>
                <w:sz w:val="20"/>
                <w:szCs w:val="20"/>
                <w:shd w:val="clear" w:color="auto" w:fill="FFFFFF"/>
              </w:rPr>
              <w:t>Lleixà, T., González-Arévalo, C., &amp; Braz-Vieira, M. (2016). Integrating key competences in school physical education programmes. </w:t>
            </w:r>
            <w:r w:rsidRPr="001A574C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European Physical Education Review</w:t>
            </w:r>
            <w:r w:rsidRPr="001A574C">
              <w:rPr>
                <w:color w:val="222222"/>
                <w:sz w:val="20"/>
                <w:szCs w:val="20"/>
                <w:shd w:val="clear" w:color="auto" w:fill="FFFFFF"/>
              </w:rPr>
              <w:t>, </w:t>
            </w:r>
            <w:r w:rsidRPr="001A574C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22</w:t>
            </w:r>
            <w:r w:rsidRPr="001A574C">
              <w:rPr>
                <w:color w:val="222222"/>
                <w:sz w:val="20"/>
                <w:szCs w:val="20"/>
                <w:shd w:val="clear" w:color="auto" w:fill="FFFFFF"/>
              </w:rPr>
              <w:t>(4), 506-525.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YES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Competences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</w:pPr>
            <w:r>
              <w:t>EC</w:t>
            </w:r>
          </w:p>
        </w:tc>
        <w:tc>
          <w:tcPr>
            <w:tcW w:w="3690" w:type="dxa"/>
          </w:tcPr>
          <w:p w:rsidR="00992B6E" w:rsidRDefault="00992B6E" w:rsidP="00FC1055">
            <w:pPr>
              <w:spacing w:line="240" w:lineRule="auto"/>
            </w:pPr>
            <w:r>
              <w:t xml:space="preserve">Generic 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(EU/OJEU, 2006)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>
              <w:t>40/37</w:t>
            </w:r>
          </w:p>
        </w:tc>
        <w:tc>
          <w:tcPr>
            <w:tcW w:w="3535" w:type="dxa"/>
          </w:tcPr>
          <w:p w:rsidR="00992B6E" w:rsidRPr="00572549" w:rsidRDefault="00992B6E" w:rsidP="00FC1055">
            <w:pPr>
              <w:spacing w:line="240" w:lineRule="auto"/>
              <w:rPr>
                <w:sz w:val="20"/>
                <w:szCs w:val="20"/>
              </w:rPr>
            </w:pPr>
            <w:r w:rsidRPr="00572549">
              <w:rPr>
                <w:color w:val="222222"/>
                <w:sz w:val="20"/>
                <w:szCs w:val="20"/>
                <w:shd w:val="clear" w:color="auto" w:fill="FFFFFF"/>
              </w:rPr>
              <w:t>Brečka, P., &amp; Valentová, M. (2017). Model of the Students' Key Competences Development through Interactive Whiteboard in the Subject of Technology. </w:t>
            </w:r>
            <w:r w:rsidRPr="00572549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Informatics in Education</w:t>
            </w:r>
            <w:r w:rsidRPr="00572549">
              <w:rPr>
                <w:color w:val="222222"/>
                <w:sz w:val="20"/>
                <w:szCs w:val="20"/>
                <w:shd w:val="clear" w:color="auto" w:fill="FFFFFF"/>
              </w:rPr>
              <w:t>, </w:t>
            </w:r>
            <w:r w:rsidRPr="00572549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16</w:t>
            </w:r>
            <w:r w:rsidRPr="00572549">
              <w:rPr>
                <w:color w:val="222222"/>
                <w:sz w:val="20"/>
                <w:szCs w:val="20"/>
                <w:shd w:val="clear" w:color="auto" w:fill="FFFFFF"/>
              </w:rPr>
              <w:t>(1).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YES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Competences</w:t>
            </w:r>
          </w:p>
        </w:tc>
        <w:tc>
          <w:tcPr>
            <w:tcW w:w="3150" w:type="dxa"/>
          </w:tcPr>
          <w:p w:rsidR="00992B6E" w:rsidRDefault="00992B6E" w:rsidP="00FC1055">
            <w:pPr>
              <w:spacing w:line="240" w:lineRule="auto"/>
            </w:pPr>
            <w:r>
              <w:t>OECD</w:t>
            </w:r>
          </w:p>
          <w:p w:rsidR="00992B6E" w:rsidRDefault="00992B6E" w:rsidP="00FC1055">
            <w:pPr>
              <w:spacing w:line="240" w:lineRule="auto"/>
            </w:pPr>
            <w:r>
              <w:t xml:space="preserve">&amp; </w:t>
            </w:r>
          </w:p>
          <w:p w:rsidR="00992B6E" w:rsidRDefault="00992B6E" w:rsidP="00FC1055">
            <w:pPr>
              <w:spacing w:line="240" w:lineRule="auto"/>
            </w:pPr>
            <w:r>
              <w:t>EC</w:t>
            </w:r>
          </w:p>
          <w:p w:rsidR="00992B6E" w:rsidRPr="00677538" w:rsidRDefault="00992B6E" w:rsidP="00FC1055">
            <w:pPr>
              <w:spacing w:line="240" w:lineRule="auto"/>
            </w:pPr>
          </w:p>
        </w:tc>
        <w:tc>
          <w:tcPr>
            <w:tcW w:w="3690" w:type="dxa"/>
          </w:tcPr>
          <w:p w:rsidR="00992B6E" w:rsidRDefault="00992B6E" w:rsidP="00FC1055">
            <w:pPr>
              <w:spacing w:line="240" w:lineRule="auto"/>
            </w:pPr>
            <w:r>
              <w:t xml:space="preserve">Generic </w:t>
            </w:r>
          </w:p>
          <w:p w:rsidR="00992B6E" w:rsidRDefault="00992B6E" w:rsidP="00FC1055">
            <w:pPr>
              <w:spacing w:line="240" w:lineRule="auto"/>
            </w:pPr>
            <w:r w:rsidRPr="00572549">
              <w:t>(</w:t>
            </w:r>
            <w:r w:rsidRPr="00572549">
              <w:rPr>
                <w:color w:val="000000"/>
              </w:rPr>
              <w:t xml:space="preserve">Salganik </w:t>
            </w:r>
            <w:r w:rsidRPr="00572549">
              <w:rPr>
                <w:i/>
                <w:iCs/>
                <w:color w:val="000000"/>
              </w:rPr>
              <w:t>et. al.</w:t>
            </w:r>
            <w:r w:rsidRPr="00572549">
              <w:rPr>
                <w:color w:val="000000"/>
              </w:rPr>
              <w:t>, 2005</w:t>
            </w:r>
            <w:r>
              <w:rPr>
                <w:color w:val="000000"/>
              </w:rPr>
              <w:t xml:space="preserve"> [OECD/DeSeCo related]</w:t>
            </w:r>
            <w:r w:rsidRPr="00572549">
              <w:rPr>
                <w:color w:val="000000"/>
              </w:rPr>
              <w:t>)</w:t>
            </w:r>
          </w:p>
          <w:p w:rsidR="00992B6E" w:rsidRDefault="00992B6E" w:rsidP="00FC1055">
            <w:pPr>
              <w:spacing w:line="240" w:lineRule="auto"/>
            </w:pPr>
            <w:r>
              <w:t>(EU/OJEU, 2006)</w:t>
            </w:r>
          </w:p>
          <w:p w:rsidR="00992B6E" w:rsidRPr="00572549" w:rsidRDefault="00992B6E" w:rsidP="00FC1055">
            <w:pPr>
              <w:spacing w:line="240" w:lineRule="auto"/>
            </w:pP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>
              <w:t>41/40</w:t>
            </w:r>
          </w:p>
        </w:tc>
        <w:tc>
          <w:tcPr>
            <w:tcW w:w="3535" w:type="dxa"/>
          </w:tcPr>
          <w:p w:rsidR="00992B6E" w:rsidRPr="00572549" w:rsidRDefault="00992B6E" w:rsidP="00FC1055">
            <w:pPr>
              <w:spacing w:line="240" w:lineRule="auto"/>
              <w:rPr>
                <w:sz w:val="20"/>
                <w:szCs w:val="20"/>
              </w:rPr>
            </w:pPr>
            <w:r w:rsidRPr="00572549">
              <w:rPr>
                <w:color w:val="222222"/>
                <w:sz w:val="20"/>
                <w:szCs w:val="20"/>
                <w:shd w:val="clear" w:color="auto" w:fill="FFFFFF"/>
              </w:rPr>
              <w:t>Pitura, J., &amp; Chmielarz, D. (2017). “Creating a comic strip is very creative and thanks to it we learn and remember”–student perceptions of biology challenge in gamified extracurricular CLIL project. </w:t>
            </w:r>
            <w:r w:rsidRPr="00572549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Teaching English with Technology</w:t>
            </w:r>
            <w:r w:rsidRPr="00572549">
              <w:rPr>
                <w:color w:val="222222"/>
                <w:sz w:val="20"/>
                <w:szCs w:val="20"/>
                <w:shd w:val="clear" w:color="auto" w:fill="FFFFFF"/>
              </w:rPr>
              <w:t>, </w:t>
            </w:r>
            <w:r w:rsidRPr="00572549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17</w:t>
            </w:r>
            <w:r w:rsidRPr="00572549">
              <w:rPr>
                <w:color w:val="222222"/>
                <w:sz w:val="20"/>
                <w:szCs w:val="20"/>
                <w:shd w:val="clear" w:color="auto" w:fill="FFFFFF"/>
              </w:rPr>
              <w:t>(3), 77-95.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NO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Competences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</w:pPr>
            <w:r>
              <w:t>--</w:t>
            </w:r>
          </w:p>
        </w:tc>
        <w:tc>
          <w:tcPr>
            <w:tcW w:w="3690" w:type="dxa"/>
          </w:tcPr>
          <w:p w:rsidR="00992B6E" w:rsidRPr="00677538" w:rsidRDefault="00992B6E" w:rsidP="00FC1055">
            <w:pPr>
              <w:spacing w:line="240" w:lineRule="auto"/>
            </w:pPr>
            <w:r>
              <w:t>--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>
              <w:t>42/42</w:t>
            </w:r>
          </w:p>
        </w:tc>
        <w:tc>
          <w:tcPr>
            <w:tcW w:w="3535" w:type="dxa"/>
          </w:tcPr>
          <w:p w:rsidR="00992B6E" w:rsidRPr="00572549" w:rsidRDefault="00992B6E" w:rsidP="00FC1055">
            <w:pPr>
              <w:spacing w:line="240" w:lineRule="auto"/>
              <w:rPr>
                <w:sz w:val="20"/>
                <w:szCs w:val="20"/>
              </w:rPr>
            </w:pPr>
            <w:r w:rsidRPr="00572549">
              <w:rPr>
                <w:color w:val="222222"/>
                <w:sz w:val="20"/>
                <w:szCs w:val="20"/>
                <w:shd w:val="clear" w:color="auto" w:fill="FFFFFF"/>
                <w:lang w:val="sv-SE"/>
              </w:rPr>
              <w:t xml:space="preserve">Ezquerra, Á., Manso, J., Burgos, M. E., &amp; Hallabrin, C. (2014). </w:t>
            </w:r>
            <w:r w:rsidRPr="00572549">
              <w:rPr>
                <w:color w:val="222222"/>
                <w:sz w:val="20"/>
                <w:szCs w:val="20"/>
                <w:shd w:val="clear" w:color="auto" w:fill="FFFFFF"/>
              </w:rPr>
              <w:t>Creation of audiovisual presentations as a tool to develop key competences in secondary-school students. A case study in science class. </w:t>
            </w:r>
            <w:r w:rsidRPr="00572549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International Journal of Education and Development using Information and Communication Technology</w:t>
            </w:r>
            <w:r w:rsidRPr="00572549">
              <w:rPr>
                <w:color w:val="222222"/>
                <w:sz w:val="20"/>
                <w:szCs w:val="20"/>
                <w:shd w:val="clear" w:color="auto" w:fill="FFFFFF"/>
              </w:rPr>
              <w:t>, </w:t>
            </w:r>
            <w:r w:rsidRPr="00572549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10</w:t>
            </w:r>
            <w:r w:rsidRPr="00572549">
              <w:rPr>
                <w:color w:val="222222"/>
                <w:sz w:val="20"/>
                <w:szCs w:val="20"/>
                <w:shd w:val="clear" w:color="auto" w:fill="FFFFFF"/>
              </w:rPr>
              <w:t>(4), 155-170.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YES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Competences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</w:pPr>
            <w:r>
              <w:t>OECD</w:t>
            </w:r>
          </w:p>
        </w:tc>
        <w:tc>
          <w:tcPr>
            <w:tcW w:w="3690" w:type="dxa"/>
          </w:tcPr>
          <w:p w:rsidR="00992B6E" w:rsidRDefault="00992B6E" w:rsidP="00FC1055">
            <w:pPr>
              <w:spacing w:line="240" w:lineRule="auto"/>
            </w:pPr>
            <w:r>
              <w:t xml:space="preserve">Generic 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(OECD, 2005)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>
              <w:t>43/48</w:t>
            </w:r>
          </w:p>
        </w:tc>
        <w:tc>
          <w:tcPr>
            <w:tcW w:w="3535" w:type="dxa"/>
          </w:tcPr>
          <w:p w:rsidR="00992B6E" w:rsidRPr="00C24C9B" w:rsidRDefault="00992B6E" w:rsidP="00FC1055">
            <w:pPr>
              <w:spacing w:line="240" w:lineRule="auto"/>
              <w:rPr>
                <w:sz w:val="20"/>
                <w:szCs w:val="20"/>
              </w:rPr>
            </w:pPr>
            <w:r w:rsidRPr="00C24C9B">
              <w:rPr>
                <w:color w:val="222222"/>
                <w:sz w:val="20"/>
                <w:szCs w:val="20"/>
                <w:shd w:val="clear" w:color="auto" w:fill="FFFFFF"/>
              </w:rPr>
              <w:t>Hatlevik, O. E., Ottestad, G., &amp; Throndsen, I. (2015). Predictors of digital competence in 7th grade: a multilevel analysis. </w:t>
            </w:r>
            <w:r w:rsidRPr="00C24C9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Journal of Computer Assisted Learning</w:t>
            </w:r>
            <w:r w:rsidRPr="00C24C9B">
              <w:rPr>
                <w:color w:val="222222"/>
                <w:sz w:val="20"/>
                <w:szCs w:val="20"/>
                <w:shd w:val="clear" w:color="auto" w:fill="FFFFFF"/>
              </w:rPr>
              <w:t>, </w:t>
            </w:r>
            <w:r w:rsidRPr="00C24C9B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31</w:t>
            </w:r>
            <w:r w:rsidRPr="00C24C9B">
              <w:rPr>
                <w:color w:val="222222"/>
                <w:sz w:val="20"/>
                <w:szCs w:val="20"/>
                <w:shd w:val="clear" w:color="auto" w:fill="FFFFFF"/>
              </w:rPr>
              <w:t>(3), 220-231.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YES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Competences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</w:pPr>
            <w:r>
              <w:t>Academic</w:t>
            </w:r>
          </w:p>
        </w:tc>
        <w:tc>
          <w:tcPr>
            <w:tcW w:w="3690" w:type="dxa"/>
          </w:tcPr>
          <w:p w:rsidR="00992B6E" w:rsidRPr="001876F2" w:rsidRDefault="00992B6E" w:rsidP="00FC1055">
            <w:pPr>
              <w:spacing w:line="240" w:lineRule="auto"/>
            </w:pPr>
            <w:r w:rsidRPr="001876F2">
              <w:t>Specific (digital competence)</w:t>
            </w:r>
          </w:p>
          <w:p w:rsidR="00992B6E" w:rsidRPr="001876F2" w:rsidRDefault="00992B6E" w:rsidP="00FC1055">
            <w:pPr>
              <w:spacing w:line="240" w:lineRule="auto"/>
            </w:pPr>
          </w:p>
          <w:p w:rsidR="00992B6E" w:rsidRPr="00C24C9B" w:rsidRDefault="00992B6E" w:rsidP="00FC1055">
            <w:pPr>
              <w:spacing w:line="240" w:lineRule="auto"/>
            </w:pPr>
            <w:r w:rsidRPr="001876F2">
              <w:t>(Balanskat &amp; Gerthsch, 2010)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>
              <w:t>44/49</w:t>
            </w:r>
          </w:p>
        </w:tc>
        <w:tc>
          <w:tcPr>
            <w:tcW w:w="3535" w:type="dxa"/>
          </w:tcPr>
          <w:p w:rsidR="00992B6E" w:rsidRPr="001B788D" w:rsidRDefault="00992B6E" w:rsidP="00FC1055">
            <w:pPr>
              <w:spacing w:line="240" w:lineRule="auto"/>
              <w:rPr>
                <w:sz w:val="20"/>
                <w:szCs w:val="20"/>
              </w:rPr>
            </w:pPr>
            <w:r w:rsidRPr="001B788D">
              <w:rPr>
                <w:color w:val="222222"/>
                <w:sz w:val="20"/>
                <w:szCs w:val="20"/>
                <w:shd w:val="clear" w:color="auto" w:fill="FFFFFF"/>
                <w:lang w:val="sv-SE"/>
              </w:rPr>
              <w:t xml:space="preserve">Sandström Kjellin, M., Stier, J., Einarson, T., Davies, T., &amp; Asunta, T. (2010). </w:t>
            </w:r>
            <w:r w:rsidRPr="001B788D">
              <w:rPr>
                <w:color w:val="222222"/>
                <w:sz w:val="20"/>
                <w:szCs w:val="20"/>
                <w:shd w:val="clear" w:color="auto" w:fill="FFFFFF"/>
              </w:rPr>
              <w:t>Pupils’ voices about citizenship education: comparative case studies in Finland, Sweden and England. </w:t>
            </w:r>
            <w:r w:rsidRPr="001B788D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European Journal of Teacher Education</w:t>
            </w:r>
            <w:r w:rsidRPr="001B788D">
              <w:rPr>
                <w:color w:val="222222"/>
                <w:sz w:val="20"/>
                <w:szCs w:val="20"/>
                <w:shd w:val="clear" w:color="auto" w:fill="FFFFFF"/>
              </w:rPr>
              <w:t>, </w:t>
            </w:r>
            <w:r w:rsidRPr="001B788D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33</w:t>
            </w:r>
            <w:r w:rsidRPr="001B788D">
              <w:rPr>
                <w:color w:val="222222"/>
                <w:sz w:val="20"/>
                <w:szCs w:val="20"/>
                <w:shd w:val="clear" w:color="auto" w:fill="FFFFFF"/>
              </w:rPr>
              <w:t>(2), 201-218.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YES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Both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</w:pPr>
            <w:r>
              <w:t xml:space="preserve">Academic </w:t>
            </w:r>
          </w:p>
        </w:tc>
        <w:tc>
          <w:tcPr>
            <w:tcW w:w="3690" w:type="dxa"/>
          </w:tcPr>
          <w:p w:rsidR="00992B6E" w:rsidRDefault="00992B6E" w:rsidP="00FC1055">
            <w:pPr>
              <w:spacing w:line="240" w:lineRule="auto"/>
            </w:pPr>
            <w:r>
              <w:t>Specific (citizenship competence)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(Marshall, 1950)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>
              <w:t>45/53</w:t>
            </w:r>
          </w:p>
        </w:tc>
        <w:tc>
          <w:tcPr>
            <w:tcW w:w="3535" w:type="dxa"/>
          </w:tcPr>
          <w:p w:rsidR="00992B6E" w:rsidRPr="001B788D" w:rsidRDefault="00992B6E" w:rsidP="00FC1055">
            <w:pPr>
              <w:spacing w:line="240" w:lineRule="auto"/>
              <w:rPr>
                <w:sz w:val="20"/>
                <w:szCs w:val="20"/>
              </w:rPr>
            </w:pPr>
            <w:r w:rsidRPr="001B788D">
              <w:rPr>
                <w:color w:val="222222"/>
                <w:sz w:val="20"/>
                <w:szCs w:val="20"/>
                <w:shd w:val="clear" w:color="auto" w:fill="FFFFFF"/>
              </w:rPr>
              <w:t>Solhaug, T. (2006). Knowledge and self-efficacy as predictors of political participation and civic attitudes: with relevance for educational practice. </w:t>
            </w:r>
            <w:r w:rsidRPr="001B788D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Policy futures in education</w:t>
            </w:r>
            <w:r w:rsidRPr="001B788D">
              <w:rPr>
                <w:color w:val="222222"/>
                <w:sz w:val="20"/>
                <w:szCs w:val="20"/>
                <w:shd w:val="clear" w:color="auto" w:fill="FFFFFF"/>
              </w:rPr>
              <w:t>, </w:t>
            </w:r>
            <w:r w:rsidRPr="001B788D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4</w:t>
            </w:r>
            <w:r w:rsidRPr="001B788D">
              <w:rPr>
                <w:color w:val="222222"/>
                <w:sz w:val="20"/>
                <w:szCs w:val="20"/>
                <w:shd w:val="clear" w:color="auto" w:fill="FFFFFF"/>
              </w:rPr>
              <w:t>(3), 265-278.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NO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Both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</w:pPr>
            <w:r>
              <w:t>--</w:t>
            </w:r>
          </w:p>
        </w:tc>
        <w:tc>
          <w:tcPr>
            <w:tcW w:w="3690" w:type="dxa"/>
          </w:tcPr>
          <w:p w:rsidR="00992B6E" w:rsidRPr="00677538" w:rsidRDefault="00992B6E" w:rsidP="00FC1055">
            <w:pPr>
              <w:spacing w:line="240" w:lineRule="auto"/>
            </w:pPr>
            <w:r>
              <w:t>--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>
              <w:t>46/61</w:t>
            </w:r>
          </w:p>
        </w:tc>
        <w:tc>
          <w:tcPr>
            <w:tcW w:w="3535" w:type="dxa"/>
          </w:tcPr>
          <w:p w:rsidR="00992B6E" w:rsidRPr="00CE3965" w:rsidRDefault="00992B6E" w:rsidP="00FC1055">
            <w:pPr>
              <w:spacing w:line="240" w:lineRule="auto"/>
              <w:rPr>
                <w:sz w:val="20"/>
                <w:szCs w:val="20"/>
              </w:rPr>
            </w:pPr>
            <w:r w:rsidRPr="00CE3965">
              <w:rPr>
                <w:color w:val="222222"/>
                <w:sz w:val="20"/>
                <w:szCs w:val="20"/>
                <w:shd w:val="clear" w:color="auto" w:fill="FFFFFF"/>
              </w:rPr>
              <w:t>Tiana, A., Moya, J., &amp; Luengo, F. (2011). Implementing Key Competences in Basic Education: reflections on curriculum design and development in Spain. </w:t>
            </w:r>
            <w:r w:rsidRPr="00CE39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European Journal of Education</w:t>
            </w:r>
            <w:r w:rsidRPr="00CE3965">
              <w:rPr>
                <w:color w:val="222222"/>
                <w:sz w:val="20"/>
                <w:szCs w:val="20"/>
                <w:shd w:val="clear" w:color="auto" w:fill="FFFFFF"/>
              </w:rPr>
              <w:t>, </w:t>
            </w:r>
            <w:r w:rsidRPr="00CE396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46</w:t>
            </w:r>
            <w:r w:rsidRPr="00CE3965">
              <w:rPr>
                <w:color w:val="222222"/>
                <w:sz w:val="20"/>
                <w:szCs w:val="20"/>
                <w:shd w:val="clear" w:color="auto" w:fill="FFFFFF"/>
              </w:rPr>
              <w:t>(3), 307-322.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YES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Competences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</w:pPr>
            <w:r>
              <w:t>Academic</w:t>
            </w:r>
          </w:p>
        </w:tc>
        <w:tc>
          <w:tcPr>
            <w:tcW w:w="3690" w:type="dxa"/>
          </w:tcPr>
          <w:p w:rsidR="00992B6E" w:rsidRDefault="00992B6E" w:rsidP="00FC1055">
            <w:pPr>
              <w:spacing w:line="240" w:lineRule="auto"/>
            </w:pPr>
            <w:r>
              <w:t xml:space="preserve">Generic 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Default="00992B6E" w:rsidP="00FC1055">
            <w:pPr>
              <w:spacing w:line="240" w:lineRule="auto"/>
            </w:pPr>
            <w:r>
              <w:t>(Bernstein, 1990; 1996)</w:t>
            </w:r>
          </w:p>
          <w:p w:rsidR="00992B6E" w:rsidRPr="00CE3965" w:rsidRDefault="00992B6E" w:rsidP="00FC1055">
            <w:pPr>
              <w:spacing w:line="240" w:lineRule="auto"/>
            </w:pPr>
            <w:r w:rsidRPr="00CE3965">
              <w:t>(Moya &amp; Luengo, 2011)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>
              <w:t>47/66</w:t>
            </w:r>
          </w:p>
        </w:tc>
        <w:tc>
          <w:tcPr>
            <w:tcW w:w="3535" w:type="dxa"/>
          </w:tcPr>
          <w:p w:rsidR="00992B6E" w:rsidRPr="00FB24BE" w:rsidRDefault="00992B6E" w:rsidP="00FC1055">
            <w:pPr>
              <w:spacing w:line="240" w:lineRule="auto"/>
              <w:rPr>
                <w:sz w:val="20"/>
                <w:szCs w:val="20"/>
              </w:rPr>
            </w:pPr>
            <w:r w:rsidRPr="00FB24BE">
              <w:rPr>
                <w:color w:val="222222"/>
                <w:sz w:val="20"/>
                <w:szCs w:val="20"/>
                <w:shd w:val="clear" w:color="auto" w:fill="FFFFFF"/>
              </w:rPr>
              <w:t>Egodawatte, G. (2014). An analysis of the competency-based secondary mathematics curriculum in Sri Lanka. </w:t>
            </w:r>
            <w:r w:rsidRPr="00FB24B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Educational Research for Policy and Practice</w:t>
            </w:r>
            <w:r w:rsidRPr="00FB24BE">
              <w:rPr>
                <w:color w:val="222222"/>
                <w:sz w:val="20"/>
                <w:szCs w:val="20"/>
                <w:shd w:val="clear" w:color="auto" w:fill="FFFFFF"/>
              </w:rPr>
              <w:t>, </w:t>
            </w:r>
            <w:r w:rsidRPr="00FB24BE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13</w:t>
            </w:r>
            <w:r w:rsidRPr="00FB24BE">
              <w:rPr>
                <w:color w:val="222222"/>
                <w:sz w:val="20"/>
                <w:szCs w:val="20"/>
                <w:shd w:val="clear" w:color="auto" w:fill="FFFFFF"/>
              </w:rPr>
              <w:t>(1), 45-63.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YES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Both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</w:pPr>
            <w:r>
              <w:t>Academic</w:t>
            </w:r>
          </w:p>
        </w:tc>
        <w:tc>
          <w:tcPr>
            <w:tcW w:w="3690" w:type="dxa"/>
          </w:tcPr>
          <w:p w:rsidR="00992B6E" w:rsidRDefault="00992B6E" w:rsidP="00FC1055">
            <w:pPr>
              <w:spacing w:line="240" w:lineRule="auto"/>
            </w:pPr>
            <w:r>
              <w:t xml:space="preserve">Generic 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Default="00992B6E" w:rsidP="00FC1055">
            <w:pPr>
              <w:spacing w:line="240" w:lineRule="auto"/>
            </w:pPr>
            <w:r>
              <w:t>(Wesselink et al., 2010)</w:t>
            </w:r>
          </w:p>
          <w:p w:rsidR="00992B6E" w:rsidRPr="00677538" w:rsidRDefault="00992B6E" w:rsidP="00FC1055">
            <w:pPr>
              <w:spacing w:line="240" w:lineRule="auto"/>
            </w:pPr>
            <w:r>
              <w:t>(Westera, 2001)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>
              <w:t>48/67</w:t>
            </w:r>
          </w:p>
        </w:tc>
        <w:tc>
          <w:tcPr>
            <w:tcW w:w="3535" w:type="dxa"/>
          </w:tcPr>
          <w:p w:rsidR="00992B6E" w:rsidRPr="009B2698" w:rsidRDefault="00992B6E" w:rsidP="00FC1055">
            <w:pPr>
              <w:spacing w:line="240" w:lineRule="auto"/>
              <w:rPr>
                <w:sz w:val="20"/>
                <w:szCs w:val="20"/>
              </w:rPr>
            </w:pPr>
            <w:r w:rsidRPr="009B2698">
              <w:rPr>
                <w:color w:val="222222"/>
                <w:sz w:val="20"/>
                <w:szCs w:val="20"/>
                <w:shd w:val="clear" w:color="auto" w:fill="FFFFFF"/>
                <w:lang w:val="sv-SE"/>
              </w:rPr>
              <w:t xml:space="preserve">Pettersen, A., &amp; Nortvedt, G. A. (2017). </w:t>
            </w:r>
            <w:r w:rsidRPr="009B2698">
              <w:rPr>
                <w:color w:val="222222"/>
                <w:sz w:val="20"/>
                <w:szCs w:val="20"/>
                <w:shd w:val="clear" w:color="auto" w:fill="FFFFFF"/>
              </w:rPr>
              <w:t>Identifying competency demands in mathematical tasks: recognising what matters. </w:t>
            </w:r>
            <w:r w:rsidRPr="009B2698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International Journal of Science and Mathematics Education</w:t>
            </w:r>
            <w:r w:rsidRPr="009B2698">
              <w:rPr>
                <w:color w:val="222222"/>
                <w:sz w:val="20"/>
                <w:szCs w:val="20"/>
                <w:shd w:val="clear" w:color="auto" w:fill="FFFFFF"/>
              </w:rPr>
              <w:t>, 1-17.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YES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Both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</w:pPr>
            <w:r>
              <w:t>Academic</w:t>
            </w:r>
          </w:p>
        </w:tc>
        <w:tc>
          <w:tcPr>
            <w:tcW w:w="3690" w:type="dxa"/>
          </w:tcPr>
          <w:p w:rsidR="00992B6E" w:rsidRDefault="00992B6E" w:rsidP="00FC1055">
            <w:pPr>
              <w:spacing w:line="240" w:lineRule="auto"/>
            </w:pPr>
            <w:r>
              <w:t xml:space="preserve">Generic 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(Westera, 2001)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>
              <w:t>49/71</w:t>
            </w:r>
          </w:p>
        </w:tc>
        <w:tc>
          <w:tcPr>
            <w:tcW w:w="3535" w:type="dxa"/>
          </w:tcPr>
          <w:p w:rsidR="00992B6E" w:rsidRPr="00282007" w:rsidRDefault="00992B6E" w:rsidP="00FC1055">
            <w:pPr>
              <w:spacing w:line="240" w:lineRule="auto"/>
              <w:rPr>
                <w:sz w:val="20"/>
                <w:szCs w:val="20"/>
              </w:rPr>
            </w:pPr>
            <w:r w:rsidRPr="00282007">
              <w:rPr>
                <w:color w:val="222222"/>
                <w:sz w:val="20"/>
                <w:szCs w:val="20"/>
                <w:shd w:val="clear" w:color="auto" w:fill="FFFFFF"/>
              </w:rPr>
              <w:t>Hong, W. P. (2012). An international study of the changing nature and role of school curricula: from transmitting content knowledge to developing students’ key competencies. </w:t>
            </w:r>
            <w:r w:rsidRPr="00282007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Asia Pacific Education Review</w:t>
            </w:r>
            <w:r w:rsidRPr="00282007">
              <w:rPr>
                <w:color w:val="222222"/>
                <w:sz w:val="20"/>
                <w:szCs w:val="20"/>
                <w:shd w:val="clear" w:color="auto" w:fill="FFFFFF"/>
              </w:rPr>
              <w:t>, </w:t>
            </w:r>
            <w:r w:rsidRPr="00282007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13</w:t>
            </w:r>
            <w:r w:rsidRPr="00282007">
              <w:rPr>
                <w:color w:val="222222"/>
                <w:sz w:val="20"/>
                <w:szCs w:val="20"/>
                <w:shd w:val="clear" w:color="auto" w:fill="FFFFFF"/>
              </w:rPr>
              <w:t>(1), 27-37.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YES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Both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</w:pPr>
            <w:r>
              <w:t>National Policy Document</w:t>
            </w:r>
          </w:p>
        </w:tc>
        <w:tc>
          <w:tcPr>
            <w:tcW w:w="3690" w:type="dxa"/>
          </w:tcPr>
          <w:p w:rsidR="00992B6E" w:rsidRDefault="00992B6E" w:rsidP="00FC1055">
            <w:pPr>
              <w:spacing w:line="240" w:lineRule="auto"/>
            </w:pPr>
            <w:r>
              <w:t xml:space="preserve">Generic 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(New Zealand Ministry of Education, 2007)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>
              <w:t>50/86</w:t>
            </w:r>
          </w:p>
        </w:tc>
        <w:tc>
          <w:tcPr>
            <w:tcW w:w="3535" w:type="dxa"/>
          </w:tcPr>
          <w:p w:rsidR="00992B6E" w:rsidRPr="00F0095C" w:rsidRDefault="00992B6E" w:rsidP="00FC1055">
            <w:pPr>
              <w:spacing w:line="240" w:lineRule="auto"/>
              <w:rPr>
                <w:sz w:val="20"/>
                <w:szCs w:val="20"/>
              </w:rPr>
            </w:pPr>
            <w:r w:rsidRPr="00F0095C">
              <w:rPr>
                <w:color w:val="222222"/>
                <w:sz w:val="20"/>
                <w:szCs w:val="20"/>
                <w:shd w:val="clear" w:color="auto" w:fill="FFFFFF"/>
                <w:lang w:val="sv-SE"/>
              </w:rPr>
              <w:t xml:space="preserve">Plaza-de-la-Hoz, J., García-Gutiérrez, J., &amp; Moreno-Mediavilla, D. (2015, </w:t>
            </w:r>
            <w:proofErr w:type="gramStart"/>
            <w:r w:rsidRPr="00F0095C">
              <w:rPr>
                <w:color w:val="222222"/>
                <w:sz w:val="20"/>
                <w:szCs w:val="20"/>
                <w:shd w:val="clear" w:color="auto" w:fill="FFFFFF"/>
                <w:lang w:val="sv-SE"/>
              </w:rPr>
              <w:t>November</w:t>
            </w:r>
            <w:proofErr w:type="gramEnd"/>
            <w:r w:rsidRPr="00F0095C">
              <w:rPr>
                <w:color w:val="222222"/>
                <w:sz w:val="20"/>
                <w:szCs w:val="20"/>
                <w:shd w:val="clear" w:color="auto" w:fill="FFFFFF"/>
                <w:lang w:val="sv-SE"/>
              </w:rPr>
              <w:t xml:space="preserve">). </w:t>
            </w:r>
            <w:r w:rsidRPr="00F0095C">
              <w:rPr>
                <w:color w:val="222222"/>
                <w:sz w:val="20"/>
                <w:szCs w:val="20"/>
                <w:shd w:val="clear" w:color="auto" w:fill="FFFFFF"/>
              </w:rPr>
              <w:t>How do teachers develop Digital Competence in their students? Appropriations, problematics and perspectives. In </w:t>
            </w:r>
            <w:r w:rsidRPr="00F0095C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Computers in Education (SIIE), 2015 International Symposium on</w:t>
            </w:r>
            <w:r w:rsidRPr="00F0095C">
              <w:rPr>
                <w:color w:val="222222"/>
                <w:sz w:val="20"/>
                <w:szCs w:val="20"/>
                <w:shd w:val="clear" w:color="auto" w:fill="FFFFFF"/>
              </w:rPr>
              <w:t> (pp. 38-43). IEEE.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YES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Competences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</w:pPr>
            <w:r>
              <w:t>EC</w:t>
            </w:r>
          </w:p>
        </w:tc>
        <w:tc>
          <w:tcPr>
            <w:tcW w:w="3690" w:type="dxa"/>
          </w:tcPr>
          <w:p w:rsidR="00992B6E" w:rsidRDefault="00992B6E" w:rsidP="00FC1055">
            <w:pPr>
              <w:spacing w:line="240" w:lineRule="auto"/>
            </w:pPr>
            <w:r>
              <w:t>Generic and specific (digital competence)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Default="00992B6E" w:rsidP="00FC1055">
            <w:pPr>
              <w:spacing w:line="240" w:lineRule="auto"/>
            </w:pPr>
            <w:r>
              <w:t>(EU/OJEU, 2006)</w:t>
            </w:r>
          </w:p>
          <w:p w:rsidR="00992B6E" w:rsidRPr="00677538" w:rsidRDefault="00992B6E" w:rsidP="00FC1055">
            <w:pPr>
              <w:spacing w:line="240" w:lineRule="auto"/>
            </w:pP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>
              <w:t>51/5</w:t>
            </w:r>
          </w:p>
        </w:tc>
        <w:tc>
          <w:tcPr>
            <w:tcW w:w="3535" w:type="dxa"/>
          </w:tcPr>
          <w:p w:rsidR="00992B6E" w:rsidRPr="00CE5BB2" w:rsidRDefault="00992B6E" w:rsidP="00FC1055">
            <w:pPr>
              <w:spacing w:line="240" w:lineRule="auto"/>
            </w:pPr>
            <w:r w:rsidRPr="00CE5BB2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Gil, J. S., &amp; Petry, P. P. (2016). Promoting digital competence in secondary education: are schools there? Insights from a case study. </w:t>
            </w:r>
            <w:r w:rsidRPr="00CE5BB2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Journal of New Approaches in Educational Research (NAER Journal)</w:t>
            </w:r>
            <w:r w:rsidRPr="00CE5BB2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, </w:t>
            </w:r>
            <w:r w:rsidRPr="00CE5BB2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5</w:t>
            </w:r>
            <w:r w:rsidRPr="00CE5BB2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(1), 57-63.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YES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Competences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</w:pPr>
            <w:r>
              <w:t>EC</w:t>
            </w:r>
          </w:p>
        </w:tc>
        <w:tc>
          <w:tcPr>
            <w:tcW w:w="3690" w:type="dxa"/>
          </w:tcPr>
          <w:p w:rsidR="00992B6E" w:rsidRDefault="00992B6E" w:rsidP="00FC1055">
            <w:pPr>
              <w:spacing w:line="240" w:lineRule="auto"/>
            </w:pPr>
            <w:r>
              <w:t>Specific (digital competence)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(EC, 2007)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>
              <w:t>52/6</w:t>
            </w:r>
          </w:p>
        </w:tc>
        <w:tc>
          <w:tcPr>
            <w:tcW w:w="3535" w:type="dxa"/>
          </w:tcPr>
          <w:p w:rsidR="00992B6E" w:rsidRPr="00B27C63" w:rsidRDefault="00992B6E" w:rsidP="00FC1055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B27C63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Downey, C., Byrne, J., &amp; Souza, A. (2013). Researching the competence-based curriculum: preface to a case study of four urban secondary schools. </w:t>
            </w:r>
            <w:r w:rsidRPr="00B27C63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The Curriculum Journal</w:t>
            </w:r>
            <w:r w:rsidRPr="00B27C63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, </w:t>
            </w:r>
            <w:r w:rsidRPr="00B27C63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24</w:t>
            </w:r>
            <w:r w:rsidRPr="00B27C63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(3), 321-334.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NO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Both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</w:pPr>
            <w:r>
              <w:t>--</w:t>
            </w:r>
          </w:p>
        </w:tc>
        <w:tc>
          <w:tcPr>
            <w:tcW w:w="3690" w:type="dxa"/>
          </w:tcPr>
          <w:p w:rsidR="00992B6E" w:rsidRPr="00677538" w:rsidRDefault="00992B6E" w:rsidP="00FC1055">
            <w:pPr>
              <w:spacing w:line="240" w:lineRule="auto"/>
            </w:pPr>
            <w:r>
              <w:t>--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 w:rsidRPr="00677538">
              <w:t>5</w:t>
            </w:r>
            <w:r>
              <w:t>3/7</w:t>
            </w:r>
          </w:p>
        </w:tc>
        <w:tc>
          <w:tcPr>
            <w:tcW w:w="3535" w:type="dxa"/>
          </w:tcPr>
          <w:p w:rsidR="00992B6E" w:rsidRPr="000C6BFC" w:rsidRDefault="00992B6E" w:rsidP="00FC1055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0C6BFC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Byrne, J., Downey, C., &amp; Souza, A. (2013). Planning a competence-based curriculum: the case of four secondary schools in England. </w:t>
            </w:r>
            <w:r w:rsidRPr="000C6BFC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The curriculum journal</w:t>
            </w:r>
            <w:r w:rsidRPr="000C6BFC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, </w:t>
            </w:r>
            <w:r w:rsidRPr="000C6BFC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24</w:t>
            </w:r>
            <w:r w:rsidRPr="000C6BFC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(3), 335-350.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NO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Both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</w:pPr>
            <w:r>
              <w:t>--</w:t>
            </w:r>
          </w:p>
        </w:tc>
        <w:tc>
          <w:tcPr>
            <w:tcW w:w="3690" w:type="dxa"/>
          </w:tcPr>
          <w:p w:rsidR="00992B6E" w:rsidRPr="00677538" w:rsidRDefault="00992B6E" w:rsidP="00FC1055">
            <w:pPr>
              <w:spacing w:line="240" w:lineRule="auto"/>
            </w:pPr>
            <w:r>
              <w:t>--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 w:rsidRPr="00677538">
              <w:t>5</w:t>
            </w:r>
            <w:r>
              <w:t>4/111</w:t>
            </w:r>
          </w:p>
        </w:tc>
        <w:tc>
          <w:tcPr>
            <w:tcW w:w="3535" w:type="dxa"/>
          </w:tcPr>
          <w:p w:rsidR="00992B6E" w:rsidRPr="002D624A" w:rsidRDefault="00992B6E" w:rsidP="00FC1055">
            <w:pPr>
              <w:spacing w:line="240" w:lineRule="auto"/>
              <w:rPr>
                <w:sz w:val="20"/>
                <w:szCs w:val="20"/>
              </w:rPr>
            </w:pPr>
            <w:r w:rsidRPr="002D624A">
              <w:rPr>
                <w:color w:val="222222"/>
                <w:sz w:val="20"/>
                <w:szCs w:val="20"/>
                <w:shd w:val="clear" w:color="auto" w:fill="FFFFFF"/>
              </w:rPr>
              <w:t>Drăghicescu, L. M., Cristea, S., Petrescu, A. M., Gorghiu, G., &amp; Gorghiu, L. M. (2015). The Learning to Learn Competence-Guarantor of Personal Development. </w:t>
            </w:r>
            <w:r w:rsidRPr="002D624A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Procedia-Social and Behavioral Sciences</w:t>
            </w:r>
            <w:r w:rsidRPr="002D624A">
              <w:rPr>
                <w:color w:val="222222"/>
                <w:sz w:val="20"/>
                <w:szCs w:val="20"/>
                <w:shd w:val="clear" w:color="auto" w:fill="FFFFFF"/>
              </w:rPr>
              <w:t>, </w:t>
            </w:r>
            <w:r w:rsidRPr="002D624A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191</w:t>
            </w:r>
            <w:r w:rsidRPr="002D624A">
              <w:rPr>
                <w:color w:val="222222"/>
                <w:sz w:val="20"/>
                <w:szCs w:val="20"/>
                <w:shd w:val="clear" w:color="auto" w:fill="FFFFFF"/>
              </w:rPr>
              <w:t>, 2487-2493.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YES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Both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</w:pPr>
            <w:r>
              <w:t>EC</w:t>
            </w:r>
          </w:p>
        </w:tc>
        <w:tc>
          <w:tcPr>
            <w:tcW w:w="3690" w:type="dxa"/>
          </w:tcPr>
          <w:p w:rsidR="00992B6E" w:rsidRDefault="00992B6E" w:rsidP="00FC1055">
            <w:pPr>
              <w:spacing w:line="240" w:lineRule="auto"/>
            </w:pPr>
            <w:r>
              <w:t>Specific (learning to learn competence)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(EU/OJEU, 2006)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>
              <w:t>55/112</w:t>
            </w:r>
          </w:p>
        </w:tc>
        <w:tc>
          <w:tcPr>
            <w:tcW w:w="3535" w:type="dxa"/>
          </w:tcPr>
          <w:p w:rsidR="00992B6E" w:rsidRPr="00EA4805" w:rsidRDefault="00992B6E" w:rsidP="00FC1055">
            <w:pPr>
              <w:spacing w:line="240" w:lineRule="auto"/>
              <w:rPr>
                <w:sz w:val="20"/>
                <w:szCs w:val="20"/>
              </w:rPr>
            </w:pPr>
            <w:r w:rsidRPr="00EA4805">
              <w:rPr>
                <w:color w:val="222222"/>
                <w:sz w:val="20"/>
                <w:szCs w:val="20"/>
                <w:shd w:val="clear" w:color="auto" w:fill="FFFFFF"/>
              </w:rPr>
              <w:t>Dumitrescu, C., Drăghicescu, L., Olteanu, R. L., &amp; Suduc, A. M. (2014). Key competences for sustainable development–aspects related with SUSTAIN project activity. </w:t>
            </w:r>
            <w:r w:rsidRPr="00EA480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Procedia-Social and Behavioral Sciences</w:t>
            </w:r>
            <w:r w:rsidRPr="00EA4805">
              <w:rPr>
                <w:color w:val="222222"/>
                <w:sz w:val="20"/>
                <w:szCs w:val="20"/>
                <w:shd w:val="clear" w:color="auto" w:fill="FFFFFF"/>
              </w:rPr>
              <w:t>, </w:t>
            </w:r>
            <w:r w:rsidRPr="00EA4805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141</w:t>
            </w:r>
            <w:r w:rsidRPr="00EA4805">
              <w:rPr>
                <w:color w:val="222222"/>
                <w:sz w:val="20"/>
                <w:szCs w:val="20"/>
                <w:shd w:val="clear" w:color="auto" w:fill="FFFFFF"/>
              </w:rPr>
              <w:t>, 1101-1105.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NO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Competences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</w:pPr>
            <w:r>
              <w:t>--</w:t>
            </w:r>
          </w:p>
        </w:tc>
        <w:tc>
          <w:tcPr>
            <w:tcW w:w="3690" w:type="dxa"/>
          </w:tcPr>
          <w:p w:rsidR="00992B6E" w:rsidRPr="00677538" w:rsidRDefault="00992B6E" w:rsidP="00FC1055">
            <w:pPr>
              <w:spacing w:line="240" w:lineRule="auto"/>
            </w:pPr>
            <w:r>
              <w:t>--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>
              <w:t>56/114</w:t>
            </w:r>
          </w:p>
        </w:tc>
        <w:tc>
          <w:tcPr>
            <w:tcW w:w="3535" w:type="dxa"/>
          </w:tcPr>
          <w:p w:rsidR="00992B6E" w:rsidRPr="006E66BA" w:rsidRDefault="00992B6E" w:rsidP="00FC1055">
            <w:pPr>
              <w:spacing w:line="240" w:lineRule="auto"/>
              <w:rPr>
                <w:sz w:val="20"/>
                <w:szCs w:val="20"/>
              </w:rPr>
            </w:pPr>
            <w:r w:rsidRPr="006E66BA">
              <w:rPr>
                <w:color w:val="222222"/>
                <w:sz w:val="20"/>
                <w:szCs w:val="20"/>
                <w:shd w:val="clear" w:color="auto" w:fill="FFFFFF"/>
                <w:lang w:val="sv-SE"/>
              </w:rPr>
              <w:t xml:space="preserve">Tuparova, D., Kaseva, M., &amp; Tuparov, G. (2014). </w:t>
            </w:r>
            <w:r w:rsidRPr="006E66BA">
              <w:rPr>
                <w:color w:val="222222"/>
                <w:sz w:val="20"/>
                <w:szCs w:val="20"/>
                <w:shd w:val="clear" w:color="auto" w:fill="FFFFFF"/>
              </w:rPr>
              <w:t>Development of Key Competences through ICT in Primary School. </w:t>
            </w:r>
            <w:r w:rsidRPr="006E66BA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Procedia-Social and Behavioral Sciences</w:t>
            </w:r>
            <w:r w:rsidRPr="006E66BA">
              <w:rPr>
                <w:color w:val="222222"/>
                <w:sz w:val="20"/>
                <w:szCs w:val="20"/>
                <w:shd w:val="clear" w:color="auto" w:fill="FFFFFF"/>
              </w:rPr>
              <w:t>, </w:t>
            </w:r>
            <w:r w:rsidRPr="006E66BA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116</w:t>
            </w:r>
            <w:r w:rsidRPr="006E66BA">
              <w:rPr>
                <w:color w:val="222222"/>
                <w:sz w:val="20"/>
                <w:szCs w:val="20"/>
                <w:shd w:val="clear" w:color="auto" w:fill="FFFFFF"/>
              </w:rPr>
              <w:t>, 2952-2956.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YES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Both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</w:pPr>
            <w:r>
              <w:t>EC</w:t>
            </w:r>
          </w:p>
        </w:tc>
        <w:tc>
          <w:tcPr>
            <w:tcW w:w="3690" w:type="dxa"/>
          </w:tcPr>
          <w:p w:rsidR="00992B6E" w:rsidRDefault="00992B6E" w:rsidP="00FC1055">
            <w:pPr>
              <w:spacing w:line="240" w:lineRule="auto"/>
            </w:pPr>
            <w:r>
              <w:t>Generic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(EU/OJEU, 2006)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>
              <w:t>57/134</w:t>
            </w:r>
          </w:p>
        </w:tc>
        <w:tc>
          <w:tcPr>
            <w:tcW w:w="3535" w:type="dxa"/>
          </w:tcPr>
          <w:p w:rsidR="00992B6E" w:rsidRPr="002E43EC" w:rsidRDefault="00992B6E" w:rsidP="00FC1055">
            <w:pPr>
              <w:spacing w:line="240" w:lineRule="auto"/>
              <w:rPr>
                <w:sz w:val="20"/>
                <w:szCs w:val="20"/>
              </w:rPr>
            </w:pPr>
            <w:r w:rsidRPr="002E43EC">
              <w:rPr>
                <w:color w:val="222222"/>
                <w:sz w:val="20"/>
                <w:szCs w:val="20"/>
                <w:shd w:val="clear" w:color="auto" w:fill="FFFFFF"/>
              </w:rPr>
              <w:t>Peterson, E. R., Farruggia, S. F., Hamilton, R. J., &amp; Elley-Brown, M. J. (2013). Socio-emotional Key Competencies: Can they be measured and what do they relate to</w:t>
            </w:r>
            <w:proofErr w:type="gramStart"/>
            <w:r w:rsidRPr="002E43EC">
              <w:rPr>
                <w:color w:val="222222"/>
                <w:sz w:val="20"/>
                <w:szCs w:val="20"/>
                <w:shd w:val="clear" w:color="auto" w:fill="FFFFFF"/>
              </w:rPr>
              <w:t>?.</w:t>
            </w:r>
            <w:proofErr w:type="gramEnd"/>
            <w:r w:rsidRPr="002E43EC">
              <w:rPr>
                <w:color w:val="222222"/>
                <w:sz w:val="20"/>
                <w:szCs w:val="20"/>
                <w:shd w:val="clear" w:color="auto" w:fill="FFFFFF"/>
              </w:rPr>
              <w:t> </w:t>
            </w:r>
            <w:r w:rsidRPr="002E43EC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Teachers and Curriculum</w:t>
            </w:r>
            <w:r w:rsidRPr="002E43EC">
              <w:rPr>
                <w:color w:val="222222"/>
                <w:sz w:val="20"/>
                <w:szCs w:val="20"/>
                <w:shd w:val="clear" w:color="auto" w:fill="FFFFFF"/>
              </w:rPr>
              <w:t>, </w:t>
            </w:r>
            <w:r w:rsidRPr="002E43EC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13</w:t>
            </w:r>
            <w:r w:rsidRPr="002E43EC">
              <w:rPr>
                <w:color w:val="222222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NO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Competencies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</w:pPr>
            <w:r>
              <w:t>--</w:t>
            </w:r>
          </w:p>
        </w:tc>
        <w:tc>
          <w:tcPr>
            <w:tcW w:w="3690" w:type="dxa"/>
          </w:tcPr>
          <w:p w:rsidR="00992B6E" w:rsidRPr="00677538" w:rsidRDefault="00992B6E" w:rsidP="00FC1055">
            <w:pPr>
              <w:spacing w:line="240" w:lineRule="auto"/>
            </w:pPr>
            <w:r>
              <w:t>--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>
              <w:t>58/139</w:t>
            </w:r>
          </w:p>
        </w:tc>
        <w:tc>
          <w:tcPr>
            <w:tcW w:w="3535" w:type="dxa"/>
          </w:tcPr>
          <w:p w:rsidR="00992B6E" w:rsidRPr="003679FE" w:rsidRDefault="00992B6E" w:rsidP="00FC1055">
            <w:pPr>
              <w:spacing w:line="240" w:lineRule="auto"/>
            </w:pPr>
            <w:r w:rsidRPr="003679FE">
              <w:rPr>
                <w:sz w:val="20"/>
                <w:szCs w:val="20"/>
                <w:lang w:val="sv-SE"/>
              </w:rPr>
              <w:t xml:space="preserve">Soparat, S., Arnold, S.R., &amp; Klaysom, S. (2015). </w:t>
            </w:r>
            <w:r w:rsidRPr="003679FE">
              <w:rPr>
                <w:sz w:val="20"/>
                <w:szCs w:val="20"/>
              </w:rPr>
              <w:t xml:space="preserve">The development of Thai learners’ key competencies by project-based learning using ICT. </w:t>
            </w:r>
            <w:r w:rsidRPr="003679FE">
              <w:rPr>
                <w:i/>
                <w:iCs/>
                <w:sz w:val="20"/>
                <w:szCs w:val="20"/>
              </w:rPr>
              <w:t>International Journal of Research in Education and Science (IJRES), 1</w:t>
            </w:r>
            <w:r w:rsidRPr="003679FE">
              <w:rPr>
                <w:sz w:val="20"/>
                <w:szCs w:val="20"/>
              </w:rPr>
              <w:t>(1), 11-22.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NO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Competencies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</w:pPr>
            <w:r>
              <w:t>--</w:t>
            </w:r>
          </w:p>
        </w:tc>
        <w:tc>
          <w:tcPr>
            <w:tcW w:w="3690" w:type="dxa"/>
          </w:tcPr>
          <w:p w:rsidR="00992B6E" w:rsidRPr="00677538" w:rsidRDefault="00992B6E" w:rsidP="00FC1055">
            <w:pPr>
              <w:spacing w:line="240" w:lineRule="auto"/>
            </w:pPr>
            <w:r>
              <w:t>--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>
              <w:t>59/140</w:t>
            </w:r>
          </w:p>
        </w:tc>
        <w:tc>
          <w:tcPr>
            <w:tcW w:w="3535" w:type="dxa"/>
          </w:tcPr>
          <w:p w:rsidR="00992B6E" w:rsidRPr="00ED76B2" w:rsidRDefault="00992B6E" w:rsidP="00FC1055">
            <w:pPr>
              <w:spacing w:line="240" w:lineRule="auto"/>
              <w:rPr>
                <w:sz w:val="20"/>
                <w:szCs w:val="20"/>
              </w:rPr>
            </w:pPr>
            <w:r w:rsidRPr="00ED76B2">
              <w:rPr>
                <w:color w:val="222222"/>
                <w:sz w:val="20"/>
                <w:szCs w:val="20"/>
                <w:shd w:val="clear" w:color="auto" w:fill="FFFFFF"/>
              </w:rPr>
              <w:t>Gray, S., &amp; Drewery, W. (2011). Restorative practices meet key competencies: Class meetings as pedagogy. </w:t>
            </w:r>
            <w:r w:rsidRPr="00ED76B2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International Journal on School Disaffection</w:t>
            </w:r>
            <w:r w:rsidRPr="00ED76B2">
              <w:rPr>
                <w:color w:val="222222"/>
                <w:sz w:val="20"/>
                <w:szCs w:val="20"/>
                <w:shd w:val="clear" w:color="auto" w:fill="FFFFFF"/>
              </w:rPr>
              <w:t>, </w:t>
            </w:r>
            <w:r w:rsidRPr="00ED76B2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8</w:t>
            </w:r>
            <w:r w:rsidRPr="00ED76B2">
              <w:rPr>
                <w:color w:val="222222"/>
                <w:sz w:val="20"/>
                <w:szCs w:val="20"/>
                <w:shd w:val="clear" w:color="auto" w:fill="FFFFFF"/>
              </w:rPr>
              <w:t>(1), 13-21.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YES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Competencies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</w:pPr>
            <w:r>
              <w:t>Academic</w:t>
            </w:r>
          </w:p>
        </w:tc>
        <w:tc>
          <w:tcPr>
            <w:tcW w:w="3690" w:type="dxa"/>
          </w:tcPr>
          <w:p w:rsidR="00992B6E" w:rsidRDefault="00992B6E" w:rsidP="00FC1055">
            <w:pPr>
              <w:spacing w:line="240" w:lineRule="auto"/>
            </w:pPr>
            <w:r>
              <w:t>Specific (relating to/interacting with others competence)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(</w:t>
            </w:r>
            <w:r w:rsidRPr="007D5F59">
              <w:rPr>
                <w:rFonts w:eastAsiaTheme="minorHAnsi"/>
              </w:rPr>
              <w:t>Hipkins, 2006)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>
              <w:t>60/143</w:t>
            </w:r>
          </w:p>
        </w:tc>
        <w:tc>
          <w:tcPr>
            <w:tcW w:w="3535" w:type="dxa"/>
          </w:tcPr>
          <w:p w:rsidR="00992B6E" w:rsidRPr="00ED76B2" w:rsidRDefault="00992B6E" w:rsidP="00FC1055">
            <w:pPr>
              <w:spacing w:line="240" w:lineRule="auto"/>
              <w:rPr>
                <w:color w:val="222222"/>
                <w:sz w:val="20"/>
                <w:szCs w:val="20"/>
                <w:shd w:val="clear" w:color="auto" w:fill="FFFFFF"/>
              </w:rPr>
            </w:pPr>
            <w:r w:rsidRPr="00ED76B2">
              <w:rPr>
                <w:color w:val="222222"/>
                <w:sz w:val="20"/>
                <w:szCs w:val="20"/>
                <w:shd w:val="clear" w:color="auto" w:fill="FFFFFF"/>
              </w:rPr>
              <w:t>Falloon, G., Janson, A., &amp; Janson, R. (2010). Learning objects and the development of students' key competencies: A New Zealand school experience. </w:t>
            </w:r>
            <w:r w:rsidRPr="00ED76B2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Australasian Journal of Educational Technology</w:t>
            </w:r>
            <w:r w:rsidRPr="00ED76B2">
              <w:rPr>
                <w:color w:val="222222"/>
                <w:sz w:val="20"/>
                <w:szCs w:val="20"/>
                <w:shd w:val="clear" w:color="auto" w:fill="FFFFFF"/>
              </w:rPr>
              <w:t>, </w:t>
            </w:r>
            <w:r w:rsidRPr="00ED76B2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26</w:t>
            </w:r>
            <w:r w:rsidRPr="00ED76B2">
              <w:rPr>
                <w:color w:val="222222"/>
                <w:sz w:val="20"/>
                <w:szCs w:val="20"/>
                <w:shd w:val="clear" w:color="auto" w:fill="FFFFFF"/>
              </w:rPr>
              <w:t>(5). 626-642.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YES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Competencies</w:t>
            </w:r>
          </w:p>
        </w:tc>
        <w:tc>
          <w:tcPr>
            <w:tcW w:w="3150" w:type="dxa"/>
          </w:tcPr>
          <w:p w:rsidR="00992B6E" w:rsidRDefault="00992B6E" w:rsidP="00FC1055">
            <w:pPr>
              <w:spacing w:line="240" w:lineRule="auto"/>
            </w:pPr>
            <w:r>
              <w:t xml:space="preserve">OECD </w:t>
            </w:r>
          </w:p>
          <w:p w:rsidR="00992B6E" w:rsidRDefault="00992B6E" w:rsidP="00FC1055">
            <w:pPr>
              <w:spacing w:line="240" w:lineRule="auto"/>
            </w:pPr>
            <w:r>
              <w:t>&amp;</w:t>
            </w:r>
          </w:p>
          <w:p w:rsidR="00992B6E" w:rsidRPr="00677538" w:rsidRDefault="00992B6E" w:rsidP="00FC1055">
            <w:pPr>
              <w:spacing w:line="240" w:lineRule="auto"/>
            </w:pPr>
            <w:r>
              <w:t>National Policy Document</w:t>
            </w:r>
          </w:p>
        </w:tc>
        <w:tc>
          <w:tcPr>
            <w:tcW w:w="3690" w:type="dxa"/>
          </w:tcPr>
          <w:p w:rsidR="00992B6E" w:rsidRDefault="00992B6E" w:rsidP="00FC1055">
            <w:pPr>
              <w:spacing w:line="240" w:lineRule="auto"/>
            </w:pPr>
            <w:r>
              <w:t xml:space="preserve">Generic 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Default="00992B6E" w:rsidP="00FC1055">
            <w:pPr>
              <w:spacing w:line="240" w:lineRule="auto"/>
            </w:pPr>
            <w:r>
              <w:t>(OECD, 2005)</w:t>
            </w:r>
          </w:p>
          <w:p w:rsidR="00992B6E" w:rsidRPr="00677538" w:rsidRDefault="00992B6E" w:rsidP="00FC1055">
            <w:pPr>
              <w:spacing w:line="240" w:lineRule="auto"/>
            </w:pPr>
            <w:r>
              <w:t>(New Zealand Ministry of Education, 2007)</w:t>
            </w:r>
          </w:p>
        </w:tc>
      </w:tr>
      <w:tr w:rsidR="00992B6E" w:rsidRPr="00677538" w:rsidTr="00FC1055">
        <w:tc>
          <w:tcPr>
            <w:tcW w:w="13086" w:type="dxa"/>
            <w:gridSpan w:val="5"/>
          </w:tcPr>
          <w:p w:rsidR="00992B6E" w:rsidRPr="00677538" w:rsidRDefault="00992B6E" w:rsidP="00FC1055">
            <w:pPr>
              <w:spacing w:line="240" w:lineRule="auto"/>
              <w:rPr>
                <w:b/>
              </w:rPr>
            </w:pPr>
            <w:r w:rsidRPr="00677538">
              <w:rPr>
                <w:b/>
              </w:rPr>
              <w:t>Teacher Related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  <w:rPr>
                <w:b/>
              </w:rPr>
            </w:pPr>
            <w:r w:rsidRPr="00677538">
              <w:rPr>
                <w:b/>
              </w:rPr>
              <w:t xml:space="preserve">No./no in records </w:t>
            </w:r>
          </w:p>
        </w:tc>
        <w:tc>
          <w:tcPr>
            <w:tcW w:w="3535" w:type="dxa"/>
          </w:tcPr>
          <w:p w:rsidR="00992B6E" w:rsidRPr="00677538" w:rsidRDefault="00992B6E" w:rsidP="00FC1055">
            <w:pPr>
              <w:spacing w:line="240" w:lineRule="auto"/>
              <w:rPr>
                <w:b/>
              </w:rPr>
            </w:pPr>
            <w:r w:rsidRPr="00677538">
              <w:rPr>
                <w:b/>
              </w:rPr>
              <w:t>Reference</w:t>
            </w:r>
          </w:p>
        </w:tc>
        <w:tc>
          <w:tcPr>
            <w:tcW w:w="1643" w:type="dxa"/>
          </w:tcPr>
          <w:p w:rsidR="00992B6E" w:rsidRPr="00677538" w:rsidRDefault="00992B6E" w:rsidP="00FC1055">
            <w:pPr>
              <w:spacing w:line="240" w:lineRule="auto"/>
              <w:rPr>
                <w:b/>
              </w:rPr>
            </w:pPr>
            <w:r w:rsidRPr="00677538">
              <w:rPr>
                <w:b/>
              </w:rPr>
              <w:t>Is definition provided? (Yes/No)</w:t>
            </w:r>
            <w:r>
              <w:rPr>
                <w:b/>
              </w:rPr>
              <w:t>/ Competences, Competencies or Both used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  <w:rPr>
                <w:b/>
              </w:rPr>
            </w:pPr>
            <w:r w:rsidRPr="00677538">
              <w:rPr>
                <w:b/>
              </w:rPr>
              <w:t>Sources of the definition (Academic, European Commiss</w:t>
            </w:r>
            <w:r>
              <w:rPr>
                <w:b/>
              </w:rPr>
              <w:t>ion (EC), OECD, National Law/Policy Document</w:t>
            </w:r>
            <w:r w:rsidRPr="00677538">
              <w:rPr>
                <w:b/>
              </w:rPr>
              <w:t>)</w:t>
            </w:r>
          </w:p>
        </w:tc>
        <w:tc>
          <w:tcPr>
            <w:tcW w:w="3690" w:type="dxa"/>
          </w:tcPr>
          <w:p w:rsidR="00992B6E" w:rsidRDefault="00992B6E" w:rsidP="00FC1055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Is definition generic or specific to an individual competence/competency? / </w:t>
            </w:r>
          </w:p>
          <w:p w:rsidR="00992B6E" w:rsidRPr="00677538" w:rsidRDefault="00992B6E" w:rsidP="00FC1055">
            <w:pPr>
              <w:spacing w:line="240" w:lineRule="auto"/>
              <w:rPr>
                <w:b/>
              </w:rPr>
            </w:pPr>
            <w:r w:rsidRPr="00677538">
              <w:rPr>
                <w:b/>
              </w:rPr>
              <w:t>References used in relation to the definition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>
              <w:t>61/1</w:t>
            </w:r>
          </w:p>
        </w:tc>
        <w:tc>
          <w:tcPr>
            <w:tcW w:w="3535" w:type="dxa"/>
          </w:tcPr>
          <w:p w:rsidR="00992B6E" w:rsidRPr="008D086C" w:rsidRDefault="00992B6E" w:rsidP="00FC1055">
            <w:pPr>
              <w:spacing w:line="240" w:lineRule="auto"/>
            </w:pPr>
            <w:r w:rsidRPr="00DB2479">
              <w:rPr>
                <w:color w:val="222222"/>
                <w:sz w:val="20"/>
                <w:szCs w:val="20"/>
                <w:shd w:val="clear" w:color="auto" w:fill="FFFFFF"/>
                <w:lang w:val="sv-SE"/>
              </w:rPr>
              <w:t xml:space="preserve">Komba, S. C., &amp; Mwandanji, M. (2015). </w:t>
            </w:r>
            <w:r w:rsidRPr="008D086C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 xml:space="preserve">Reflections on the implementation of competence based curriculum in Tanzanian secondary schools. </w:t>
            </w:r>
            <w:r w:rsidRPr="008D086C">
              <w:rPr>
                <w:i/>
                <w:sz w:val="20"/>
                <w:szCs w:val="20"/>
              </w:rPr>
              <w:t>Journal of Education and Learning, 4</w:t>
            </w:r>
            <w:r w:rsidRPr="008D086C">
              <w:rPr>
                <w:sz w:val="20"/>
                <w:szCs w:val="20"/>
              </w:rPr>
              <w:t>(2).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NO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Competences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</w:pPr>
            <w:r>
              <w:t>--</w:t>
            </w:r>
          </w:p>
        </w:tc>
        <w:tc>
          <w:tcPr>
            <w:tcW w:w="3690" w:type="dxa"/>
          </w:tcPr>
          <w:p w:rsidR="00992B6E" w:rsidRPr="00677538" w:rsidRDefault="00992B6E" w:rsidP="00FC1055">
            <w:pPr>
              <w:spacing w:line="240" w:lineRule="auto"/>
            </w:pPr>
            <w:r>
              <w:t>--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>
              <w:t>62/8</w:t>
            </w:r>
          </w:p>
        </w:tc>
        <w:tc>
          <w:tcPr>
            <w:tcW w:w="3535" w:type="dxa"/>
          </w:tcPr>
          <w:p w:rsidR="00992B6E" w:rsidRPr="008D086C" w:rsidRDefault="00992B6E" w:rsidP="00FC1055">
            <w:pPr>
              <w:autoSpaceDE w:val="0"/>
              <w:autoSpaceDN w:val="0"/>
              <w:adjustRightInd w:val="0"/>
              <w:spacing w:line="240" w:lineRule="auto"/>
              <w:rPr>
                <w:sz w:val="20"/>
                <w:szCs w:val="20"/>
                <w:lang w:val="sv-SE"/>
              </w:rPr>
            </w:pPr>
            <w:r w:rsidRPr="008D086C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Byrne, J., Downey, C., &amp; Souza, A. (2013). Teaching and learning in a competence-based curriculum: the case of four secondary schools in England. </w:t>
            </w:r>
            <w:r w:rsidRPr="008D086C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The Curriculum Journal</w:t>
            </w:r>
            <w:r w:rsidRPr="008D086C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, </w:t>
            </w:r>
            <w:r w:rsidRPr="008D086C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24</w:t>
            </w:r>
            <w:r w:rsidRPr="008D086C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 xml:space="preserve">(3), 351-368. </w:t>
            </w:r>
            <w:r w:rsidRPr="008D086C">
              <w:rPr>
                <w:sz w:val="20"/>
                <w:szCs w:val="20"/>
                <w:lang w:val="sv-SE"/>
              </w:rPr>
              <w:t xml:space="preserve">DOI: </w:t>
            </w:r>
            <w:proofErr w:type="gramStart"/>
            <w:r w:rsidRPr="008D086C">
              <w:rPr>
                <w:sz w:val="20"/>
                <w:szCs w:val="20"/>
                <w:lang w:val="sv-SE"/>
              </w:rPr>
              <w:t>10.1080</w:t>
            </w:r>
            <w:proofErr w:type="gramEnd"/>
            <w:r w:rsidRPr="008D086C">
              <w:rPr>
                <w:sz w:val="20"/>
                <w:szCs w:val="20"/>
                <w:lang w:val="sv-SE"/>
              </w:rPr>
              <w:t>/09585176.2012.731008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YES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Competences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</w:pPr>
            <w:r>
              <w:t>Academic</w:t>
            </w:r>
          </w:p>
        </w:tc>
        <w:tc>
          <w:tcPr>
            <w:tcW w:w="3690" w:type="dxa"/>
          </w:tcPr>
          <w:p w:rsidR="00992B6E" w:rsidRDefault="00992B6E" w:rsidP="00FC1055">
            <w:pPr>
              <w:spacing w:line="240" w:lineRule="auto"/>
            </w:pPr>
            <w:r>
              <w:t>Specific (learning to learn competence; civic competence)</w:t>
            </w:r>
          </w:p>
          <w:p w:rsidR="00992B6E" w:rsidRPr="00B85AB2" w:rsidRDefault="00992B6E" w:rsidP="00FC1055">
            <w:pPr>
              <w:spacing w:line="240" w:lineRule="auto"/>
              <w:rPr>
                <w:rFonts w:eastAsiaTheme="minorHAnsi"/>
              </w:rPr>
            </w:pPr>
            <w:r w:rsidRPr="00B85AB2">
              <w:rPr>
                <w:rFonts w:eastAsiaTheme="minorHAnsi"/>
              </w:rPr>
              <w:t>(Wesselink et al., 2010)</w:t>
            </w:r>
          </w:p>
          <w:p w:rsidR="00992B6E" w:rsidRPr="00B85AB2" w:rsidRDefault="00992B6E" w:rsidP="00FC1055">
            <w:pPr>
              <w:spacing w:line="240" w:lineRule="auto"/>
            </w:pPr>
            <w:r w:rsidRPr="00B85AB2">
              <w:t>(Gee, 1999)</w:t>
            </w:r>
          </w:p>
          <w:p w:rsidR="00992B6E" w:rsidRPr="00677538" w:rsidRDefault="00992B6E" w:rsidP="00FC1055">
            <w:pPr>
              <w:spacing w:line="240" w:lineRule="auto"/>
            </w:pPr>
            <w:r w:rsidRPr="00B85AB2">
              <w:t>(Rychen &amp; Salganik, 2003)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>
              <w:t>63/18</w:t>
            </w:r>
          </w:p>
        </w:tc>
        <w:tc>
          <w:tcPr>
            <w:tcW w:w="3535" w:type="dxa"/>
          </w:tcPr>
          <w:p w:rsidR="00992B6E" w:rsidRPr="008D086C" w:rsidRDefault="00992B6E" w:rsidP="00FC1055">
            <w:pPr>
              <w:spacing w:line="240" w:lineRule="auto"/>
              <w:rPr>
                <w:sz w:val="20"/>
                <w:szCs w:val="20"/>
              </w:rPr>
            </w:pPr>
            <w:r w:rsidRPr="008D086C">
              <w:rPr>
                <w:color w:val="222222"/>
                <w:sz w:val="20"/>
                <w:szCs w:val="20"/>
                <w:shd w:val="clear" w:color="auto" w:fill="FFFFFF"/>
              </w:rPr>
              <w:t>Lukindo, J. J. (2016). Exploring Competence Based Education (CBE) in Rural Secondary Schools in Tanzania: English Language Teachers' Conceptions and Experiences. </w:t>
            </w:r>
            <w:r w:rsidRPr="008D086C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Journal of Education and Practice</w:t>
            </w:r>
            <w:r w:rsidRPr="008D086C">
              <w:rPr>
                <w:color w:val="222222"/>
                <w:sz w:val="20"/>
                <w:szCs w:val="20"/>
                <w:shd w:val="clear" w:color="auto" w:fill="FFFFFF"/>
              </w:rPr>
              <w:t>, </w:t>
            </w:r>
            <w:r w:rsidRPr="008D086C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7</w:t>
            </w:r>
            <w:r w:rsidRPr="008D086C">
              <w:rPr>
                <w:color w:val="222222"/>
                <w:sz w:val="20"/>
                <w:szCs w:val="20"/>
                <w:shd w:val="clear" w:color="auto" w:fill="FFFFFF"/>
              </w:rPr>
              <w:t>(29), 62-67.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YES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Both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</w:pPr>
            <w:r>
              <w:t>Academic</w:t>
            </w:r>
          </w:p>
        </w:tc>
        <w:tc>
          <w:tcPr>
            <w:tcW w:w="3690" w:type="dxa"/>
          </w:tcPr>
          <w:p w:rsidR="00992B6E" w:rsidRDefault="00992B6E" w:rsidP="00FC1055">
            <w:pPr>
              <w:spacing w:line="240" w:lineRule="auto"/>
            </w:pPr>
            <w:r>
              <w:t xml:space="preserve">Generic 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8D086C" w:rsidRDefault="00992B6E" w:rsidP="00FC1055">
            <w:pPr>
              <w:spacing w:line="240" w:lineRule="auto"/>
            </w:pPr>
            <w:r w:rsidRPr="008D086C">
              <w:t xml:space="preserve">(Mrowiscki, 1986) </w:t>
            </w:r>
          </w:p>
          <w:p w:rsidR="00992B6E" w:rsidRPr="00677538" w:rsidRDefault="00992B6E" w:rsidP="00FC1055">
            <w:pPr>
              <w:spacing w:line="240" w:lineRule="auto"/>
            </w:pPr>
            <w:r w:rsidRPr="008D086C">
              <w:t>(Richards &amp; Rodgers, 2001)</w:t>
            </w:r>
          </w:p>
        </w:tc>
      </w:tr>
      <w:tr w:rsidR="00992B6E" w:rsidRPr="0031524B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>
              <w:t>64/72</w:t>
            </w:r>
          </w:p>
        </w:tc>
        <w:tc>
          <w:tcPr>
            <w:tcW w:w="3535" w:type="dxa"/>
          </w:tcPr>
          <w:p w:rsidR="00992B6E" w:rsidRPr="00E14808" w:rsidRDefault="00992B6E" w:rsidP="00FC1055">
            <w:pPr>
              <w:spacing w:line="240" w:lineRule="auto"/>
              <w:rPr>
                <w:sz w:val="20"/>
                <w:szCs w:val="20"/>
                <w:lang w:val="sv-SE" w:eastAsia="sv-SE"/>
              </w:rPr>
            </w:pPr>
            <w:r w:rsidRPr="00E14808">
              <w:rPr>
                <w:sz w:val="20"/>
                <w:szCs w:val="20"/>
                <w:lang w:eastAsia="sv-SE"/>
              </w:rPr>
              <w:t xml:space="preserve">Zhu, C., &amp; Wang, D. (2014). Key competencies and characteristics for innovative teaching among secondary school teachers: a mixed-methods research. </w:t>
            </w:r>
            <w:r w:rsidRPr="00E14808">
              <w:rPr>
                <w:i/>
                <w:iCs/>
                <w:sz w:val="20"/>
                <w:szCs w:val="20"/>
                <w:lang w:val="sv-SE" w:eastAsia="sv-SE"/>
              </w:rPr>
              <w:t>Asia Pacific Education Review</w:t>
            </w:r>
            <w:r w:rsidRPr="00E14808">
              <w:rPr>
                <w:sz w:val="20"/>
                <w:szCs w:val="20"/>
                <w:lang w:val="sv-SE" w:eastAsia="sv-SE"/>
              </w:rPr>
              <w:t xml:space="preserve">, </w:t>
            </w:r>
            <w:r w:rsidRPr="00E14808">
              <w:rPr>
                <w:i/>
                <w:iCs/>
                <w:sz w:val="20"/>
                <w:szCs w:val="20"/>
                <w:lang w:val="sv-SE" w:eastAsia="sv-SE"/>
              </w:rPr>
              <w:t>15</w:t>
            </w:r>
            <w:r w:rsidRPr="00E14808">
              <w:rPr>
                <w:sz w:val="20"/>
                <w:szCs w:val="20"/>
                <w:lang w:val="sv-SE" w:eastAsia="sv-SE"/>
              </w:rPr>
              <w:t>(2), 299-311.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YES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Competencies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</w:pPr>
            <w:r>
              <w:t>Academic</w:t>
            </w:r>
          </w:p>
        </w:tc>
        <w:tc>
          <w:tcPr>
            <w:tcW w:w="3690" w:type="dxa"/>
          </w:tcPr>
          <w:p w:rsidR="00992B6E" w:rsidRDefault="00992B6E" w:rsidP="00FC1055">
            <w:pPr>
              <w:spacing w:line="240" w:lineRule="auto"/>
            </w:pPr>
            <w:r>
              <w:t>Specific (teacher competencies)</w:t>
            </w:r>
          </w:p>
          <w:p w:rsidR="00992B6E" w:rsidRPr="00E14808" w:rsidRDefault="00992B6E" w:rsidP="00FC105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color w:val="000000" w:themeColor="text1"/>
              </w:rPr>
            </w:pPr>
            <w:r w:rsidRPr="00E14808">
              <w:rPr>
                <w:rFonts w:eastAsiaTheme="minorHAnsi"/>
                <w:color w:val="000000" w:themeColor="text1"/>
              </w:rPr>
              <w:t>(Stoof et al. 2002)</w:t>
            </w:r>
          </w:p>
          <w:p w:rsidR="00992B6E" w:rsidRPr="00DB2479" w:rsidRDefault="00992B6E" w:rsidP="00FC105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color w:val="000000" w:themeColor="text1"/>
                <w:lang w:val="sv-SE"/>
              </w:rPr>
            </w:pPr>
            <w:r w:rsidRPr="00DB2479">
              <w:rPr>
                <w:rFonts w:eastAsiaTheme="minorHAnsi"/>
                <w:color w:val="000000" w:themeColor="text1"/>
                <w:lang w:val="sv-SE"/>
              </w:rPr>
              <w:t>(Tigelaar et al., 2004)</w:t>
            </w:r>
          </w:p>
          <w:p w:rsidR="00992B6E" w:rsidRPr="00DB2479" w:rsidRDefault="00992B6E" w:rsidP="00FC105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color w:val="000000"/>
                <w:sz w:val="20"/>
                <w:szCs w:val="20"/>
                <w:lang w:val="sv-SE"/>
              </w:rPr>
            </w:pPr>
            <w:r w:rsidRPr="00DB2479">
              <w:rPr>
                <w:rFonts w:eastAsiaTheme="minorHAnsi"/>
                <w:color w:val="000000" w:themeColor="text1"/>
                <w:lang w:val="sv-SE"/>
              </w:rPr>
              <w:t>(Koster et al., 2005)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>
              <w:t>65/77</w:t>
            </w:r>
          </w:p>
        </w:tc>
        <w:tc>
          <w:tcPr>
            <w:tcW w:w="3535" w:type="dxa"/>
          </w:tcPr>
          <w:p w:rsidR="00992B6E" w:rsidRPr="00E14808" w:rsidRDefault="00992B6E" w:rsidP="00FC1055">
            <w:pPr>
              <w:spacing w:line="240" w:lineRule="auto"/>
              <w:rPr>
                <w:sz w:val="20"/>
                <w:szCs w:val="20"/>
                <w:lang w:val="sv-SE" w:eastAsia="sv-SE"/>
              </w:rPr>
            </w:pPr>
            <w:r w:rsidRPr="00E14808">
              <w:rPr>
                <w:sz w:val="20"/>
                <w:szCs w:val="20"/>
                <w:lang w:eastAsia="sv-SE"/>
              </w:rPr>
              <w:t xml:space="preserve">Skourdoumbis, A. (2016). Articulations of teaching practice: a case study of teachers and “general capabilities”. </w:t>
            </w:r>
            <w:r w:rsidRPr="00E14808">
              <w:rPr>
                <w:i/>
                <w:iCs/>
                <w:sz w:val="20"/>
                <w:szCs w:val="20"/>
                <w:lang w:val="sv-SE" w:eastAsia="sv-SE"/>
              </w:rPr>
              <w:t>Asia Pacific Education Review</w:t>
            </w:r>
            <w:r w:rsidRPr="00E14808">
              <w:rPr>
                <w:sz w:val="20"/>
                <w:szCs w:val="20"/>
                <w:lang w:val="sv-SE" w:eastAsia="sv-SE"/>
              </w:rPr>
              <w:t xml:space="preserve">, </w:t>
            </w:r>
            <w:r w:rsidRPr="00E14808">
              <w:rPr>
                <w:i/>
                <w:iCs/>
                <w:sz w:val="20"/>
                <w:szCs w:val="20"/>
                <w:lang w:val="sv-SE" w:eastAsia="sv-SE"/>
              </w:rPr>
              <w:t>17</w:t>
            </w:r>
            <w:r w:rsidRPr="00E14808">
              <w:rPr>
                <w:sz w:val="20"/>
                <w:szCs w:val="20"/>
                <w:lang w:val="sv-SE" w:eastAsia="sv-SE"/>
              </w:rPr>
              <w:t>(4), 545-554.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YES</w:t>
            </w:r>
          </w:p>
          <w:p w:rsidR="00992B6E" w:rsidRPr="00677538" w:rsidRDefault="00992B6E" w:rsidP="00FC1055">
            <w:pPr>
              <w:spacing w:line="240" w:lineRule="auto"/>
            </w:pPr>
            <w:r>
              <w:t xml:space="preserve">Competences (&amp; primarily </w:t>
            </w:r>
            <w:r w:rsidRPr="00E14808">
              <w:rPr>
                <w:b/>
              </w:rPr>
              <w:t>capability</w:t>
            </w:r>
            <w:r>
              <w:t>)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</w:pPr>
            <w:r>
              <w:t>National Policy Document</w:t>
            </w:r>
          </w:p>
        </w:tc>
        <w:tc>
          <w:tcPr>
            <w:tcW w:w="3690" w:type="dxa"/>
          </w:tcPr>
          <w:p w:rsidR="00992B6E" w:rsidRDefault="00992B6E" w:rsidP="00FC1055">
            <w:pPr>
              <w:spacing w:line="240" w:lineRule="auto"/>
            </w:pPr>
            <w:r>
              <w:t>Generic</w:t>
            </w:r>
          </w:p>
          <w:p w:rsidR="00992B6E" w:rsidRPr="003F1BFB" w:rsidRDefault="00992B6E" w:rsidP="00FC105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3F1BFB">
              <w:rPr>
                <w:rFonts w:cs="Arial"/>
                <w:color w:val="000000"/>
                <w:sz w:val="20"/>
                <w:szCs w:val="20"/>
              </w:rPr>
              <w:t>(Australian Curriculum</w:t>
            </w:r>
          </w:p>
          <w:p w:rsidR="00992B6E" w:rsidRPr="00677538" w:rsidRDefault="00992B6E" w:rsidP="00FC1055">
            <w:pPr>
              <w:spacing w:line="240" w:lineRule="auto"/>
            </w:pPr>
            <w:r w:rsidRPr="003F1BFB">
              <w:rPr>
                <w:rFonts w:cs="Arial"/>
                <w:color w:val="000000"/>
                <w:sz w:val="20"/>
                <w:szCs w:val="20"/>
              </w:rPr>
              <w:t xml:space="preserve">Assessment and Reporting Authority [ACARA] </w:t>
            </w:r>
            <w:r w:rsidRPr="00E14808">
              <w:rPr>
                <w:rFonts w:cs="Arial"/>
                <w:color w:val="000000" w:themeColor="text1"/>
                <w:sz w:val="20"/>
                <w:szCs w:val="20"/>
              </w:rPr>
              <w:t>2012)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>
              <w:t>66/113</w:t>
            </w:r>
          </w:p>
        </w:tc>
        <w:tc>
          <w:tcPr>
            <w:tcW w:w="3535" w:type="dxa"/>
          </w:tcPr>
          <w:p w:rsidR="00992B6E" w:rsidRPr="00E14808" w:rsidRDefault="00992B6E" w:rsidP="00FC1055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E14808">
              <w:rPr>
                <w:color w:val="222222"/>
                <w:sz w:val="20"/>
                <w:szCs w:val="20"/>
                <w:shd w:val="clear" w:color="auto" w:fill="FFFFFF"/>
                <w:lang w:val="sv-SE"/>
              </w:rPr>
              <w:t xml:space="preserve">Ezquerra, A., De-Juanas, A., &amp; Ulloa, C. S. M. (2014). </w:t>
            </w:r>
            <w:r w:rsidRPr="00E14808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Teachers’ opinion about teaching competences and development of students’ key competences in Spain. </w:t>
            </w:r>
            <w:r w:rsidRPr="00E14808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Procedia-Social and Behavioral Sciences</w:t>
            </w:r>
            <w:r w:rsidRPr="00E14808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, </w:t>
            </w:r>
            <w:r w:rsidRPr="00E14808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116</w:t>
            </w:r>
            <w:r w:rsidRPr="00E14808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, 1222-1226.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NO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Competences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</w:pPr>
            <w:r>
              <w:t>--</w:t>
            </w:r>
          </w:p>
        </w:tc>
        <w:tc>
          <w:tcPr>
            <w:tcW w:w="3690" w:type="dxa"/>
          </w:tcPr>
          <w:p w:rsidR="00992B6E" w:rsidRPr="00677538" w:rsidRDefault="00992B6E" w:rsidP="00FC1055">
            <w:pPr>
              <w:spacing w:line="240" w:lineRule="auto"/>
            </w:pPr>
            <w:r>
              <w:t>--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>
              <w:t>67/148</w:t>
            </w:r>
          </w:p>
        </w:tc>
        <w:tc>
          <w:tcPr>
            <w:tcW w:w="3535" w:type="dxa"/>
          </w:tcPr>
          <w:p w:rsidR="00992B6E" w:rsidRPr="0060223E" w:rsidRDefault="00992B6E" w:rsidP="00FC1055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60223E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Gillespie, L., Penney, D., &amp; Pope, C. (2013). Untapped potential? Key Competency learning and physical education. </w:t>
            </w:r>
            <w:r w:rsidRPr="0060223E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Teachers and Curriculum</w:t>
            </w:r>
            <w:r w:rsidRPr="0060223E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, </w:t>
            </w:r>
            <w:r w:rsidRPr="0060223E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13</w:t>
            </w:r>
            <w:r w:rsidRPr="0060223E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.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YES</w:t>
            </w:r>
            <w:r>
              <w:br/>
            </w:r>
          </w:p>
          <w:p w:rsidR="00992B6E" w:rsidRPr="00677538" w:rsidRDefault="00992B6E" w:rsidP="00FC1055">
            <w:pPr>
              <w:spacing w:line="240" w:lineRule="auto"/>
            </w:pPr>
            <w:r>
              <w:t>Competencies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</w:pPr>
            <w:r>
              <w:t>National Policy Document</w:t>
            </w:r>
          </w:p>
        </w:tc>
        <w:tc>
          <w:tcPr>
            <w:tcW w:w="3690" w:type="dxa"/>
          </w:tcPr>
          <w:p w:rsidR="00992B6E" w:rsidRDefault="00992B6E" w:rsidP="00FC1055">
            <w:pPr>
              <w:spacing w:line="240" w:lineRule="auto"/>
            </w:pPr>
            <w:r>
              <w:t>Generic</w:t>
            </w:r>
          </w:p>
          <w:p w:rsidR="00992B6E" w:rsidRPr="00677538" w:rsidRDefault="00992B6E" w:rsidP="00FC1055">
            <w:pPr>
              <w:spacing w:line="240" w:lineRule="auto"/>
            </w:pPr>
            <w:r>
              <w:t>(New Zealand Ministry of Education, 2007)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>
              <w:t>68/152</w:t>
            </w:r>
          </w:p>
        </w:tc>
        <w:tc>
          <w:tcPr>
            <w:tcW w:w="3535" w:type="dxa"/>
          </w:tcPr>
          <w:p w:rsidR="00992B6E" w:rsidRPr="00A9360E" w:rsidRDefault="00992B6E" w:rsidP="00FC1055">
            <w:pPr>
              <w:spacing w:line="240" w:lineRule="auto"/>
            </w:pPr>
            <w:r w:rsidRPr="00A9360E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Whyte, B., &amp; Deane, P. (2017). Best intentions: Using convergent practices divergently</w:t>
            </w:r>
            <w:r w:rsidRPr="00A9360E">
              <w:rPr>
                <w:i/>
                <w:color w:val="222222"/>
                <w:sz w:val="20"/>
                <w:szCs w:val="20"/>
                <w:shd w:val="clear" w:color="auto" w:fill="FFFFFF"/>
                <w:lang w:val="en-CA"/>
              </w:rPr>
              <w:t>. Teachers and Curriculum, 1</w:t>
            </w:r>
            <w:r w:rsidRPr="00A9360E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 xml:space="preserve">7(1). </w:t>
            </w:r>
            <w:proofErr w:type="gramStart"/>
            <w:r w:rsidRPr="00A9360E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pp</w:t>
            </w:r>
            <w:proofErr w:type="gramEnd"/>
            <w:r w:rsidRPr="00A9360E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. 32-37.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NO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Competencies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</w:pPr>
            <w:r>
              <w:t>--</w:t>
            </w:r>
          </w:p>
        </w:tc>
        <w:tc>
          <w:tcPr>
            <w:tcW w:w="3690" w:type="dxa"/>
          </w:tcPr>
          <w:p w:rsidR="00992B6E" w:rsidRPr="00677538" w:rsidRDefault="00992B6E" w:rsidP="00FC1055">
            <w:pPr>
              <w:spacing w:line="240" w:lineRule="auto"/>
            </w:pPr>
            <w:r>
              <w:t>--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>
              <w:t>69/4 (ed. leader-ship)</w:t>
            </w:r>
          </w:p>
        </w:tc>
        <w:tc>
          <w:tcPr>
            <w:tcW w:w="3535" w:type="dxa"/>
          </w:tcPr>
          <w:p w:rsidR="00992B6E" w:rsidRPr="00511D41" w:rsidRDefault="00992B6E" w:rsidP="00FC1055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511D41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Downey, C., Byrne, J., &amp; Souza, A. (2013). Leading and managing the competence-based curriculum: conscripts, volunteers and champions at work within the departmentalised environment of the secondary school. </w:t>
            </w:r>
            <w:r w:rsidRPr="00511D41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The Curriculum Journal</w:t>
            </w:r>
            <w:r w:rsidRPr="00511D41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, </w:t>
            </w:r>
            <w:r w:rsidRPr="00511D41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24</w:t>
            </w:r>
            <w:r w:rsidRPr="00511D41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(3), 369-388.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NO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BOTH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</w:pPr>
            <w:r>
              <w:t>--</w:t>
            </w:r>
          </w:p>
        </w:tc>
        <w:tc>
          <w:tcPr>
            <w:tcW w:w="3690" w:type="dxa"/>
          </w:tcPr>
          <w:p w:rsidR="00992B6E" w:rsidRPr="00677538" w:rsidRDefault="00992B6E" w:rsidP="00FC1055">
            <w:pPr>
              <w:spacing w:line="240" w:lineRule="auto"/>
            </w:pPr>
            <w:r>
              <w:t>--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>
              <w:t>70/142 (ed. leader-ship)</w:t>
            </w:r>
          </w:p>
        </w:tc>
        <w:tc>
          <w:tcPr>
            <w:tcW w:w="3535" w:type="dxa"/>
          </w:tcPr>
          <w:p w:rsidR="00992B6E" w:rsidRPr="00511D41" w:rsidRDefault="00992B6E" w:rsidP="00FC1055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511D41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Hamilton, R. J., Farruggia, S. F., Peterson, E. R., &amp; Carne, S. (2013). Key Competencies in secondary school: An examination of the factors associated with successful implementation. </w:t>
            </w:r>
            <w:r w:rsidRPr="00511D41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Teachers and Curriculum</w:t>
            </w:r>
            <w:r w:rsidRPr="00511D41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, </w:t>
            </w:r>
            <w:r w:rsidRPr="00511D41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13</w:t>
            </w:r>
            <w:r w:rsidRPr="00511D41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. 47-55.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NO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Competencies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</w:pPr>
            <w:r>
              <w:t>--</w:t>
            </w:r>
          </w:p>
        </w:tc>
        <w:tc>
          <w:tcPr>
            <w:tcW w:w="3690" w:type="dxa"/>
          </w:tcPr>
          <w:p w:rsidR="00992B6E" w:rsidRPr="00677538" w:rsidRDefault="00992B6E" w:rsidP="00FC1055">
            <w:pPr>
              <w:spacing w:line="240" w:lineRule="auto"/>
            </w:pPr>
            <w:r>
              <w:t>--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>
              <w:t>71/181 (ed. leader-ship)</w:t>
            </w:r>
          </w:p>
        </w:tc>
        <w:tc>
          <w:tcPr>
            <w:tcW w:w="3535" w:type="dxa"/>
          </w:tcPr>
          <w:p w:rsidR="00992B6E" w:rsidRPr="00511D41" w:rsidRDefault="00992B6E" w:rsidP="00FC1055">
            <w:pPr>
              <w:spacing w:line="240" w:lineRule="auto"/>
            </w:pPr>
            <w:r w:rsidRPr="00511D41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Alcalá, D. H., Pérez-Pueyo, Á., &amp; Fernández-Río, J. (2017). The role of management administration to implement key competences in schools: a case study. </w:t>
            </w:r>
            <w:r w:rsidRPr="00511D41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Espiral. Cuadernos del Profesorado</w:t>
            </w:r>
            <w:r w:rsidRPr="00511D41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, </w:t>
            </w:r>
            <w:r w:rsidRPr="00511D41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10</w:t>
            </w:r>
            <w:r w:rsidRPr="00511D41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(20), 3-13.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NO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Competences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</w:pPr>
            <w:r>
              <w:t>--</w:t>
            </w:r>
          </w:p>
        </w:tc>
        <w:tc>
          <w:tcPr>
            <w:tcW w:w="3690" w:type="dxa"/>
          </w:tcPr>
          <w:p w:rsidR="00992B6E" w:rsidRPr="00677538" w:rsidRDefault="00992B6E" w:rsidP="00FC1055">
            <w:pPr>
              <w:spacing w:line="240" w:lineRule="auto"/>
            </w:pPr>
            <w:r>
              <w:t>--</w:t>
            </w:r>
          </w:p>
        </w:tc>
      </w:tr>
      <w:tr w:rsidR="00992B6E" w:rsidRPr="00677538" w:rsidTr="00FC1055">
        <w:tc>
          <w:tcPr>
            <w:tcW w:w="13086" w:type="dxa"/>
            <w:gridSpan w:val="5"/>
          </w:tcPr>
          <w:p w:rsidR="00992B6E" w:rsidRPr="00677538" w:rsidRDefault="00992B6E" w:rsidP="00FC1055">
            <w:pPr>
              <w:spacing w:line="240" w:lineRule="auto"/>
              <w:rPr>
                <w:b/>
              </w:rPr>
            </w:pPr>
            <w:r w:rsidRPr="00677538">
              <w:rPr>
                <w:b/>
              </w:rPr>
              <w:t>Student Related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  <w:rPr>
                <w:b/>
              </w:rPr>
            </w:pPr>
            <w:r w:rsidRPr="00677538">
              <w:rPr>
                <w:b/>
              </w:rPr>
              <w:t xml:space="preserve">No./no in records </w:t>
            </w:r>
          </w:p>
        </w:tc>
        <w:tc>
          <w:tcPr>
            <w:tcW w:w="3535" w:type="dxa"/>
          </w:tcPr>
          <w:p w:rsidR="00992B6E" w:rsidRPr="00677538" w:rsidRDefault="00992B6E" w:rsidP="00FC1055">
            <w:pPr>
              <w:spacing w:line="240" w:lineRule="auto"/>
              <w:rPr>
                <w:b/>
              </w:rPr>
            </w:pPr>
            <w:r w:rsidRPr="00677538">
              <w:rPr>
                <w:b/>
              </w:rPr>
              <w:t>Reference</w:t>
            </w:r>
          </w:p>
        </w:tc>
        <w:tc>
          <w:tcPr>
            <w:tcW w:w="1643" w:type="dxa"/>
          </w:tcPr>
          <w:p w:rsidR="00992B6E" w:rsidRPr="00677538" w:rsidRDefault="00992B6E" w:rsidP="00FC1055">
            <w:pPr>
              <w:spacing w:line="240" w:lineRule="auto"/>
              <w:rPr>
                <w:b/>
              </w:rPr>
            </w:pPr>
            <w:r w:rsidRPr="00677538">
              <w:rPr>
                <w:b/>
              </w:rPr>
              <w:t>Is definition provided? (Yes/No)</w:t>
            </w:r>
            <w:r>
              <w:rPr>
                <w:b/>
              </w:rPr>
              <w:t>/ Competences, Competencies or Both used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  <w:rPr>
                <w:b/>
              </w:rPr>
            </w:pPr>
            <w:r w:rsidRPr="00677538">
              <w:rPr>
                <w:b/>
              </w:rPr>
              <w:t>Sources of the definition (Academic, Europea</w:t>
            </w:r>
            <w:r>
              <w:rPr>
                <w:b/>
              </w:rPr>
              <w:t>n Commission (EC), OECD,</w:t>
            </w:r>
            <w:r w:rsidRPr="00677538">
              <w:rPr>
                <w:b/>
              </w:rPr>
              <w:t xml:space="preserve"> </w:t>
            </w:r>
            <w:r>
              <w:rPr>
                <w:b/>
              </w:rPr>
              <w:t>National Law/Policy Document</w:t>
            </w:r>
            <w:r w:rsidRPr="00677538">
              <w:rPr>
                <w:b/>
              </w:rPr>
              <w:t>)</w:t>
            </w:r>
          </w:p>
        </w:tc>
        <w:tc>
          <w:tcPr>
            <w:tcW w:w="3690" w:type="dxa"/>
          </w:tcPr>
          <w:p w:rsidR="00992B6E" w:rsidRPr="00677538" w:rsidRDefault="00992B6E" w:rsidP="00FC1055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Is definition generic or specific to an individual competence/competency? / </w:t>
            </w:r>
            <w:r w:rsidRPr="00677538">
              <w:rPr>
                <w:b/>
              </w:rPr>
              <w:t>References used in relation to the definition</w:t>
            </w:r>
          </w:p>
        </w:tc>
      </w:tr>
      <w:tr w:rsidR="00992B6E" w:rsidRPr="0031524B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>
              <w:t>72/2</w:t>
            </w:r>
          </w:p>
        </w:tc>
        <w:tc>
          <w:tcPr>
            <w:tcW w:w="3535" w:type="dxa"/>
          </w:tcPr>
          <w:p w:rsidR="00992B6E" w:rsidRPr="00A421B6" w:rsidRDefault="00992B6E" w:rsidP="00FC1055">
            <w:pPr>
              <w:spacing w:line="240" w:lineRule="auto"/>
              <w:rPr>
                <w:sz w:val="20"/>
                <w:szCs w:val="20"/>
              </w:rPr>
            </w:pPr>
            <w:r w:rsidRPr="00A421B6">
              <w:rPr>
                <w:color w:val="222222"/>
                <w:sz w:val="20"/>
                <w:szCs w:val="20"/>
                <w:shd w:val="clear" w:color="auto" w:fill="FFFFFF"/>
              </w:rPr>
              <w:t>Laius, A., &amp; Post, A. (2016). Assessment of Scientific Literacy of Estonian Gymnasium Students during the Operation of a Competence-Based Science Curriculum. </w:t>
            </w:r>
            <w:r w:rsidRPr="00A421B6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Universal Journal of Educational Research</w:t>
            </w:r>
            <w:r w:rsidRPr="00A421B6">
              <w:rPr>
                <w:color w:val="222222"/>
                <w:sz w:val="20"/>
                <w:szCs w:val="20"/>
                <w:shd w:val="clear" w:color="auto" w:fill="FFFFFF"/>
              </w:rPr>
              <w:t>, </w:t>
            </w:r>
            <w:r w:rsidRPr="00A421B6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4</w:t>
            </w:r>
            <w:r w:rsidRPr="00A421B6">
              <w:rPr>
                <w:color w:val="222222"/>
                <w:sz w:val="20"/>
                <w:szCs w:val="20"/>
                <w:shd w:val="clear" w:color="auto" w:fill="FFFFFF"/>
              </w:rPr>
              <w:t>(5), 1142-1147.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YES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Competences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</w:pPr>
            <w:r>
              <w:t>Academic</w:t>
            </w:r>
          </w:p>
        </w:tc>
        <w:tc>
          <w:tcPr>
            <w:tcW w:w="3690" w:type="dxa"/>
          </w:tcPr>
          <w:p w:rsidR="00992B6E" w:rsidRPr="00511D41" w:rsidRDefault="00992B6E" w:rsidP="00FC1055">
            <w:pPr>
              <w:autoSpaceDE w:val="0"/>
              <w:autoSpaceDN w:val="0"/>
              <w:adjustRightInd w:val="0"/>
              <w:spacing w:line="240" w:lineRule="auto"/>
            </w:pPr>
            <w:r>
              <w:t xml:space="preserve">Specific 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(1. </w:t>
            </w:r>
            <w:r w:rsidRPr="003F1BFB">
              <w:rPr>
                <w:rFonts w:cs="Arial"/>
                <w:color w:val="000000"/>
                <w:sz w:val="20"/>
                <w:szCs w:val="20"/>
              </w:rPr>
              <w:t>Scientific creativity skills</w:t>
            </w:r>
            <w:r>
              <w:rPr>
                <w:rFonts w:cs="Arial"/>
                <w:color w:val="000000"/>
                <w:sz w:val="20"/>
                <w:szCs w:val="20"/>
              </w:rPr>
              <w:t>;</w:t>
            </w:r>
          </w:p>
          <w:p w:rsidR="00992B6E" w:rsidRDefault="00992B6E" w:rsidP="00FC105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2. </w:t>
            </w:r>
            <w:r w:rsidRPr="003F1BFB">
              <w:rPr>
                <w:rFonts w:cs="Arial"/>
                <w:color w:val="000000"/>
                <w:sz w:val="20"/>
                <w:szCs w:val="20"/>
              </w:rPr>
              <w:t>Socio-scientific reasoning skills</w:t>
            </w:r>
            <w:r>
              <w:rPr>
                <w:rFonts w:cs="Arial"/>
                <w:color w:val="000000"/>
                <w:sz w:val="20"/>
                <w:szCs w:val="20"/>
              </w:rPr>
              <w:t>)</w:t>
            </w:r>
          </w:p>
          <w:p w:rsidR="00992B6E" w:rsidRDefault="00992B6E" w:rsidP="00FC105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  <w:p w:rsidR="00992B6E" w:rsidRPr="00DB2479" w:rsidRDefault="00992B6E" w:rsidP="00FC105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0"/>
                <w:szCs w:val="20"/>
                <w:lang w:val="sv-SE"/>
              </w:rPr>
            </w:pPr>
            <w:r w:rsidRPr="00DB2479">
              <w:rPr>
                <w:rFonts w:cs="Arial"/>
                <w:color w:val="000000"/>
                <w:sz w:val="20"/>
                <w:szCs w:val="20"/>
                <w:lang w:val="sv-SE"/>
              </w:rPr>
              <w:t>(1. Heller, 2007)</w:t>
            </w:r>
          </w:p>
          <w:p w:rsidR="00992B6E" w:rsidRPr="00DB2479" w:rsidRDefault="00992B6E" w:rsidP="00FC105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0"/>
                <w:szCs w:val="20"/>
                <w:lang w:val="sv-SE"/>
              </w:rPr>
            </w:pPr>
            <w:r w:rsidRPr="00DB2479">
              <w:rPr>
                <w:rFonts w:cs="Arial"/>
                <w:color w:val="000000"/>
                <w:sz w:val="20"/>
                <w:szCs w:val="20"/>
                <w:lang w:val="sv-SE"/>
              </w:rPr>
              <w:t>(2. Zhou, S</w:t>
            </w:r>
            <w:proofErr w:type="gramStart"/>
            <w:r w:rsidRPr="00DB2479">
              <w:rPr>
                <w:rFonts w:cs="Arial"/>
                <w:color w:val="000000"/>
                <w:sz w:val="20"/>
                <w:szCs w:val="20"/>
                <w:lang w:val="sv-SE"/>
              </w:rPr>
              <w:t>.;</w:t>
            </w:r>
            <w:proofErr w:type="gramEnd"/>
            <w:r w:rsidRPr="00DB2479">
              <w:rPr>
                <w:rFonts w:cs="Arial"/>
                <w:color w:val="000000"/>
                <w:sz w:val="20"/>
                <w:szCs w:val="20"/>
                <w:lang w:val="sv-SE"/>
              </w:rPr>
              <w:t xml:space="preserve"> Han, J.; Koenig, K.; Raplinger, A.; Pi, Y.; Li, D.; Xiao, H.; Fu, Z. &amp; Bao, L., 2016)</w:t>
            </w:r>
          </w:p>
          <w:p w:rsidR="00992B6E" w:rsidRPr="00DB2479" w:rsidRDefault="00992B6E" w:rsidP="00FC105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0"/>
                <w:szCs w:val="20"/>
                <w:lang w:val="sv-SE"/>
              </w:rPr>
            </w:pPr>
          </w:p>
          <w:p w:rsidR="00992B6E" w:rsidRPr="00DB2479" w:rsidRDefault="00992B6E" w:rsidP="00FC1055">
            <w:pPr>
              <w:spacing w:line="240" w:lineRule="auto"/>
              <w:rPr>
                <w:lang w:val="sv-SE"/>
              </w:rPr>
            </w:pP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>
              <w:t>73/56</w:t>
            </w:r>
          </w:p>
        </w:tc>
        <w:tc>
          <w:tcPr>
            <w:tcW w:w="3535" w:type="dxa"/>
          </w:tcPr>
          <w:p w:rsidR="00992B6E" w:rsidRPr="00A421B6" w:rsidRDefault="00992B6E" w:rsidP="00FC1055">
            <w:pPr>
              <w:spacing w:line="240" w:lineRule="auto"/>
              <w:rPr>
                <w:sz w:val="20"/>
                <w:szCs w:val="20"/>
              </w:rPr>
            </w:pPr>
            <w:r w:rsidRPr="00A421B6">
              <w:rPr>
                <w:color w:val="222222"/>
                <w:sz w:val="20"/>
                <w:szCs w:val="20"/>
                <w:shd w:val="clear" w:color="auto" w:fill="FFFFFF"/>
              </w:rPr>
              <w:t>Pepper, D. (2011). Assessing key competences across the curriculum—and Europe. </w:t>
            </w:r>
            <w:r w:rsidRPr="00A421B6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European Journal of Education</w:t>
            </w:r>
            <w:r w:rsidRPr="00A421B6">
              <w:rPr>
                <w:color w:val="222222"/>
                <w:sz w:val="20"/>
                <w:szCs w:val="20"/>
                <w:shd w:val="clear" w:color="auto" w:fill="FFFFFF"/>
              </w:rPr>
              <w:t>, </w:t>
            </w:r>
            <w:r w:rsidRPr="00A421B6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46</w:t>
            </w:r>
            <w:r w:rsidRPr="00A421B6">
              <w:rPr>
                <w:color w:val="222222"/>
                <w:sz w:val="20"/>
                <w:szCs w:val="20"/>
                <w:shd w:val="clear" w:color="auto" w:fill="FFFFFF"/>
              </w:rPr>
              <w:t>(3), 335-353.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YES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Competences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</w:pPr>
            <w:r>
              <w:t>European Commission/European Reference Framework</w:t>
            </w:r>
          </w:p>
        </w:tc>
        <w:tc>
          <w:tcPr>
            <w:tcW w:w="3690" w:type="dxa"/>
          </w:tcPr>
          <w:p w:rsidR="00992B6E" w:rsidRDefault="00992B6E" w:rsidP="00FC1055">
            <w:pPr>
              <w:spacing w:line="240" w:lineRule="auto"/>
            </w:pPr>
            <w:r>
              <w:t xml:space="preserve">Generic 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(OJEU, 2006)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>
              <w:t>74/106</w:t>
            </w:r>
          </w:p>
        </w:tc>
        <w:tc>
          <w:tcPr>
            <w:tcW w:w="3535" w:type="dxa"/>
          </w:tcPr>
          <w:p w:rsidR="00992B6E" w:rsidRPr="00A421B6" w:rsidRDefault="00992B6E" w:rsidP="00FC1055">
            <w:pPr>
              <w:spacing w:line="240" w:lineRule="auto"/>
              <w:rPr>
                <w:sz w:val="20"/>
                <w:szCs w:val="20"/>
              </w:rPr>
            </w:pPr>
            <w:r w:rsidRPr="00A421B6">
              <w:rPr>
                <w:color w:val="222222"/>
                <w:sz w:val="20"/>
                <w:szCs w:val="20"/>
                <w:shd w:val="clear" w:color="auto" w:fill="FFFFFF"/>
              </w:rPr>
              <w:t>Soare, E. (2015). Using the complex learning situation model in the evaluation of competences. </w:t>
            </w:r>
            <w:r w:rsidRPr="00A421B6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Procedia-Social and Behavioral Sciences</w:t>
            </w:r>
            <w:r w:rsidRPr="00A421B6">
              <w:rPr>
                <w:color w:val="222222"/>
                <w:sz w:val="20"/>
                <w:szCs w:val="20"/>
                <w:shd w:val="clear" w:color="auto" w:fill="FFFFFF"/>
              </w:rPr>
              <w:t>, </w:t>
            </w:r>
            <w:r w:rsidRPr="00A421B6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180</w:t>
            </w:r>
            <w:r w:rsidRPr="00A421B6">
              <w:rPr>
                <w:color w:val="222222"/>
                <w:sz w:val="20"/>
                <w:szCs w:val="20"/>
                <w:shd w:val="clear" w:color="auto" w:fill="FFFFFF"/>
              </w:rPr>
              <w:t>, 1-6.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YES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Competences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</w:pPr>
            <w:r>
              <w:t>Academic</w:t>
            </w:r>
          </w:p>
        </w:tc>
        <w:tc>
          <w:tcPr>
            <w:tcW w:w="3690" w:type="dxa"/>
          </w:tcPr>
          <w:p w:rsidR="00992B6E" w:rsidRDefault="00992B6E" w:rsidP="00FC1055">
            <w:pPr>
              <w:spacing w:line="240" w:lineRule="auto"/>
            </w:pPr>
            <w:r>
              <w:t xml:space="preserve">Generic </w:t>
            </w:r>
          </w:p>
          <w:p w:rsidR="00992B6E" w:rsidRPr="00677538" w:rsidRDefault="00992B6E" w:rsidP="00FC1055">
            <w:pPr>
              <w:spacing w:line="240" w:lineRule="auto"/>
            </w:pPr>
            <w:r>
              <w:t>(Davies, 1999)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>
              <w:t>75/119</w:t>
            </w:r>
          </w:p>
        </w:tc>
        <w:tc>
          <w:tcPr>
            <w:tcW w:w="3535" w:type="dxa"/>
          </w:tcPr>
          <w:p w:rsidR="00992B6E" w:rsidRPr="00A421B6" w:rsidRDefault="00992B6E" w:rsidP="00FC1055">
            <w:pPr>
              <w:spacing w:line="240" w:lineRule="auto"/>
              <w:rPr>
                <w:sz w:val="20"/>
                <w:szCs w:val="20"/>
              </w:rPr>
            </w:pPr>
            <w:r w:rsidRPr="00A421B6">
              <w:rPr>
                <w:color w:val="222222"/>
                <w:sz w:val="20"/>
                <w:szCs w:val="20"/>
                <w:shd w:val="clear" w:color="auto" w:fill="FFFFFF"/>
              </w:rPr>
              <w:t>Coral, J., Lleixà, T., &amp; Ventura, C. (201</w:t>
            </w:r>
            <w:r w:rsidRPr="00A421B6">
              <w:rPr>
                <w:color w:val="000000" w:themeColor="text1"/>
                <w:sz w:val="20"/>
                <w:szCs w:val="20"/>
                <w:shd w:val="clear" w:color="auto" w:fill="FFFFFF"/>
              </w:rPr>
              <w:t>6</w:t>
            </w:r>
            <w:r w:rsidRPr="00A421B6">
              <w:rPr>
                <w:color w:val="222222"/>
                <w:sz w:val="20"/>
                <w:szCs w:val="20"/>
                <w:shd w:val="clear" w:color="auto" w:fill="FFFFFF"/>
              </w:rPr>
              <w:t>). Foreign language competence and content and language integrated learning in multilingual schools in Catalonia: an ex post facto study analysing the results of state key competences testing. </w:t>
            </w:r>
            <w:r w:rsidRPr="00A421B6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International Journal of Bilingual Education and Bilingualism</w:t>
            </w:r>
            <w:r w:rsidRPr="00A421B6">
              <w:rPr>
                <w:color w:val="222222"/>
                <w:sz w:val="20"/>
                <w:szCs w:val="20"/>
                <w:shd w:val="clear" w:color="auto" w:fill="FFFFFF"/>
              </w:rPr>
              <w:t>, </w:t>
            </w:r>
            <w:r w:rsidRPr="00A421B6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21</w:t>
            </w:r>
            <w:r w:rsidRPr="00A421B6">
              <w:rPr>
                <w:color w:val="222222"/>
                <w:sz w:val="20"/>
                <w:szCs w:val="20"/>
                <w:shd w:val="clear" w:color="auto" w:fill="FFFFFF"/>
              </w:rPr>
              <w:t>(2), 139-150.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NO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Competences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</w:pPr>
            <w:r>
              <w:t>--</w:t>
            </w:r>
          </w:p>
        </w:tc>
        <w:tc>
          <w:tcPr>
            <w:tcW w:w="3690" w:type="dxa"/>
          </w:tcPr>
          <w:p w:rsidR="00992B6E" w:rsidRPr="00677538" w:rsidRDefault="00992B6E" w:rsidP="00FC1055">
            <w:pPr>
              <w:spacing w:line="240" w:lineRule="auto"/>
            </w:pPr>
            <w:r>
              <w:t>--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>
              <w:t>76/145</w:t>
            </w:r>
          </w:p>
        </w:tc>
        <w:tc>
          <w:tcPr>
            <w:tcW w:w="3535" w:type="dxa"/>
          </w:tcPr>
          <w:p w:rsidR="00992B6E" w:rsidRPr="00A421B6" w:rsidRDefault="00992B6E" w:rsidP="00FC1055">
            <w:pPr>
              <w:spacing w:line="240" w:lineRule="auto"/>
              <w:rPr>
                <w:sz w:val="20"/>
                <w:szCs w:val="20"/>
              </w:rPr>
            </w:pPr>
            <w:r w:rsidRPr="00A421B6">
              <w:rPr>
                <w:color w:val="222222"/>
                <w:sz w:val="20"/>
                <w:szCs w:val="20"/>
                <w:shd w:val="clear" w:color="auto" w:fill="FFFFFF"/>
              </w:rPr>
              <w:t>Brudevold-Iversen, T., Peterson, E. R., &amp; Cartwright, C. (2013). Secondary school students' understanding of the socio-emotional nature of the New Zealand Key Competencies. </w:t>
            </w:r>
            <w:r w:rsidRPr="00A421B6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Teachers and Curriculum</w:t>
            </w:r>
            <w:r w:rsidRPr="00A421B6">
              <w:rPr>
                <w:color w:val="222222"/>
                <w:sz w:val="20"/>
                <w:szCs w:val="20"/>
                <w:shd w:val="clear" w:color="auto" w:fill="FFFFFF"/>
              </w:rPr>
              <w:t>, </w:t>
            </w:r>
            <w:r w:rsidRPr="00A421B6">
              <w:rPr>
                <w:i/>
                <w:iCs/>
                <w:color w:val="222222"/>
                <w:sz w:val="20"/>
                <w:szCs w:val="20"/>
                <w:shd w:val="clear" w:color="auto" w:fill="FFFFFF"/>
              </w:rPr>
              <w:t>13</w:t>
            </w:r>
            <w:r w:rsidRPr="00A421B6">
              <w:rPr>
                <w:color w:val="222222"/>
                <w:sz w:val="20"/>
                <w:szCs w:val="20"/>
                <w:shd w:val="clear" w:color="auto" w:fill="FFFFFF"/>
              </w:rPr>
              <w:t>.</w:t>
            </w:r>
          </w:p>
          <w:p w:rsidR="00992B6E" w:rsidRPr="00A421B6" w:rsidRDefault="00992B6E" w:rsidP="00FC1055">
            <w:pPr>
              <w:spacing w:line="240" w:lineRule="auto"/>
            </w:pP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YES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Competencies</w:t>
            </w:r>
          </w:p>
        </w:tc>
        <w:tc>
          <w:tcPr>
            <w:tcW w:w="3150" w:type="dxa"/>
          </w:tcPr>
          <w:p w:rsidR="00992B6E" w:rsidRDefault="00992B6E" w:rsidP="00FC1055">
            <w:pPr>
              <w:spacing w:line="240" w:lineRule="auto"/>
            </w:pPr>
            <w:r>
              <w:t>OECD (DeSeCo)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National Policy Document</w:t>
            </w:r>
          </w:p>
        </w:tc>
        <w:tc>
          <w:tcPr>
            <w:tcW w:w="3690" w:type="dxa"/>
          </w:tcPr>
          <w:p w:rsidR="00992B6E" w:rsidRDefault="00992B6E" w:rsidP="00FC1055">
            <w:pPr>
              <w:spacing w:line="240" w:lineRule="auto"/>
            </w:pPr>
            <w:r>
              <w:t xml:space="preserve">Generic 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Default="00992B6E" w:rsidP="00FC1055">
            <w:pPr>
              <w:spacing w:line="240" w:lineRule="auto"/>
            </w:pPr>
            <w:r>
              <w:t>(DeSeCo, 2005)</w:t>
            </w:r>
          </w:p>
          <w:p w:rsidR="00992B6E" w:rsidRPr="00677538" w:rsidRDefault="00992B6E" w:rsidP="00FC1055">
            <w:pPr>
              <w:spacing w:line="240" w:lineRule="auto"/>
            </w:pPr>
            <w:r>
              <w:t>(New Zealand Ministry of Education, 2007)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>
              <w:t>77/146</w:t>
            </w:r>
          </w:p>
        </w:tc>
        <w:tc>
          <w:tcPr>
            <w:tcW w:w="3535" w:type="dxa"/>
          </w:tcPr>
          <w:p w:rsidR="00992B6E" w:rsidRPr="00C018B2" w:rsidRDefault="00992B6E" w:rsidP="00FC1055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C018B2">
              <w:rPr>
                <w:color w:val="000000" w:themeColor="text1"/>
                <w:sz w:val="20"/>
                <w:szCs w:val="20"/>
                <w:shd w:val="clear" w:color="auto" w:fill="FFFFFF"/>
                <w:lang w:val="sv-SE"/>
              </w:rPr>
              <w:t xml:space="preserve">Chang, W. H., Liu, Y. C., &amp; Huang, T. H. (2017). </w:t>
            </w:r>
            <w:r w:rsidRPr="00C018B2">
              <w:rPr>
                <w:color w:val="000000" w:themeColor="text1"/>
                <w:sz w:val="20"/>
                <w:szCs w:val="20"/>
                <w:shd w:val="clear" w:color="auto" w:fill="FFFFFF"/>
              </w:rPr>
              <w:t>Perceptions of learning effectiveness in M</w:t>
            </w:r>
            <w:r w:rsidRPr="00C018B2">
              <w:rPr>
                <w:rFonts w:ascii="Palatino Linotype" w:hAnsi="Palatino Linotype" w:cs="Palatino Linotype"/>
                <w:color w:val="000000" w:themeColor="text1"/>
                <w:sz w:val="20"/>
                <w:szCs w:val="20"/>
                <w:shd w:val="clear" w:color="auto" w:fill="FFFFFF"/>
              </w:rPr>
              <w:t>‐</w:t>
            </w:r>
            <w:r w:rsidRPr="00C018B2">
              <w:rPr>
                <w:color w:val="000000" w:themeColor="text1"/>
                <w:sz w:val="20"/>
                <w:szCs w:val="20"/>
                <w:shd w:val="clear" w:color="auto" w:fill="FFFFFF"/>
              </w:rPr>
              <w:t>learning: scale development and student awareness. </w:t>
            </w:r>
            <w:r w:rsidRPr="00C018B2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Journal of Computer Assisted Learning</w:t>
            </w:r>
            <w:r w:rsidRPr="00C018B2">
              <w:rPr>
                <w:color w:val="000000" w:themeColor="text1"/>
                <w:sz w:val="20"/>
                <w:szCs w:val="20"/>
                <w:shd w:val="clear" w:color="auto" w:fill="FFFFFF"/>
              </w:rPr>
              <w:t>, </w:t>
            </w:r>
            <w:r w:rsidRPr="00C018B2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33</w:t>
            </w:r>
            <w:r w:rsidRPr="00C018B2">
              <w:rPr>
                <w:color w:val="000000" w:themeColor="text1"/>
                <w:sz w:val="20"/>
                <w:szCs w:val="20"/>
                <w:shd w:val="clear" w:color="auto" w:fill="FFFFFF"/>
              </w:rPr>
              <w:t>(5), 461-472.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YES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Competencies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</w:pPr>
            <w:r>
              <w:t>Academic</w:t>
            </w:r>
          </w:p>
        </w:tc>
        <w:tc>
          <w:tcPr>
            <w:tcW w:w="3690" w:type="dxa"/>
          </w:tcPr>
          <w:p w:rsidR="00992B6E" w:rsidRDefault="00992B6E" w:rsidP="00FC1055">
            <w:pPr>
              <w:spacing w:line="240" w:lineRule="auto"/>
            </w:pPr>
            <w:r>
              <w:t xml:space="preserve">Generic 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C018B2" w:rsidRDefault="00992B6E" w:rsidP="00FC1055">
            <w:pPr>
              <w:spacing w:line="240" w:lineRule="auto"/>
              <w:rPr>
                <w:rFonts w:cs="Arial"/>
              </w:rPr>
            </w:pPr>
            <w:r w:rsidRPr="00C018B2">
              <w:rPr>
                <w:rFonts w:cs="Arial"/>
              </w:rPr>
              <w:t>(Hattam &amp; Smyth, 1998)</w:t>
            </w:r>
          </w:p>
          <w:p w:rsidR="00992B6E" w:rsidRPr="00677538" w:rsidRDefault="00992B6E" w:rsidP="00FC1055">
            <w:pPr>
              <w:spacing w:line="240" w:lineRule="auto"/>
            </w:pPr>
            <w:r w:rsidRPr="00C018B2">
              <w:rPr>
                <w:rFonts w:cs="Arial"/>
              </w:rPr>
              <w:t>(Thompson &amp; Craft, 2001)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>
              <w:t>78/173</w:t>
            </w:r>
          </w:p>
        </w:tc>
        <w:tc>
          <w:tcPr>
            <w:tcW w:w="3535" w:type="dxa"/>
          </w:tcPr>
          <w:p w:rsidR="00992B6E" w:rsidRPr="00C018B2" w:rsidRDefault="00992B6E" w:rsidP="00FC1055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C018B2">
              <w:rPr>
                <w:color w:val="000000" w:themeColor="text1"/>
                <w:sz w:val="20"/>
                <w:szCs w:val="20"/>
                <w:shd w:val="clear" w:color="auto" w:fill="FFFFFF"/>
              </w:rPr>
              <w:t>Cai, H., Gu, X., &amp; Wong, L. H. (2017). An investigation of twenty-first century learners’ competencies in China. </w:t>
            </w:r>
            <w:r w:rsidRPr="00C018B2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Asia Pacific Education Review</w:t>
            </w:r>
            <w:r w:rsidRPr="00C018B2">
              <w:rPr>
                <w:color w:val="000000" w:themeColor="text1"/>
                <w:sz w:val="20"/>
                <w:szCs w:val="20"/>
                <w:shd w:val="clear" w:color="auto" w:fill="FFFFFF"/>
              </w:rPr>
              <w:t>, </w:t>
            </w:r>
            <w:r w:rsidRPr="00C018B2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18</w:t>
            </w:r>
            <w:r w:rsidRPr="00C018B2">
              <w:rPr>
                <w:color w:val="000000" w:themeColor="text1"/>
                <w:sz w:val="20"/>
                <w:szCs w:val="20"/>
                <w:shd w:val="clear" w:color="auto" w:fill="FFFFFF"/>
              </w:rPr>
              <w:t>(4), 475-487.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YES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Both</w:t>
            </w:r>
          </w:p>
        </w:tc>
        <w:tc>
          <w:tcPr>
            <w:tcW w:w="3150" w:type="dxa"/>
          </w:tcPr>
          <w:p w:rsidR="00992B6E" w:rsidRDefault="00992B6E" w:rsidP="00FC1055">
            <w:pPr>
              <w:spacing w:line="240" w:lineRule="auto"/>
            </w:pPr>
            <w:r>
              <w:t>OECD</w:t>
            </w:r>
          </w:p>
          <w:p w:rsidR="00992B6E" w:rsidRDefault="00992B6E" w:rsidP="00FC1055">
            <w:pPr>
              <w:spacing w:line="240" w:lineRule="auto"/>
            </w:pPr>
            <w:r>
              <w:t>EC</w:t>
            </w:r>
          </w:p>
          <w:p w:rsidR="00992B6E" w:rsidRPr="00677538" w:rsidRDefault="00992B6E" w:rsidP="00FC1055">
            <w:pPr>
              <w:spacing w:line="240" w:lineRule="auto"/>
            </w:pPr>
            <w:r>
              <w:t>Partnership for 21</w:t>
            </w:r>
            <w:r w:rsidRPr="00B657B2">
              <w:rPr>
                <w:vertAlign w:val="superscript"/>
              </w:rPr>
              <w:t>st</w:t>
            </w:r>
            <w:r>
              <w:t xml:space="preserve"> Century Skills</w:t>
            </w:r>
          </w:p>
        </w:tc>
        <w:tc>
          <w:tcPr>
            <w:tcW w:w="3690" w:type="dxa"/>
          </w:tcPr>
          <w:p w:rsidR="00992B6E" w:rsidRDefault="00992B6E" w:rsidP="00FC1055">
            <w:pPr>
              <w:spacing w:line="240" w:lineRule="auto"/>
            </w:pPr>
            <w:r>
              <w:t xml:space="preserve">Generic and specific (numerous) </w:t>
            </w:r>
          </w:p>
          <w:p w:rsidR="00992B6E" w:rsidRDefault="00992B6E" w:rsidP="00FC1055">
            <w:pPr>
              <w:spacing w:line="240" w:lineRule="auto"/>
            </w:pPr>
            <w:r>
              <w:t>(OECD, 2005)</w:t>
            </w:r>
          </w:p>
          <w:p w:rsidR="00992B6E" w:rsidRDefault="00992B6E" w:rsidP="00FC1055">
            <w:pPr>
              <w:spacing w:line="240" w:lineRule="auto"/>
            </w:pPr>
            <w:r>
              <w:t>(EC/OJEU, 2006)</w:t>
            </w:r>
          </w:p>
          <w:p w:rsidR="00992B6E" w:rsidRPr="00677538" w:rsidRDefault="00992B6E" w:rsidP="00FC1055">
            <w:pPr>
              <w:spacing w:line="240" w:lineRule="auto"/>
            </w:pPr>
            <w:r>
              <w:t>(P21, 2010)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>
              <w:t>79/125</w:t>
            </w:r>
          </w:p>
        </w:tc>
        <w:tc>
          <w:tcPr>
            <w:tcW w:w="3535" w:type="dxa"/>
          </w:tcPr>
          <w:p w:rsidR="00992B6E" w:rsidRPr="00A421B6" w:rsidRDefault="00992B6E" w:rsidP="00FC1055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DB2479">
              <w:rPr>
                <w:color w:val="222222"/>
                <w:sz w:val="20"/>
                <w:szCs w:val="20"/>
                <w:shd w:val="clear" w:color="auto" w:fill="FFFFFF"/>
                <w:lang w:val="sv-SE"/>
              </w:rPr>
              <w:t xml:space="preserve">Vainikainen, M. P., Wüstenberg, S., Kupiainen, S., Hotulainen, R., &amp; Hautamäki, J. (2015). </w:t>
            </w:r>
            <w:r w:rsidRPr="00A421B6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Development of learning to learn skills in primary school. </w:t>
            </w:r>
            <w:r w:rsidRPr="00A421B6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International Journal of Lifelong Education</w:t>
            </w:r>
            <w:r w:rsidRPr="00A421B6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, </w:t>
            </w:r>
            <w:r w:rsidRPr="00A421B6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34</w:t>
            </w:r>
            <w:r w:rsidRPr="00A421B6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(4), 376-392.</w:t>
            </w:r>
          </w:p>
          <w:p w:rsidR="00992B6E" w:rsidRPr="00A421B6" w:rsidRDefault="00992B6E" w:rsidP="00FC1055">
            <w:pPr>
              <w:autoSpaceDE w:val="0"/>
              <w:autoSpaceDN w:val="0"/>
              <w:adjustRightInd w:val="0"/>
              <w:spacing w:line="240" w:lineRule="auto"/>
              <w:rPr>
                <w:sz w:val="20"/>
                <w:szCs w:val="20"/>
              </w:rPr>
            </w:pPr>
            <w:r w:rsidRPr="00A421B6">
              <w:rPr>
                <w:sz w:val="20"/>
                <w:szCs w:val="20"/>
              </w:rPr>
              <w:t>DOI: 10.1080/02601370.2015.1060025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YES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Competences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</w:pPr>
            <w:r>
              <w:t>Academic</w:t>
            </w:r>
          </w:p>
        </w:tc>
        <w:tc>
          <w:tcPr>
            <w:tcW w:w="3690" w:type="dxa"/>
          </w:tcPr>
          <w:p w:rsidR="00992B6E" w:rsidRDefault="00992B6E" w:rsidP="00FC1055">
            <w:pPr>
              <w:spacing w:line="240" w:lineRule="auto"/>
            </w:pPr>
            <w:r>
              <w:t>Specific (learning to learn (LTL))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DB2479" w:rsidRDefault="00992B6E" w:rsidP="00FC1055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lang w:val="sv-SE"/>
              </w:rPr>
            </w:pPr>
            <w:r w:rsidRPr="00DB2479">
              <w:rPr>
                <w:color w:val="000000"/>
                <w:lang w:val="sv-SE"/>
              </w:rPr>
              <w:t xml:space="preserve">(Hautamäki et al., </w:t>
            </w:r>
            <w:r w:rsidRPr="0073025D">
              <w:rPr>
                <w:color w:val="000000" w:themeColor="text1"/>
                <w:lang w:val="sv-SE"/>
              </w:rPr>
              <w:t>2002</w:t>
            </w:r>
            <w:r>
              <w:rPr>
                <w:color w:val="000080"/>
                <w:lang w:val="sv-SE"/>
              </w:rPr>
              <w:t>)</w:t>
            </w:r>
          </w:p>
          <w:p w:rsidR="00992B6E" w:rsidRDefault="00992B6E" w:rsidP="00FC1055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lang w:val="sv-SE"/>
              </w:rPr>
            </w:pPr>
            <w:r>
              <w:rPr>
                <w:color w:val="000000"/>
                <w:lang w:val="sv-SE"/>
              </w:rPr>
              <w:t>(</w:t>
            </w:r>
            <w:r w:rsidRPr="0073025D">
              <w:rPr>
                <w:color w:val="000000"/>
                <w:lang w:val="sv-SE"/>
              </w:rPr>
              <w:t>Hautam</w:t>
            </w:r>
            <w:r w:rsidRPr="00DB2479">
              <w:rPr>
                <w:color w:val="000000"/>
                <w:lang w:val="sv-SE"/>
              </w:rPr>
              <w:t>ä</w:t>
            </w:r>
            <w:r w:rsidRPr="0073025D">
              <w:rPr>
                <w:color w:val="000000"/>
                <w:lang w:val="sv-SE"/>
              </w:rPr>
              <w:t>ki, Hautama</w:t>
            </w:r>
            <w:r w:rsidRPr="00DB2479">
              <w:rPr>
                <w:color w:val="000000"/>
                <w:lang w:val="sv-SE"/>
              </w:rPr>
              <w:t>ä</w:t>
            </w:r>
            <w:r w:rsidRPr="0073025D">
              <w:rPr>
                <w:color w:val="000000"/>
                <w:lang w:val="sv-SE"/>
              </w:rPr>
              <w:t>ki, &amp; Kupiainen,</w:t>
            </w:r>
            <w:r>
              <w:rPr>
                <w:color w:val="000000"/>
                <w:lang w:val="sv-SE"/>
              </w:rPr>
              <w:t xml:space="preserve"> 2010)</w:t>
            </w:r>
          </w:p>
          <w:p w:rsidR="00992B6E" w:rsidRPr="0073025D" w:rsidRDefault="00992B6E" w:rsidP="00FC1055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lang w:val="sv-SE"/>
              </w:rPr>
            </w:pPr>
            <w:r>
              <w:rPr>
                <w:color w:val="000080"/>
                <w:lang w:val="sv-SE"/>
              </w:rPr>
              <w:t>(</w:t>
            </w:r>
            <w:r w:rsidRPr="0073025D">
              <w:rPr>
                <w:color w:val="000000"/>
                <w:lang w:val="sv-SE"/>
              </w:rPr>
              <w:t>Hautama</w:t>
            </w:r>
            <w:r>
              <w:rPr>
                <w:color w:val="000000"/>
              </w:rPr>
              <w:t>ä</w:t>
            </w:r>
            <w:r w:rsidRPr="0073025D">
              <w:rPr>
                <w:color w:val="000000"/>
                <w:lang w:val="sv-SE"/>
              </w:rPr>
              <w:t>ki &amp; Kupiainen,</w:t>
            </w:r>
            <w:r>
              <w:rPr>
                <w:color w:val="000000"/>
                <w:lang w:val="sv-SE"/>
              </w:rPr>
              <w:t xml:space="preserve"> </w:t>
            </w:r>
            <w:r w:rsidRPr="0073025D">
              <w:rPr>
                <w:color w:val="000000" w:themeColor="text1"/>
              </w:rPr>
              <w:t>2014</w:t>
            </w:r>
            <w:r w:rsidRPr="0073025D">
              <w:rPr>
                <w:color w:val="000000"/>
              </w:rPr>
              <w:t>)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>
              <w:t>80/153</w:t>
            </w:r>
          </w:p>
        </w:tc>
        <w:tc>
          <w:tcPr>
            <w:tcW w:w="3535" w:type="dxa"/>
          </w:tcPr>
          <w:p w:rsidR="00992B6E" w:rsidRPr="00AE661C" w:rsidRDefault="00992B6E" w:rsidP="00FC1055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AE661C">
              <w:rPr>
                <w:sz w:val="20"/>
                <w:szCs w:val="20"/>
                <w:lang w:val="en-CA"/>
              </w:rPr>
              <w:t>Scherer, R., &amp; Tiemann, R. (2012). Factors of problem-solving competency in a virtual chemistry environment: The role of metacognitive knowledge about strategies. </w:t>
            </w:r>
            <w:r w:rsidRPr="00AE661C">
              <w:rPr>
                <w:i/>
                <w:iCs/>
                <w:sz w:val="20"/>
                <w:szCs w:val="20"/>
                <w:lang w:val="en-CA"/>
              </w:rPr>
              <w:t>Computers &amp; Education</w:t>
            </w:r>
            <w:r w:rsidRPr="00AE661C">
              <w:rPr>
                <w:sz w:val="20"/>
                <w:szCs w:val="20"/>
                <w:lang w:val="en-CA"/>
              </w:rPr>
              <w:t>, </w:t>
            </w:r>
            <w:r w:rsidRPr="00AE661C">
              <w:rPr>
                <w:i/>
                <w:iCs/>
                <w:sz w:val="20"/>
                <w:szCs w:val="20"/>
                <w:lang w:val="en-CA"/>
              </w:rPr>
              <w:t>59</w:t>
            </w:r>
            <w:r w:rsidRPr="00AE661C">
              <w:rPr>
                <w:sz w:val="20"/>
                <w:szCs w:val="20"/>
                <w:lang w:val="en-CA"/>
              </w:rPr>
              <w:t>(4), 1199-1214.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YES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Competencies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</w:pPr>
            <w:r>
              <w:t>OECD</w:t>
            </w:r>
          </w:p>
        </w:tc>
        <w:tc>
          <w:tcPr>
            <w:tcW w:w="3690" w:type="dxa"/>
          </w:tcPr>
          <w:p w:rsidR="00992B6E" w:rsidRDefault="00992B6E" w:rsidP="00FC1055">
            <w:pPr>
              <w:spacing w:line="240" w:lineRule="auto"/>
            </w:pPr>
            <w:r>
              <w:t xml:space="preserve">Specific (problem-solving competency) 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Default="00992B6E" w:rsidP="00FC1055">
            <w:pPr>
              <w:spacing w:line="240" w:lineRule="auto"/>
            </w:pPr>
            <w:r w:rsidRPr="00AE661C">
              <w:t>(Leutner et al., 2012</w:t>
            </w:r>
            <w:r>
              <w:t>)</w:t>
            </w:r>
          </w:p>
          <w:p w:rsidR="00992B6E" w:rsidRDefault="00992B6E" w:rsidP="00FC1055">
            <w:pPr>
              <w:spacing w:line="240" w:lineRule="auto"/>
            </w:pPr>
            <w:r>
              <w:t>(</w:t>
            </w:r>
            <w:r w:rsidRPr="00AE661C">
              <w:t>OECD, 2004</w:t>
            </w:r>
            <w:r>
              <w:t>)</w:t>
            </w:r>
          </w:p>
          <w:p w:rsidR="00992B6E" w:rsidRPr="00677538" w:rsidRDefault="00992B6E" w:rsidP="00FC1055">
            <w:pPr>
              <w:spacing w:line="240" w:lineRule="auto"/>
            </w:pPr>
            <w:r>
              <w:t>(</w:t>
            </w:r>
            <w:r w:rsidRPr="00AE661C">
              <w:t>OECD, 2010)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>
              <w:t>81/180</w:t>
            </w:r>
          </w:p>
        </w:tc>
        <w:tc>
          <w:tcPr>
            <w:tcW w:w="3535" w:type="dxa"/>
          </w:tcPr>
          <w:p w:rsidR="00992B6E" w:rsidRPr="00D44898" w:rsidRDefault="00992B6E" w:rsidP="00FC1055">
            <w:pPr>
              <w:spacing w:line="240" w:lineRule="auto"/>
            </w:pPr>
            <w:r w:rsidRPr="00D44898">
              <w:rPr>
                <w:sz w:val="20"/>
                <w:szCs w:val="20"/>
              </w:rPr>
              <w:t xml:space="preserve">Chang, Huey-Por, Chen, Chin-Chang, Guo, Gwo-Jen, Cheng, Yeong-Jin, Lin, Chen-Yung, &amp; Jen, Tsung-Hau. (2011). The Development of a Competence Scale for Learning Science: Inquiry and Communication. </w:t>
            </w:r>
            <w:r w:rsidRPr="00D44898">
              <w:rPr>
                <w:i/>
                <w:sz w:val="20"/>
                <w:szCs w:val="20"/>
              </w:rPr>
              <w:t>International Journal of Science and Mathematics Education</w:t>
            </w:r>
            <w:r w:rsidRPr="00D44898">
              <w:rPr>
                <w:sz w:val="20"/>
                <w:szCs w:val="20"/>
              </w:rPr>
              <w:t>, 9(5), 1213-1233.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YES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Competences</w:t>
            </w:r>
          </w:p>
        </w:tc>
        <w:tc>
          <w:tcPr>
            <w:tcW w:w="3150" w:type="dxa"/>
          </w:tcPr>
          <w:p w:rsidR="00992B6E" w:rsidRDefault="00992B6E" w:rsidP="00FC1055">
            <w:pPr>
              <w:spacing w:line="240" w:lineRule="auto"/>
            </w:pPr>
            <w:r>
              <w:t>OECD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Default="00992B6E" w:rsidP="00FC1055">
            <w:pPr>
              <w:spacing w:line="240" w:lineRule="auto"/>
            </w:pPr>
            <w:r>
              <w:t>&amp; National Research Council (NRC)</w:t>
            </w:r>
          </w:p>
          <w:p w:rsidR="00992B6E" w:rsidRPr="00677538" w:rsidRDefault="00992B6E" w:rsidP="00FC1055">
            <w:pPr>
              <w:spacing w:line="240" w:lineRule="auto"/>
            </w:pPr>
          </w:p>
        </w:tc>
        <w:tc>
          <w:tcPr>
            <w:tcW w:w="3690" w:type="dxa"/>
          </w:tcPr>
          <w:p w:rsidR="00992B6E" w:rsidRDefault="00992B6E" w:rsidP="00FC1055">
            <w:pPr>
              <w:spacing w:line="240" w:lineRule="auto"/>
            </w:pPr>
            <w:r>
              <w:t>Specific (scientific inquiry competence)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Default="00992B6E" w:rsidP="00FC1055">
            <w:pPr>
              <w:spacing w:line="240" w:lineRule="auto"/>
            </w:pPr>
            <w:r>
              <w:t>(OECD, 2005)</w:t>
            </w:r>
          </w:p>
          <w:p w:rsidR="00992B6E" w:rsidRDefault="00992B6E" w:rsidP="00FC1055">
            <w:pPr>
              <w:spacing w:line="240" w:lineRule="auto"/>
            </w:pPr>
            <w:r>
              <w:t>(NRC, 1996; 2000)</w:t>
            </w:r>
          </w:p>
          <w:p w:rsidR="00992B6E" w:rsidRPr="00677538" w:rsidRDefault="00992B6E" w:rsidP="00FC1055">
            <w:pPr>
              <w:spacing w:line="240" w:lineRule="auto"/>
            </w:pP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>
              <w:t>82/83</w:t>
            </w:r>
          </w:p>
        </w:tc>
        <w:tc>
          <w:tcPr>
            <w:tcW w:w="3535" w:type="dxa"/>
          </w:tcPr>
          <w:p w:rsidR="00992B6E" w:rsidRPr="00D44898" w:rsidRDefault="00992B6E" w:rsidP="00FC1055">
            <w:pPr>
              <w:spacing w:line="240" w:lineRule="auto"/>
            </w:pPr>
            <w:r w:rsidRPr="00D44898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Meroño, L., Calderón, A., Arias-Estero, J. L., &amp; Méndez-Giménez, A. (2017). Questionnaire on Perceived Competency-based Learning</w:t>
            </w:r>
            <w:r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 xml:space="preserve"> for primary school students (#</w:t>
            </w:r>
            <w:r w:rsidRPr="00D44898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ICOMpri1)/Cuestionario del Aprendizaje Percibido basado en Competencias para el Alumnado de Educación Primaria (# ICOMPri1). </w:t>
            </w:r>
            <w:r w:rsidRPr="00D44898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Cultura y Educación</w:t>
            </w:r>
            <w:r w:rsidRPr="00D44898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, </w:t>
            </w:r>
            <w:r w:rsidRPr="00D44898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29</w:t>
            </w:r>
            <w:r w:rsidRPr="00D44898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 xml:space="preserve">(2), 279-323. </w:t>
            </w:r>
            <w:r>
              <w:rPr>
                <w:sz w:val="20"/>
                <w:szCs w:val="20"/>
              </w:rPr>
              <w:t xml:space="preserve">DOI: </w:t>
            </w:r>
            <w:r w:rsidRPr="00D44898">
              <w:rPr>
                <w:sz w:val="20"/>
                <w:szCs w:val="20"/>
                <w:lang w:val="sv-SE"/>
              </w:rPr>
              <w:t>10.1080/11356405.2017.1318470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 xml:space="preserve">YES 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Competences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</w:pPr>
            <w:r>
              <w:t>National Law/Policy Document</w:t>
            </w:r>
          </w:p>
        </w:tc>
        <w:tc>
          <w:tcPr>
            <w:tcW w:w="3690" w:type="dxa"/>
          </w:tcPr>
          <w:p w:rsidR="00992B6E" w:rsidRDefault="00992B6E" w:rsidP="00FC1055">
            <w:pPr>
              <w:spacing w:line="240" w:lineRule="auto"/>
            </w:pPr>
            <w:r>
              <w:t xml:space="preserve">Generic 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Default="00992B6E" w:rsidP="00FC1055">
            <w:pPr>
              <w:spacing w:line="240" w:lineRule="auto"/>
            </w:pPr>
            <w:r w:rsidRPr="00D44898">
              <w:t>(Ley Orgánica, 8/2013</w:t>
            </w:r>
            <w:r>
              <w:t>)</w:t>
            </w:r>
          </w:p>
          <w:p w:rsidR="00992B6E" w:rsidRPr="00677538" w:rsidRDefault="00992B6E" w:rsidP="00FC1055">
            <w:pPr>
              <w:spacing w:line="240" w:lineRule="auto"/>
            </w:pPr>
            <w:r>
              <w:t>(</w:t>
            </w:r>
            <w:r w:rsidRPr="00D44898">
              <w:t>Real Decreto, 126/2014)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>
              <w:t>83/123</w:t>
            </w:r>
          </w:p>
        </w:tc>
        <w:tc>
          <w:tcPr>
            <w:tcW w:w="3535" w:type="dxa"/>
          </w:tcPr>
          <w:p w:rsidR="00992B6E" w:rsidRPr="00D44898" w:rsidRDefault="00992B6E" w:rsidP="00FC1055">
            <w:pPr>
              <w:tabs>
                <w:tab w:val="left" w:pos="5653"/>
              </w:tabs>
              <w:autoSpaceDE w:val="0"/>
              <w:autoSpaceDN w:val="0"/>
              <w:adjustRightInd w:val="0"/>
              <w:spacing w:line="240" w:lineRule="auto"/>
              <w:rPr>
                <w:sz w:val="20"/>
                <w:szCs w:val="20"/>
                <w:lang w:val="sv-SE"/>
              </w:rPr>
            </w:pPr>
            <w:r w:rsidRPr="005F58C5">
              <w:rPr>
                <w:color w:val="222222"/>
                <w:sz w:val="20"/>
                <w:szCs w:val="20"/>
                <w:shd w:val="clear" w:color="auto" w:fill="FFFFFF"/>
                <w:lang w:val="sv-SE"/>
              </w:rPr>
              <w:t xml:space="preserve">Ahonen, A. K., &amp; Kinnunen, P. (2015). </w:t>
            </w:r>
            <w:r w:rsidRPr="00D44898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How do students value the importance of twenty-first century skills</w:t>
            </w:r>
            <w:proofErr w:type="gramStart"/>
            <w:r w:rsidRPr="00D44898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?.</w:t>
            </w:r>
            <w:proofErr w:type="gramEnd"/>
            <w:r w:rsidRPr="00D44898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 </w:t>
            </w:r>
            <w:r w:rsidRPr="00D44898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Scandinavian Journal of Educational Research</w:t>
            </w:r>
            <w:r w:rsidRPr="00D44898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, </w:t>
            </w:r>
            <w:r w:rsidRPr="00D44898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59</w:t>
            </w:r>
            <w:r w:rsidRPr="00D44898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 xml:space="preserve">(4), 395-412. </w:t>
            </w:r>
            <w:r w:rsidRPr="00D44898">
              <w:rPr>
                <w:sz w:val="20"/>
                <w:szCs w:val="20"/>
                <w:lang w:val="sv-SE"/>
              </w:rPr>
              <w:t>DOI:</w:t>
            </w:r>
            <w:proofErr w:type="gramStart"/>
            <w:r w:rsidRPr="00D44898">
              <w:rPr>
                <w:sz w:val="20"/>
                <w:szCs w:val="20"/>
                <w:lang w:val="sv-SE"/>
              </w:rPr>
              <w:t>10.1080</w:t>
            </w:r>
            <w:proofErr w:type="gramEnd"/>
            <w:r w:rsidRPr="00D44898">
              <w:rPr>
                <w:sz w:val="20"/>
                <w:szCs w:val="20"/>
                <w:lang w:val="sv-SE"/>
              </w:rPr>
              <w:t>/00313831.2014.904423</w:t>
            </w: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>
              <w:t>YES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Default="00992B6E" w:rsidP="00FC1055">
            <w:pPr>
              <w:spacing w:line="240" w:lineRule="auto"/>
            </w:pPr>
            <w:r>
              <w:t xml:space="preserve">Competences </w:t>
            </w:r>
          </w:p>
          <w:p w:rsidR="00992B6E" w:rsidRPr="00677538" w:rsidRDefault="00992B6E" w:rsidP="00FC1055">
            <w:pPr>
              <w:spacing w:line="240" w:lineRule="auto"/>
            </w:pPr>
            <w:r>
              <w:t xml:space="preserve">(&amp; </w:t>
            </w:r>
            <w:proofErr w:type="gramStart"/>
            <w:r>
              <w:t>twenty</w:t>
            </w:r>
            <w:proofErr w:type="gramEnd"/>
            <w:r>
              <w:t xml:space="preserve"> first century skills used)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</w:pPr>
            <w:r>
              <w:t>Academic</w:t>
            </w:r>
          </w:p>
        </w:tc>
        <w:tc>
          <w:tcPr>
            <w:tcW w:w="3690" w:type="dxa"/>
          </w:tcPr>
          <w:p w:rsidR="00992B6E" w:rsidRDefault="00992B6E" w:rsidP="00FC1055">
            <w:pPr>
              <w:spacing w:line="240" w:lineRule="auto"/>
            </w:pPr>
            <w:r>
              <w:t xml:space="preserve">Generic 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 w:rsidRPr="00E42074">
              <w:t>(Binkley et al., 2012).</w:t>
            </w:r>
          </w:p>
        </w:tc>
      </w:tr>
      <w:tr w:rsidR="00992B6E" w:rsidRPr="00677538" w:rsidTr="00FC1055">
        <w:tc>
          <w:tcPr>
            <w:tcW w:w="13086" w:type="dxa"/>
            <w:gridSpan w:val="5"/>
          </w:tcPr>
          <w:p w:rsidR="00992B6E" w:rsidRPr="00677538" w:rsidRDefault="00992B6E" w:rsidP="00FC1055">
            <w:pPr>
              <w:spacing w:line="240" w:lineRule="auto"/>
              <w:rPr>
                <w:b/>
              </w:rPr>
            </w:pPr>
            <w:r w:rsidRPr="00677538">
              <w:rPr>
                <w:b/>
              </w:rPr>
              <w:t>ERIC-based Review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  <w:rPr>
                <w:b/>
              </w:rPr>
            </w:pPr>
            <w:r w:rsidRPr="00677538">
              <w:rPr>
                <w:b/>
              </w:rPr>
              <w:t xml:space="preserve">No./no in records </w:t>
            </w:r>
          </w:p>
        </w:tc>
        <w:tc>
          <w:tcPr>
            <w:tcW w:w="3535" w:type="dxa"/>
          </w:tcPr>
          <w:p w:rsidR="00992B6E" w:rsidRPr="00677538" w:rsidRDefault="00992B6E" w:rsidP="00FC1055">
            <w:pPr>
              <w:spacing w:line="240" w:lineRule="auto"/>
              <w:rPr>
                <w:b/>
              </w:rPr>
            </w:pPr>
            <w:r w:rsidRPr="00677538">
              <w:rPr>
                <w:b/>
              </w:rPr>
              <w:t>Reference</w:t>
            </w:r>
          </w:p>
        </w:tc>
        <w:tc>
          <w:tcPr>
            <w:tcW w:w="1643" w:type="dxa"/>
          </w:tcPr>
          <w:p w:rsidR="00992B6E" w:rsidRPr="00677538" w:rsidRDefault="00992B6E" w:rsidP="00FC1055">
            <w:pPr>
              <w:spacing w:line="240" w:lineRule="auto"/>
              <w:rPr>
                <w:b/>
              </w:rPr>
            </w:pPr>
            <w:r w:rsidRPr="00677538">
              <w:rPr>
                <w:b/>
              </w:rPr>
              <w:t>Is definition provided? (Yes/No)</w:t>
            </w:r>
            <w:r>
              <w:rPr>
                <w:b/>
              </w:rPr>
              <w:t xml:space="preserve"> / Competences, Competencies or Both used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  <w:rPr>
                <w:b/>
              </w:rPr>
            </w:pPr>
            <w:r w:rsidRPr="00677538">
              <w:rPr>
                <w:b/>
              </w:rPr>
              <w:t>Sources of the definition (Academic, European Commiss</w:t>
            </w:r>
            <w:r>
              <w:rPr>
                <w:b/>
              </w:rPr>
              <w:t>ion (EC), OECD, National Law/Policy Document</w:t>
            </w:r>
            <w:r w:rsidRPr="00677538">
              <w:rPr>
                <w:b/>
              </w:rPr>
              <w:t>)</w:t>
            </w:r>
          </w:p>
        </w:tc>
        <w:tc>
          <w:tcPr>
            <w:tcW w:w="3690" w:type="dxa"/>
          </w:tcPr>
          <w:p w:rsidR="00992B6E" w:rsidRDefault="00992B6E" w:rsidP="00FC1055">
            <w:pPr>
              <w:spacing w:line="240" w:lineRule="auto"/>
              <w:rPr>
                <w:b/>
              </w:rPr>
            </w:pPr>
            <w:r>
              <w:rPr>
                <w:b/>
              </w:rPr>
              <w:t>Is definition generic or specific to an individual competence/competency?  /</w:t>
            </w:r>
          </w:p>
          <w:p w:rsidR="00992B6E" w:rsidRPr="00677538" w:rsidRDefault="00992B6E" w:rsidP="00FC1055">
            <w:pPr>
              <w:spacing w:line="240" w:lineRule="auto"/>
              <w:rPr>
                <w:b/>
              </w:rPr>
            </w:pPr>
            <w:r w:rsidRPr="00677538">
              <w:rPr>
                <w:b/>
              </w:rPr>
              <w:t>References used in relation to the definition</w:t>
            </w:r>
          </w:p>
        </w:tc>
      </w:tr>
      <w:tr w:rsidR="00992B6E" w:rsidRPr="00677538" w:rsidTr="00FC1055">
        <w:tc>
          <w:tcPr>
            <w:tcW w:w="1068" w:type="dxa"/>
          </w:tcPr>
          <w:p w:rsidR="00992B6E" w:rsidRPr="00677538" w:rsidRDefault="00992B6E" w:rsidP="00FC1055">
            <w:pPr>
              <w:spacing w:line="240" w:lineRule="auto"/>
            </w:pPr>
            <w:r>
              <w:t>84</w:t>
            </w:r>
            <w:r w:rsidRPr="00677538">
              <w:t>/55</w:t>
            </w:r>
          </w:p>
        </w:tc>
        <w:tc>
          <w:tcPr>
            <w:tcW w:w="3535" w:type="dxa"/>
          </w:tcPr>
          <w:p w:rsidR="00992B6E" w:rsidRPr="00677538" w:rsidRDefault="00992B6E" w:rsidP="00FC1055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677538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Buscà Donet, F., Ambròs Pallares, A., &amp; Burset Burillo, S. (2017). Bibliometric characteristics of articles on key competences indexed in ERIC from 1990 to 2013. </w:t>
            </w:r>
            <w:r w:rsidRPr="00677538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European Journal of Teacher Education</w:t>
            </w:r>
            <w:r w:rsidRPr="00677538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, </w:t>
            </w:r>
            <w:r w:rsidRPr="00677538">
              <w:rPr>
                <w:i/>
                <w:iCs/>
                <w:color w:val="222222"/>
                <w:sz w:val="20"/>
                <w:szCs w:val="20"/>
                <w:shd w:val="clear" w:color="auto" w:fill="FFFFFF"/>
                <w:lang w:val="en-CA"/>
              </w:rPr>
              <w:t>40</w:t>
            </w:r>
            <w:r w:rsidRPr="00677538">
              <w:rPr>
                <w:color w:val="222222"/>
                <w:sz w:val="20"/>
                <w:szCs w:val="20"/>
                <w:shd w:val="clear" w:color="auto" w:fill="FFFFFF"/>
                <w:lang w:val="en-CA"/>
              </w:rPr>
              <w:t>(2), 144-156.</w:t>
            </w:r>
          </w:p>
          <w:p w:rsidR="00992B6E" w:rsidRPr="00677538" w:rsidRDefault="00992B6E" w:rsidP="00FC1055">
            <w:pPr>
              <w:spacing w:line="240" w:lineRule="auto"/>
            </w:pPr>
          </w:p>
        </w:tc>
        <w:tc>
          <w:tcPr>
            <w:tcW w:w="1643" w:type="dxa"/>
          </w:tcPr>
          <w:p w:rsidR="00992B6E" w:rsidRDefault="00992B6E" w:rsidP="00FC1055">
            <w:pPr>
              <w:spacing w:line="240" w:lineRule="auto"/>
            </w:pPr>
            <w:r w:rsidRPr="00677538">
              <w:t>YES</w:t>
            </w:r>
            <w:r>
              <w:t xml:space="preserve"> 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>
              <w:t>Both</w:t>
            </w:r>
          </w:p>
        </w:tc>
        <w:tc>
          <w:tcPr>
            <w:tcW w:w="3150" w:type="dxa"/>
          </w:tcPr>
          <w:p w:rsidR="00992B6E" w:rsidRPr="00677538" w:rsidRDefault="00992B6E" w:rsidP="00FC1055">
            <w:pPr>
              <w:spacing w:line="240" w:lineRule="auto"/>
            </w:pPr>
            <w:r w:rsidRPr="00677538">
              <w:t>Academic</w:t>
            </w:r>
          </w:p>
        </w:tc>
        <w:tc>
          <w:tcPr>
            <w:tcW w:w="3690" w:type="dxa"/>
          </w:tcPr>
          <w:p w:rsidR="00992B6E" w:rsidRDefault="00992B6E" w:rsidP="00FC1055">
            <w:pPr>
              <w:spacing w:line="240" w:lineRule="auto"/>
            </w:pPr>
            <w:r>
              <w:t xml:space="preserve">Generic </w:t>
            </w:r>
          </w:p>
          <w:p w:rsidR="00992B6E" w:rsidRDefault="00992B6E" w:rsidP="00FC1055">
            <w:pPr>
              <w:spacing w:line="240" w:lineRule="auto"/>
            </w:pPr>
          </w:p>
          <w:p w:rsidR="00992B6E" w:rsidRPr="00677538" w:rsidRDefault="00992B6E" w:rsidP="00FC1055">
            <w:pPr>
              <w:spacing w:line="240" w:lineRule="auto"/>
            </w:pPr>
            <w:r w:rsidRPr="00677538">
              <w:t>(Tiana, 2011)</w:t>
            </w:r>
          </w:p>
          <w:p w:rsidR="00992B6E" w:rsidRPr="00677538" w:rsidRDefault="00992B6E" w:rsidP="00FC1055">
            <w:pPr>
              <w:spacing w:line="240" w:lineRule="auto"/>
            </w:pPr>
            <w:r w:rsidRPr="00677538">
              <w:rPr>
                <w:color w:val="000000"/>
              </w:rPr>
              <w:t xml:space="preserve">(Tiana, Moya, and Luengo </w:t>
            </w:r>
            <w:r w:rsidRPr="00677538">
              <w:rPr>
                <w:color w:val="000081"/>
              </w:rPr>
              <w:t>2011</w:t>
            </w:r>
            <w:r w:rsidRPr="00677538">
              <w:rPr>
                <w:color w:val="000000"/>
              </w:rPr>
              <w:t>)</w:t>
            </w:r>
          </w:p>
          <w:p w:rsidR="00992B6E" w:rsidRPr="00677538" w:rsidRDefault="00992B6E" w:rsidP="00FC1055">
            <w:pPr>
              <w:spacing w:line="240" w:lineRule="auto"/>
            </w:pPr>
          </w:p>
        </w:tc>
      </w:tr>
    </w:tbl>
    <w:p w:rsidR="00412258" w:rsidRDefault="00412258">
      <w:bookmarkStart w:id="0" w:name="_GoBack"/>
      <w:bookmarkEnd w:id="0"/>
    </w:p>
    <w:sectPr w:rsidR="00412258" w:rsidSect="00992B6E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Palatino Linotype">
    <w:panose1 w:val="02040502050505030304"/>
    <w:charset w:val="00"/>
    <w:family w:val="auto"/>
    <w:pitch w:val="variable"/>
    <w:sig w:usb0="E0000287" w:usb1="40000013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0D42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954AB6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DD022E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2E3626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ECD2D8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227402F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185865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46689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8F80B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977869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605E94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5CC0843"/>
    <w:multiLevelType w:val="multilevel"/>
    <w:tmpl w:val="9426EBB6"/>
    <w:lvl w:ilvl="0">
      <w:start w:val="1"/>
      <w:numFmt w:val="decimal"/>
      <w:lvlText w:val="(%1)"/>
      <w:lvlJc w:val="right"/>
      <w:pPr>
        <w:ind w:left="720" w:hanging="18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D0E7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F413159"/>
    <w:multiLevelType w:val="multilevel"/>
    <w:tmpl w:val="30C08770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BD58E1"/>
    <w:multiLevelType w:val="multilevel"/>
    <w:tmpl w:val="1B88B87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E8289F"/>
    <w:multiLevelType w:val="hybridMultilevel"/>
    <w:tmpl w:val="E976D66C"/>
    <w:lvl w:ilvl="0" w:tplc="0CDA72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89B5003"/>
    <w:multiLevelType w:val="multilevel"/>
    <w:tmpl w:val="DD5255FA"/>
    <w:lvl w:ilvl="0">
      <w:start w:val="1"/>
      <w:numFmt w:val="decimal"/>
      <w:lvlText w:val="(%1)"/>
      <w:lvlJc w:val="left"/>
      <w:pPr>
        <w:ind w:left="720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4A71FF"/>
    <w:multiLevelType w:val="hybridMultilevel"/>
    <w:tmpl w:val="CADCD1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838135E"/>
    <w:multiLevelType w:val="hybridMultilevel"/>
    <w:tmpl w:val="68EEE1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D751B3"/>
    <w:multiLevelType w:val="hybridMultilevel"/>
    <w:tmpl w:val="57082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FA38AF"/>
    <w:multiLevelType w:val="hybridMultilevel"/>
    <w:tmpl w:val="C96A9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9373AB"/>
    <w:multiLevelType w:val="multilevel"/>
    <w:tmpl w:val="B89CB32C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9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9"/>
  </w:num>
  <w:num w:numId="8">
    <w:abstractNumId w:val="5"/>
  </w:num>
  <w:num w:numId="9">
    <w:abstractNumId w:val="7"/>
  </w:num>
  <w:num w:numId="10">
    <w:abstractNumId w:val="6"/>
  </w:num>
  <w:num w:numId="11">
    <w:abstractNumId w:val="10"/>
  </w:num>
  <w:num w:numId="12">
    <w:abstractNumId w:val="8"/>
  </w:num>
  <w:num w:numId="13">
    <w:abstractNumId w:val="17"/>
  </w:num>
  <w:num w:numId="14">
    <w:abstractNumId w:val="20"/>
  </w:num>
  <w:num w:numId="15">
    <w:abstractNumId w:val="14"/>
  </w:num>
  <w:num w:numId="16">
    <w:abstractNumId w:val="16"/>
  </w:num>
  <w:num w:numId="17">
    <w:abstractNumId w:val="11"/>
  </w:num>
  <w:num w:numId="18">
    <w:abstractNumId w:val="0"/>
  </w:num>
  <w:num w:numId="19">
    <w:abstractNumId w:val="12"/>
  </w:num>
  <w:num w:numId="20">
    <w:abstractNumId w:val="18"/>
  </w:num>
  <w:num w:numId="21">
    <w:abstractNumId w:val="21"/>
  </w:num>
  <w:num w:numId="22">
    <w:abstractNumId w:val="22"/>
  </w:num>
  <w:num w:numId="23">
    <w:abstractNumId w:val="13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B6E"/>
    <w:rsid w:val="00331088"/>
    <w:rsid w:val="00412258"/>
    <w:rsid w:val="00992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457499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B6E"/>
    <w:pPr>
      <w:spacing w:line="480" w:lineRule="auto"/>
    </w:pPr>
    <w:rPr>
      <w:rFonts w:ascii="Times New Roman" w:eastAsia="Times New Roman" w:hAnsi="Times New Roman" w:cs="Times New Roman"/>
      <w:lang w:val="en-GB" w:eastAsia="en-GB"/>
    </w:rPr>
  </w:style>
  <w:style w:type="paragraph" w:styleId="Heading1">
    <w:name w:val="heading 1"/>
    <w:basedOn w:val="Normal"/>
    <w:next w:val="Paragraph"/>
    <w:link w:val="Heading1Char"/>
    <w:qFormat/>
    <w:rsid w:val="00992B6E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Paragraph"/>
    <w:link w:val="Heading2Char"/>
    <w:qFormat/>
    <w:rsid w:val="00992B6E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Heading3">
    <w:name w:val="heading 3"/>
    <w:basedOn w:val="Normal"/>
    <w:next w:val="Paragraph"/>
    <w:link w:val="Heading3Char"/>
    <w:qFormat/>
    <w:rsid w:val="00992B6E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</w:rPr>
  </w:style>
  <w:style w:type="paragraph" w:styleId="Heading4">
    <w:name w:val="heading 4"/>
    <w:basedOn w:val="Paragraph"/>
    <w:next w:val="Newparagraph"/>
    <w:link w:val="Heading4Char"/>
    <w:qFormat/>
    <w:rsid w:val="00992B6E"/>
    <w:pPr>
      <w:spacing w:before="360"/>
      <w:outlineLvl w:val="3"/>
    </w:pPr>
    <w:rPr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92B6E"/>
    <w:rPr>
      <w:rFonts w:ascii="Times New Roman" w:eastAsia="Times New Roman" w:hAnsi="Times New Roman" w:cs="Arial"/>
      <w:b/>
      <w:bCs/>
      <w:kern w:val="32"/>
      <w:szCs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992B6E"/>
    <w:rPr>
      <w:rFonts w:ascii="Times New Roman" w:eastAsia="Times New Roman" w:hAnsi="Times New Roman" w:cs="Arial"/>
      <w:b/>
      <w:bCs/>
      <w:i/>
      <w:iCs/>
      <w:szCs w:val="28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992B6E"/>
    <w:rPr>
      <w:rFonts w:ascii="Times New Roman" w:eastAsia="Times New Roman" w:hAnsi="Times New Roman" w:cs="Arial"/>
      <w:bCs/>
      <w:i/>
      <w:szCs w:val="26"/>
      <w:lang w:val="en-GB" w:eastAsia="en-GB"/>
    </w:rPr>
  </w:style>
  <w:style w:type="character" w:customStyle="1" w:styleId="Heading4Char">
    <w:name w:val="Heading 4 Char"/>
    <w:basedOn w:val="DefaultParagraphFont"/>
    <w:link w:val="Heading4"/>
    <w:rsid w:val="00992B6E"/>
    <w:rPr>
      <w:rFonts w:ascii="Times New Roman" w:eastAsia="Times New Roman" w:hAnsi="Times New Roman" w:cs="Times New Roman"/>
      <w:bCs/>
      <w:szCs w:val="28"/>
      <w:lang w:val="en-GB" w:eastAsia="en-GB"/>
    </w:rPr>
  </w:style>
  <w:style w:type="paragraph" w:customStyle="1" w:styleId="Articletitle">
    <w:name w:val="Article title"/>
    <w:basedOn w:val="Normal"/>
    <w:next w:val="Normal"/>
    <w:qFormat/>
    <w:rsid w:val="00992B6E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Normal"/>
    <w:next w:val="Normal"/>
    <w:qFormat/>
    <w:rsid w:val="00992B6E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Normal"/>
    <w:qFormat/>
    <w:rsid w:val="00992B6E"/>
    <w:pPr>
      <w:spacing w:before="240" w:line="360" w:lineRule="auto"/>
    </w:pPr>
    <w:rPr>
      <w:i/>
    </w:rPr>
  </w:style>
  <w:style w:type="paragraph" w:customStyle="1" w:styleId="Receiveddates">
    <w:name w:val="Received dates"/>
    <w:basedOn w:val="Affiliation"/>
    <w:next w:val="Abstract"/>
    <w:qFormat/>
    <w:rsid w:val="00992B6E"/>
  </w:style>
  <w:style w:type="paragraph" w:customStyle="1" w:styleId="Abstract">
    <w:name w:val="Abstract"/>
    <w:basedOn w:val="Normal"/>
    <w:next w:val="Keywords"/>
    <w:qFormat/>
    <w:rsid w:val="00992B6E"/>
    <w:pPr>
      <w:spacing w:before="360" w:after="300" w:line="360" w:lineRule="auto"/>
      <w:ind w:left="720" w:right="567"/>
      <w:contextualSpacing/>
    </w:pPr>
    <w:rPr>
      <w:sz w:val="22"/>
    </w:rPr>
  </w:style>
  <w:style w:type="paragraph" w:customStyle="1" w:styleId="Keywords">
    <w:name w:val="Keywords"/>
    <w:basedOn w:val="Normal"/>
    <w:next w:val="Paragraph"/>
    <w:qFormat/>
    <w:rsid w:val="00992B6E"/>
    <w:pPr>
      <w:spacing w:before="240" w:after="240" w:line="360" w:lineRule="auto"/>
      <w:ind w:left="720" w:right="567"/>
    </w:pPr>
    <w:rPr>
      <w:sz w:val="22"/>
    </w:rPr>
  </w:style>
  <w:style w:type="paragraph" w:customStyle="1" w:styleId="Correspondencedetails">
    <w:name w:val="Correspondence details"/>
    <w:basedOn w:val="Normal"/>
    <w:qFormat/>
    <w:rsid w:val="00992B6E"/>
    <w:pPr>
      <w:spacing w:before="240" w:line="360" w:lineRule="auto"/>
    </w:pPr>
  </w:style>
  <w:style w:type="paragraph" w:customStyle="1" w:styleId="Displayedquotation">
    <w:name w:val="Displayed quotation"/>
    <w:basedOn w:val="Normal"/>
    <w:qFormat/>
    <w:rsid w:val="00992B6E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sz w:val="22"/>
    </w:rPr>
  </w:style>
  <w:style w:type="paragraph" w:customStyle="1" w:styleId="Numberedlist">
    <w:name w:val="Numbered list"/>
    <w:basedOn w:val="Paragraph"/>
    <w:next w:val="Paragraph"/>
    <w:qFormat/>
    <w:rsid w:val="00992B6E"/>
    <w:pPr>
      <w:widowControl/>
      <w:numPr>
        <w:numId w:val="13"/>
      </w:numPr>
      <w:spacing w:after="240"/>
      <w:contextualSpacing/>
    </w:pPr>
  </w:style>
  <w:style w:type="paragraph" w:customStyle="1" w:styleId="Displayedequation">
    <w:name w:val="Displayed equation"/>
    <w:basedOn w:val="Normal"/>
    <w:next w:val="Paragraph"/>
    <w:qFormat/>
    <w:rsid w:val="00992B6E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Acknowledgements">
    <w:name w:val="Acknowledgements"/>
    <w:basedOn w:val="Normal"/>
    <w:next w:val="Normal"/>
    <w:qFormat/>
    <w:rsid w:val="00992B6E"/>
    <w:pPr>
      <w:spacing w:before="120" w:line="360" w:lineRule="auto"/>
    </w:pPr>
    <w:rPr>
      <w:sz w:val="22"/>
    </w:rPr>
  </w:style>
  <w:style w:type="paragraph" w:customStyle="1" w:styleId="Tabletitle">
    <w:name w:val="Table title"/>
    <w:basedOn w:val="Normal"/>
    <w:next w:val="Normal"/>
    <w:qFormat/>
    <w:rsid w:val="00992B6E"/>
    <w:pPr>
      <w:spacing w:before="240" w:line="360" w:lineRule="auto"/>
    </w:pPr>
  </w:style>
  <w:style w:type="paragraph" w:customStyle="1" w:styleId="Figurecaption">
    <w:name w:val="Figure caption"/>
    <w:basedOn w:val="Normal"/>
    <w:next w:val="Normal"/>
    <w:qFormat/>
    <w:rsid w:val="00992B6E"/>
    <w:pPr>
      <w:spacing w:before="240" w:line="360" w:lineRule="auto"/>
    </w:pPr>
  </w:style>
  <w:style w:type="paragraph" w:customStyle="1" w:styleId="Footnotes">
    <w:name w:val="Footnotes"/>
    <w:basedOn w:val="Normal"/>
    <w:qFormat/>
    <w:rsid w:val="00992B6E"/>
    <w:pPr>
      <w:spacing w:before="120" w:line="360" w:lineRule="auto"/>
      <w:ind w:left="482" w:hanging="482"/>
      <w:contextualSpacing/>
    </w:pPr>
    <w:rPr>
      <w:sz w:val="22"/>
    </w:rPr>
  </w:style>
  <w:style w:type="paragraph" w:customStyle="1" w:styleId="Notesoncontributors">
    <w:name w:val="Notes on contributors"/>
    <w:basedOn w:val="Normal"/>
    <w:qFormat/>
    <w:rsid w:val="00992B6E"/>
    <w:pPr>
      <w:spacing w:before="240" w:line="360" w:lineRule="auto"/>
    </w:pPr>
    <w:rPr>
      <w:sz w:val="22"/>
    </w:rPr>
  </w:style>
  <w:style w:type="paragraph" w:customStyle="1" w:styleId="Normalparagraphstyle">
    <w:name w:val="Normal paragraph style"/>
    <w:basedOn w:val="Normal"/>
    <w:next w:val="Normal"/>
    <w:rsid w:val="00992B6E"/>
  </w:style>
  <w:style w:type="paragraph" w:customStyle="1" w:styleId="Paragraph">
    <w:name w:val="Paragraph"/>
    <w:basedOn w:val="Normal"/>
    <w:next w:val="Newparagraph"/>
    <w:qFormat/>
    <w:rsid w:val="00992B6E"/>
    <w:pPr>
      <w:widowControl w:val="0"/>
      <w:spacing w:before="240"/>
    </w:pPr>
  </w:style>
  <w:style w:type="paragraph" w:customStyle="1" w:styleId="Newparagraph">
    <w:name w:val="New paragraph"/>
    <w:basedOn w:val="Normal"/>
    <w:qFormat/>
    <w:rsid w:val="00992B6E"/>
    <w:pPr>
      <w:ind w:firstLine="720"/>
    </w:pPr>
  </w:style>
  <w:style w:type="paragraph" w:styleId="NormalIndent">
    <w:name w:val="Normal Indent"/>
    <w:basedOn w:val="Normal"/>
    <w:rsid w:val="00992B6E"/>
    <w:pPr>
      <w:ind w:left="720"/>
    </w:pPr>
  </w:style>
  <w:style w:type="paragraph" w:customStyle="1" w:styleId="References">
    <w:name w:val="References"/>
    <w:basedOn w:val="Normal"/>
    <w:qFormat/>
    <w:rsid w:val="00992B6E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next w:val="Paragraph"/>
    <w:qFormat/>
    <w:rsid w:val="00992B6E"/>
  </w:style>
  <w:style w:type="paragraph" w:customStyle="1" w:styleId="Bulletedlist">
    <w:name w:val="Bulleted list"/>
    <w:basedOn w:val="Paragraph"/>
    <w:next w:val="Paragraph"/>
    <w:qFormat/>
    <w:rsid w:val="00992B6E"/>
    <w:pPr>
      <w:widowControl/>
      <w:numPr>
        <w:numId w:val="14"/>
      </w:numPr>
      <w:spacing w:after="240"/>
      <w:contextualSpacing/>
    </w:pPr>
  </w:style>
  <w:style w:type="paragraph" w:styleId="FootnoteText">
    <w:name w:val="footnote text"/>
    <w:basedOn w:val="Normal"/>
    <w:link w:val="FootnoteTextChar"/>
    <w:autoRedefine/>
    <w:rsid w:val="00992B6E"/>
    <w:pPr>
      <w:ind w:left="284" w:hanging="284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rsid w:val="00992B6E"/>
    <w:rPr>
      <w:rFonts w:ascii="Times New Roman" w:eastAsia="Times New Roman" w:hAnsi="Times New Roman" w:cs="Times New Roman"/>
      <w:sz w:val="22"/>
      <w:szCs w:val="20"/>
      <w:lang w:val="en-GB" w:eastAsia="en-GB"/>
    </w:rPr>
  </w:style>
  <w:style w:type="character" w:styleId="FootnoteReference">
    <w:name w:val="footnote reference"/>
    <w:basedOn w:val="DefaultParagraphFont"/>
    <w:rsid w:val="00992B6E"/>
    <w:rPr>
      <w:vertAlign w:val="superscript"/>
    </w:rPr>
  </w:style>
  <w:style w:type="paragraph" w:styleId="EndnoteText">
    <w:name w:val="endnote text"/>
    <w:basedOn w:val="Normal"/>
    <w:link w:val="EndnoteTextChar"/>
    <w:autoRedefine/>
    <w:rsid w:val="00992B6E"/>
    <w:pPr>
      <w:ind w:left="284" w:hanging="284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rsid w:val="00992B6E"/>
    <w:rPr>
      <w:rFonts w:ascii="Times New Roman" w:eastAsia="Times New Roman" w:hAnsi="Times New Roman" w:cs="Times New Roman"/>
      <w:sz w:val="22"/>
      <w:szCs w:val="20"/>
      <w:lang w:val="en-GB" w:eastAsia="en-GB"/>
    </w:rPr>
  </w:style>
  <w:style w:type="character" w:styleId="EndnoteReference">
    <w:name w:val="endnote reference"/>
    <w:basedOn w:val="DefaultParagraphFont"/>
    <w:rsid w:val="00992B6E"/>
    <w:rPr>
      <w:vertAlign w:val="superscript"/>
    </w:rPr>
  </w:style>
  <w:style w:type="paragraph" w:styleId="Header">
    <w:name w:val="header"/>
    <w:basedOn w:val="Normal"/>
    <w:link w:val="HeaderChar"/>
    <w:rsid w:val="00992B6E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992B6E"/>
    <w:rPr>
      <w:rFonts w:ascii="Times New Roman" w:eastAsia="Times New Roman" w:hAnsi="Times New Roman" w:cs="Times New Roman"/>
      <w:lang w:val="en-GB" w:eastAsia="en-GB"/>
    </w:rPr>
  </w:style>
  <w:style w:type="paragraph" w:styleId="Footer">
    <w:name w:val="footer"/>
    <w:basedOn w:val="Normal"/>
    <w:link w:val="FooterChar"/>
    <w:rsid w:val="00992B6E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992B6E"/>
    <w:rPr>
      <w:rFonts w:ascii="Times New Roman" w:eastAsia="Times New Roman" w:hAnsi="Times New Roman" w:cs="Times New Roman"/>
      <w:lang w:val="en-GB" w:eastAsia="en-GB"/>
    </w:rPr>
  </w:style>
  <w:style w:type="paragraph" w:customStyle="1" w:styleId="Heading4Paragraph">
    <w:name w:val="Heading 4 + Paragraph"/>
    <w:basedOn w:val="Paragraph"/>
    <w:next w:val="Newparagraph"/>
    <w:qFormat/>
    <w:rsid w:val="00992B6E"/>
    <w:pPr>
      <w:widowControl/>
      <w:spacing w:before="360"/>
    </w:pPr>
  </w:style>
  <w:style w:type="character" w:styleId="Hyperlink">
    <w:name w:val="Hyperlink"/>
    <w:basedOn w:val="DefaultParagraphFont"/>
    <w:rsid w:val="00992B6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992B6E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92B6E"/>
    <w:rPr>
      <w:rFonts w:ascii="Lucida Grande" w:eastAsia="Times New Roman" w:hAnsi="Lucida Grande" w:cs="Lucida Grande"/>
      <w:sz w:val="18"/>
      <w:szCs w:val="18"/>
      <w:lang w:val="en-GB" w:eastAsia="en-GB"/>
    </w:rPr>
  </w:style>
  <w:style w:type="table" w:styleId="TableGrid">
    <w:name w:val="Table Grid"/>
    <w:basedOn w:val="TableNormal"/>
    <w:uiPriority w:val="59"/>
    <w:rsid w:val="00992B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992B6E"/>
  </w:style>
  <w:style w:type="paragraph" w:styleId="ListParagraph">
    <w:name w:val="List Paragraph"/>
    <w:basedOn w:val="Normal"/>
    <w:uiPriority w:val="34"/>
    <w:qFormat/>
    <w:rsid w:val="00992B6E"/>
    <w:pPr>
      <w:spacing w:line="240" w:lineRule="auto"/>
      <w:ind w:left="720"/>
      <w:contextualSpacing/>
    </w:pPr>
    <w:rPr>
      <w:rFonts w:asciiTheme="minorHAnsi" w:eastAsiaTheme="minorEastAsia" w:hAnsiTheme="minorHAnsi" w:cstheme="minorBidi"/>
      <w:lang w:val="en-US" w:eastAsia="en-US"/>
    </w:rPr>
  </w:style>
  <w:style w:type="paragraph" w:styleId="NormalWeb">
    <w:name w:val="Normal (Web)"/>
    <w:basedOn w:val="Normal"/>
    <w:semiHidden/>
    <w:unhideWhenUsed/>
    <w:rsid w:val="00992B6E"/>
  </w:style>
  <w:style w:type="character" w:styleId="CommentReference">
    <w:name w:val="annotation reference"/>
    <w:basedOn w:val="DefaultParagraphFont"/>
    <w:semiHidden/>
    <w:unhideWhenUsed/>
    <w:rsid w:val="00992B6E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unhideWhenUsed/>
    <w:rsid w:val="00992B6E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992B6E"/>
    <w:rPr>
      <w:rFonts w:ascii="Times New Roman" w:eastAsia="Times New Roman" w:hAnsi="Times New Roman" w:cs="Times New Roman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92B6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992B6E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character" w:customStyle="1" w:styleId="orcid-id-https">
    <w:name w:val="orcid-id-https"/>
    <w:rsid w:val="00992B6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B6E"/>
    <w:pPr>
      <w:spacing w:line="480" w:lineRule="auto"/>
    </w:pPr>
    <w:rPr>
      <w:rFonts w:ascii="Times New Roman" w:eastAsia="Times New Roman" w:hAnsi="Times New Roman" w:cs="Times New Roman"/>
      <w:lang w:val="en-GB" w:eastAsia="en-GB"/>
    </w:rPr>
  </w:style>
  <w:style w:type="paragraph" w:styleId="Heading1">
    <w:name w:val="heading 1"/>
    <w:basedOn w:val="Normal"/>
    <w:next w:val="Paragraph"/>
    <w:link w:val="Heading1Char"/>
    <w:qFormat/>
    <w:rsid w:val="00992B6E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Paragraph"/>
    <w:link w:val="Heading2Char"/>
    <w:qFormat/>
    <w:rsid w:val="00992B6E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Heading3">
    <w:name w:val="heading 3"/>
    <w:basedOn w:val="Normal"/>
    <w:next w:val="Paragraph"/>
    <w:link w:val="Heading3Char"/>
    <w:qFormat/>
    <w:rsid w:val="00992B6E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</w:rPr>
  </w:style>
  <w:style w:type="paragraph" w:styleId="Heading4">
    <w:name w:val="heading 4"/>
    <w:basedOn w:val="Paragraph"/>
    <w:next w:val="Newparagraph"/>
    <w:link w:val="Heading4Char"/>
    <w:qFormat/>
    <w:rsid w:val="00992B6E"/>
    <w:pPr>
      <w:spacing w:before="360"/>
      <w:outlineLvl w:val="3"/>
    </w:pPr>
    <w:rPr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92B6E"/>
    <w:rPr>
      <w:rFonts w:ascii="Times New Roman" w:eastAsia="Times New Roman" w:hAnsi="Times New Roman" w:cs="Arial"/>
      <w:b/>
      <w:bCs/>
      <w:kern w:val="32"/>
      <w:szCs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992B6E"/>
    <w:rPr>
      <w:rFonts w:ascii="Times New Roman" w:eastAsia="Times New Roman" w:hAnsi="Times New Roman" w:cs="Arial"/>
      <w:b/>
      <w:bCs/>
      <w:i/>
      <w:iCs/>
      <w:szCs w:val="28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992B6E"/>
    <w:rPr>
      <w:rFonts w:ascii="Times New Roman" w:eastAsia="Times New Roman" w:hAnsi="Times New Roman" w:cs="Arial"/>
      <w:bCs/>
      <w:i/>
      <w:szCs w:val="26"/>
      <w:lang w:val="en-GB" w:eastAsia="en-GB"/>
    </w:rPr>
  </w:style>
  <w:style w:type="character" w:customStyle="1" w:styleId="Heading4Char">
    <w:name w:val="Heading 4 Char"/>
    <w:basedOn w:val="DefaultParagraphFont"/>
    <w:link w:val="Heading4"/>
    <w:rsid w:val="00992B6E"/>
    <w:rPr>
      <w:rFonts w:ascii="Times New Roman" w:eastAsia="Times New Roman" w:hAnsi="Times New Roman" w:cs="Times New Roman"/>
      <w:bCs/>
      <w:szCs w:val="28"/>
      <w:lang w:val="en-GB" w:eastAsia="en-GB"/>
    </w:rPr>
  </w:style>
  <w:style w:type="paragraph" w:customStyle="1" w:styleId="Articletitle">
    <w:name w:val="Article title"/>
    <w:basedOn w:val="Normal"/>
    <w:next w:val="Normal"/>
    <w:qFormat/>
    <w:rsid w:val="00992B6E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Normal"/>
    <w:next w:val="Normal"/>
    <w:qFormat/>
    <w:rsid w:val="00992B6E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Normal"/>
    <w:qFormat/>
    <w:rsid w:val="00992B6E"/>
    <w:pPr>
      <w:spacing w:before="240" w:line="360" w:lineRule="auto"/>
    </w:pPr>
    <w:rPr>
      <w:i/>
    </w:rPr>
  </w:style>
  <w:style w:type="paragraph" w:customStyle="1" w:styleId="Receiveddates">
    <w:name w:val="Received dates"/>
    <w:basedOn w:val="Affiliation"/>
    <w:next w:val="Abstract"/>
    <w:qFormat/>
    <w:rsid w:val="00992B6E"/>
  </w:style>
  <w:style w:type="paragraph" w:customStyle="1" w:styleId="Abstract">
    <w:name w:val="Abstract"/>
    <w:basedOn w:val="Normal"/>
    <w:next w:val="Keywords"/>
    <w:qFormat/>
    <w:rsid w:val="00992B6E"/>
    <w:pPr>
      <w:spacing w:before="360" w:after="300" w:line="360" w:lineRule="auto"/>
      <w:ind w:left="720" w:right="567"/>
      <w:contextualSpacing/>
    </w:pPr>
    <w:rPr>
      <w:sz w:val="22"/>
    </w:rPr>
  </w:style>
  <w:style w:type="paragraph" w:customStyle="1" w:styleId="Keywords">
    <w:name w:val="Keywords"/>
    <w:basedOn w:val="Normal"/>
    <w:next w:val="Paragraph"/>
    <w:qFormat/>
    <w:rsid w:val="00992B6E"/>
    <w:pPr>
      <w:spacing w:before="240" w:after="240" w:line="360" w:lineRule="auto"/>
      <w:ind w:left="720" w:right="567"/>
    </w:pPr>
    <w:rPr>
      <w:sz w:val="22"/>
    </w:rPr>
  </w:style>
  <w:style w:type="paragraph" w:customStyle="1" w:styleId="Correspondencedetails">
    <w:name w:val="Correspondence details"/>
    <w:basedOn w:val="Normal"/>
    <w:qFormat/>
    <w:rsid w:val="00992B6E"/>
    <w:pPr>
      <w:spacing w:before="240" w:line="360" w:lineRule="auto"/>
    </w:pPr>
  </w:style>
  <w:style w:type="paragraph" w:customStyle="1" w:styleId="Displayedquotation">
    <w:name w:val="Displayed quotation"/>
    <w:basedOn w:val="Normal"/>
    <w:qFormat/>
    <w:rsid w:val="00992B6E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sz w:val="22"/>
    </w:rPr>
  </w:style>
  <w:style w:type="paragraph" w:customStyle="1" w:styleId="Numberedlist">
    <w:name w:val="Numbered list"/>
    <w:basedOn w:val="Paragraph"/>
    <w:next w:val="Paragraph"/>
    <w:qFormat/>
    <w:rsid w:val="00992B6E"/>
    <w:pPr>
      <w:widowControl/>
      <w:numPr>
        <w:numId w:val="13"/>
      </w:numPr>
      <w:spacing w:after="240"/>
      <w:contextualSpacing/>
    </w:pPr>
  </w:style>
  <w:style w:type="paragraph" w:customStyle="1" w:styleId="Displayedequation">
    <w:name w:val="Displayed equation"/>
    <w:basedOn w:val="Normal"/>
    <w:next w:val="Paragraph"/>
    <w:qFormat/>
    <w:rsid w:val="00992B6E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Acknowledgements">
    <w:name w:val="Acknowledgements"/>
    <w:basedOn w:val="Normal"/>
    <w:next w:val="Normal"/>
    <w:qFormat/>
    <w:rsid w:val="00992B6E"/>
    <w:pPr>
      <w:spacing w:before="120" w:line="360" w:lineRule="auto"/>
    </w:pPr>
    <w:rPr>
      <w:sz w:val="22"/>
    </w:rPr>
  </w:style>
  <w:style w:type="paragraph" w:customStyle="1" w:styleId="Tabletitle">
    <w:name w:val="Table title"/>
    <w:basedOn w:val="Normal"/>
    <w:next w:val="Normal"/>
    <w:qFormat/>
    <w:rsid w:val="00992B6E"/>
    <w:pPr>
      <w:spacing w:before="240" w:line="360" w:lineRule="auto"/>
    </w:pPr>
  </w:style>
  <w:style w:type="paragraph" w:customStyle="1" w:styleId="Figurecaption">
    <w:name w:val="Figure caption"/>
    <w:basedOn w:val="Normal"/>
    <w:next w:val="Normal"/>
    <w:qFormat/>
    <w:rsid w:val="00992B6E"/>
    <w:pPr>
      <w:spacing w:before="240" w:line="360" w:lineRule="auto"/>
    </w:pPr>
  </w:style>
  <w:style w:type="paragraph" w:customStyle="1" w:styleId="Footnotes">
    <w:name w:val="Footnotes"/>
    <w:basedOn w:val="Normal"/>
    <w:qFormat/>
    <w:rsid w:val="00992B6E"/>
    <w:pPr>
      <w:spacing w:before="120" w:line="360" w:lineRule="auto"/>
      <w:ind w:left="482" w:hanging="482"/>
      <w:contextualSpacing/>
    </w:pPr>
    <w:rPr>
      <w:sz w:val="22"/>
    </w:rPr>
  </w:style>
  <w:style w:type="paragraph" w:customStyle="1" w:styleId="Notesoncontributors">
    <w:name w:val="Notes on contributors"/>
    <w:basedOn w:val="Normal"/>
    <w:qFormat/>
    <w:rsid w:val="00992B6E"/>
    <w:pPr>
      <w:spacing w:before="240" w:line="360" w:lineRule="auto"/>
    </w:pPr>
    <w:rPr>
      <w:sz w:val="22"/>
    </w:rPr>
  </w:style>
  <w:style w:type="paragraph" w:customStyle="1" w:styleId="Normalparagraphstyle">
    <w:name w:val="Normal paragraph style"/>
    <w:basedOn w:val="Normal"/>
    <w:next w:val="Normal"/>
    <w:rsid w:val="00992B6E"/>
  </w:style>
  <w:style w:type="paragraph" w:customStyle="1" w:styleId="Paragraph">
    <w:name w:val="Paragraph"/>
    <w:basedOn w:val="Normal"/>
    <w:next w:val="Newparagraph"/>
    <w:qFormat/>
    <w:rsid w:val="00992B6E"/>
    <w:pPr>
      <w:widowControl w:val="0"/>
      <w:spacing w:before="240"/>
    </w:pPr>
  </w:style>
  <w:style w:type="paragraph" w:customStyle="1" w:styleId="Newparagraph">
    <w:name w:val="New paragraph"/>
    <w:basedOn w:val="Normal"/>
    <w:qFormat/>
    <w:rsid w:val="00992B6E"/>
    <w:pPr>
      <w:ind w:firstLine="720"/>
    </w:pPr>
  </w:style>
  <w:style w:type="paragraph" w:styleId="NormalIndent">
    <w:name w:val="Normal Indent"/>
    <w:basedOn w:val="Normal"/>
    <w:rsid w:val="00992B6E"/>
    <w:pPr>
      <w:ind w:left="720"/>
    </w:pPr>
  </w:style>
  <w:style w:type="paragraph" w:customStyle="1" w:styleId="References">
    <w:name w:val="References"/>
    <w:basedOn w:val="Normal"/>
    <w:qFormat/>
    <w:rsid w:val="00992B6E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next w:val="Paragraph"/>
    <w:qFormat/>
    <w:rsid w:val="00992B6E"/>
  </w:style>
  <w:style w:type="paragraph" w:customStyle="1" w:styleId="Bulletedlist">
    <w:name w:val="Bulleted list"/>
    <w:basedOn w:val="Paragraph"/>
    <w:next w:val="Paragraph"/>
    <w:qFormat/>
    <w:rsid w:val="00992B6E"/>
    <w:pPr>
      <w:widowControl/>
      <w:numPr>
        <w:numId w:val="14"/>
      </w:numPr>
      <w:spacing w:after="240"/>
      <w:contextualSpacing/>
    </w:pPr>
  </w:style>
  <w:style w:type="paragraph" w:styleId="FootnoteText">
    <w:name w:val="footnote text"/>
    <w:basedOn w:val="Normal"/>
    <w:link w:val="FootnoteTextChar"/>
    <w:autoRedefine/>
    <w:rsid w:val="00992B6E"/>
    <w:pPr>
      <w:ind w:left="284" w:hanging="284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rsid w:val="00992B6E"/>
    <w:rPr>
      <w:rFonts w:ascii="Times New Roman" w:eastAsia="Times New Roman" w:hAnsi="Times New Roman" w:cs="Times New Roman"/>
      <w:sz w:val="22"/>
      <w:szCs w:val="20"/>
      <w:lang w:val="en-GB" w:eastAsia="en-GB"/>
    </w:rPr>
  </w:style>
  <w:style w:type="character" w:styleId="FootnoteReference">
    <w:name w:val="footnote reference"/>
    <w:basedOn w:val="DefaultParagraphFont"/>
    <w:rsid w:val="00992B6E"/>
    <w:rPr>
      <w:vertAlign w:val="superscript"/>
    </w:rPr>
  </w:style>
  <w:style w:type="paragraph" w:styleId="EndnoteText">
    <w:name w:val="endnote text"/>
    <w:basedOn w:val="Normal"/>
    <w:link w:val="EndnoteTextChar"/>
    <w:autoRedefine/>
    <w:rsid w:val="00992B6E"/>
    <w:pPr>
      <w:ind w:left="284" w:hanging="284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rsid w:val="00992B6E"/>
    <w:rPr>
      <w:rFonts w:ascii="Times New Roman" w:eastAsia="Times New Roman" w:hAnsi="Times New Roman" w:cs="Times New Roman"/>
      <w:sz w:val="22"/>
      <w:szCs w:val="20"/>
      <w:lang w:val="en-GB" w:eastAsia="en-GB"/>
    </w:rPr>
  </w:style>
  <w:style w:type="character" w:styleId="EndnoteReference">
    <w:name w:val="endnote reference"/>
    <w:basedOn w:val="DefaultParagraphFont"/>
    <w:rsid w:val="00992B6E"/>
    <w:rPr>
      <w:vertAlign w:val="superscript"/>
    </w:rPr>
  </w:style>
  <w:style w:type="paragraph" w:styleId="Header">
    <w:name w:val="header"/>
    <w:basedOn w:val="Normal"/>
    <w:link w:val="HeaderChar"/>
    <w:rsid w:val="00992B6E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992B6E"/>
    <w:rPr>
      <w:rFonts w:ascii="Times New Roman" w:eastAsia="Times New Roman" w:hAnsi="Times New Roman" w:cs="Times New Roman"/>
      <w:lang w:val="en-GB" w:eastAsia="en-GB"/>
    </w:rPr>
  </w:style>
  <w:style w:type="paragraph" w:styleId="Footer">
    <w:name w:val="footer"/>
    <w:basedOn w:val="Normal"/>
    <w:link w:val="FooterChar"/>
    <w:rsid w:val="00992B6E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992B6E"/>
    <w:rPr>
      <w:rFonts w:ascii="Times New Roman" w:eastAsia="Times New Roman" w:hAnsi="Times New Roman" w:cs="Times New Roman"/>
      <w:lang w:val="en-GB" w:eastAsia="en-GB"/>
    </w:rPr>
  </w:style>
  <w:style w:type="paragraph" w:customStyle="1" w:styleId="Heading4Paragraph">
    <w:name w:val="Heading 4 + Paragraph"/>
    <w:basedOn w:val="Paragraph"/>
    <w:next w:val="Newparagraph"/>
    <w:qFormat/>
    <w:rsid w:val="00992B6E"/>
    <w:pPr>
      <w:widowControl/>
      <w:spacing w:before="360"/>
    </w:pPr>
  </w:style>
  <w:style w:type="character" w:styleId="Hyperlink">
    <w:name w:val="Hyperlink"/>
    <w:basedOn w:val="DefaultParagraphFont"/>
    <w:rsid w:val="00992B6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992B6E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92B6E"/>
    <w:rPr>
      <w:rFonts w:ascii="Lucida Grande" w:eastAsia="Times New Roman" w:hAnsi="Lucida Grande" w:cs="Lucida Grande"/>
      <w:sz w:val="18"/>
      <w:szCs w:val="18"/>
      <w:lang w:val="en-GB" w:eastAsia="en-GB"/>
    </w:rPr>
  </w:style>
  <w:style w:type="table" w:styleId="TableGrid">
    <w:name w:val="Table Grid"/>
    <w:basedOn w:val="TableNormal"/>
    <w:uiPriority w:val="59"/>
    <w:rsid w:val="00992B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992B6E"/>
  </w:style>
  <w:style w:type="paragraph" w:styleId="ListParagraph">
    <w:name w:val="List Paragraph"/>
    <w:basedOn w:val="Normal"/>
    <w:uiPriority w:val="34"/>
    <w:qFormat/>
    <w:rsid w:val="00992B6E"/>
    <w:pPr>
      <w:spacing w:line="240" w:lineRule="auto"/>
      <w:ind w:left="720"/>
      <w:contextualSpacing/>
    </w:pPr>
    <w:rPr>
      <w:rFonts w:asciiTheme="minorHAnsi" w:eastAsiaTheme="minorEastAsia" w:hAnsiTheme="minorHAnsi" w:cstheme="minorBidi"/>
      <w:lang w:val="en-US" w:eastAsia="en-US"/>
    </w:rPr>
  </w:style>
  <w:style w:type="paragraph" w:styleId="NormalWeb">
    <w:name w:val="Normal (Web)"/>
    <w:basedOn w:val="Normal"/>
    <w:semiHidden/>
    <w:unhideWhenUsed/>
    <w:rsid w:val="00992B6E"/>
  </w:style>
  <w:style w:type="character" w:styleId="CommentReference">
    <w:name w:val="annotation reference"/>
    <w:basedOn w:val="DefaultParagraphFont"/>
    <w:semiHidden/>
    <w:unhideWhenUsed/>
    <w:rsid w:val="00992B6E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unhideWhenUsed/>
    <w:rsid w:val="00992B6E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992B6E"/>
    <w:rPr>
      <w:rFonts w:ascii="Times New Roman" w:eastAsia="Times New Roman" w:hAnsi="Times New Roman" w:cs="Times New Roman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92B6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992B6E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character" w:customStyle="1" w:styleId="orcid-id-https">
    <w:name w:val="orcid-id-https"/>
    <w:rsid w:val="00992B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3606</Words>
  <Characters>20560</Characters>
  <Application>Microsoft Macintosh Word</Application>
  <DocSecurity>0</DocSecurity>
  <Lines>171</Lines>
  <Paragraphs>48</Paragraphs>
  <ScaleCrop>false</ScaleCrop>
  <Company/>
  <LinksUpToDate>false</LinksUpToDate>
  <CharactersWithSpaces>24118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Armend</dc:creator>
  <cp:keywords/>
  <dc:description/>
  <cp:lastModifiedBy>Armend</cp:lastModifiedBy>
  <cp:revision>1</cp:revision>
  <dcterms:created xsi:type="dcterms:W3CDTF">2019-08-12T19:28:00Z</dcterms:created>
  <dcterms:modified xsi:type="dcterms:W3CDTF">2019-08-12T19:29:00Z</dcterms:modified>
</cp:coreProperties>
</file>