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AAD3" w14:textId="274444B2" w:rsidR="005C2C5C" w:rsidRPr="008B6BC5" w:rsidRDefault="005C2C5C" w:rsidP="005C2C5C">
      <w:pPr>
        <w:pStyle w:val="NoSpacing"/>
        <w:spacing w:line="360" w:lineRule="auto"/>
        <w:jc w:val="center"/>
        <w:rPr>
          <w:b/>
          <w:bCs/>
          <w:lang w:val="en-US"/>
        </w:rPr>
      </w:pPr>
      <w:r w:rsidRPr="008B6BC5">
        <w:rPr>
          <w:b/>
          <w:bCs/>
          <w:lang w:val="en-US"/>
        </w:rPr>
        <w:t xml:space="preserve">Supplementary Materials </w:t>
      </w:r>
    </w:p>
    <w:p w14:paraId="4B02717F" w14:textId="31F80C6C" w:rsidR="005C2C5C" w:rsidRPr="008B6BC5" w:rsidRDefault="00973709" w:rsidP="005C2C5C">
      <w:pPr>
        <w:pStyle w:val="NoSpacing"/>
        <w:spacing w:line="360" w:lineRule="auto"/>
        <w:rPr>
          <w:b/>
          <w:bCs/>
          <w:lang w:val="en-US"/>
        </w:rPr>
      </w:pPr>
      <w:r w:rsidRPr="008B6BC5">
        <w:rPr>
          <w:b/>
          <w:bCs/>
          <w:lang w:val="en-US"/>
        </w:rPr>
        <w:t xml:space="preserve">ChatGPT 5.1 (Thinking) </w:t>
      </w:r>
      <w:r w:rsidR="005C2C5C" w:rsidRPr="008B6BC5">
        <w:rPr>
          <w:b/>
          <w:bCs/>
          <w:lang w:val="en-US"/>
        </w:rPr>
        <w:t xml:space="preserve">Prompts for Psychotherapy &amp; Pharmacotherapy Reviews </w:t>
      </w:r>
    </w:p>
    <w:tbl>
      <w:tblPr>
        <w:tblStyle w:val="TableGrid"/>
        <w:tblW w:w="0" w:type="auto"/>
        <w:tblLook w:val="04A0" w:firstRow="1" w:lastRow="0" w:firstColumn="1" w:lastColumn="0" w:noHBand="0" w:noVBand="1"/>
      </w:tblPr>
      <w:tblGrid>
        <w:gridCol w:w="9016"/>
      </w:tblGrid>
      <w:tr w:rsidR="00162C2C" w:rsidRPr="008B6BC5" w14:paraId="0C865EB0" w14:textId="77777777" w:rsidTr="00162C2C">
        <w:tc>
          <w:tcPr>
            <w:tcW w:w="9016" w:type="dxa"/>
          </w:tcPr>
          <w:p w14:paraId="4736ABD1" w14:textId="09270FFD" w:rsidR="00162C2C" w:rsidRPr="008B6BC5" w:rsidRDefault="00162C2C" w:rsidP="00162C2C">
            <w:pPr>
              <w:pStyle w:val="NoSpacing"/>
              <w:spacing w:line="360" w:lineRule="auto"/>
              <w:rPr>
                <w:lang w:val="en-US"/>
              </w:rPr>
            </w:pPr>
            <w:r w:rsidRPr="008B6BC5">
              <w:rPr>
                <w:lang w:val="en-US"/>
              </w:rPr>
              <w:t>Act as an academic researcher and write a minimum 1000 to maximum 1200 word literature review on the effectiveness of [insert treatment modality] for [insert disorder].</w:t>
            </w:r>
          </w:p>
          <w:p w14:paraId="4F439C29" w14:textId="77777777" w:rsidR="00162C2C" w:rsidRPr="008B6BC5" w:rsidRDefault="00162C2C" w:rsidP="00162C2C">
            <w:pPr>
              <w:pStyle w:val="NoSpacing"/>
              <w:spacing w:line="360" w:lineRule="auto"/>
              <w:rPr>
                <w:lang w:val="en-US"/>
              </w:rPr>
            </w:pPr>
          </w:p>
          <w:p w14:paraId="176A3F3B" w14:textId="77777777" w:rsidR="00162C2C" w:rsidRPr="008B6BC5" w:rsidRDefault="00162C2C" w:rsidP="00162C2C">
            <w:pPr>
              <w:pStyle w:val="NoSpacing"/>
              <w:spacing w:line="360" w:lineRule="auto"/>
              <w:rPr>
                <w:lang w:val="en-US"/>
              </w:rPr>
            </w:pPr>
            <w:r w:rsidRPr="008B6BC5">
              <w:rPr>
                <w:lang w:val="en-US"/>
              </w:rPr>
              <w:t>Use peer-reviewed empirical research, prioritizing meta-analyses, randomized controlled trials, or other notable treatment-outcome studies ideally – but not mandatorily – published in the last 10 years. Only cite real, verifiable studies that you have confirmed exist.</w:t>
            </w:r>
          </w:p>
          <w:p w14:paraId="4CEDC101" w14:textId="77777777" w:rsidR="00162C2C" w:rsidRPr="008B6BC5" w:rsidRDefault="00162C2C" w:rsidP="00162C2C">
            <w:pPr>
              <w:pStyle w:val="NoSpacing"/>
              <w:spacing w:line="360" w:lineRule="auto"/>
              <w:rPr>
                <w:lang w:val="en-US"/>
              </w:rPr>
            </w:pPr>
          </w:p>
          <w:p w14:paraId="620866CA" w14:textId="77777777" w:rsidR="00162C2C" w:rsidRPr="008B6BC5" w:rsidRDefault="00162C2C" w:rsidP="00162C2C">
            <w:pPr>
              <w:pStyle w:val="NoSpacing"/>
              <w:spacing w:line="360" w:lineRule="auto"/>
              <w:rPr>
                <w:lang w:val="en-US"/>
              </w:rPr>
            </w:pPr>
            <w:r w:rsidRPr="008B6BC5">
              <w:rPr>
                <w:lang w:val="en-US"/>
              </w:rPr>
              <w:t>The review must include a minimum of 15 different peer-reviewed empirical citations. The citations must be included in parentheses in text, using APA 6 formatting style.</w:t>
            </w:r>
          </w:p>
          <w:p w14:paraId="491CAF64" w14:textId="77777777" w:rsidR="00162C2C" w:rsidRPr="008B6BC5" w:rsidRDefault="00162C2C" w:rsidP="00162C2C">
            <w:pPr>
              <w:pStyle w:val="NoSpacing"/>
              <w:spacing w:line="360" w:lineRule="auto"/>
              <w:rPr>
                <w:lang w:val="en-US"/>
              </w:rPr>
            </w:pPr>
          </w:p>
          <w:p w14:paraId="775C4199" w14:textId="77777777" w:rsidR="00162C2C" w:rsidRPr="008B6BC5" w:rsidRDefault="00162C2C" w:rsidP="00162C2C">
            <w:pPr>
              <w:pStyle w:val="NoSpacing"/>
              <w:spacing w:line="360" w:lineRule="auto"/>
              <w:rPr>
                <w:lang w:val="en-US"/>
              </w:rPr>
            </w:pPr>
            <w:r w:rsidRPr="008B6BC5">
              <w:rPr>
                <w:lang w:val="en-US"/>
              </w:rPr>
              <w:t>Do not cite protocols, trial registrations, preprints, narrative reviews, conceptual papers, diagnostic manuals (e.g., DSM, ICD), or any non–peer-reviewed sources such as blogs, websites, or unpublished work.</w:t>
            </w:r>
          </w:p>
          <w:p w14:paraId="3C8C9E35" w14:textId="77777777" w:rsidR="00162C2C" w:rsidRPr="008B6BC5" w:rsidRDefault="00162C2C" w:rsidP="00162C2C">
            <w:pPr>
              <w:pStyle w:val="NoSpacing"/>
              <w:spacing w:line="360" w:lineRule="auto"/>
              <w:rPr>
                <w:lang w:val="en-US"/>
              </w:rPr>
            </w:pPr>
          </w:p>
          <w:p w14:paraId="294D9234" w14:textId="0F2D16BD" w:rsidR="00162C2C" w:rsidRPr="008B6BC5" w:rsidRDefault="00162C2C" w:rsidP="00162C2C">
            <w:pPr>
              <w:pStyle w:val="NoSpacing"/>
              <w:spacing w:line="360" w:lineRule="auto"/>
              <w:rPr>
                <w:lang w:val="en-US"/>
              </w:rPr>
            </w:pPr>
            <w:r w:rsidRPr="008B6BC5">
              <w:rPr>
                <w:lang w:val="en-US"/>
              </w:rPr>
              <w:t>In your review, be specific in each of the key sections regarding the target population, treatment characteristics, comparator groups, study design[s], or any other relevant study features, as well as effect size data (e.g., Hedges’ g, Cohen’s d, Odds Ratio) if available to report.</w:t>
            </w:r>
          </w:p>
          <w:p w14:paraId="2E1F9D46" w14:textId="77777777" w:rsidR="00162C2C" w:rsidRPr="008B6BC5" w:rsidRDefault="00162C2C" w:rsidP="00162C2C">
            <w:pPr>
              <w:pStyle w:val="NoSpacing"/>
              <w:spacing w:line="360" w:lineRule="auto"/>
              <w:rPr>
                <w:lang w:val="en-US"/>
              </w:rPr>
            </w:pPr>
          </w:p>
          <w:p w14:paraId="1FEEA60A" w14:textId="77777777" w:rsidR="00162C2C" w:rsidRPr="008B6BC5" w:rsidRDefault="00162C2C" w:rsidP="00162C2C">
            <w:pPr>
              <w:pStyle w:val="NoSpacing"/>
              <w:spacing w:line="360" w:lineRule="auto"/>
              <w:rPr>
                <w:lang w:val="en-US"/>
              </w:rPr>
            </w:pPr>
            <w:r w:rsidRPr="008B6BC5">
              <w:rPr>
                <w:lang w:val="en-US"/>
              </w:rPr>
              <w:t>All citations must be formatted in APA 6th edition and included in a reference list at the end (not part of the word count).</w:t>
            </w:r>
          </w:p>
          <w:p w14:paraId="1AACE370" w14:textId="77777777" w:rsidR="00162C2C" w:rsidRPr="008B6BC5" w:rsidRDefault="00162C2C" w:rsidP="00162C2C">
            <w:pPr>
              <w:pStyle w:val="NoSpacing"/>
              <w:spacing w:line="360" w:lineRule="auto"/>
              <w:rPr>
                <w:lang w:val="en-US"/>
              </w:rPr>
            </w:pPr>
          </w:p>
          <w:p w14:paraId="21649C9C" w14:textId="77777777" w:rsidR="00162C2C" w:rsidRPr="008B6BC5" w:rsidRDefault="00162C2C" w:rsidP="00162C2C">
            <w:pPr>
              <w:pStyle w:val="NoSpacing"/>
              <w:spacing w:line="360" w:lineRule="auto"/>
              <w:rPr>
                <w:lang w:val="en-US"/>
              </w:rPr>
            </w:pPr>
            <w:r w:rsidRPr="008B6BC5">
              <w:rPr>
                <w:lang w:val="en-US"/>
              </w:rPr>
              <w:t>If the response is incomplete due to space constraints, indicate that it is to be continued and resume exactly from the stopping point when prompted with “Please continue.”</w:t>
            </w:r>
          </w:p>
          <w:p w14:paraId="4AE1DD43" w14:textId="77777777" w:rsidR="00162C2C" w:rsidRPr="008B6BC5" w:rsidRDefault="00162C2C" w:rsidP="00162C2C">
            <w:pPr>
              <w:pStyle w:val="NoSpacing"/>
              <w:spacing w:line="360" w:lineRule="auto"/>
              <w:rPr>
                <w:lang w:val="en-US"/>
              </w:rPr>
            </w:pPr>
          </w:p>
          <w:p w14:paraId="2BD8D162" w14:textId="77777777" w:rsidR="00162C2C" w:rsidRPr="008B6BC5" w:rsidRDefault="00162C2C" w:rsidP="00162C2C">
            <w:pPr>
              <w:pStyle w:val="NoSpacing"/>
              <w:spacing w:line="360" w:lineRule="auto"/>
              <w:rPr>
                <w:lang w:val="en-US"/>
              </w:rPr>
            </w:pPr>
            <w:r w:rsidRPr="008B6BC5">
              <w:rPr>
                <w:lang w:val="en-US"/>
              </w:rPr>
              <w:t>Use the following structure in your literature review:</w:t>
            </w:r>
          </w:p>
          <w:p w14:paraId="37E565BB" w14:textId="77777777" w:rsidR="00162C2C" w:rsidRPr="008B6BC5" w:rsidRDefault="00162C2C" w:rsidP="00162C2C">
            <w:pPr>
              <w:pStyle w:val="NoSpacing"/>
              <w:numPr>
                <w:ilvl w:val="0"/>
                <w:numId w:val="1"/>
              </w:numPr>
              <w:spacing w:line="360" w:lineRule="auto"/>
              <w:rPr>
                <w:b/>
                <w:bCs/>
                <w:lang w:val="en-US"/>
              </w:rPr>
            </w:pPr>
            <w:r w:rsidRPr="008B6BC5">
              <w:rPr>
                <w:b/>
                <w:bCs/>
                <w:lang w:val="en-US"/>
              </w:rPr>
              <w:t>Empirical evidence on [insert treatment] efficacy relative to control conditions</w:t>
            </w:r>
          </w:p>
          <w:p w14:paraId="767C9B8F" w14:textId="68127DF9" w:rsidR="00162C2C" w:rsidRPr="008B6BC5" w:rsidRDefault="00162C2C" w:rsidP="00162C2C">
            <w:pPr>
              <w:pStyle w:val="NoSpacing"/>
              <w:spacing w:line="360" w:lineRule="auto"/>
              <w:rPr>
                <w:lang w:val="en-US"/>
              </w:rPr>
            </w:pPr>
            <w:r w:rsidRPr="008B6BC5">
              <w:rPr>
                <w:lang w:val="en-US"/>
              </w:rPr>
              <w:t>Summarize prominent or well-researched [insert treatments] approaches for [insert disorder] as evaluated against control conditions such as waitlist, treatment-as-usual, pill placebo, or other non-active comparators.</w:t>
            </w:r>
          </w:p>
          <w:p w14:paraId="2568BAFB" w14:textId="0002D393" w:rsidR="00162C2C" w:rsidRPr="008B6BC5" w:rsidRDefault="00162C2C" w:rsidP="00162C2C">
            <w:pPr>
              <w:pStyle w:val="NoSpacing"/>
              <w:spacing w:line="360" w:lineRule="auto"/>
              <w:rPr>
                <w:lang w:val="en-US"/>
              </w:rPr>
            </w:pPr>
            <w:r w:rsidRPr="008B6BC5">
              <w:rPr>
                <w:lang w:val="en-US"/>
              </w:rPr>
              <w:lastRenderedPageBreak/>
              <w:t xml:space="preserve">2. </w:t>
            </w:r>
            <w:r w:rsidRPr="008B6BC5">
              <w:rPr>
                <w:b/>
                <w:bCs/>
                <w:lang w:val="en-US"/>
              </w:rPr>
              <w:t>Empirical evidence on [insert treatment] efficacy relative to other active treatment modalities</w:t>
            </w:r>
          </w:p>
          <w:p w14:paraId="3DD9F6BE" w14:textId="721FE244" w:rsidR="00162C2C" w:rsidRPr="008B6BC5" w:rsidRDefault="00162C2C" w:rsidP="00162C2C">
            <w:pPr>
              <w:pStyle w:val="NoSpacing"/>
              <w:spacing w:line="360" w:lineRule="auto"/>
              <w:rPr>
                <w:lang w:val="en-US"/>
              </w:rPr>
            </w:pPr>
            <w:r w:rsidRPr="008B6BC5">
              <w:rPr>
                <w:lang w:val="en-US"/>
              </w:rPr>
              <w:t>Summarize comparative outcome evidence where one [insert treatment] is evaluated against another [insert same treatment], or where [treatment] is compared with alternative treatment modalities – for example, combined psycho-pharmacological treatment, lifestyle-based interventions, or digital mental health interventions.</w:t>
            </w:r>
          </w:p>
          <w:p w14:paraId="6DDB9C68" w14:textId="39127B47" w:rsidR="00162C2C" w:rsidRPr="008B6BC5" w:rsidRDefault="00162C2C" w:rsidP="00162C2C">
            <w:pPr>
              <w:pStyle w:val="NoSpacing"/>
              <w:spacing w:line="360" w:lineRule="auto"/>
              <w:rPr>
                <w:b/>
                <w:bCs/>
                <w:lang w:val="en-US"/>
              </w:rPr>
            </w:pPr>
            <w:r w:rsidRPr="008B6BC5">
              <w:rPr>
                <w:b/>
                <w:bCs/>
                <w:lang w:val="en-US"/>
              </w:rPr>
              <w:t>3. Safety and tolerability</w:t>
            </w:r>
          </w:p>
          <w:p w14:paraId="1D0C2344" w14:textId="232EDF9B" w:rsidR="00162C2C" w:rsidRPr="008B6BC5" w:rsidRDefault="00162C2C" w:rsidP="00162C2C">
            <w:pPr>
              <w:pStyle w:val="NoSpacing"/>
              <w:spacing w:line="360" w:lineRule="auto"/>
              <w:rPr>
                <w:lang w:val="en-US"/>
              </w:rPr>
            </w:pPr>
            <w:r w:rsidRPr="008B6BC5">
              <w:rPr>
                <w:lang w:val="en-US"/>
              </w:rPr>
              <w:t xml:space="preserve">Summarize empirical findings on safety and acceptability. Where available, report quantitative data on dropout rates, adverse events incidence, or patient satisfaction. </w:t>
            </w:r>
          </w:p>
          <w:p w14:paraId="75B1A750" w14:textId="08577D68" w:rsidR="00162C2C" w:rsidRPr="008B6BC5" w:rsidRDefault="00162C2C" w:rsidP="00162C2C">
            <w:pPr>
              <w:pStyle w:val="NoSpacing"/>
              <w:spacing w:line="360" w:lineRule="auto"/>
              <w:rPr>
                <w:b/>
                <w:bCs/>
                <w:lang w:val="en-US"/>
              </w:rPr>
            </w:pPr>
            <w:r w:rsidRPr="008B6BC5">
              <w:rPr>
                <w:b/>
                <w:bCs/>
                <w:lang w:val="en-US"/>
              </w:rPr>
              <w:t>4. Overall summary of the evidence</w:t>
            </w:r>
          </w:p>
          <w:p w14:paraId="3B6CB06F" w14:textId="77777777" w:rsidR="00162C2C" w:rsidRPr="008B6BC5" w:rsidRDefault="00162C2C" w:rsidP="00162C2C">
            <w:pPr>
              <w:pStyle w:val="NoSpacing"/>
              <w:spacing w:line="360" w:lineRule="auto"/>
              <w:rPr>
                <w:lang w:val="en-US"/>
              </w:rPr>
            </w:pPr>
            <w:r w:rsidRPr="008B6BC5">
              <w:rPr>
                <w:lang w:val="en-US"/>
              </w:rPr>
              <w:t>Conclude with an integrated summary of the strength, consistency, and clinical relevance of the evidence on [insert treatment] for [insert disorder].</w:t>
            </w:r>
          </w:p>
          <w:p w14:paraId="2B1C3E5A" w14:textId="77777777" w:rsidR="00162C2C" w:rsidRPr="008B6BC5" w:rsidRDefault="00162C2C" w:rsidP="00162C2C">
            <w:pPr>
              <w:pStyle w:val="NoSpacing"/>
              <w:spacing w:line="360" w:lineRule="auto"/>
              <w:rPr>
                <w:lang w:val="en-US"/>
              </w:rPr>
            </w:pPr>
          </w:p>
          <w:p w14:paraId="34391278" w14:textId="5D5C611C" w:rsidR="00162C2C" w:rsidRPr="008B6BC5" w:rsidRDefault="00162C2C" w:rsidP="005C2C5C">
            <w:pPr>
              <w:pStyle w:val="NoSpacing"/>
              <w:spacing w:line="360" w:lineRule="auto"/>
              <w:rPr>
                <w:lang w:val="en-US"/>
              </w:rPr>
            </w:pPr>
            <w:r w:rsidRPr="008B6BC5">
              <w:rPr>
                <w:lang w:val="en-US"/>
              </w:rPr>
              <w:t>End with an APA 6 formatted reference list. The literature review must contain a minimum of 15 different empirical, academic citations.</w:t>
            </w:r>
          </w:p>
        </w:tc>
      </w:tr>
    </w:tbl>
    <w:p w14:paraId="1BEB4B71" w14:textId="77777777" w:rsidR="005C2C5C" w:rsidRPr="008B6BC5" w:rsidRDefault="005C2C5C" w:rsidP="005C2C5C">
      <w:pPr>
        <w:pStyle w:val="NoSpacing"/>
        <w:spacing w:line="360" w:lineRule="auto"/>
        <w:rPr>
          <w:lang w:val="en-US"/>
        </w:rPr>
      </w:pPr>
    </w:p>
    <w:p w14:paraId="74DC6961" w14:textId="14B799C4" w:rsidR="005C2C5C" w:rsidRPr="008B6BC5" w:rsidRDefault="00973709" w:rsidP="005C2C5C">
      <w:pPr>
        <w:pStyle w:val="NoSpacing"/>
        <w:spacing w:line="360" w:lineRule="auto"/>
        <w:rPr>
          <w:b/>
          <w:bCs/>
          <w:lang w:val="en-US"/>
        </w:rPr>
      </w:pPr>
      <w:r w:rsidRPr="008B6BC5">
        <w:rPr>
          <w:b/>
          <w:bCs/>
          <w:lang w:val="en-US"/>
        </w:rPr>
        <w:t xml:space="preserve">ChatGPT 5.1 (Thinking) </w:t>
      </w:r>
      <w:r w:rsidR="005C2C5C" w:rsidRPr="008B6BC5">
        <w:rPr>
          <w:b/>
          <w:bCs/>
          <w:lang w:val="en-US"/>
        </w:rPr>
        <w:t>Prompts for Digital Mental Health Review</w:t>
      </w:r>
      <w:r w:rsidR="00162C2C" w:rsidRPr="008B6BC5">
        <w:rPr>
          <w:b/>
          <w:bCs/>
          <w:lang w:val="en-US"/>
        </w:rPr>
        <w:t>s</w:t>
      </w:r>
      <w:r w:rsidR="005C2C5C" w:rsidRPr="008B6BC5">
        <w:rPr>
          <w:b/>
          <w:bCs/>
          <w:lang w:val="en-US"/>
        </w:rPr>
        <w:t xml:space="preserve"> </w:t>
      </w:r>
    </w:p>
    <w:tbl>
      <w:tblPr>
        <w:tblStyle w:val="TableGrid"/>
        <w:tblW w:w="0" w:type="auto"/>
        <w:tblLook w:val="04A0" w:firstRow="1" w:lastRow="0" w:firstColumn="1" w:lastColumn="0" w:noHBand="0" w:noVBand="1"/>
      </w:tblPr>
      <w:tblGrid>
        <w:gridCol w:w="9016"/>
      </w:tblGrid>
      <w:tr w:rsidR="00162C2C" w:rsidRPr="008B6BC5" w14:paraId="4F543013" w14:textId="77777777" w:rsidTr="00162C2C">
        <w:tc>
          <w:tcPr>
            <w:tcW w:w="9016" w:type="dxa"/>
          </w:tcPr>
          <w:p w14:paraId="11A59846" w14:textId="77777777" w:rsidR="00162C2C" w:rsidRPr="008B6BC5" w:rsidRDefault="00162C2C" w:rsidP="00162C2C">
            <w:pPr>
              <w:pStyle w:val="NoSpacing"/>
              <w:spacing w:line="360" w:lineRule="auto"/>
              <w:rPr>
                <w:lang w:val="en-US"/>
              </w:rPr>
            </w:pPr>
            <w:r w:rsidRPr="008B6BC5">
              <w:rPr>
                <w:lang w:val="en-US"/>
              </w:rPr>
              <w:t>Act as an academic researcher and write a minimum 1000 to maximum 1200 word literature review on the effectiveness of digital mental health interventions (for example, web, smartphone apps, chatbots, etc.) for [insert disorder].</w:t>
            </w:r>
          </w:p>
          <w:p w14:paraId="18CF684F" w14:textId="77777777" w:rsidR="00162C2C" w:rsidRPr="008B6BC5" w:rsidRDefault="00162C2C" w:rsidP="00162C2C">
            <w:pPr>
              <w:pStyle w:val="NoSpacing"/>
              <w:spacing w:line="360" w:lineRule="auto"/>
              <w:rPr>
                <w:lang w:val="en-US"/>
              </w:rPr>
            </w:pPr>
          </w:p>
          <w:p w14:paraId="67E15EFC" w14:textId="77777777" w:rsidR="00162C2C" w:rsidRPr="008B6BC5" w:rsidRDefault="00162C2C" w:rsidP="00162C2C">
            <w:pPr>
              <w:pStyle w:val="NoSpacing"/>
              <w:spacing w:line="360" w:lineRule="auto"/>
              <w:rPr>
                <w:lang w:val="en-US"/>
              </w:rPr>
            </w:pPr>
            <w:r w:rsidRPr="008B6BC5">
              <w:rPr>
                <w:lang w:val="en-US"/>
              </w:rPr>
              <w:t>Use peer-reviewed empirical research, prioritizing meta-analyses, randomized controlled trials, or other notable treatment-outcome studies ideally – but not mandatorily – published in the last 10 years. Only cite real, verifiable studies that you have confirmed exist.</w:t>
            </w:r>
          </w:p>
          <w:p w14:paraId="4C05E3E8" w14:textId="77777777" w:rsidR="00162C2C" w:rsidRPr="008B6BC5" w:rsidRDefault="00162C2C" w:rsidP="00162C2C">
            <w:pPr>
              <w:pStyle w:val="NoSpacing"/>
              <w:spacing w:line="360" w:lineRule="auto"/>
              <w:rPr>
                <w:lang w:val="en-US"/>
              </w:rPr>
            </w:pPr>
          </w:p>
          <w:p w14:paraId="19050683" w14:textId="77777777" w:rsidR="00162C2C" w:rsidRPr="008B6BC5" w:rsidRDefault="00162C2C" w:rsidP="00162C2C">
            <w:pPr>
              <w:pStyle w:val="NoSpacing"/>
              <w:spacing w:line="360" w:lineRule="auto"/>
              <w:rPr>
                <w:lang w:val="en-US"/>
              </w:rPr>
            </w:pPr>
            <w:r w:rsidRPr="008B6BC5">
              <w:rPr>
                <w:lang w:val="en-US"/>
              </w:rPr>
              <w:t>The review must include a minimum of 15 different peer-reviewed empirical citations. The citations must be included in parentheses in text, using APA 6 formatting style.</w:t>
            </w:r>
          </w:p>
          <w:p w14:paraId="70D79126" w14:textId="77777777" w:rsidR="00162C2C" w:rsidRPr="008B6BC5" w:rsidRDefault="00162C2C" w:rsidP="00162C2C">
            <w:pPr>
              <w:pStyle w:val="NoSpacing"/>
              <w:spacing w:line="360" w:lineRule="auto"/>
              <w:rPr>
                <w:lang w:val="en-US"/>
              </w:rPr>
            </w:pPr>
          </w:p>
          <w:p w14:paraId="18E85C89" w14:textId="77777777" w:rsidR="00162C2C" w:rsidRPr="008B6BC5" w:rsidRDefault="00162C2C" w:rsidP="00162C2C">
            <w:pPr>
              <w:pStyle w:val="NoSpacing"/>
              <w:spacing w:line="360" w:lineRule="auto"/>
              <w:rPr>
                <w:lang w:val="en-US"/>
              </w:rPr>
            </w:pPr>
            <w:r w:rsidRPr="008B6BC5">
              <w:rPr>
                <w:lang w:val="en-US"/>
              </w:rPr>
              <w:t>Do not cite protocols, trial registrations, preprints, narrative reviews, conceptual papers, diagnostic manuals (e.g., DSM, ICD), or any non–peer-reviewed sources such as blogs, websites, or unpublished works.</w:t>
            </w:r>
          </w:p>
          <w:p w14:paraId="2532C5D1" w14:textId="77777777" w:rsidR="00162C2C" w:rsidRPr="008B6BC5" w:rsidRDefault="00162C2C" w:rsidP="00162C2C">
            <w:pPr>
              <w:pStyle w:val="NoSpacing"/>
              <w:spacing w:line="360" w:lineRule="auto"/>
              <w:rPr>
                <w:lang w:val="en-US"/>
              </w:rPr>
            </w:pPr>
          </w:p>
          <w:p w14:paraId="27DBB8CC" w14:textId="77777777" w:rsidR="00162C2C" w:rsidRPr="008B6BC5" w:rsidRDefault="00162C2C" w:rsidP="00162C2C">
            <w:pPr>
              <w:pStyle w:val="NoSpacing"/>
              <w:spacing w:line="360" w:lineRule="auto"/>
              <w:rPr>
                <w:lang w:val="en-US"/>
              </w:rPr>
            </w:pPr>
            <w:r w:rsidRPr="008B6BC5">
              <w:rPr>
                <w:lang w:val="en-US"/>
              </w:rPr>
              <w:lastRenderedPageBreak/>
              <w:t>In your review, be specific in each of the key sections regarding the target population, treatment characteristics, comparator groups, study design[s], or any other relevant study features, as well as effect size data (e.g., Hedges’ g, Cohen’s d, Odds Ratio) if available to report.</w:t>
            </w:r>
          </w:p>
          <w:p w14:paraId="334D23BB" w14:textId="77777777" w:rsidR="00162C2C" w:rsidRPr="008B6BC5" w:rsidRDefault="00162C2C" w:rsidP="00162C2C">
            <w:pPr>
              <w:pStyle w:val="NoSpacing"/>
              <w:spacing w:line="360" w:lineRule="auto"/>
              <w:rPr>
                <w:lang w:val="en-US"/>
              </w:rPr>
            </w:pPr>
          </w:p>
          <w:p w14:paraId="31608A8F" w14:textId="77777777" w:rsidR="00162C2C" w:rsidRPr="008B6BC5" w:rsidRDefault="00162C2C" w:rsidP="00162C2C">
            <w:pPr>
              <w:pStyle w:val="NoSpacing"/>
              <w:spacing w:line="360" w:lineRule="auto"/>
              <w:rPr>
                <w:lang w:val="en-US"/>
              </w:rPr>
            </w:pPr>
            <w:r w:rsidRPr="008B6BC5">
              <w:rPr>
                <w:lang w:val="en-US"/>
              </w:rPr>
              <w:t>All citations must be formatted in APA 6th edition and included in a reference list at the end (not part of the word count).</w:t>
            </w:r>
          </w:p>
          <w:p w14:paraId="5FB070AE" w14:textId="77777777" w:rsidR="00162C2C" w:rsidRPr="008B6BC5" w:rsidRDefault="00162C2C" w:rsidP="00162C2C">
            <w:pPr>
              <w:pStyle w:val="NoSpacing"/>
              <w:spacing w:line="360" w:lineRule="auto"/>
              <w:rPr>
                <w:lang w:val="en-US"/>
              </w:rPr>
            </w:pPr>
          </w:p>
          <w:p w14:paraId="0EDFB029" w14:textId="77777777" w:rsidR="00162C2C" w:rsidRPr="008B6BC5" w:rsidRDefault="00162C2C" w:rsidP="00162C2C">
            <w:pPr>
              <w:pStyle w:val="NoSpacing"/>
              <w:spacing w:line="360" w:lineRule="auto"/>
              <w:rPr>
                <w:lang w:val="en-US"/>
              </w:rPr>
            </w:pPr>
            <w:r w:rsidRPr="008B6BC5">
              <w:rPr>
                <w:lang w:val="en-US"/>
              </w:rPr>
              <w:t>If the response is incomplete due to space constraints, indicate that it is to be continued and resume exactly from the stopping point when prompted with “Please continue.”</w:t>
            </w:r>
          </w:p>
          <w:p w14:paraId="3675CC6B" w14:textId="77777777" w:rsidR="00162C2C" w:rsidRPr="008B6BC5" w:rsidRDefault="00162C2C" w:rsidP="00162C2C">
            <w:pPr>
              <w:pStyle w:val="NoSpacing"/>
              <w:spacing w:line="360" w:lineRule="auto"/>
              <w:rPr>
                <w:lang w:val="en-US"/>
              </w:rPr>
            </w:pPr>
          </w:p>
          <w:p w14:paraId="602FEF33" w14:textId="77777777" w:rsidR="00162C2C" w:rsidRPr="008B6BC5" w:rsidRDefault="00162C2C" w:rsidP="00162C2C">
            <w:pPr>
              <w:pStyle w:val="NoSpacing"/>
              <w:spacing w:line="360" w:lineRule="auto"/>
              <w:rPr>
                <w:lang w:val="en-US"/>
              </w:rPr>
            </w:pPr>
            <w:r w:rsidRPr="008B6BC5">
              <w:rPr>
                <w:lang w:val="en-US"/>
              </w:rPr>
              <w:t>Use the following structure in your literature review:</w:t>
            </w:r>
          </w:p>
          <w:p w14:paraId="274F2DB2" w14:textId="77777777" w:rsidR="00162C2C" w:rsidRPr="008B6BC5" w:rsidRDefault="00162C2C" w:rsidP="00162C2C">
            <w:pPr>
              <w:pStyle w:val="NoSpacing"/>
              <w:spacing w:line="360" w:lineRule="auto"/>
              <w:rPr>
                <w:lang w:val="en-US"/>
              </w:rPr>
            </w:pPr>
          </w:p>
          <w:p w14:paraId="376A4868" w14:textId="77777777" w:rsidR="00162C2C" w:rsidRPr="008B6BC5" w:rsidRDefault="00162C2C" w:rsidP="00162C2C">
            <w:pPr>
              <w:pStyle w:val="NoSpacing"/>
              <w:spacing w:line="360" w:lineRule="auto"/>
              <w:rPr>
                <w:b/>
                <w:bCs/>
                <w:lang w:val="en-US"/>
              </w:rPr>
            </w:pPr>
            <w:r w:rsidRPr="008B6BC5">
              <w:rPr>
                <w:b/>
                <w:bCs/>
                <w:lang w:val="en-US"/>
              </w:rPr>
              <w:t>1. Empirical evidence on digital mental health interventions efficacy relative to control conditions</w:t>
            </w:r>
          </w:p>
          <w:p w14:paraId="03688B30" w14:textId="225FBE96" w:rsidR="00162C2C" w:rsidRPr="008B6BC5" w:rsidRDefault="00162C2C" w:rsidP="00162C2C">
            <w:pPr>
              <w:pStyle w:val="NoSpacing"/>
              <w:spacing w:line="360" w:lineRule="auto"/>
              <w:rPr>
                <w:lang w:val="en-US"/>
              </w:rPr>
            </w:pPr>
            <w:r w:rsidRPr="008B6BC5">
              <w:rPr>
                <w:lang w:val="en-US"/>
              </w:rPr>
              <w:t>Summarize digital mental health approaches for [insert disorder] as evaluated against control conditions such as waitlist, treatment-as-usual, pill placebo, or other non-active comparators.</w:t>
            </w:r>
          </w:p>
          <w:p w14:paraId="218BFB11" w14:textId="77777777" w:rsidR="00162C2C" w:rsidRPr="008B6BC5" w:rsidRDefault="00162C2C" w:rsidP="00162C2C">
            <w:pPr>
              <w:pStyle w:val="NoSpacing"/>
              <w:spacing w:line="360" w:lineRule="auto"/>
              <w:rPr>
                <w:lang w:val="en-US"/>
              </w:rPr>
            </w:pPr>
          </w:p>
          <w:p w14:paraId="73DC51DC" w14:textId="4E1F4AF8" w:rsidR="00162C2C" w:rsidRPr="008B6BC5" w:rsidRDefault="00162C2C" w:rsidP="00162C2C">
            <w:pPr>
              <w:pStyle w:val="NoSpacing"/>
              <w:spacing w:line="360" w:lineRule="auto"/>
              <w:rPr>
                <w:b/>
                <w:bCs/>
                <w:lang w:val="en-US"/>
              </w:rPr>
            </w:pPr>
            <w:r w:rsidRPr="008B6BC5">
              <w:rPr>
                <w:b/>
                <w:bCs/>
                <w:lang w:val="en-US"/>
              </w:rPr>
              <w:t>2. Empirical evidence on digital mental health efficacy relative to other active treatment modalities</w:t>
            </w:r>
          </w:p>
          <w:p w14:paraId="663D680B" w14:textId="379B6DE0" w:rsidR="00162C2C" w:rsidRPr="008B6BC5" w:rsidRDefault="00162C2C" w:rsidP="00162C2C">
            <w:pPr>
              <w:pStyle w:val="NoSpacing"/>
              <w:spacing w:line="360" w:lineRule="auto"/>
              <w:rPr>
                <w:lang w:val="en-US"/>
              </w:rPr>
            </w:pPr>
            <w:r w:rsidRPr="008B6BC5">
              <w:rPr>
                <w:lang w:val="en-US"/>
              </w:rPr>
              <w:t xml:space="preserve">Summarize comparative outcome evidence where one digital mental health format is evaluated against another digital mental health intervention format, or where a digital mental health intervention is compared with alternative treatment modalities – for example, standard psychotherapy or pharmacological therapy. </w:t>
            </w:r>
          </w:p>
          <w:p w14:paraId="1B555825" w14:textId="77777777" w:rsidR="00162C2C" w:rsidRPr="008B6BC5" w:rsidRDefault="00162C2C" w:rsidP="00162C2C">
            <w:pPr>
              <w:pStyle w:val="NoSpacing"/>
              <w:spacing w:line="360" w:lineRule="auto"/>
              <w:rPr>
                <w:lang w:val="en-US"/>
              </w:rPr>
            </w:pPr>
          </w:p>
          <w:p w14:paraId="4F51747A" w14:textId="77777777" w:rsidR="00162C2C" w:rsidRPr="008B6BC5" w:rsidRDefault="00162C2C" w:rsidP="00162C2C">
            <w:pPr>
              <w:pStyle w:val="NoSpacing"/>
              <w:spacing w:line="360" w:lineRule="auto"/>
              <w:rPr>
                <w:b/>
                <w:bCs/>
                <w:lang w:val="en-US"/>
              </w:rPr>
            </w:pPr>
            <w:r w:rsidRPr="008B6BC5">
              <w:rPr>
                <w:b/>
                <w:bCs/>
                <w:lang w:val="en-US"/>
              </w:rPr>
              <w:t>3. Safety and tolerability</w:t>
            </w:r>
          </w:p>
          <w:p w14:paraId="02EE40EB" w14:textId="77BE8298" w:rsidR="00162C2C" w:rsidRPr="008B6BC5" w:rsidRDefault="00162C2C" w:rsidP="00162C2C">
            <w:pPr>
              <w:pStyle w:val="NoSpacing"/>
              <w:spacing w:line="360" w:lineRule="auto"/>
              <w:rPr>
                <w:lang w:val="en-US"/>
              </w:rPr>
            </w:pPr>
            <w:r w:rsidRPr="008B6BC5">
              <w:rPr>
                <w:lang w:val="en-US"/>
              </w:rPr>
              <w:t xml:space="preserve">Summarize empirical findings on safety and acceptability. Where available, report quantitative data on dropout rates, adverse events incidence, or patient satisfaction. </w:t>
            </w:r>
          </w:p>
          <w:p w14:paraId="48742AB8" w14:textId="77777777" w:rsidR="00162C2C" w:rsidRPr="008B6BC5" w:rsidRDefault="00162C2C" w:rsidP="00162C2C">
            <w:pPr>
              <w:pStyle w:val="NoSpacing"/>
              <w:spacing w:line="360" w:lineRule="auto"/>
              <w:rPr>
                <w:lang w:val="en-US"/>
              </w:rPr>
            </w:pPr>
          </w:p>
          <w:p w14:paraId="0B0BF3BA" w14:textId="6C7F9D39" w:rsidR="00162C2C" w:rsidRPr="008B6BC5" w:rsidRDefault="00162C2C" w:rsidP="00162C2C">
            <w:pPr>
              <w:pStyle w:val="NoSpacing"/>
              <w:spacing w:line="360" w:lineRule="auto"/>
              <w:rPr>
                <w:lang w:val="en-US"/>
              </w:rPr>
            </w:pPr>
            <w:r w:rsidRPr="008B6BC5">
              <w:rPr>
                <w:lang w:val="en-US"/>
              </w:rPr>
              <w:t>4. Overall summary of the evidence</w:t>
            </w:r>
          </w:p>
          <w:p w14:paraId="6491CB33" w14:textId="77777777" w:rsidR="00162C2C" w:rsidRPr="008B6BC5" w:rsidRDefault="00162C2C" w:rsidP="00162C2C">
            <w:pPr>
              <w:pStyle w:val="NoSpacing"/>
              <w:spacing w:line="360" w:lineRule="auto"/>
              <w:rPr>
                <w:lang w:val="en-US"/>
              </w:rPr>
            </w:pPr>
            <w:r w:rsidRPr="008B6BC5">
              <w:rPr>
                <w:lang w:val="en-US"/>
              </w:rPr>
              <w:t>conclude with an integrated summary of the strength, consistency, and clinical relevance of the evidence on digital mental health interventions for [insert disorder].</w:t>
            </w:r>
          </w:p>
          <w:p w14:paraId="0D08E8B9" w14:textId="77777777" w:rsidR="00162C2C" w:rsidRPr="008B6BC5" w:rsidRDefault="00162C2C" w:rsidP="00162C2C">
            <w:pPr>
              <w:pStyle w:val="NoSpacing"/>
              <w:spacing w:line="360" w:lineRule="auto"/>
              <w:rPr>
                <w:lang w:val="en-US"/>
              </w:rPr>
            </w:pPr>
          </w:p>
          <w:p w14:paraId="2B17E90C" w14:textId="76BF76C2" w:rsidR="00162C2C" w:rsidRPr="008B6BC5" w:rsidRDefault="00162C2C" w:rsidP="005C2C5C">
            <w:pPr>
              <w:pStyle w:val="NoSpacing"/>
              <w:spacing w:line="360" w:lineRule="auto"/>
              <w:rPr>
                <w:lang w:val="en-US"/>
              </w:rPr>
            </w:pPr>
            <w:r w:rsidRPr="008B6BC5">
              <w:rPr>
                <w:lang w:val="en-US"/>
              </w:rPr>
              <w:lastRenderedPageBreak/>
              <w:t>End with an APA 6 formatted reference list. The literature review must contain a minimum of 15 different empirical, academic citations.</w:t>
            </w:r>
          </w:p>
        </w:tc>
      </w:tr>
    </w:tbl>
    <w:p w14:paraId="59599C2E" w14:textId="77777777" w:rsidR="00162C2C" w:rsidRPr="008B6BC5" w:rsidRDefault="00162C2C" w:rsidP="005C2C5C">
      <w:pPr>
        <w:pStyle w:val="NoSpacing"/>
        <w:spacing w:line="360" w:lineRule="auto"/>
        <w:rPr>
          <w:b/>
          <w:bCs/>
          <w:lang w:val="en-US"/>
        </w:rPr>
      </w:pPr>
    </w:p>
    <w:p w14:paraId="1D4947E2" w14:textId="77777777" w:rsidR="00162C2C" w:rsidRPr="008B6BC5" w:rsidRDefault="00162C2C" w:rsidP="005C2C5C">
      <w:pPr>
        <w:pStyle w:val="NoSpacing"/>
        <w:spacing w:line="360" w:lineRule="auto"/>
        <w:rPr>
          <w:b/>
          <w:bCs/>
          <w:lang w:val="en-US"/>
        </w:rPr>
      </w:pPr>
    </w:p>
    <w:p w14:paraId="75762C36" w14:textId="77777777" w:rsidR="00162C2C" w:rsidRPr="008B6BC5" w:rsidRDefault="00162C2C" w:rsidP="005C2C5C">
      <w:pPr>
        <w:pStyle w:val="NoSpacing"/>
        <w:spacing w:line="360" w:lineRule="auto"/>
        <w:rPr>
          <w:b/>
          <w:bCs/>
          <w:lang w:val="en-US"/>
        </w:rPr>
      </w:pPr>
    </w:p>
    <w:p w14:paraId="5D67C959" w14:textId="77777777" w:rsidR="00162C2C" w:rsidRPr="008B6BC5" w:rsidRDefault="00162C2C" w:rsidP="005C2C5C">
      <w:pPr>
        <w:pStyle w:val="NoSpacing"/>
        <w:spacing w:line="360" w:lineRule="auto"/>
        <w:rPr>
          <w:b/>
          <w:bCs/>
          <w:lang w:val="en-US"/>
        </w:rPr>
      </w:pPr>
    </w:p>
    <w:p w14:paraId="45B23279" w14:textId="77777777" w:rsidR="00162C2C" w:rsidRPr="008B6BC5" w:rsidRDefault="00162C2C" w:rsidP="005C2C5C">
      <w:pPr>
        <w:pStyle w:val="NoSpacing"/>
        <w:spacing w:line="360" w:lineRule="auto"/>
        <w:rPr>
          <w:b/>
          <w:bCs/>
          <w:lang w:val="en-US"/>
        </w:rPr>
      </w:pPr>
    </w:p>
    <w:p w14:paraId="23F21B40" w14:textId="77777777" w:rsidR="00162C2C" w:rsidRPr="008B6BC5" w:rsidRDefault="00162C2C" w:rsidP="005C2C5C">
      <w:pPr>
        <w:pStyle w:val="NoSpacing"/>
        <w:spacing w:line="360" w:lineRule="auto"/>
        <w:rPr>
          <w:b/>
          <w:bCs/>
          <w:lang w:val="en-US"/>
        </w:rPr>
      </w:pPr>
    </w:p>
    <w:p w14:paraId="5F54AE72" w14:textId="77777777" w:rsidR="00162C2C" w:rsidRPr="008B6BC5" w:rsidRDefault="00162C2C" w:rsidP="005C2C5C">
      <w:pPr>
        <w:pStyle w:val="NoSpacing"/>
        <w:spacing w:line="360" w:lineRule="auto"/>
        <w:rPr>
          <w:b/>
          <w:bCs/>
          <w:lang w:val="en-US"/>
        </w:rPr>
      </w:pPr>
    </w:p>
    <w:p w14:paraId="17AAB18B" w14:textId="77777777" w:rsidR="00162C2C" w:rsidRPr="008B6BC5" w:rsidRDefault="00162C2C" w:rsidP="005C2C5C">
      <w:pPr>
        <w:pStyle w:val="NoSpacing"/>
        <w:spacing w:line="360" w:lineRule="auto"/>
        <w:rPr>
          <w:b/>
          <w:bCs/>
          <w:lang w:val="en-US"/>
        </w:rPr>
      </w:pPr>
    </w:p>
    <w:p w14:paraId="1D6074FD" w14:textId="77777777" w:rsidR="00162C2C" w:rsidRPr="008B6BC5" w:rsidRDefault="00162C2C" w:rsidP="005C2C5C">
      <w:pPr>
        <w:pStyle w:val="NoSpacing"/>
        <w:spacing w:line="360" w:lineRule="auto"/>
        <w:rPr>
          <w:b/>
          <w:bCs/>
          <w:lang w:val="en-US"/>
        </w:rPr>
      </w:pPr>
    </w:p>
    <w:p w14:paraId="5322F984" w14:textId="77777777" w:rsidR="00162C2C" w:rsidRPr="008B6BC5" w:rsidRDefault="00162C2C" w:rsidP="005C2C5C">
      <w:pPr>
        <w:pStyle w:val="NoSpacing"/>
        <w:spacing w:line="360" w:lineRule="auto"/>
        <w:rPr>
          <w:b/>
          <w:bCs/>
          <w:lang w:val="en-US"/>
        </w:rPr>
      </w:pPr>
    </w:p>
    <w:p w14:paraId="2BC64BF9" w14:textId="77777777" w:rsidR="00162C2C" w:rsidRPr="008B6BC5" w:rsidRDefault="00162C2C" w:rsidP="005C2C5C">
      <w:pPr>
        <w:pStyle w:val="NoSpacing"/>
        <w:spacing w:line="360" w:lineRule="auto"/>
        <w:rPr>
          <w:b/>
          <w:bCs/>
          <w:lang w:val="en-US"/>
        </w:rPr>
      </w:pPr>
    </w:p>
    <w:p w14:paraId="2621EB5B" w14:textId="77777777" w:rsidR="00162C2C" w:rsidRPr="008B6BC5" w:rsidRDefault="00162C2C" w:rsidP="005C2C5C">
      <w:pPr>
        <w:pStyle w:val="NoSpacing"/>
        <w:spacing w:line="360" w:lineRule="auto"/>
        <w:rPr>
          <w:b/>
          <w:bCs/>
          <w:lang w:val="en-US"/>
        </w:rPr>
      </w:pPr>
    </w:p>
    <w:p w14:paraId="2D940F10" w14:textId="77777777" w:rsidR="00162C2C" w:rsidRPr="008B6BC5" w:rsidRDefault="00162C2C" w:rsidP="005C2C5C">
      <w:pPr>
        <w:pStyle w:val="NoSpacing"/>
        <w:spacing w:line="360" w:lineRule="auto"/>
        <w:rPr>
          <w:b/>
          <w:bCs/>
          <w:lang w:val="en-US"/>
        </w:rPr>
      </w:pPr>
    </w:p>
    <w:p w14:paraId="79B620DC" w14:textId="77777777" w:rsidR="00162C2C" w:rsidRPr="008B6BC5" w:rsidRDefault="00162C2C" w:rsidP="005C2C5C">
      <w:pPr>
        <w:pStyle w:val="NoSpacing"/>
        <w:spacing w:line="360" w:lineRule="auto"/>
        <w:rPr>
          <w:b/>
          <w:bCs/>
          <w:lang w:val="en-US"/>
        </w:rPr>
      </w:pPr>
    </w:p>
    <w:p w14:paraId="2F684116" w14:textId="77777777" w:rsidR="00162C2C" w:rsidRPr="008B6BC5" w:rsidRDefault="00162C2C" w:rsidP="005C2C5C">
      <w:pPr>
        <w:pStyle w:val="NoSpacing"/>
        <w:spacing w:line="360" w:lineRule="auto"/>
        <w:rPr>
          <w:b/>
          <w:bCs/>
          <w:lang w:val="en-US"/>
        </w:rPr>
      </w:pPr>
    </w:p>
    <w:p w14:paraId="0260B996" w14:textId="77777777" w:rsidR="00162C2C" w:rsidRPr="008B6BC5" w:rsidRDefault="00162C2C" w:rsidP="005C2C5C">
      <w:pPr>
        <w:pStyle w:val="NoSpacing"/>
        <w:spacing w:line="360" w:lineRule="auto"/>
        <w:rPr>
          <w:b/>
          <w:bCs/>
          <w:lang w:val="en-US"/>
        </w:rPr>
      </w:pPr>
    </w:p>
    <w:p w14:paraId="7B47CB9F" w14:textId="77777777" w:rsidR="00162C2C" w:rsidRPr="008B6BC5" w:rsidRDefault="00162C2C" w:rsidP="005C2C5C">
      <w:pPr>
        <w:pStyle w:val="NoSpacing"/>
        <w:spacing w:line="360" w:lineRule="auto"/>
        <w:rPr>
          <w:b/>
          <w:bCs/>
          <w:lang w:val="en-US"/>
        </w:rPr>
      </w:pPr>
    </w:p>
    <w:p w14:paraId="2EA6708D" w14:textId="77777777" w:rsidR="00162C2C" w:rsidRPr="008B6BC5" w:rsidRDefault="00162C2C" w:rsidP="005C2C5C">
      <w:pPr>
        <w:pStyle w:val="NoSpacing"/>
        <w:spacing w:line="360" w:lineRule="auto"/>
        <w:rPr>
          <w:b/>
          <w:bCs/>
          <w:lang w:val="en-US"/>
        </w:rPr>
      </w:pPr>
    </w:p>
    <w:p w14:paraId="0F4A218E" w14:textId="77777777" w:rsidR="00162C2C" w:rsidRPr="008B6BC5" w:rsidRDefault="00162C2C" w:rsidP="005C2C5C">
      <w:pPr>
        <w:pStyle w:val="NoSpacing"/>
        <w:spacing w:line="360" w:lineRule="auto"/>
        <w:rPr>
          <w:b/>
          <w:bCs/>
          <w:lang w:val="en-US"/>
        </w:rPr>
      </w:pPr>
    </w:p>
    <w:p w14:paraId="5AD8BF64" w14:textId="77777777" w:rsidR="00162C2C" w:rsidRPr="008B6BC5" w:rsidRDefault="00162C2C" w:rsidP="005C2C5C">
      <w:pPr>
        <w:pStyle w:val="NoSpacing"/>
        <w:spacing w:line="360" w:lineRule="auto"/>
        <w:rPr>
          <w:b/>
          <w:bCs/>
          <w:lang w:val="en-US"/>
        </w:rPr>
      </w:pPr>
    </w:p>
    <w:p w14:paraId="714D0AF8" w14:textId="77777777" w:rsidR="00162C2C" w:rsidRPr="008B6BC5" w:rsidRDefault="00162C2C" w:rsidP="005C2C5C">
      <w:pPr>
        <w:pStyle w:val="NoSpacing"/>
        <w:spacing w:line="360" w:lineRule="auto"/>
        <w:rPr>
          <w:b/>
          <w:bCs/>
          <w:lang w:val="en-US"/>
        </w:rPr>
      </w:pPr>
    </w:p>
    <w:p w14:paraId="39FC3653" w14:textId="77777777" w:rsidR="00162C2C" w:rsidRPr="008B6BC5" w:rsidRDefault="00162C2C" w:rsidP="005C2C5C">
      <w:pPr>
        <w:pStyle w:val="NoSpacing"/>
        <w:spacing w:line="360" w:lineRule="auto"/>
        <w:rPr>
          <w:b/>
          <w:bCs/>
          <w:lang w:val="en-US"/>
        </w:rPr>
      </w:pPr>
    </w:p>
    <w:p w14:paraId="3A22612D" w14:textId="77777777" w:rsidR="00162C2C" w:rsidRPr="008B6BC5" w:rsidRDefault="00162C2C" w:rsidP="005C2C5C">
      <w:pPr>
        <w:pStyle w:val="NoSpacing"/>
        <w:spacing w:line="360" w:lineRule="auto"/>
        <w:rPr>
          <w:b/>
          <w:bCs/>
          <w:lang w:val="en-US"/>
        </w:rPr>
      </w:pPr>
    </w:p>
    <w:p w14:paraId="4096B603" w14:textId="77777777" w:rsidR="00162C2C" w:rsidRPr="008B6BC5" w:rsidRDefault="00162C2C" w:rsidP="005C2C5C">
      <w:pPr>
        <w:pStyle w:val="NoSpacing"/>
        <w:spacing w:line="360" w:lineRule="auto"/>
        <w:rPr>
          <w:b/>
          <w:bCs/>
          <w:lang w:val="en-US"/>
        </w:rPr>
      </w:pPr>
    </w:p>
    <w:p w14:paraId="2E9B0BA4" w14:textId="77777777" w:rsidR="00162C2C" w:rsidRPr="008B6BC5" w:rsidRDefault="00162C2C" w:rsidP="005C2C5C">
      <w:pPr>
        <w:pStyle w:val="NoSpacing"/>
        <w:spacing w:line="360" w:lineRule="auto"/>
        <w:rPr>
          <w:b/>
          <w:bCs/>
          <w:lang w:val="en-US"/>
        </w:rPr>
      </w:pPr>
    </w:p>
    <w:p w14:paraId="479BEF1D" w14:textId="77777777" w:rsidR="00162C2C" w:rsidRPr="008B6BC5" w:rsidRDefault="00162C2C" w:rsidP="005C2C5C">
      <w:pPr>
        <w:pStyle w:val="NoSpacing"/>
        <w:spacing w:line="360" w:lineRule="auto"/>
        <w:rPr>
          <w:b/>
          <w:bCs/>
          <w:lang w:val="en-US"/>
        </w:rPr>
      </w:pPr>
    </w:p>
    <w:p w14:paraId="29F26B2B" w14:textId="77777777" w:rsidR="00162C2C" w:rsidRPr="008B6BC5" w:rsidRDefault="00162C2C" w:rsidP="005C2C5C">
      <w:pPr>
        <w:pStyle w:val="NoSpacing"/>
        <w:spacing w:line="360" w:lineRule="auto"/>
        <w:rPr>
          <w:b/>
          <w:bCs/>
          <w:lang w:val="en-US"/>
        </w:rPr>
      </w:pPr>
    </w:p>
    <w:p w14:paraId="36D8AD59" w14:textId="77777777" w:rsidR="00973709" w:rsidRPr="008B6BC5" w:rsidRDefault="00973709" w:rsidP="005C2C5C">
      <w:pPr>
        <w:pStyle w:val="NoSpacing"/>
        <w:spacing w:line="360" w:lineRule="auto"/>
        <w:rPr>
          <w:b/>
          <w:bCs/>
          <w:lang w:val="en-US"/>
        </w:rPr>
        <w:sectPr w:rsidR="00973709" w:rsidRPr="008B6BC5">
          <w:pgSz w:w="11906" w:h="16838"/>
          <w:pgMar w:top="1440" w:right="1440" w:bottom="1440" w:left="1440" w:header="708" w:footer="708" w:gutter="0"/>
          <w:cols w:space="708"/>
          <w:docGrid w:linePitch="360"/>
        </w:sectPr>
      </w:pPr>
    </w:p>
    <w:p w14:paraId="1603E11F" w14:textId="77777777" w:rsidR="00973709" w:rsidRPr="008B6BC5" w:rsidRDefault="00973709" w:rsidP="005C2C5C">
      <w:pPr>
        <w:pStyle w:val="NoSpacing"/>
        <w:spacing w:line="360" w:lineRule="auto"/>
        <w:rPr>
          <w:b/>
          <w:bCs/>
          <w:lang w:val="en-US"/>
        </w:rPr>
      </w:pPr>
    </w:p>
    <w:p w14:paraId="61A13CF9" w14:textId="1D04E52D" w:rsidR="00973709" w:rsidRPr="008B6BC5" w:rsidRDefault="00973709" w:rsidP="005C2C5C">
      <w:pPr>
        <w:pStyle w:val="NoSpacing"/>
        <w:spacing w:line="360" w:lineRule="auto"/>
        <w:rPr>
          <w:b/>
          <w:bCs/>
          <w:lang w:val="en-US"/>
        </w:rPr>
      </w:pPr>
      <w:r w:rsidRPr="008B6BC5">
        <w:rPr>
          <w:b/>
          <w:bCs/>
          <w:lang w:val="en-US"/>
        </w:rPr>
        <w:t>Table S</w:t>
      </w:r>
      <w:r w:rsidR="00027F8C" w:rsidRPr="008B6BC5">
        <w:rPr>
          <w:b/>
          <w:bCs/>
          <w:lang w:val="en-US"/>
        </w:rPr>
        <w:t>1</w:t>
      </w:r>
      <w:r w:rsidRPr="008B6BC5">
        <w:rPr>
          <w:b/>
          <w:bCs/>
          <w:lang w:val="en-US"/>
        </w:rPr>
        <w:t>: Scores assigned to ChatGPT claims for reviews on Major Depressive Disorder</w:t>
      </w:r>
    </w:p>
    <w:tbl>
      <w:tblPr>
        <w:tblStyle w:val="TableGrid"/>
        <w:tblW w:w="16444" w:type="dxa"/>
        <w:tblInd w:w="-1281" w:type="dxa"/>
        <w:tblLook w:val="04A0" w:firstRow="1" w:lastRow="0" w:firstColumn="1" w:lastColumn="0" w:noHBand="0" w:noVBand="1"/>
      </w:tblPr>
      <w:tblGrid>
        <w:gridCol w:w="1560"/>
        <w:gridCol w:w="6048"/>
        <w:gridCol w:w="4202"/>
        <w:gridCol w:w="690"/>
        <w:gridCol w:w="3944"/>
      </w:tblGrid>
      <w:tr w:rsidR="00D84353" w:rsidRPr="008B6BC5" w14:paraId="04E2FD5A" w14:textId="77777777" w:rsidTr="00760C26">
        <w:tc>
          <w:tcPr>
            <w:tcW w:w="1560" w:type="dxa"/>
          </w:tcPr>
          <w:p w14:paraId="5CDB8DCC" w14:textId="0183C3A4" w:rsidR="00973709" w:rsidRPr="008B6BC5" w:rsidRDefault="00973709" w:rsidP="00973709">
            <w:pPr>
              <w:pStyle w:val="NoSpacing"/>
              <w:jc w:val="left"/>
              <w:rPr>
                <w:b/>
                <w:bCs/>
                <w:sz w:val="20"/>
                <w:szCs w:val="20"/>
                <w:lang w:val="en-US"/>
              </w:rPr>
            </w:pPr>
            <w:r w:rsidRPr="008B6BC5">
              <w:rPr>
                <w:b/>
                <w:bCs/>
                <w:sz w:val="20"/>
                <w:szCs w:val="20"/>
                <w:lang w:val="en-US"/>
              </w:rPr>
              <w:t xml:space="preserve">Treatment </w:t>
            </w:r>
          </w:p>
        </w:tc>
        <w:tc>
          <w:tcPr>
            <w:tcW w:w="6048" w:type="dxa"/>
          </w:tcPr>
          <w:p w14:paraId="6DDBA7B8" w14:textId="44B3322E" w:rsidR="00973709" w:rsidRPr="008B6BC5" w:rsidRDefault="00973709" w:rsidP="00973709">
            <w:pPr>
              <w:pStyle w:val="NoSpacing"/>
              <w:jc w:val="left"/>
              <w:rPr>
                <w:b/>
                <w:bCs/>
                <w:sz w:val="20"/>
                <w:szCs w:val="20"/>
                <w:lang w:val="en-US"/>
              </w:rPr>
            </w:pPr>
            <w:r w:rsidRPr="008B6BC5">
              <w:rPr>
                <w:b/>
                <w:bCs/>
                <w:sz w:val="20"/>
                <w:szCs w:val="20"/>
                <w:lang w:val="en-US"/>
              </w:rPr>
              <w:t xml:space="preserve">ChatGPT claim </w:t>
            </w:r>
          </w:p>
        </w:tc>
        <w:tc>
          <w:tcPr>
            <w:tcW w:w="4202" w:type="dxa"/>
          </w:tcPr>
          <w:p w14:paraId="1EBE2B2B" w14:textId="5FC8BBE9" w:rsidR="00973709" w:rsidRPr="008B6BC5" w:rsidRDefault="00973709" w:rsidP="00973709">
            <w:pPr>
              <w:pStyle w:val="NoSpacing"/>
              <w:jc w:val="left"/>
              <w:rPr>
                <w:b/>
                <w:bCs/>
                <w:sz w:val="20"/>
                <w:szCs w:val="20"/>
                <w:lang w:val="en-US"/>
              </w:rPr>
            </w:pPr>
            <w:r w:rsidRPr="008B6BC5">
              <w:rPr>
                <w:b/>
                <w:bCs/>
                <w:sz w:val="20"/>
                <w:szCs w:val="20"/>
                <w:lang w:val="en-US"/>
              </w:rPr>
              <w:t>Identified citation</w:t>
            </w:r>
          </w:p>
        </w:tc>
        <w:tc>
          <w:tcPr>
            <w:tcW w:w="690" w:type="dxa"/>
          </w:tcPr>
          <w:p w14:paraId="008AC4B3" w14:textId="2C62095C" w:rsidR="00973709" w:rsidRPr="008B6BC5" w:rsidRDefault="00973709" w:rsidP="00973709">
            <w:pPr>
              <w:pStyle w:val="NoSpacing"/>
              <w:jc w:val="left"/>
              <w:rPr>
                <w:b/>
                <w:bCs/>
                <w:sz w:val="20"/>
                <w:szCs w:val="20"/>
                <w:lang w:val="en-US"/>
              </w:rPr>
            </w:pPr>
            <w:r w:rsidRPr="008B6BC5">
              <w:rPr>
                <w:b/>
                <w:bCs/>
                <w:sz w:val="20"/>
                <w:szCs w:val="20"/>
                <w:lang w:val="en-US"/>
              </w:rPr>
              <w:t xml:space="preserve">Score </w:t>
            </w:r>
          </w:p>
        </w:tc>
        <w:tc>
          <w:tcPr>
            <w:tcW w:w="3944" w:type="dxa"/>
          </w:tcPr>
          <w:p w14:paraId="78CF0F19" w14:textId="5F7FCF35" w:rsidR="007C41F5" w:rsidRPr="008B6BC5" w:rsidRDefault="00973709" w:rsidP="00973709">
            <w:pPr>
              <w:pStyle w:val="NoSpacing"/>
              <w:jc w:val="left"/>
              <w:rPr>
                <w:b/>
                <w:bCs/>
                <w:sz w:val="20"/>
                <w:szCs w:val="20"/>
                <w:lang w:val="en-US"/>
              </w:rPr>
            </w:pPr>
            <w:r w:rsidRPr="008B6BC5">
              <w:rPr>
                <w:b/>
                <w:bCs/>
                <w:sz w:val="20"/>
                <w:szCs w:val="20"/>
                <w:lang w:val="en-US"/>
              </w:rPr>
              <w:t>Scoring justification</w:t>
            </w:r>
            <w:r w:rsidR="00202DA2" w:rsidRPr="008B6BC5">
              <w:rPr>
                <w:b/>
                <w:bCs/>
                <w:sz w:val="20"/>
                <w:szCs w:val="20"/>
                <w:lang w:val="en-US"/>
              </w:rPr>
              <w:t xml:space="preserve"> </w:t>
            </w:r>
            <w:r w:rsidR="008B6BC5">
              <w:rPr>
                <w:b/>
                <w:bCs/>
                <w:sz w:val="20"/>
                <w:szCs w:val="20"/>
                <w:lang w:val="en-US"/>
              </w:rPr>
              <w:t>(reason for lowest score received within the</w:t>
            </w:r>
            <w:r w:rsidR="005853F6">
              <w:rPr>
                <w:b/>
                <w:bCs/>
                <w:sz w:val="20"/>
                <w:szCs w:val="20"/>
                <w:lang w:val="en-US"/>
              </w:rPr>
              <w:t xml:space="preserve"> citation-claim</w:t>
            </w:r>
            <w:r w:rsidR="008B6BC5">
              <w:rPr>
                <w:b/>
                <w:bCs/>
                <w:sz w:val="20"/>
                <w:szCs w:val="20"/>
                <w:lang w:val="en-US"/>
              </w:rPr>
              <w:t>)</w:t>
            </w:r>
          </w:p>
          <w:p w14:paraId="66A8C3B8" w14:textId="07EF0CEA" w:rsidR="00973709" w:rsidRPr="008B6BC5" w:rsidRDefault="00973709" w:rsidP="00973709">
            <w:pPr>
              <w:pStyle w:val="NoSpacing"/>
              <w:jc w:val="left"/>
              <w:rPr>
                <w:b/>
                <w:bCs/>
                <w:sz w:val="20"/>
                <w:szCs w:val="20"/>
                <w:lang w:val="en-US"/>
              </w:rPr>
            </w:pPr>
            <w:r w:rsidRPr="008B6BC5">
              <w:rPr>
                <w:b/>
                <w:bCs/>
                <w:sz w:val="20"/>
                <w:szCs w:val="20"/>
                <w:lang w:val="en-US"/>
              </w:rPr>
              <w:t xml:space="preserve"> </w:t>
            </w:r>
          </w:p>
        </w:tc>
      </w:tr>
      <w:tr w:rsidR="00760C26" w:rsidRPr="008B6BC5" w14:paraId="12512DBC" w14:textId="77777777" w:rsidTr="00760C26">
        <w:tc>
          <w:tcPr>
            <w:tcW w:w="1560" w:type="dxa"/>
          </w:tcPr>
          <w:p w14:paraId="487C0193" w14:textId="66B5B007" w:rsidR="00760C26" w:rsidRPr="008B6BC5" w:rsidRDefault="00760C26" w:rsidP="00973709">
            <w:pPr>
              <w:pStyle w:val="NoSpacing"/>
              <w:jc w:val="left"/>
              <w:rPr>
                <w:b/>
                <w:bCs/>
                <w:sz w:val="20"/>
                <w:szCs w:val="20"/>
                <w:lang w:val="en-US"/>
              </w:rPr>
            </w:pPr>
            <w:r w:rsidRPr="008B6BC5">
              <w:rPr>
                <w:rFonts w:cs="Times New Roman"/>
                <w:sz w:val="20"/>
                <w:szCs w:val="20"/>
                <w:lang w:val="en-US"/>
              </w:rPr>
              <w:t>Digital mental health</w:t>
            </w:r>
          </w:p>
        </w:tc>
        <w:tc>
          <w:tcPr>
            <w:tcW w:w="6048" w:type="dxa"/>
          </w:tcPr>
          <w:p w14:paraId="58553DB7" w14:textId="77777777" w:rsidR="00760C26" w:rsidRPr="008B6BC5" w:rsidRDefault="00760C26" w:rsidP="00973709">
            <w:pPr>
              <w:pStyle w:val="NoSpacing"/>
              <w:jc w:val="left"/>
              <w:rPr>
                <w:b/>
                <w:bCs/>
                <w:sz w:val="20"/>
                <w:szCs w:val="20"/>
                <w:lang w:val="en-US"/>
              </w:rPr>
            </w:pPr>
          </w:p>
        </w:tc>
        <w:tc>
          <w:tcPr>
            <w:tcW w:w="4202" w:type="dxa"/>
          </w:tcPr>
          <w:p w14:paraId="592D8319" w14:textId="77777777" w:rsidR="00760C26" w:rsidRPr="008B6BC5" w:rsidRDefault="00760C26" w:rsidP="00973709">
            <w:pPr>
              <w:pStyle w:val="NoSpacing"/>
              <w:jc w:val="left"/>
              <w:rPr>
                <w:b/>
                <w:bCs/>
                <w:sz w:val="20"/>
                <w:szCs w:val="20"/>
                <w:lang w:val="en-US"/>
              </w:rPr>
            </w:pPr>
          </w:p>
        </w:tc>
        <w:tc>
          <w:tcPr>
            <w:tcW w:w="690" w:type="dxa"/>
          </w:tcPr>
          <w:p w14:paraId="420B4C52" w14:textId="77777777" w:rsidR="00760C26" w:rsidRPr="008B6BC5" w:rsidRDefault="00760C26" w:rsidP="00973709">
            <w:pPr>
              <w:pStyle w:val="NoSpacing"/>
              <w:jc w:val="left"/>
              <w:rPr>
                <w:b/>
                <w:bCs/>
                <w:sz w:val="20"/>
                <w:szCs w:val="20"/>
                <w:lang w:val="en-US"/>
              </w:rPr>
            </w:pPr>
          </w:p>
        </w:tc>
        <w:tc>
          <w:tcPr>
            <w:tcW w:w="3944" w:type="dxa"/>
          </w:tcPr>
          <w:p w14:paraId="467BB164" w14:textId="77777777" w:rsidR="00760C26" w:rsidRPr="008B6BC5" w:rsidRDefault="00760C26" w:rsidP="00973709">
            <w:pPr>
              <w:pStyle w:val="NoSpacing"/>
              <w:jc w:val="left"/>
              <w:rPr>
                <w:b/>
                <w:bCs/>
                <w:sz w:val="20"/>
                <w:szCs w:val="20"/>
                <w:lang w:val="en-US"/>
              </w:rPr>
            </w:pPr>
          </w:p>
        </w:tc>
      </w:tr>
      <w:tr w:rsidR="00D84353" w:rsidRPr="008B6BC5" w14:paraId="08EE378F" w14:textId="77777777" w:rsidTr="00760C26">
        <w:tc>
          <w:tcPr>
            <w:tcW w:w="1560" w:type="dxa"/>
          </w:tcPr>
          <w:p w14:paraId="131E1C8C" w14:textId="232C7AFB" w:rsidR="00973709" w:rsidRPr="008B6BC5" w:rsidRDefault="00760C26" w:rsidP="00973709">
            <w:pPr>
              <w:pStyle w:val="NoSpacing"/>
              <w:rPr>
                <w:rFonts w:cs="Times New Roman"/>
                <w:sz w:val="20"/>
                <w:szCs w:val="20"/>
                <w:lang w:val="en-US"/>
              </w:rPr>
            </w:pPr>
            <w:r w:rsidRPr="008B6BC5">
              <w:rPr>
                <w:rFonts w:cs="Times New Roman"/>
                <w:sz w:val="20"/>
                <w:szCs w:val="20"/>
                <w:lang w:val="en-US"/>
              </w:rPr>
              <w:t>1</w:t>
            </w:r>
          </w:p>
        </w:tc>
        <w:tc>
          <w:tcPr>
            <w:tcW w:w="6048" w:type="dxa"/>
          </w:tcPr>
          <w:p w14:paraId="0539D8D7" w14:textId="5B17F3CE" w:rsidR="00973709" w:rsidRPr="008B6BC5" w:rsidRDefault="00973709" w:rsidP="00973709">
            <w:pPr>
              <w:pStyle w:val="NoSpacing"/>
              <w:rPr>
                <w:rFonts w:cs="Times New Roman"/>
                <w:sz w:val="20"/>
                <w:szCs w:val="20"/>
                <w:lang w:val="en-US"/>
              </w:rPr>
            </w:pPr>
            <w:r w:rsidRPr="008B6BC5">
              <w:rPr>
                <w:rFonts w:cs="Times New Roman"/>
                <w:sz w:val="20"/>
                <w:szCs w:val="20"/>
                <w:lang w:val="en-US"/>
              </w:rPr>
              <w:t xml:space="preserve">An individual patient data (IPD) meta-analysis of 25 randomized controlled trials (RCTs) of self-guided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for adults with depressive symptoms (many meeting criteria for MDD) found a small-to-moderate effect versus waitlist, treatment-as-usual (TAU), or minimal intervention controls (Hedges’ g = 0.27, 95% CI 0.17–0.38; odds ratio for response = 1.95; number needed to treat ≈ 8) (Karyotaki et al., 2017)</w:t>
            </w:r>
          </w:p>
        </w:tc>
        <w:tc>
          <w:tcPr>
            <w:tcW w:w="4202" w:type="dxa"/>
          </w:tcPr>
          <w:p w14:paraId="17406981" w14:textId="65E12D2D" w:rsidR="00973709" w:rsidRPr="008B6BC5" w:rsidRDefault="00973709" w:rsidP="00973709">
            <w:pPr>
              <w:pStyle w:val="NoSpacing"/>
              <w:rPr>
                <w:rFonts w:cs="Times New Roman"/>
                <w:sz w:val="20"/>
                <w:szCs w:val="20"/>
                <w:lang w:val="en-US"/>
              </w:rPr>
            </w:pPr>
            <w:r w:rsidRPr="008B6BC5">
              <w:rPr>
                <w:rFonts w:cs="Times New Roman"/>
                <w:sz w:val="20"/>
                <w:szCs w:val="20"/>
                <w:lang w:val="en-US"/>
              </w:rPr>
              <w:t xml:space="preserve">doi:10.1001/jamapsychiatry.2017.0044 </w:t>
            </w:r>
          </w:p>
        </w:tc>
        <w:tc>
          <w:tcPr>
            <w:tcW w:w="690" w:type="dxa"/>
          </w:tcPr>
          <w:p w14:paraId="1D1C3296" w14:textId="4D8FC4A4" w:rsidR="00973709" w:rsidRPr="008B6BC5" w:rsidRDefault="00F86809" w:rsidP="00973709">
            <w:pPr>
              <w:pStyle w:val="NoSpacing"/>
              <w:rPr>
                <w:rFonts w:cs="Times New Roman"/>
                <w:sz w:val="20"/>
                <w:szCs w:val="20"/>
                <w:lang w:val="en-US"/>
              </w:rPr>
            </w:pPr>
            <w:r w:rsidRPr="008B6BC5">
              <w:rPr>
                <w:rFonts w:cs="Times New Roman"/>
                <w:sz w:val="20"/>
                <w:szCs w:val="20"/>
                <w:lang w:val="en-US"/>
              </w:rPr>
              <w:t>3</w:t>
            </w:r>
          </w:p>
        </w:tc>
        <w:tc>
          <w:tcPr>
            <w:tcW w:w="3944" w:type="dxa"/>
          </w:tcPr>
          <w:p w14:paraId="5DCD6B39" w14:textId="0C3BC672" w:rsidR="00973709" w:rsidRPr="008B6BC5" w:rsidRDefault="00E90862" w:rsidP="00973709">
            <w:pPr>
              <w:pStyle w:val="NoSpacing"/>
              <w:rPr>
                <w:rFonts w:cs="Times New Roman"/>
                <w:sz w:val="20"/>
                <w:szCs w:val="20"/>
                <w:lang w:val="en-US"/>
              </w:rPr>
            </w:pPr>
            <w:r w:rsidRPr="008B6BC5">
              <w:rPr>
                <w:rFonts w:cs="Times New Roman"/>
                <w:sz w:val="20"/>
                <w:szCs w:val="20"/>
                <w:lang w:val="en-US"/>
              </w:rPr>
              <w:t xml:space="preserve">13 trials were only included; less than half of the trials included </w:t>
            </w:r>
            <w:r w:rsidR="009F4D1A" w:rsidRPr="008B6BC5">
              <w:rPr>
                <w:rFonts w:cs="Times New Roman"/>
                <w:sz w:val="20"/>
                <w:szCs w:val="20"/>
                <w:lang w:val="en-US"/>
              </w:rPr>
              <w:t xml:space="preserve">sampled participants with MDD; Upper bound for 95% CI slightly incorrect. </w:t>
            </w:r>
          </w:p>
        </w:tc>
      </w:tr>
      <w:tr w:rsidR="00D84353" w:rsidRPr="008B6BC5" w14:paraId="14DDD741" w14:textId="77777777" w:rsidTr="00760C26">
        <w:tc>
          <w:tcPr>
            <w:tcW w:w="1560" w:type="dxa"/>
          </w:tcPr>
          <w:p w14:paraId="35D61E00" w14:textId="0F18B923" w:rsidR="00973709" w:rsidRPr="008B6BC5" w:rsidRDefault="00A97F97" w:rsidP="00973709">
            <w:pPr>
              <w:pStyle w:val="NoSpacing"/>
              <w:rPr>
                <w:rFonts w:cs="Times New Roman"/>
                <w:sz w:val="20"/>
                <w:szCs w:val="20"/>
                <w:lang w:val="en-US"/>
              </w:rPr>
            </w:pPr>
            <w:r w:rsidRPr="008B6BC5">
              <w:rPr>
                <w:rFonts w:cs="Times New Roman"/>
                <w:sz w:val="20"/>
                <w:szCs w:val="20"/>
                <w:lang w:val="en-US"/>
              </w:rPr>
              <w:t>2</w:t>
            </w:r>
          </w:p>
        </w:tc>
        <w:tc>
          <w:tcPr>
            <w:tcW w:w="6048" w:type="dxa"/>
          </w:tcPr>
          <w:p w14:paraId="7249B08D" w14:textId="513EECB6" w:rsidR="00973709" w:rsidRPr="008B6BC5" w:rsidRDefault="00973709" w:rsidP="00973709">
            <w:pPr>
              <w:pStyle w:val="NoSpacing"/>
              <w:rPr>
                <w:rFonts w:cs="Times New Roman"/>
                <w:sz w:val="20"/>
                <w:szCs w:val="20"/>
                <w:lang w:val="en-US"/>
              </w:rPr>
            </w:pPr>
            <w:r w:rsidRPr="008B6BC5">
              <w:rPr>
                <w:rFonts w:cs="Times New Roman"/>
                <w:sz w:val="20"/>
                <w:szCs w:val="20"/>
                <w:lang w:val="en-US"/>
              </w:rPr>
              <w:t xml:space="preserve">A broader meta-analysis of </w:t>
            </w:r>
            <w:proofErr w:type="spellStart"/>
            <w:r w:rsidRPr="008B6BC5">
              <w:rPr>
                <w:rFonts w:cs="Times New Roman"/>
                <w:sz w:val="20"/>
                <w:szCs w:val="20"/>
                <w:lang w:val="en-US"/>
              </w:rPr>
              <w:t>computerised</w:t>
            </w:r>
            <w:proofErr w:type="spellEnd"/>
            <w:r w:rsidRPr="008B6BC5">
              <w:rPr>
                <w:rFonts w:cs="Times New Roman"/>
                <w:sz w:val="20"/>
                <w:szCs w:val="20"/>
                <w:lang w:val="en-US"/>
              </w:rPr>
              <w:t xml:space="preserve"> CBT (CCBT) across anxiety and depressive disorders reported a pooled superiority of digital interventions over control conditions (Hedges’ g ≈ 0.80), with major depression showing effects in the moderate range (Andrews et al., 2018).</w:t>
            </w:r>
          </w:p>
        </w:tc>
        <w:tc>
          <w:tcPr>
            <w:tcW w:w="4202" w:type="dxa"/>
          </w:tcPr>
          <w:p w14:paraId="1007072A" w14:textId="752064C3" w:rsidR="00973709" w:rsidRPr="008B6BC5" w:rsidRDefault="00973709" w:rsidP="00973709">
            <w:pPr>
              <w:pStyle w:val="NoSpacing"/>
              <w:rPr>
                <w:rFonts w:cs="Times New Roman"/>
                <w:sz w:val="20"/>
                <w:szCs w:val="20"/>
                <w:lang w:val="en-US"/>
              </w:rPr>
            </w:pPr>
            <w:hyperlink r:id="rId7" w:history="1">
              <w:r w:rsidRPr="008B6BC5">
                <w:rPr>
                  <w:rStyle w:val="Hyperlink"/>
                  <w:rFonts w:cs="Times New Roman"/>
                  <w:sz w:val="20"/>
                  <w:szCs w:val="20"/>
                  <w:lang w:val="en-US"/>
                </w:rPr>
                <w:t>https://doi.org/10.1016/j.janxdis.2018.01.001</w:t>
              </w:r>
            </w:hyperlink>
            <w:r w:rsidRPr="008B6BC5">
              <w:rPr>
                <w:rFonts w:cs="Times New Roman"/>
                <w:sz w:val="20"/>
                <w:szCs w:val="20"/>
                <w:lang w:val="en-US"/>
              </w:rPr>
              <w:t xml:space="preserve"> </w:t>
            </w:r>
          </w:p>
        </w:tc>
        <w:tc>
          <w:tcPr>
            <w:tcW w:w="690" w:type="dxa"/>
          </w:tcPr>
          <w:p w14:paraId="78AA8622" w14:textId="6C38A940" w:rsidR="00973709" w:rsidRPr="008B6BC5" w:rsidRDefault="009F4D1A" w:rsidP="00973709">
            <w:pPr>
              <w:pStyle w:val="NoSpacing"/>
              <w:rPr>
                <w:rFonts w:cs="Times New Roman"/>
                <w:sz w:val="20"/>
                <w:szCs w:val="20"/>
                <w:lang w:val="en-US"/>
              </w:rPr>
            </w:pPr>
            <w:r w:rsidRPr="008B6BC5">
              <w:rPr>
                <w:rFonts w:cs="Times New Roman"/>
                <w:sz w:val="20"/>
                <w:szCs w:val="20"/>
                <w:lang w:val="en-US"/>
              </w:rPr>
              <w:t>4</w:t>
            </w:r>
          </w:p>
        </w:tc>
        <w:tc>
          <w:tcPr>
            <w:tcW w:w="3944" w:type="dxa"/>
          </w:tcPr>
          <w:p w14:paraId="40E8C92D" w14:textId="6874F8EC" w:rsidR="00973709" w:rsidRPr="008B6BC5" w:rsidRDefault="009F4D1A" w:rsidP="0097370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F4D1A" w:rsidRPr="008B6BC5" w14:paraId="3EE0BFFE" w14:textId="77777777" w:rsidTr="00760C26">
        <w:tc>
          <w:tcPr>
            <w:tcW w:w="1560" w:type="dxa"/>
          </w:tcPr>
          <w:p w14:paraId="1D979CF3" w14:textId="42833C9F" w:rsidR="009F4D1A" w:rsidRPr="008B6BC5" w:rsidRDefault="00A97F97" w:rsidP="009F4D1A">
            <w:pPr>
              <w:pStyle w:val="NoSpacing"/>
              <w:rPr>
                <w:rFonts w:cs="Times New Roman"/>
                <w:sz w:val="20"/>
                <w:szCs w:val="20"/>
                <w:lang w:val="en-US"/>
              </w:rPr>
            </w:pPr>
            <w:r w:rsidRPr="008B6BC5">
              <w:rPr>
                <w:rFonts w:cs="Times New Roman"/>
                <w:sz w:val="20"/>
                <w:szCs w:val="20"/>
                <w:lang w:val="en-US"/>
              </w:rPr>
              <w:t>3</w:t>
            </w:r>
          </w:p>
        </w:tc>
        <w:tc>
          <w:tcPr>
            <w:tcW w:w="6048" w:type="dxa"/>
          </w:tcPr>
          <w:p w14:paraId="5C6CE2ED" w14:textId="1C5C2EA7" w:rsidR="009F4D1A" w:rsidRPr="008B6BC5" w:rsidRDefault="009F4D1A" w:rsidP="009F4D1A">
            <w:pPr>
              <w:pStyle w:val="NoSpacing"/>
              <w:rPr>
                <w:rFonts w:cs="Times New Roman"/>
                <w:sz w:val="20"/>
                <w:szCs w:val="20"/>
                <w:lang w:val="en-US"/>
              </w:rPr>
            </w:pPr>
            <w:r w:rsidRPr="008B6BC5">
              <w:rPr>
                <w:rFonts w:cs="Times New Roman"/>
                <w:sz w:val="20"/>
                <w:szCs w:val="20"/>
                <w:lang w:val="en-US"/>
              </w:rPr>
              <w:t xml:space="preserve">An IPD network meta-analysis </w:t>
            </w:r>
            <w:proofErr w:type="spellStart"/>
            <w:r w:rsidRPr="008B6BC5">
              <w:rPr>
                <w:rFonts w:cs="Times New Roman"/>
                <w:sz w:val="20"/>
                <w:szCs w:val="20"/>
                <w:lang w:val="en-US"/>
              </w:rPr>
              <w:t>synthesising</w:t>
            </w:r>
            <w:proofErr w:type="spellEnd"/>
            <w:r w:rsidRPr="008B6BC5">
              <w:rPr>
                <w:rFonts w:cs="Times New Roman"/>
                <w:sz w:val="20"/>
                <w:szCs w:val="20"/>
                <w:lang w:val="en-US"/>
              </w:rPr>
              <w:t xml:space="preserve"> 39 RCTs (n ≈ 8,100) directly compared guided and unguided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for adults with depression against waitlist, TAU, and other controls using the PHQ-9 as the primary outcome (Karyotaki et al., 2021). Both guided and unguided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were significantly more effective than control conditions at post-treatment and up to 12-month follow-up;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showed somewhat greater short-term benefit (mean difference in PHQ-9 ≈ −0.8 points vs unguided). Importantly, absolute symptom reductions were clinically meaningful (typically 5–7 PHQ-9 points) in both formats (Karyotaki et al., 2021)</w:t>
            </w:r>
          </w:p>
        </w:tc>
        <w:tc>
          <w:tcPr>
            <w:tcW w:w="4202" w:type="dxa"/>
          </w:tcPr>
          <w:p w14:paraId="584A9755" w14:textId="1D677952" w:rsidR="009F4D1A" w:rsidRPr="008B6BC5" w:rsidRDefault="009F4D1A" w:rsidP="009F4D1A">
            <w:pPr>
              <w:pStyle w:val="NoSpacing"/>
              <w:rPr>
                <w:rFonts w:cs="Times New Roman"/>
                <w:sz w:val="20"/>
                <w:szCs w:val="20"/>
                <w:lang w:val="en-US"/>
              </w:rPr>
            </w:pPr>
            <w:r w:rsidRPr="008B6BC5">
              <w:rPr>
                <w:rFonts w:cs="Times New Roman"/>
                <w:sz w:val="20"/>
                <w:szCs w:val="20"/>
                <w:lang w:val="en-US"/>
              </w:rPr>
              <w:t xml:space="preserve">doi:10.1001/jamapsychiatry.2020.4364 </w:t>
            </w:r>
          </w:p>
        </w:tc>
        <w:tc>
          <w:tcPr>
            <w:tcW w:w="690" w:type="dxa"/>
          </w:tcPr>
          <w:p w14:paraId="409C6DAC" w14:textId="7F24C216" w:rsidR="009F4D1A" w:rsidRPr="008B6BC5" w:rsidRDefault="009F4D1A" w:rsidP="009F4D1A">
            <w:pPr>
              <w:pStyle w:val="NoSpacing"/>
              <w:rPr>
                <w:rFonts w:cs="Times New Roman"/>
                <w:sz w:val="20"/>
                <w:szCs w:val="20"/>
                <w:lang w:val="en-US"/>
              </w:rPr>
            </w:pPr>
            <w:r w:rsidRPr="008B6BC5">
              <w:rPr>
                <w:rFonts w:cs="Times New Roman"/>
                <w:sz w:val="20"/>
                <w:szCs w:val="20"/>
                <w:lang w:val="en-US"/>
              </w:rPr>
              <w:t>4</w:t>
            </w:r>
          </w:p>
        </w:tc>
        <w:tc>
          <w:tcPr>
            <w:tcW w:w="3944" w:type="dxa"/>
          </w:tcPr>
          <w:p w14:paraId="4C283880" w14:textId="4036C6CB" w:rsidR="009F4D1A" w:rsidRPr="008B6BC5" w:rsidRDefault="009F4D1A" w:rsidP="009F4D1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F4D1A" w:rsidRPr="008B6BC5" w14:paraId="3A062F73" w14:textId="77777777" w:rsidTr="00760C26">
        <w:tc>
          <w:tcPr>
            <w:tcW w:w="1560" w:type="dxa"/>
          </w:tcPr>
          <w:p w14:paraId="66926A8F" w14:textId="3FB96F7C" w:rsidR="009F4D1A" w:rsidRPr="008B6BC5" w:rsidRDefault="00A97F97" w:rsidP="009F4D1A">
            <w:pPr>
              <w:pStyle w:val="NoSpacing"/>
              <w:rPr>
                <w:rFonts w:cs="Times New Roman"/>
                <w:sz w:val="20"/>
                <w:szCs w:val="20"/>
                <w:lang w:val="en-US"/>
              </w:rPr>
            </w:pPr>
            <w:r w:rsidRPr="008B6BC5">
              <w:rPr>
                <w:rFonts w:cs="Times New Roman"/>
                <w:sz w:val="20"/>
                <w:szCs w:val="20"/>
                <w:lang w:val="en-US"/>
              </w:rPr>
              <w:t>4</w:t>
            </w:r>
          </w:p>
        </w:tc>
        <w:tc>
          <w:tcPr>
            <w:tcW w:w="6048" w:type="dxa"/>
          </w:tcPr>
          <w:p w14:paraId="1A0EE4C4" w14:textId="03AE6A2D" w:rsidR="009F4D1A" w:rsidRPr="008B6BC5" w:rsidRDefault="009F4D1A" w:rsidP="009F4D1A">
            <w:pPr>
              <w:pStyle w:val="NoSpacing"/>
              <w:rPr>
                <w:rFonts w:cs="Times New Roman"/>
                <w:sz w:val="20"/>
                <w:szCs w:val="20"/>
                <w:lang w:val="en-US"/>
              </w:rPr>
            </w:pPr>
            <w:r w:rsidRPr="008B6BC5">
              <w:rPr>
                <w:rFonts w:cs="Times New Roman"/>
                <w:sz w:val="20"/>
                <w:szCs w:val="20"/>
                <w:lang w:val="en-US"/>
              </w:rPr>
              <w:t xml:space="preserve">Long-term follow-up work suggests that benefits of self-guided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can be sustained over 1–3 years, with effect sizes remaining in the small-to-moderate range relative to TAU or minimal intervention (Mamukashvili-Delau et al., 2023), </w:t>
            </w:r>
          </w:p>
        </w:tc>
        <w:tc>
          <w:tcPr>
            <w:tcW w:w="4202" w:type="dxa"/>
          </w:tcPr>
          <w:p w14:paraId="486AED7F" w14:textId="2E809604" w:rsidR="009F4D1A" w:rsidRPr="008B6BC5" w:rsidRDefault="009F4D1A" w:rsidP="009F4D1A">
            <w:pPr>
              <w:pStyle w:val="NoSpacing"/>
              <w:rPr>
                <w:rFonts w:cs="Times New Roman"/>
                <w:sz w:val="20"/>
                <w:szCs w:val="20"/>
                <w:lang w:val="en-US"/>
              </w:rPr>
            </w:pPr>
            <w:r w:rsidRPr="008B6BC5">
              <w:rPr>
                <w:rFonts w:cs="Times New Roman"/>
                <w:sz w:val="20"/>
                <w:szCs w:val="20"/>
                <w:lang w:val="en-US"/>
              </w:rPr>
              <w:t xml:space="preserve">doi:10.2196/46925 </w:t>
            </w:r>
          </w:p>
        </w:tc>
        <w:tc>
          <w:tcPr>
            <w:tcW w:w="690" w:type="dxa"/>
          </w:tcPr>
          <w:p w14:paraId="4926071D" w14:textId="788F3D7F" w:rsidR="009F4D1A" w:rsidRPr="008B6BC5" w:rsidRDefault="00515739" w:rsidP="009F4D1A">
            <w:pPr>
              <w:pStyle w:val="NoSpacing"/>
              <w:rPr>
                <w:rFonts w:cs="Times New Roman"/>
                <w:sz w:val="20"/>
                <w:szCs w:val="20"/>
                <w:lang w:val="en-US"/>
              </w:rPr>
            </w:pPr>
            <w:r w:rsidRPr="008B6BC5">
              <w:rPr>
                <w:rFonts w:cs="Times New Roman"/>
                <w:sz w:val="20"/>
                <w:szCs w:val="20"/>
                <w:lang w:val="en-US"/>
              </w:rPr>
              <w:t>2</w:t>
            </w:r>
          </w:p>
        </w:tc>
        <w:tc>
          <w:tcPr>
            <w:tcW w:w="3944" w:type="dxa"/>
          </w:tcPr>
          <w:p w14:paraId="52EBC58A" w14:textId="1DF18A8D" w:rsidR="009F4D1A" w:rsidRPr="008B6BC5" w:rsidRDefault="00515739" w:rsidP="009F4D1A">
            <w:pPr>
              <w:pStyle w:val="NoSpacing"/>
              <w:rPr>
                <w:rFonts w:cs="Times New Roman"/>
                <w:sz w:val="20"/>
                <w:szCs w:val="20"/>
                <w:lang w:val="en-US"/>
              </w:rPr>
            </w:pPr>
            <w:r w:rsidRPr="008B6BC5">
              <w:rPr>
                <w:rFonts w:cs="Times New Roman"/>
                <w:sz w:val="20"/>
                <w:szCs w:val="20"/>
                <w:lang w:val="en-US"/>
              </w:rPr>
              <w:t>In the analysis comparing ICBT to control at &gt;8 month follow-up, a non-significant effect size was found</w:t>
            </w:r>
            <w:r w:rsidR="003223A5" w:rsidRPr="008B6BC5">
              <w:rPr>
                <w:rFonts w:cs="Times New Roman"/>
                <w:sz w:val="20"/>
                <w:szCs w:val="20"/>
                <w:lang w:val="en-US"/>
              </w:rPr>
              <w:t>; none of the trials included follow-ups &gt;1 year.</w:t>
            </w:r>
          </w:p>
        </w:tc>
      </w:tr>
      <w:tr w:rsidR="003223A5" w:rsidRPr="008B6BC5" w14:paraId="6FB72123" w14:textId="77777777" w:rsidTr="00760C26">
        <w:tc>
          <w:tcPr>
            <w:tcW w:w="1560" w:type="dxa"/>
          </w:tcPr>
          <w:p w14:paraId="52F2CE61" w14:textId="47F6CC13" w:rsidR="003223A5" w:rsidRPr="008B6BC5" w:rsidRDefault="00A97F97" w:rsidP="003223A5">
            <w:pPr>
              <w:pStyle w:val="NoSpacing"/>
              <w:rPr>
                <w:rFonts w:cs="Times New Roman"/>
                <w:sz w:val="20"/>
                <w:szCs w:val="20"/>
                <w:lang w:val="en-US"/>
              </w:rPr>
            </w:pPr>
            <w:r w:rsidRPr="008B6BC5">
              <w:rPr>
                <w:rFonts w:cs="Times New Roman"/>
                <w:sz w:val="20"/>
                <w:szCs w:val="20"/>
                <w:lang w:val="en-US"/>
              </w:rPr>
              <w:t>5</w:t>
            </w:r>
          </w:p>
        </w:tc>
        <w:tc>
          <w:tcPr>
            <w:tcW w:w="6048" w:type="dxa"/>
          </w:tcPr>
          <w:p w14:paraId="47E44105" w14:textId="1846CDF9" w:rsidR="003223A5" w:rsidRPr="008B6BC5" w:rsidRDefault="003223A5" w:rsidP="003223A5">
            <w:pPr>
              <w:pStyle w:val="NoSpacing"/>
              <w:rPr>
                <w:rFonts w:cs="Times New Roman"/>
                <w:sz w:val="20"/>
                <w:szCs w:val="20"/>
                <w:lang w:val="en-US"/>
              </w:rPr>
            </w:pPr>
            <w:r w:rsidRPr="008B6BC5">
              <w:rPr>
                <w:rFonts w:cs="Times New Roman"/>
                <w:sz w:val="20"/>
                <w:szCs w:val="20"/>
                <w:lang w:val="en-US"/>
              </w:rPr>
              <w:t xml:space="preserve">Serrano-Ripoll et al. (2022) meta-analyzed 12 RCTs (14 apps; n = 2,859) in adults with depression, most of whom met diagnostic criteria or had at least moderate symptoms. Compared with usual care or minimal intervention controls, app-based psychological interventions—predominantly CBT-based—produced a moderate reduction in depressive symptoms (SMD = −0.51, 95% CI −0.69 to −0.33). Effects were larger in </w:t>
            </w:r>
            <w:r w:rsidRPr="008B6BC5">
              <w:rPr>
                <w:rFonts w:cs="Times New Roman"/>
                <w:sz w:val="20"/>
                <w:szCs w:val="20"/>
                <w:lang w:val="en-US"/>
              </w:rPr>
              <w:lastRenderedPageBreak/>
              <w:t xml:space="preserve">samples with moderate-to-severe depression (SMD = −0.67) than in those with mild-to-moderate symptoms (SMD ≈ −0.15) </w:t>
            </w:r>
          </w:p>
        </w:tc>
        <w:tc>
          <w:tcPr>
            <w:tcW w:w="4202" w:type="dxa"/>
          </w:tcPr>
          <w:p w14:paraId="1A9F383B" w14:textId="2C5DB368" w:rsidR="003223A5" w:rsidRPr="008B6BC5" w:rsidRDefault="003223A5" w:rsidP="003223A5">
            <w:pPr>
              <w:pStyle w:val="NoSpacing"/>
              <w:rPr>
                <w:rFonts w:cs="Times New Roman"/>
                <w:sz w:val="20"/>
                <w:szCs w:val="20"/>
                <w:lang w:val="en-US"/>
              </w:rPr>
            </w:pPr>
            <w:r w:rsidRPr="008B6BC5">
              <w:rPr>
                <w:rFonts w:cs="Times New Roman"/>
                <w:sz w:val="20"/>
                <w:szCs w:val="20"/>
                <w:lang w:val="en-US"/>
              </w:rPr>
              <w:lastRenderedPageBreak/>
              <w:t>doi:10.2196/29621</w:t>
            </w:r>
          </w:p>
        </w:tc>
        <w:tc>
          <w:tcPr>
            <w:tcW w:w="690" w:type="dxa"/>
          </w:tcPr>
          <w:p w14:paraId="693CF9FC" w14:textId="06334DB6" w:rsidR="003223A5" w:rsidRPr="008B6BC5" w:rsidRDefault="003223A5" w:rsidP="003223A5">
            <w:pPr>
              <w:pStyle w:val="NoSpacing"/>
              <w:rPr>
                <w:rFonts w:cs="Times New Roman"/>
                <w:sz w:val="20"/>
                <w:szCs w:val="20"/>
                <w:lang w:val="en-US"/>
              </w:rPr>
            </w:pPr>
            <w:r w:rsidRPr="008B6BC5">
              <w:rPr>
                <w:rFonts w:cs="Times New Roman"/>
                <w:sz w:val="20"/>
                <w:szCs w:val="20"/>
                <w:lang w:val="en-US"/>
              </w:rPr>
              <w:t>4</w:t>
            </w:r>
          </w:p>
        </w:tc>
        <w:tc>
          <w:tcPr>
            <w:tcW w:w="3944" w:type="dxa"/>
          </w:tcPr>
          <w:p w14:paraId="634F2E7B" w14:textId="7938EDDF" w:rsidR="003223A5" w:rsidRPr="008B6BC5" w:rsidRDefault="003223A5" w:rsidP="003223A5">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7A5150" w:rsidRPr="008B6BC5" w14:paraId="2616D279" w14:textId="77777777" w:rsidTr="00760C26">
        <w:tc>
          <w:tcPr>
            <w:tcW w:w="1560" w:type="dxa"/>
          </w:tcPr>
          <w:p w14:paraId="14E97B4B" w14:textId="61FFE18C" w:rsidR="007A5150" w:rsidRPr="008B6BC5" w:rsidRDefault="00A97F97" w:rsidP="007A5150">
            <w:pPr>
              <w:pStyle w:val="NoSpacing"/>
              <w:rPr>
                <w:rFonts w:cs="Times New Roman"/>
                <w:sz w:val="20"/>
                <w:szCs w:val="20"/>
                <w:lang w:val="en-US"/>
              </w:rPr>
            </w:pPr>
            <w:r w:rsidRPr="008B6BC5">
              <w:rPr>
                <w:rFonts w:cs="Times New Roman"/>
                <w:sz w:val="20"/>
                <w:szCs w:val="20"/>
                <w:lang w:val="en-US"/>
              </w:rPr>
              <w:t>6</w:t>
            </w:r>
          </w:p>
        </w:tc>
        <w:tc>
          <w:tcPr>
            <w:tcW w:w="6048" w:type="dxa"/>
          </w:tcPr>
          <w:p w14:paraId="5C2B9FDF" w14:textId="5E2017E9" w:rsidR="007A5150" w:rsidRPr="008B6BC5" w:rsidRDefault="007A5150" w:rsidP="007A5150">
            <w:pPr>
              <w:pStyle w:val="NoSpacing"/>
              <w:rPr>
                <w:rFonts w:cs="Times New Roman"/>
                <w:sz w:val="20"/>
                <w:szCs w:val="20"/>
                <w:lang w:val="en-US"/>
              </w:rPr>
            </w:pPr>
            <w:r w:rsidRPr="008B6BC5">
              <w:rPr>
                <w:rFonts w:cs="Times New Roman"/>
                <w:sz w:val="20"/>
                <w:szCs w:val="20"/>
                <w:lang w:val="en-US"/>
              </w:rPr>
              <w:t>Specific RCTs within this literature include the Kokoro smartphone CBT program added to antidepressant care for outpatients with MDD (</w:t>
            </w:r>
            <w:proofErr w:type="spellStart"/>
            <w:r w:rsidRPr="008B6BC5">
              <w:rPr>
                <w:rFonts w:cs="Times New Roman"/>
                <w:sz w:val="20"/>
                <w:szCs w:val="20"/>
                <w:lang w:val="en-US"/>
              </w:rPr>
              <w:t>Mantani</w:t>
            </w:r>
            <w:proofErr w:type="spellEnd"/>
            <w:r w:rsidRPr="008B6BC5">
              <w:rPr>
                <w:rFonts w:cs="Times New Roman"/>
                <w:sz w:val="20"/>
                <w:szCs w:val="20"/>
                <w:lang w:val="en-US"/>
              </w:rPr>
              <w:t xml:space="preserve"> et al., 2017), which yielded significantly greater reductions in depression severity than TAU alone (</w:t>
            </w:r>
            <w:proofErr w:type="spellStart"/>
            <w:r w:rsidRPr="008B6BC5">
              <w:rPr>
                <w:rFonts w:cs="Times New Roman"/>
                <w:sz w:val="20"/>
                <w:szCs w:val="20"/>
                <w:lang w:val="en-US"/>
              </w:rPr>
              <w:t>Mantani</w:t>
            </w:r>
            <w:proofErr w:type="spellEnd"/>
            <w:r w:rsidRPr="008B6BC5">
              <w:rPr>
                <w:rFonts w:cs="Times New Roman"/>
                <w:sz w:val="20"/>
                <w:szCs w:val="20"/>
                <w:lang w:val="en-US"/>
              </w:rPr>
              <w:t xml:space="preserve"> et al., 2017)…</w:t>
            </w:r>
          </w:p>
        </w:tc>
        <w:tc>
          <w:tcPr>
            <w:tcW w:w="4202" w:type="dxa"/>
          </w:tcPr>
          <w:p w14:paraId="10A10DA0" w14:textId="3B9094B6" w:rsidR="007A5150" w:rsidRPr="008B6BC5" w:rsidRDefault="007A5150" w:rsidP="007A515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10.2196/jmir.8602</w:t>
            </w:r>
          </w:p>
        </w:tc>
        <w:tc>
          <w:tcPr>
            <w:tcW w:w="690" w:type="dxa"/>
          </w:tcPr>
          <w:p w14:paraId="0D945DEA" w14:textId="6CE7A27E" w:rsidR="007A5150" w:rsidRPr="008B6BC5" w:rsidRDefault="007A5150" w:rsidP="007A5150">
            <w:pPr>
              <w:pStyle w:val="NoSpacing"/>
              <w:rPr>
                <w:rFonts w:cs="Times New Roman"/>
                <w:sz w:val="20"/>
                <w:szCs w:val="20"/>
                <w:lang w:val="en-US"/>
              </w:rPr>
            </w:pPr>
            <w:r w:rsidRPr="008B6BC5">
              <w:rPr>
                <w:rFonts w:cs="Times New Roman"/>
                <w:sz w:val="20"/>
                <w:szCs w:val="20"/>
                <w:lang w:val="en-US"/>
              </w:rPr>
              <w:t>4</w:t>
            </w:r>
          </w:p>
        </w:tc>
        <w:tc>
          <w:tcPr>
            <w:tcW w:w="3944" w:type="dxa"/>
          </w:tcPr>
          <w:p w14:paraId="0FE3829F" w14:textId="0D51B52A" w:rsidR="007A5150" w:rsidRPr="008B6BC5" w:rsidRDefault="007A5150" w:rsidP="007A515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7A5150" w:rsidRPr="008B6BC5" w14:paraId="3E2846BF" w14:textId="77777777" w:rsidTr="00760C26">
        <w:tc>
          <w:tcPr>
            <w:tcW w:w="1560" w:type="dxa"/>
          </w:tcPr>
          <w:p w14:paraId="0CBA2C96" w14:textId="307CA03C" w:rsidR="007A5150" w:rsidRPr="008B6BC5" w:rsidRDefault="00A97F97" w:rsidP="007A5150">
            <w:pPr>
              <w:pStyle w:val="NoSpacing"/>
              <w:rPr>
                <w:rFonts w:cs="Times New Roman"/>
                <w:sz w:val="20"/>
                <w:szCs w:val="20"/>
                <w:lang w:val="en-US"/>
              </w:rPr>
            </w:pPr>
            <w:r w:rsidRPr="008B6BC5">
              <w:rPr>
                <w:rFonts w:cs="Times New Roman"/>
                <w:sz w:val="20"/>
                <w:szCs w:val="20"/>
                <w:lang w:val="en-US"/>
              </w:rPr>
              <w:t>7</w:t>
            </w:r>
          </w:p>
        </w:tc>
        <w:tc>
          <w:tcPr>
            <w:tcW w:w="6048" w:type="dxa"/>
          </w:tcPr>
          <w:p w14:paraId="5D4D33DB" w14:textId="3528A22C" w:rsidR="007A5150" w:rsidRPr="008B6BC5" w:rsidRDefault="007A5150" w:rsidP="007A5150">
            <w:pPr>
              <w:pStyle w:val="NoSpacing"/>
              <w:rPr>
                <w:rFonts w:cs="Times New Roman"/>
                <w:sz w:val="20"/>
                <w:szCs w:val="20"/>
                <w:lang w:val="en-US"/>
              </w:rPr>
            </w:pPr>
            <w:r w:rsidRPr="008B6BC5">
              <w:rPr>
                <w:rFonts w:cs="Times New Roman"/>
                <w:sz w:val="20"/>
                <w:szCs w:val="20"/>
                <w:lang w:val="en-US"/>
              </w:rPr>
              <w:t xml:space="preserve">…and the Pacifica self-help app, which produced a medium effect on depressive symptoms versus waitlist in adults with clinically significant depression (Cohen’s d ≈ 0.54) (Moberg et al., 2019). </w:t>
            </w:r>
          </w:p>
        </w:tc>
        <w:tc>
          <w:tcPr>
            <w:tcW w:w="4202" w:type="dxa"/>
          </w:tcPr>
          <w:p w14:paraId="75CB4FB1" w14:textId="4D50EAF9" w:rsidR="007A5150" w:rsidRPr="008B6BC5" w:rsidRDefault="007A5150" w:rsidP="007A515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10.2196/12556</w:t>
            </w:r>
          </w:p>
        </w:tc>
        <w:tc>
          <w:tcPr>
            <w:tcW w:w="690" w:type="dxa"/>
          </w:tcPr>
          <w:p w14:paraId="13BD322A" w14:textId="4A0EBAFB" w:rsidR="007A5150" w:rsidRPr="008B6BC5" w:rsidRDefault="00D96A99" w:rsidP="007A5150">
            <w:pPr>
              <w:pStyle w:val="NoSpacing"/>
              <w:rPr>
                <w:rFonts w:cs="Times New Roman"/>
                <w:sz w:val="20"/>
                <w:szCs w:val="20"/>
                <w:lang w:val="en-US"/>
              </w:rPr>
            </w:pPr>
            <w:r w:rsidRPr="008B6BC5">
              <w:rPr>
                <w:rFonts w:cs="Times New Roman"/>
                <w:sz w:val="20"/>
                <w:szCs w:val="20"/>
                <w:lang w:val="en-US"/>
              </w:rPr>
              <w:t>3</w:t>
            </w:r>
          </w:p>
        </w:tc>
        <w:tc>
          <w:tcPr>
            <w:tcW w:w="3944" w:type="dxa"/>
          </w:tcPr>
          <w:p w14:paraId="5C3A2848" w14:textId="118CD2F0" w:rsidR="007A5150" w:rsidRPr="008B6BC5" w:rsidRDefault="00D96A99" w:rsidP="007A5150">
            <w:pPr>
              <w:pStyle w:val="NoSpacing"/>
              <w:rPr>
                <w:rFonts w:cs="Times New Roman"/>
                <w:sz w:val="20"/>
                <w:szCs w:val="20"/>
                <w:lang w:val="en-US"/>
              </w:rPr>
            </w:pPr>
            <w:r w:rsidRPr="008B6BC5">
              <w:rPr>
                <w:rFonts w:cs="Times New Roman"/>
                <w:sz w:val="20"/>
                <w:szCs w:val="20"/>
                <w:lang w:val="en-US"/>
              </w:rPr>
              <w:t>This was a transdiagnostic sample of participants with elevated depression and/or anxiety, indicating that not all adults in this sample had clinically significant depression.</w:t>
            </w:r>
          </w:p>
        </w:tc>
      </w:tr>
      <w:tr w:rsidR="007A5150" w:rsidRPr="008B6BC5" w14:paraId="418E3758" w14:textId="77777777" w:rsidTr="00760C26">
        <w:tc>
          <w:tcPr>
            <w:tcW w:w="1560" w:type="dxa"/>
          </w:tcPr>
          <w:p w14:paraId="0CFC63B3" w14:textId="381BF89C" w:rsidR="007A5150" w:rsidRPr="008B6BC5" w:rsidRDefault="00A97F97" w:rsidP="007A5150">
            <w:pPr>
              <w:pStyle w:val="NoSpacing"/>
              <w:rPr>
                <w:rFonts w:cs="Times New Roman"/>
                <w:sz w:val="20"/>
                <w:szCs w:val="20"/>
                <w:lang w:val="en-US"/>
              </w:rPr>
            </w:pPr>
            <w:r w:rsidRPr="008B6BC5">
              <w:rPr>
                <w:rFonts w:cs="Times New Roman"/>
                <w:sz w:val="20"/>
                <w:szCs w:val="20"/>
                <w:lang w:val="en-US"/>
              </w:rPr>
              <w:t>8</w:t>
            </w:r>
          </w:p>
        </w:tc>
        <w:tc>
          <w:tcPr>
            <w:tcW w:w="6048" w:type="dxa"/>
          </w:tcPr>
          <w:p w14:paraId="498993E8" w14:textId="46EF00B9" w:rsidR="007A5150" w:rsidRPr="008B6BC5" w:rsidRDefault="007A5150" w:rsidP="007A5150">
            <w:pPr>
              <w:pStyle w:val="NoSpacing"/>
              <w:rPr>
                <w:rFonts w:cs="Times New Roman"/>
                <w:sz w:val="20"/>
                <w:szCs w:val="20"/>
                <w:lang w:val="en-US"/>
              </w:rPr>
            </w:pPr>
            <w:r w:rsidRPr="008B6BC5">
              <w:rPr>
                <w:rFonts w:cs="Times New Roman"/>
                <w:sz w:val="20"/>
                <w:szCs w:val="20"/>
                <w:lang w:val="en-US"/>
              </w:rPr>
              <w:t xml:space="preserve">Multi-app platforms such as </w:t>
            </w:r>
            <w:proofErr w:type="spellStart"/>
            <w:r w:rsidRPr="008B6BC5">
              <w:rPr>
                <w:rFonts w:cs="Times New Roman"/>
                <w:sz w:val="20"/>
                <w:szCs w:val="20"/>
                <w:lang w:val="en-US"/>
              </w:rPr>
              <w:t>IntelliCare</w:t>
            </w:r>
            <w:proofErr w:type="spellEnd"/>
            <w:r w:rsidRPr="008B6BC5">
              <w:rPr>
                <w:rFonts w:cs="Times New Roman"/>
                <w:sz w:val="20"/>
                <w:szCs w:val="20"/>
                <w:lang w:val="en-US"/>
              </w:rPr>
              <w:t xml:space="preserve"> have shown higher odds of recovery compared with control (OR = 3.25, 95% CI 1.54–6.86), again in adults with elevated depressive symptoms (Graham et al., 2020).</w:t>
            </w:r>
          </w:p>
        </w:tc>
        <w:tc>
          <w:tcPr>
            <w:tcW w:w="4202" w:type="dxa"/>
          </w:tcPr>
          <w:p w14:paraId="3DFC08DE" w14:textId="10192616" w:rsidR="007A5150" w:rsidRPr="008B6BC5" w:rsidRDefault="007A5150" w:rsidP="007A5150">
            <w:pPr>
              <w:pStyle w:val="NoSpacing"/>
              <w:rPr>
                <w:rFonts w:cs="Times New Roman"/>
                <w:sz w:val="20"/>
                <w:szCs w:val="20"/>
                <w:lang w:val="en-US"/>
              </w:rPr>
            </w:pPr>
            <w:r w:rsidRPr="008B6BC5">
              <w:rPr>
                <w:rFonts w:cs="Times New Roman"/>
                <w:sz w:val="20"/>
                <w:szCs w:val="20"/>
                <w:lang w:val="en-US"/>
              </w:rPr>
              <w:t xml:space="preserve">doi:10.1001/jamapsychiatry.2020.1011 </w:t>
            </w:r>
          </w:p>
        </w:tc>
        <w:tc>
          <w:tcPr>
            <w:tcW w:w="690" w:type="dxa"/>
          </w:tcPr>
          <w:p w14:paraId="08ED0179" w14:textId="4C8EE0A8" w:rsidR="007A5150" w:rsidRPr="008B6BC5" w:rsidRDefault="00007B3B" w:rsidP="007A5150">
            <w:pPr>
              <w:pStyle w:val="NoSpacing"/>
              <w:rPr>
                <w:rFonts w:cs="Times New Roman"/>
                <w:sz w:val="20"/>
                <w:szCs w:val="20"/>
                <w:lang w:val="en-US"/>
              </w:rPr>
            </w:pPr>
            <w:r w:rsidRPr="008B6BC5">
              <w:rPr>
                <w:rFonts w:cs="Times New Roman"/>
                <w:sz w:val="20"/>
                <w:szCs w:val="20"/>
                <w:lang w:val="en-US"/>
              </w:rPr>
              <w:t>4</w:t>
            </w:r>
          </w:p>
        </w:tc>
        <w:tc>
          <w:tcPr>
            <w:tcW w:w="3944" w:type="dxa"/>
          </w:tcPr>
          <w:p w14:paraId="075E23C0" w14:textId="0F6A071C" w:rsidR="007A5150" w:rsidRPr="008B6BC5" w:rsidRDefault="00007B3B" w:rsidP="007A5150">
            <w:pPr>
              <w:pStyle w:val="NoSpacing"/>
              <w:rPr>
                <w:rFonts w:cs="Times New Roman"/>
                <w:sz w:val="20"/>
                <w:szCs w:val="20"/>
                <w:lang w:val="en-US"/>
              </w:rPr>
            </w:pPr>
            <w:r w:rsidRPr="008B6BC5">
              <w:rPr>
                <w:rFonts w:cs="Times New Roman"/>
                <w:sz w:val="20"/>
                <w:szCs w:val="20"/>
                <w:lang w:val="en-US"/>
              </w:rPr>
              <w:t>No inaccuracies identified (analyses stratified separately for participants with depression and anxiety).</w:t>
            </w:r>
          </w:p>
        </w:tc>
      </w:tr>
      <w:tr w:rsidR="00530058" w:rsidRPr="008B6BC5" w14:paraId="0E7304E4" w14:textId="77777777" w:rsidTr="00760C26">
        <w:tc>
          <w:tcPr>
            <w:tcW w:w="1560" w:type="dxa"/>
          </w:tcPr>
          <w:p w14:paraId="6768ACCC" w14:textId="241D5835" w:rsidR="00530058" w:rsidRPr="008B6BC5" w:rsidRDefault="00A97F97" w:rsidP="00530058">
            <w:pPr>
              <w:pStyle w:val="NoSpacing"/>
              <w:rPr>
                <w:rFonts w:cs="Times New Roman"/>
                <w:sz w:val="20"/>
                <w:szCs w:val="20"/>
                <w:lang w:val="en-US"/>
              </w:rPr>
            </w:pPr>
            <w:r w:rsidRPr="008B6BC5">
              <w:rPr>
                <w:rFonts w:cs="Times New Roman"/>
                <w:sz w:val="20"/>
                <w:szCs w:val="20"/>
                <w:lang w:val="en-US"/>
              </w:rPr>
              <w:t>9</w:t>
            </w:r>
          </w:p>
        </w:tc>
        <w:tc>
          <w:tcPr>
            <w:tcW w:w="6048" w:type="dxa"/>
          </w:tcPr>
          <w:p w14:paraId="35BA04F2" w14:textId="13C92D9B" w:rsidR="00530058" w:rsidRPr="008B6BC5" w:rsidRDefault="00530058" w:rsidP="00530058">
            <w:pPr>
              <w:pStyle w:val="NoSpacing"/>
              <w:rPr>
                <w:rFonts w:cs="Times New Roman"/>
                <w:sz w:val="20"/>
                <w:szCs w:val="20"/>
                <w:lang w:val="en-US"/>
              </w:rPr>
            </w:pPr>
            <w:r w:rsidRPr="008B6BC5">
              <w:rPr>
                <w:rFonts w:cs="Times New Roman"/>
                <w:sz w:val="20"/>
                <w:szCs w:val="20"/>
                <w:lang w:val="en-US"/>
              </w:rPr>
              <w:t>A recent meta-analysis of AI-based conversational agents across mental health problems (15 RCTs) reported a significant reduction in depressive symptoms versus control conditions (Hedges’ g = 0.64, 95% CI 0.17–1.12), with most trials using CBT- or supportive-therapy content and comparing against waitlist, psychoeducation, or attention controls (Li et al., 2023)</w:t>
            </w:r>
          </w:p>
        </w:tc>
        <w:tc>
          <w:tcPr>
            <w:tcW w:w="4202" w:type="dxa"/>
          </w:tcPr>
          <w:p w14:paraId="3C5C94E7" w14:textId="2488DB86" w:rsidR="00530058" w:rsidRPr="008B6BC5" w:rsidRDefault="00530058" w:rsidP="00530058">
            <w:pPr>
              <w:pStyle w:val="NoSpacing"/>
              <w:rPr>
                <w:rFonts w:cs="Times New Roman"/>
                <w:sz w:val="20"/>
                <w:szCs w:val="20"/>
                <w:lang w:val="en-US"/>
              </w:rPr>
            </w:pPr>
            <w:r w:rsidRPr="008B6BC5">
              <w:rPr>
                <w:rFonts w:cs="Times New Roman"/>
                <w:sz w:val="20"/>
                <w:szCs w:val="20"/>
                <w:lang w:val="en-US"/>
              </w:rPr>
              <w:t>https://doi.org/10.1038/s41746-023-00979-5</w:t>
            </w:r>
          </w:p>
        </w:tc>
        <w:tc>
          <w:tcPr>
            <w:tcW w:w="690" w:type="dxa"/>
          </w:tcPr>
          <w:p w14:paraId="46C9255A" w14:textId="3F985B7E" w:rsidR="00530058" w:rsidRPr="008B6BC5" w:rsidRDefault="00530058" w:rsidP="00530058">
            <w:pPr>
              <w:pStyle w:val="NoSpacing"/>
              <w:rPr>
                <w:rFonts w:cs="Times New Roman"/>
                <w:sz w:val="20"/>
                <w:szCs w:val="20"/>
                <w:lang w:val="en-US"/>
              </w:rPr>
            </w:pPr>
            <w:r w:rsidRPr="008B6BC5">
              <w:rPr>
                <w:rFonts w:cs="Times New Roman"/>
                <w:sz w:val="20"/>
                <w:szCs w:val="20"/>
                <w:lang w:val="en-US"/>
              </w:rPr>
              <w:t>4</w:t>
            </w:r>
          </w:p>
        </w:tc>
        <w:tc>
          <w:tcPr>
            <w:tcW w:w="3944" w:type="dxa"/>
          </w:tcPr>
          <w:p w14:paraId="2DAAD9D1" w14:textId="52FADA0C" w:rsidR="00530058" w:rsidRPr="008B6BC5" w:rsidRDefault="00530058" w:rsidP="00530058">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30058" w:rsidRPr="008B6BC5" w14:paraId="60C912F4" w14:textId="77777777" w:rsidTr="00760C26">
        <w:tc>
          <w:tcPr>
            <w:tcW w:w="1560" w:type="dxa"/>
          </w:tcPr>
          <w:p w14:paraId="079C7BE7" w14:textId="32697C6C" w:rsidR="00530058" w:rsidRPr="008B6BC5" w:rsidRDefault="00A97F97" w:rsidP="00530058">
            <w:pPr>
              <w:pStyle w:val="NoSpacing"/>
              <w:rPr>
                <w:rFonts w:cs="Times New Roman"/>
                <w:sz w:val="20"/>
                <w:szCs w:val="20"/>
                <w:lang w:val="en-US"/>
              </w:rPr>
            </w:pPr>
            <w:r w:rsidRPr="008B6BC5">
              <w:rPr>
                <w:rFonts w:cs="Times New Roman"/>
                <w:sz w:val="20"/>
                <w:szCs w:val="20"/>
                <w:lang w:val="en-US"/>
              </w:rPr>
              <w:t>10</w:t>
            </w:r>
          </w:p>
        </w:tc>
        <w:tc>
          <w:tcPr>
            <w:tcW w:w="6048" w:type="dxa"/>
          </w:tcPr>
          <w:p w14:paraId="1949F528" w14:textId="2BEA19BD" w:rsidR="00530058" w:rsidRPr="008B6BC5" w:rsidRDefault="00530058" w:rsidP="00530058">
            <w:pPr>
              <w:pStyle w:val="NoSpacing"/>
              <w:rPr>
                <w:rFonts w:cs="Times New Roman"/>
                <w:sz w:val="20"/>
                <w:szCs w:val="20"/>
                <w:lang w:val="en-US"/>
              </w:rPr>
            </w:pPr>
            <w:r w:rsidRPr="008B6BC5">
              <w:rPr>
                <w:rFonts w:cs="Times New Roman"/>
                <w:sz w:val="20"/>
                <w:szCs w:val="20"/>
                <w:lang w:val="en-US"/>
              </w:rPr>
              <w:t xml:space="preserve">In the </w:t>
            </w:r>
            <w:proofErr w:type="spellStart"/>
            <w:r w:rsidRPr="008B6BC5">
              <w:rPr>
                <w:rFonts w:cs="Times New Roman"/>
                <w:sz w:val="20"/>
                <w:szCs w:val="20"/>
                <w:lang w:val="en-US"/>
              </w:rPr>
              <w:t>Woebot</w:t>
            </w:r>
            <w:proofErr w:type="spellEnd"/>
            <w:r w:rsidRPr="008B6BC5">
              <w:rPr>
                <w:rFonts w:cs="Times New Roman"/>
                <w:sz w:val="20"/>
                <w:szCs w:val="20"/>
                <w:lang w:val="en-US"/>
              </w:rPr>
              <w:t xml:space="preserve"> trial, college students with clinically significant depression or anxiety symptoms were randomized to a CBT-based chatbot versus an information-only e-book; over two weeks, depressive symptoms (PHQ-9) decreased significantly more in the chatbot group, with effect sizes in the small-to-moderate range (Fitzpatrick et al., 2017)</w:t>
            </w:r>
          </w:p>
        </w:tc>
        <w:tc>
          <w:tcPr>
            <w:tcW w:w="4202" w:type="dxa"/>
          </w:tcPr>
          <w:p w14:paraId="454EC7C3" w14:textId="0D6618B1" w:rsidR="00530058" w:rsidRPr="008B6BC5" w:rsidRDefault="00530058" w:rsidP="00530058">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10.2196/mental.7785</w:t>
            </w:r>
          </w:p>
        </w:tc>
        <w:tc>
          <w:tcPr>
            <w:tcW w:w="690" w:type="dxa"/>
          </w:tcPr>
          <w:p w14:paraId="7A526192" w14:textId="068ADD32" w:rsidR="00530058" w:rsidRPr="008B6BC5" w:rsidRDefault="00D36FE9" w:rsidP="00530058">
            <w:pPr>
              <w:pStyle w:val="NoSpacing"/>
              <w:rPr>
                <w:rFonts w:cs="Times New Roman"/>
                <w:sz w:val="20"/>
                <w:szCs w:val="20"/>
                <w:lang w:val="en-US"/>
              </w:rPr>
            </w:pPr>
            <w:r w:rsidRPr="008B6BC5">
              <w:rPr>
                <w:rFonts w:cs="Times New Roman"/>
                <w:sz w:val="20"/>
                <w:szCs w:val="20"/>
                <w:lang w:val="en-US"/>
              </w:rPr>
              <w:t>2</w:t>
            </w:r>
          </w:p>
        </w:tc>
        <w:tc>
          <w:tcPr>
            <w:tcW w:w="3944" w:type="dxa"/>
          </w:tcPr>
          <w:p w14:paraId="45762728" w14:textId="54B2A77F" w:rsidR="00530058" w:rsidRPr="008B6BC5" w:rsidRDefault="00D36FE9" w:rsidP="00530058">
            <w:pPr>
              <w:pStyle w:val="NoSpacing"/>
              <w:rPr>
                <w:rFonts w:cs="Times New Roman"/>
                <w:sz w:val="20"/>
                <w:szCs w:val="20"/>
                <w:lang w:val="en-US"/>
              </w:rPr>
            </w:pPr>
            <w:r w:rsidRPr="008B6BC5">
              <w:rPr>
                <w:rFonts w:cs="Times New Roman"/>
                <w:sz w:val="20"/>
                <w:szCs w:val="20"/>
                <w:lang w:val="en-US"/>
              </w:rPr>
              <w:t xml:space="preserve">This was an unselected sample that was not screened for clinically significant depression or anxiety. </w:t>
            </w:r>
          </w:p>
        </w:tc>
      </w:tr>
      <w:tr w:rsidR="00D36FE9" w:rsidRPr="008B6BC5" w14:paraId="0FCAE56F" w14:textId="77777777" w:rsidTr="00760C26">
        <w:tc>
          <w:tcPr>
            <w:tcW w:w="1560" w:type="dxa"/>
          </w:tcPr>
          <w:p w14:paraId="2C13CCFF" w14:textId="3A1750B1" w:rsidR="00D36FE9" w:rsidRPr="008B6BC5" w:rsidRDefault="00A97F97" w:rsidP="00D36FE9">
            <w:pPr>
              <w:pStyle w:val="NoSpacing"/>
              <w:rPr>
                <w:rFonts w:cs="Times New Roman"/>
                <w:sz w:val="20"/>
                <w:szCs w:val="20"/>
                <w:lang w:val="en-US"/>
              </w:rPr>
            </w:pPr>
            <w:r w:rsidRPr="008B6BC5">
              <w:rPr>
                <w:rFonts w:cs="Times New Roman"/>
                <w:sz w:val="20"/>
                <w:szCs w:val="20"/>
                <w:lang w:val="en-US"/>
              </w:rPr>
              <w:t>11</w:t>
            </w:r>
          </w:p>
        </w:tc>
        <w:tc>
          <w:tcPr>
            <w:tcW w:w="6048" w:type="dxa"/>
          </w:tcPr>
          <w:p w14:paraId="0EAC2C54" w14:textId="26BBC2AB" w:rsidR="00D36FE9" w:rsidRPr="008B6BC5" w:rsidRDefault="00D36FE9" w:rsidP="00D36FE9">
            <w:pPr>
              <w:pStyle w:val="NoSpacing"/>
              <w:rPr>
                <w:rFonts w:cs="Times New Roman"/>
                <w:sz w:val="20"/>
                <w:szCs w:val="20"/>
                <w:lang w:val="en-US"/>
              </w:rPr>
            </w:pPr>
            <w:r w:rsidRPr="008B6BC5">
              <w:rPr>
                <w:rFonts w:cs="Times New Roman"/>
                <w:sz w:val="20"/>
                <w:szCs w:val="20"/>
                <w:lang w:val="en-US"/>
              </w:rPr>
              <w:t xml:space="preserve">A 16-week RCT of the </w:t>
            </w:r>
            <w:proofErr w:type="spellStart"/>
            <w:r w:rsidRPr="008B6BC5">
              <w:rPr>
                <w:rFonts w:cs="Times New Roman"/>
                <w:sz w:val="20"/>
                <w:szCs w:val="20"/>
                <w:lang w:val="en-US"/>
              </w:rPr>
              <w:t>XiaoNan</w:t>
            </w:r>
            <w:proofErr w:type="spellEnd"/>
            <w:r w:rsidRPr="008B6BC5">
              <w:rPr>
                <w:rFonts w:cs="Times New Roman"/>
                <w:sz w:val="20"/>
                <w:szCs w:val="20"/>
                <w:lang w:val="en-US"/>
              </w:rPr>
              <w:t xml:space="preserve"> CBT chatbot in Chinese university students with probable MDD demonstrated large reductions in depression relative to waitlist, with benefits maintained at follow-up (Liu et al., 2022).</w:t>
            </w:r>
          </w:p>
        </w:tc>
        <w:tc>
          <w:tcPr>
            <w:tcW w:w="4202" w:type="dxa"/>
          </w:tcPr>
          <w:p w14:paraId="7E2D563F" w14:textId="69849B32" w:rsidR="00D36FE9" w:rsidRPr="008B6BC5" w:rsidRDefault="00D36FE9" w:rsidP="00D36FE9">
            <w:pPr>
              <w:pStyle w:val="NoSpacing"/>
              <w:rPr>
                <w:rFonts w:cs="Times New Roman"/>
                <w:sz w:val="20"/>
                <w:szCs w:val="20"/>
                <w:lang w:val="en-US"/>
              </w:rPr>
            </w:pPr>
            <w:hyperlink r:id="rId8" w:history="1">
              <w:r w:rsidRPr="008B6BC5">
                <w:rPr>
                  <w:rStyle w:val="Hyperlink"/>
                  <w:rFonts w:cs="Times New Roman"/>
                  <w:sz w:val="20"/>
                  <w:szCs w:val="20"/>
                  <w:lang w:val="en-US"/>
                </w:rPr>
                <w:t>https://doi.org/10.1016/j.invent.2022.100495</w:t>
              </w:r>
            </w:hyperlink>
            <w:r w:rsidRPr="008B6BC5">
              <w:rPr>
                <w:rFonts w:cs="Times New Roman"/>
                <w:sz w:val="20"/>
                <w:szCs w:val="20"/>
                <w:lang w:val="en-US"/>
              </w:rPr>
              <w:t xml:space="preserve"> </w:t>
            </w:r>
          </w:p>
        </w:tc>
        <w:tc>
          <w:tcPr>
            <w:tcW w:w="690" w:type="dxa"/>
          </w:tcPr>
          <w:p w14:paraId="2C52B6E2" w14:textId="5579613D" w:rsidR="00D36FE9" w:rsidRPr="008B6BC5" w:rsidRDefault="00D36FE9" w:rsidP="00D36FE9">
            <w:pPr>
              <w:pStyle w:val="NoSpacing"/>
              <w:rPr>
                <w:rFonts w:cs="Times New Roman"/>
                <w:sz w:val="20"/>
                <w:szCs w:val="20"/>
                <w:lang w:val="en-US"/>
              </w:rPr>
            </w:pPr>
            <w:r w:rsidRPr="008B6BC5">
              <w:rPr>
                <w:rFonts w:cs="Times New Roman"/>
                <w:sz w:val="20"/>
                <w:szCs w:val="20"/>
                <w:lang w:val="en-US"/>
              </w:rPr>
              <w:t>4</w:t>
            </w:r>
          </w:p>
        </w:tc>
        <w:tc>
          <w:tcPr>
            <w:tcW w:w="3944" w:type="dxa"/>
          </w:tcPr>
          <w:p w14:paraId="7C3EC9A6" w14:textId="2C943767" w:rsidR="00D36FE9" w:rsidRPr="008B6BC5" w:rsidRDefault="00D36FE9" w:rsidP="00D36FE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D36FE9" w:rsidRPr="008B6BC5" w14:paraId="54FE972C" w14:textId="77777777" w:rsidTr="00760C26">
        <w:tc>
          <w:tcPr>
            <w:tcW w:w="1560" w:type="dxa"/>
          </w:tcPr>
          <w:p w14:paraId="5255F2DF" w14:textId="51F292C7" w:rsidR="00D36FE9" w:rsidRPr="008B6BC5" w:rsidRDefault="00A97F97" w:rsidP="00D36FE9">
            <w:pPr>
              <w:pStyle w:val="NoSpacing"/>
              <w:rPr>
                <w:rFonts w:cs="Times New Roman"/>
                <w:sz w:val="20"/>
                <w:szCs w:val="20"/>
                <w:lang w:val="en-US"/>
              </w:rPr>
            </w:pPr>
            <w:r w:rsidRPr="008B6BC5">
              <w:rPr>
                <w:rFonts w:cs="Times New Roman"/>
                <w:sz w:val="20"/>
                <w:szCs w:val="20"/>
                <w:lang w:val="en-US"/>
              </w:rPr>
              <w:t>12</w:t>
            </w:r>
          </w:p>
        </w:tc>
        <w:tc>
          <w:tcPr>
            <w:tcW w:w="6048" w:type="dxa"/>
          </w:tcPr>
          <w:p w14:paraId="4653464E" w14:textId="5F2B210A" w:rsidR="00D36FE9" w:rsidRPr="008B6BC5" w:rsidRDefault="00D36FE9" w:rsidP="00D36FE9">
            <w:pPr>
              <w:pStyle w:val="NoSpacing"/>
              <w:rPr>
                <w:rFonts w:cs="Times New Roman"/>
                <w:sz w:val="20"/>
                <w:szCs w:val="20"/>
                <w:lang w:val="en-US"/>
              </w:rPr>
            </w:pPr>
            <w:r w:rsidRPr="008B6BC5">
              <w:rPr>
                <w:rFonts w:cs="Times New Roman"/>
                <w:sz w:val="20"/>
                <w:szCs w:val="20"/>
                <w:lang w:val="en-US"/>
              </w:rPr>
              <w:t xml:space="preserve">Similarly, a WeChat-based chatbot for young adults with depressive symptoms showed significant PHQ-9 improvements versus a psychoeducational control (He et al., 2022). </w:t>
            </w:r>
          </w:p>
        </w:tc>
        <w:tc>
          <w:tcPr>
            <w:tcW w:w="4202" w:type="dxa"/>
          </w:tcPr>
          <w:p w14:paraId="03BCEA64" w14:textId="64801F82" w:rsidR="00D36FE9" w:rsidRPr="008B6BC5" w:rsidRDefault="00D36FE9" w:rsidP="00D36FE9">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10.2196/40719 </w:t>
            </w:r>
          </w:p>
        </w:tc>
        <w:tc>
          <w:tcPr>
            <w:tcW w:w="690" w:type="dxa"/>
          </w:tcPr>
          <w:p w14:paraId="0178BFD2" w14:textId="271EB649" w:rsidR="00D36FE9" w:rsidRPr="008B6BC5" w:rsidRDefault="00D36FE9" w:rsidP="00D36FE9">
            <w:pPr>
              <w:pStyle w:val="NoSpacing"/>
              <w:rPr>
                <w:rFonts w:cs="Times New Roman"/>
                <w:sz w:val="20"/>
                <w:szCs w:val="20"/>
                <w:lang w:val="en-US"/>
              </w:rPr>
            </w:pPr>
            <w:r w:rsidRPr="008B6BC5">
              <w:rPr>
                <w:rFonts w:cs="Times New Roman"/>
                <w:sz w:val="20"/>
                <w:szCs w:val="20"/>
                <w:lang w:val="en-US"/>
              </w:rPr>
              <w:t>4</w:t>
            </w:r>
          </w:p>
        </w:tc>
        <w:tc>
          <w:tcPr>
            <w:tcW w:w="3944" w:type="dxa"/>
          </w:tcPr>
          <w:p w14:paraId="10638554" w14:textId="6043CBA9" w:rsidR="00D36FE9" w:rsidRPr="008B6BC5" w:rsidRDefault="00D36FE9" w:rsidP="00D36FE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D36FE9" w:rsidRPr="008B6BC5" w14:paraId="31527CBF" w14:textId="77777777" w:rsidTr="00760C26">
        <w:tc>
          <w:tcPr>
            <w:tcW w:w="1560" w:type="dxa"/>
          </w:tcPr>
          <w:p w14:paraId="4AF878E2" w14:textId="2A396973" w:rsidR="00D36FE9" w:rsidRPr="008B6BC5" w:rsidRDefault="00A97F97" w:rsidP="00D36FE9">
            <w:pPr>
              <w:pStyle w:val="NoSpacing"/>
              <w:rPr>
                <w:rFonts w:cs="Times New Roman"/>
                <w:sz w:val="20"/>
                <w:szCs w:val="20"/>
                <w:lang w:val="en-US"/>
              </w:rPr>
            </w:pPr>
            <w:r w:rsidRPr="008B6BC5">
              <w:rPr>
                <w:rFonts w:cs="Times New Roman"/>
                <w:sz w:val="20"/>
                <w:szCs w:val="20"/>
                <w:lang w:val="en-US"/>
              </w:rPr>
              <w:t>13</w:t>
            </w:r>
          </w:p>
        </w:tc>
        <w:tc>
          <w:tcPr>
            <w:tcW w:w="6048" w:type="dxa"/>
          </w:tcPr>
          <w:p w14:paraId="3942460D" w14:textId="38C9071F" w:rsidR="00D36FE9" w:rsidRPr="008B6BC5" w:rsidRDefault="00D36FE9" w:rsidP="00D36FE9">
            <w:pPr>
              <w:pStyle w:val="NoSpacing"/>
              <w:rPr>
                <w:rFonts w:cs="Times New Roman"/>
                <w:sz w:val="20"/>
                <w:szCs w:val="20"/>
                <w:lang w:val="en-US"/>
              </w:rPr>
            </w:pPr>
            <w:r w:rsidRPr="008B6BC5">
              <w:rPr>
                <w:rFonts w:cs="Times New Roman"/>
                <w:sz w:val="20"/>
                <w:szCs w:val="20"/>
                <w:lang w:val="en-US"/>
              </w:rPr>
              <w:t>Finally, an example of a regulated digital therapeutic is CT-152 (</w:t>
            </w:r>
            <w:proofErr w:type="spellStart"/>
            <w:r w:rsidRPr="008B6BC5">
              <w:rPr>
                <w:rFonts w:cs="Times New Roman"/>
                <w:sz w:val="20"/>
                <w:szCs w:val="20"/>
                <w:lang w:val="en-US"/>
              </w:rPr>
              <w:t>Rejoyn</w:t>
            </w:r>
            <w:proofErr w:type="spellEnd"/>
            <w:r w:rsidRPr="008B6BC5">
              <w:rPr>
                <w:rFonts w:cs="Times New Roman"/>
                <w:sz w:val="20"/>
                <w:szCs w:val="20"/>
                <w:lang w:val="en-US"/>
              </w:rPr>
              <w:t>), a smartphone-delivered cognitive-emotional training adjunctive to SSRIs in adults with moderate to severe MDD. In a phase 3 RCT (n = 386), participants receiving CT-152 plus SSRI showed greater reductions in Montgomery–</w:t>
            </w:r>
            <w:proofErr w:type="spellStart"/>
            <w:r w:rsidRPr="008B6BC5">
              <w:rPr>
                <w:rFonts w:cs="Times New Roman"/>
                <w:sz w:val="20"/>
                <w:szCs w:val="20"/>
                <w:lang w:val="en-US"/>
              </w:rPr>
              <w:t>Åsberg</w:t>
            </w:r>
            <w:proofErr w:type="spellEnd"/>
            <w:r w:rsidRPr="008B6BC5">
              <w:rPr>
                <w:rFonts w:cs="Times New Roman"/>
                <w:sz w:val="20"/>
                <w:szCs w:val="20"/>
                <w:lang w:val="en-US"/>
              </w:rPr>
              <w:t xml:space="preserve"> Depression Rating Scale (MADRS) scores at 13 weeks than those receiving sham training plus SSRI (least-squares mean </w:t>
            </w:r>
            <w:r w:rsidRPr="008B6BC5">
              <w:rPr>
                <w:rFonts w:cs="Times New Roman"/>
                <w:sz w:val="20"/>
                <w:szCs w:val="20"/>
                <w:lang w:val="en-US"/>
              </w:rPr>
              <w:lastRenderedPageBreak/>
              <w:t>change −8.3 vs −6.5; p = .024), corresponding to a small-to-moderate incremental effect (Rothman et al., 2025).</w:t>
            </w:r>
          </w:p>
        </w:tc>
        <w:tc>
          <w:tcPr>
            <w:tcW w:w="4202" w:type="dxa"/>
          </w:tcPr>
          <w:p w14:paraId="3E86334B" w14:textId="6745D1B2" w:rsidR="00D36FE9" w:rsidRPr="008B6BC5" w:rsidRDefault="00D36FE9" w:rsidP="00D36FE9">
            <w:pPr>
              <w:pStyle w:val="NoSpacing"/>
              <w:rPr>
                <w:rFonts w:cs="Times New Roman"/>
                <w:sz w:val="20"/>
                <w:szCs w:val="20"/>
                <w:lang w:val="en-US"/>
              </w:rPr>
            </w:pPr>
            <w:hyperlink r:id="rId9" w:history="1">
              <w:r w:rsidRPr="008B6BC5">
                <w:rPr>
                  <w:rStyle w:val="Hyperlink"/>
                  <w:rFonts w:cs="Times New Roman"/>
                  <w:sz w:val="20"/>
                  <w:szCs w:val="20"/>
                  <w:lang w:val="en-US"/>
                </w:rPr>
                <w:t>https://doi.org/10.1016/j.jad.2025.119409</w:t>
              </w:r>
            </w:hyperlink>
            <w:r w:rsidRPr="008B6BC5">
              <w:rPr>
                <w:rFonts w:cs="Times New Roman"/>
                <w:sz w:val="20"/>
                <w:szCs w:val="20"/>
                <w:lang w:val="en-US"/>
              </w:rPr>
              <w:t xml:space="preserve"> </w:t>
            </w:r>
          </w:p>
        </w:tc>
        <w:tc>
          <w:tcPr>
            <w:tcW w:w="690" w:type="dxa"/>
          </w:tcPr>
          <w:p w14:paraId="3D6AA488" w14:textId="69899633" w:rsidR="00D36FE9" w:rsidRPr="008B6BC5" w:rsidRDefault="002D2AA8" w:rsidP="00D36FE9">
            <w:pPr>
              <w:pStyle w:val="NoSpacing"/>
              <w:rPr>
                <w:rFonts w:cs="Times New Roman"/>
                <w:sz w:val="20"/>
                <w:szCs w:val="20"/>
                <w:lang w:val="en-US"/>
              </w:rPr>
            </w:pPr>
            <w:r w:rsidRPr="008B6BC5">
              <w:rPr>
                <w:rFonts w:cs="Times New Roman"/>
                <w:sz w:val="20"/>
                <w:szCs w:val="20"/>
                <w:lang w:val="en-US"/>
              </w:rPr>
              <w:t>3</w:t>
            </w:r>
          </w:p>
        </w:tc>
        <w:tc>
          <w:tcPr>
            <w:tcW w:w="3944" w:type="dxa"/>
          </w:tcPr>
          <w:p w14:paraId="7DCD5CE5" w14:textId="7B60D841" w:rsidR="00D36FE9" w:rsidRPr="008B6BC5" w:rsidRDefault="004E0B17" w:rsidP="00D36FE9">
            <w:pPr>
              <w:pStyle w:val="NoSpacing"/>
              <w:rPr>
                <w:rFonts w:cs="Times New Roman"/>
                <w:sz w:val="20"/>
                <w:szCs w:val="20"/>
                <w:lang w:val="en-US"/>
              </w:rPr>
            </w:pPr>
            <w:r w:rsidRPr="008B6BC5">
              <w:rPr>
                <w:rFonts w:cs="Times New Roman"/>
                <w:sz w:val="20"/>
                <w:szCs w:val="20"/>
                <w:lang w:val="en-US"/>
              </w:rPr>
              <w:t xml:space="preserve">Statistics provided in this claim were not </w:t>
            </w:r>
            <w:r w:rsidR="00F5491B" w:rsidRPr="008B6BC5">
              <w:rPr>
                <w:rFonts w:cs="Times New Roman"/>
                <w:sz w:val="20"/>
                <w:szCs w:val="20"/>
                <w:lang w:val="en-US"/>
              </w:rPr>
              <w:t xml:space="preserve">accurate </w:t>
            </w:r>
            <w:r w:rsidRPr="008B6BC5">
              <w:rPr>
                <w:rFonts w:cs="Times New Roman"/>
                <w:sz w:val="20"/>
                <w:szCs w:val="20"/>
                <w:lang w:val="en-US"/>
              </w:rPr>
              <w:t xml:space="preserve">and the benefits observed were for </w:t>
            </w:r>
            <w:r w:rsidR="00F5491B" w:rsidRPr="008B6BC5">
              <w:rPr>
                <w:rFonts w:cs="Times New Roman"/>
                <w:sz w:val="20"/>
                <w:szCs w:val="20"/>
                <w:lang w:val="en-US"/>
              </w:rPr>
              <w:t xml:space="preserve">6 not 13 weeks. </w:t>
            </w:r>
          </w:p>
          <w:p w14:paraId="09DD2D9C" w14:textId="77777777" w:rsidR="004E0B17" w:rsidRPr="008B6BC5" w:rsidRDefault="004E0B17" w:rsidP="004E0B17">
            <w:pPr>
              <w:rPr>
                <w:rFonts w:cs="Times New Roman"/>
                <w:sz w:val="20"/>
                <w:szCs w:val="20"/>
                <w:lang w:val="en-US"/>
              </w:rPr>
            </w:pPr>
          </w:p>
          <w:p w14:paraId="3F36B88B" w14:textId="77777777" w:rsidR="004E0B17" w:rsidRPr="008B6BC5" w:rsidRDefault="004E0B17" w:rsidP="004E0B17">
            <w:pPr>
              <w:ind w:firstLine="720"/>
              <w:rPr>
                <w:lang w:val="en-US"/>
              </w:rPr>
            </w:pPr>
          </w:p>
        </w:tc>
      </w:tr>
      <w:tr w:rsidR="00F5491B" w:rsidRPr="008B6BC5" w14:paraId="7A524FE1" w14:textId="77777777" w:rsidTr="00760C26">
        <w:tc>
          <w:tcPr>
            <w:tcW w:w="1560" w:type="dxa"/>
          </w:tcPr>
          <w:p w14:paraId="3A9F6706" w14:textId="4802E809" w:rsidR="00F5491B" w:rsidRPr="008B6BC5" w:rsidRDefault="00A97F97" w:rsidP="00F5491B">
            <w:pPr>
              <w:pStyle w:val="NoSpacing"/>
              <w:rPr>
                <w:rFonts w:cs="Times New Roman"/>
                <w:sz w:val="20"/>
                <w:szCs w:val="20"/>
                <w:lang w:val="en-US"/>
              </w:rPr>
            </w:pPr>
            <w:r w:rsidRPr="008B6BC5">
              <w:rPr>
                <w:rFonts w:cs="Times New Roman"/>
                <w:sz w:val="20"/>
                <w:szCs w:val="20"/>
                <w:lang w:val="en-US"/>
              </w:rPr>
              <w:t>14</w:t>
            </w:r>
          </w:p>
        </w:tc>
        <w:tc>
          <w:tcPr>
            <w:tcW w:w="6048" w:type="dxa"/>
          </w:tcPr>
          <w:p w14:paraId="10402387" w14:textId="47B3AAFA" w:rsidR="00F5491B" w:rsidRPr="008B6BC5" w:rsidRDefault="00F5491B" w:rsidP="00F5491B">
            <w:pPr>
              <w:pStyle w:val="NoSpacing"/>
              <w:rPr>
                <w:rFonts w:cs="Times New Roman"/>
                <w:sz w:val="20"/>
                <w:szCs w:val="20"/>
                <w:lang w:val="en-US"/>
              </w:rPr>
            </w:pPr>
            <w:r w:rsidRPr="008B6BC5">
              <w:rPr>
                <w:rFonts w:cs="Times New Roman"/>
                <w:sz w:val="20"/>
                <w:szCs w:val="20"/>
                <w:lang w:val="en-US"/>
              </w:rPr>
              <w:t xml:space="preserve">A systematic review and meta-analysis of 13 trials (N = 1,053) directly comparing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with face-to-face CBT across psychiatric and somatic disorders found no meaningful difference in acute outcomes (pooled Hedges’ g = −0.01, 95% CI −0.13 to 0.12), indicating equivalence; depressive disorder subgroups showed a similar pattern (Andersson et al., 2014). </w:t>
            </w:r>
          </w:p>
        </w:tc>
        <w:tc>
          <w:tcPr>
            <w:tcW w:w="4202" w:type="dxa"/>
          </w:tcPr>
          <w:p w14:paraId="079FBD6D" w14:textId="2EC432C2" w:rsidR="00F5491B" w:rsidRPr="008B6BC5" w:rsidRDefault="00F5491B" w:rsidP="00F5491B">
            <w:pPr>
              <w:pStyle w:val="NoSpacing"/>
              <w:rPr>
                <w:rFonts w:cs="Times New Roman"/>
                <w:sz w:val="20"/>
                <w:szCs w:val="20"/>
                <w:lang w:val="en-US"/>
              </w:rPr>
            </w:pPr>
            <w:r w:rsidRPr="008B6BC5">
              <w:rPr>
                <w:rFonts w:cs="Times New Roman"/>
                <w:sz w:val="20"/>
                <w:szCs w:val="20"/>
                <w:lang w:val="en-US"/>
              </w:rPr>
              <w:t xml:space="preserve">DOI 10.1002/wps.20151 </w:t>
            </w:r>
          </w:p>
        </w:tc>
        <w:tc>
          <w:tcPr>
            <w:tcW w:w="690" w:type="dxa"/>
          </w:tcPr>
          <w:p w14:paraId="1632A7BC" w14:textId="17732D08" w:rsidR="00F5491B" w:rsidRPr="008B6BC5" w:rsidRDefault="00F5491B" w:rsidP="00F5491B">
            <w:pPr>
              <w:pStyle w:val="NoSpacing"/>
              <w:rPr>
                <w:rFonts w:cs="Times New Roman"/>
                <w:sz w:val="20"/>
                <w:szCs w:val="20"/>
                <w:lang w:val="en-US"/>
              </w:rPr>
            </w:pPr>
            <w:r w:rsidRPr="008B6BC5">
              <w:rPr>
                <w:rFonts w:cs="Times New Roman"/>
                <w:sz w:val="20"/>
                <w:szCs w:val="20"/>
                <w:lang w:val="en-US"/>
              </w:rPr>
              <w:t>4</w:t>
            </w:r>
          </w:p>
        </w:tc>
        <w:tc>
          <w:tcPr>
            <w:tcW w:w="3944" w:type="dxa"/>
          </w:tcPr>
          <w:p w14:paraId="3059A66C" w14:textId="3893405B" w:rsidR="00F5491B" w:rsidRPr="008B6BC5" w:rsidRDefault="00F5491B" w:rsidP="00F5491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F5491B" w:rsidRPr="008B6BC5" w14:paraId="40E3440C" w14:textId="77777777" w:rsidTr="00760C26">
        <w:tc>
          <w:tcPr>
            <w:tcW w:w="1560" w:type="dxa"/>
          </w:tcPr>
          <w:p w14:paraId="12C9325E" w14:textId="50508A61" w:rsidR="00F5491B" w:rsidRPr="008B6BC5" w:rsidRDefault="00A97F97" w:rsidP="00F5491B">
            <w:pPr>
              <w:pStyle w:val="NoSpacing"/>
              <w:rPr>
                <w:rFonts w:cs="Times New Roman"/>
                <w:sz w:val="20"/>
                <w:szCs w:val="20"/>
                <w:lang w:val="en-US"/>
              </w:rPr>
            </w:pPr>
            <w:r w:rsidRPr="008B6BC5">
              <w:rPr>
                <w:rFonts w:cs="Times New Roman"/>
                <w:sz w:val="20"/>
                <w:szCs w:val="20"/>
                <w:lang w:val="en-US"/>
              </w:rPr>
              <w:t>15</w:t>
            </w:r>
          </w:p>
        </w:tc>
        <w:tc>
          <w:tcPr>
            <w:tcW w:w="6048" w:type="dxa"/>
          </w:tcPr>
          <w:p w14:paraId="4B9E06A8" w14:textId="4FC2251A" w:rsidR="00F5491B" w:rsidRPr="008B6BC5" w:rsidRDefault="00F5491B" w:rsidP="00F5491B">
            <w:pPr>
              <w:pStyle w:val="NoSpacing"/>
              <w:rPr>
                <w:rFonts w:cs="Times New Roman"/>
                <w:sz w:val="20"/>
                <w:szCs w:val="20"/>
                <w:lang w:val="en-US"/>
              </w:rPr>
            </w:pPr>
            <w:r w:rsidRPr="008B6BC5">
              <w:rPr>
                <w:rFonts w:cs="Times New Roman"/>
                <w:sz w:val="20"/>
                <w:szCs w:val="20"/>
                <w:lang w:val="en-US"/>
              </w:rPr>
              <w:t>A disorder-specific RCT in adults with MDD compared an internet-based CBT program (with therapist support) to individual face-to-face CBT and found comparable symptom reductions on the Montgomery–</w:t>
            </w:r>
            <w:proofErr w:type="spellStart"/>
            <w:r w:rsidRPr="008B6BC5">
              <w:rPr>
                <w:rFonts w:cs="Times New Roman"/>
                <w:sz w:val="20"/>
                <w:szCs w:val="20"/>
                <w:lang w:val="en-US"/>
              </w:rPr>
              <w:t>Åsberg</w:t>
            </w:r>
            <w:proofErr w:type="spellEnd"/>
            <w:r w:rsidRPr="008B6BC5">
              <w:rPr>
                <w:rFonts w:cs="Times New Roman"/>
                <w:sz w:val="20"/>
                <w:szCs w:val="20"/>
                <w:lang w:val="en-US"/>
              </w:rPr>
              <w:t xml:space="preserve"> scale at post-treatment and 3-month follow-up, with within-group effect sizes in the large range (Wagner et al., 2014)</w:t>
            </w:r>
          </w:p>
        </w:tc>
        <w:tc>
          <w:tcPr>
            <w:tcW w:w="4202" w:type="dxa"/>
          </w:tcPr>
          <w:p w14:paraId="087231F4" w14:textId="08E4CB18" w:rsidR="00F5491B" w:rsidRPr="008B6BC5" w:rsidRDefault="00F5491B" w:rsidP="00F5491B">
            <w:pPr>
              <w:pStyle w:val="NoSpacing"/>
              <w:rPr>
                <w:rFonts w:cs="Times New Roman"/>
                <w:sz w:val="20"/>
                <w:szCs w:val="20"/>
                <w:lang w:val="en-US"/>
              </w:rPr>
            </w:pPr>
            <w:r w:rsidRPr="008B6BC5">
              <w:rPr>
                <w:rFonts w:cs="Times New Roman"/>
                <w:sz w:val="20"/>
                <w:szCs w:val="20"/>
                <w:lang w:val="en-US"/>
              </w:rPr>
              <w:t>http://dx.doi.org/10.1016/j.jad.2013.06.032</w:t>
            </w:r>
          </w:p>
        </w:tc>
        <w:tc>
          <w:tcPr>
            <w:tcW w:w="690" w:type="dxa"/>
          </w:tcPr>
          <w:p w14:paraId="1FF305BB" w14:textId="262ED029" w:rsidR="00F5491B" w:rsidRPr="008B6BC5" w:rsidRDefault="00F5491B" w:rsidP="00F5491B">
            <w:pPr>
              <w:pStyle w:val="NoSpacing"/>
              <w:rPr>
                <w:rFonts w:cs="Times New Roman"/>
                <w:sz w:val="20"/>
                <w:szCs w:val="20"/>
                <w:lang w:val="en-US"/>
              </w:rPr>
            </w:pPr>
            <w:r w:rsidRPr="008B6BC5">
              <w:rPr>
                <w:rFonts w:cs="Times New Roman"/>
                <w:sz w:val="20"/>
                <w:szCs w:val="20"/>
                <w:lang w:val="en-US"/>
              </w:rPr>
              <w:t>3</w:t>
            </w:r>
          </w:p>
        </w:tc>
        <w:tc>
          <w:tcPr>
            <w:tcW w:w="3944" w:type="dxa"/>
          </w:tcPr>
          <w:p w14:paraId="492F913A" w14:textId="754CB983" w:rsidR="00F5491B" w:rsidRPr="008B6BC5" w:rsidRDefault="00290D5C" w:rsidP="00F5491B">
            <w:pPr>
              <w:pStyle w:val="NoSpacing"/>
              <w:rPr>
                <w:rFonts w:cs="Times New Roman"/>
                <w:sz w:val="20"/>
                <w:szCs w:val="20"/>
                <w:lang w:val="en-US"/>
              </w:rPr>
            </w:pPr>
            <w:r w:rsidRPr="008B6BC5">
              <w:rPr>
                <w:rFonts w:cs="Times New Roman"/>
                <w:sz w:val="20"/>
                <w:szCs w:val="20"/>
                <w:lang w:val="en-US"/>
              </w:rPr>
              <w:t>The sample was not diagnosed for MDD</w:t>
            </w:r>
            <w:r w:rsidR="00B87C28" w:rsidRPr="008B6BC5">
              <w:rPr>
                <w:rFonts w:cs="Times New Roman"/>
                <w:sz w:val="20"/>
                <w:szCs w:val="20"/>
                <w:lang w:val="en-US"/>
              </w:rPr>
              <w:t xml:space="preserve"> (screened using the BDI)</w:t>
            </w:r>
            <w:r w:rsidRPr="008B6BC5">
              <w:rPr>
                <w:rFonts w:cs="Times New Roman"/>
                <w:sz w:val="20"/>
                <w:szCs w:val="20"/>
                <w:lang w:val="en-US"/>
              </w:rPr>
              <w:t xml:space="preserve">; the BDI was used over the MADRS. </w:t>
            </w:r>
          </w:p>
        </w:tc>
      </w:tr>
      <w:tr w:rsidR="00AA3C1E" w:rsidRPr="008B6BC5" w14:paraId="0AF9F81E" w14:textId="77777777" w:rsidTr="00760C26">
        <w:tc>
          <w:tcPr>
            <w:tcW w:w="1560" w:type="dxa"/>
          </w:tcPr>
          <w:p w14:paraId="27D19A94" w14:textId="02EC7E3F" w:rsidR="00AA3C1E" w:rsidRPr="008B6BC5" w:rsidRDefault="00A97F97" w:rsidP="00AA3C1E">
            <w:pPr>
              <w:pStyle w:val="NoSpacing"/>
              <w:rPr>
                <w:rFonts w:cs="Times New Roman"/>
                <w:sz w:val="20"/>
                <w:szCs w:val="20"/>
                <w:lang w:val="en-US"/>
              </w:rPr>
            </w:pPr>
            <w:r w:rsidRPr="008B6BC5">
              <w:rPr>
                <w:rFonts w:cs="Times New Roman"/>
                <w:sz w:val="20"/>
                <w:szCs w:val="20"/>
                <w:lang w:val="en-US"/>
              </w:rPr>
              <w:t>16</w:t>
            </w:r>
          </w:p>
        </w:tc>
        <w:tc>
          <w:tcPr>
            <w:tcW w:w="6048" w:type="dxa"/>
          </w:tcPr>
          <w:p w14:paraId="2F23E23A" w14:textId="552B4851" w:rsidR="00AA3C1E" w:rsidRPr="008B6BC5" w:rsidRDefault="00AA3C1E" w:rsidP="00AA3C1E">
            <w:pPr>
              <w:pStyle w:val="NoSpacing"/>
              <w:rPr>
                <w:rFonts w:cs="Times New Roman"/>
                <w:sz w:val="20"/>
                <w:szCs w:val="20"/>
                <w:lang w:val="en-US"/>
              </w:rPr>
            </w:pPr>
            <w:r w:rsidRPr="008B6BC5">
              <w:rPr>
                <w:rFonts w:cs="Times New Roman"/>
                <w:sz w:val="20"/>
                <w:szCs w:val="20"/>
                <w:lang w:val="en-US"/>
              </w:rPr>
              <w:t xml:space="preserve">A non-inferiority trial with 3-year follow-up showed that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was not inferior to group CBT for depression at post-treatment and might even show slightly superior longer-term outcomes (Cohen’s d &gt; 1.4 within both arms) (Johansson et al., 2013). </w:t>
            </w:r>
            <w:r w:rsidRPr="008B6BC5">
              <w:rPr>
                <w:rFonts w:cs="Times New Roman"/>
                <w:sz w:val="20"/>
                <w:szCs w:val="20"/>
                <w:vertAlign w:val="superscript"/>
                <w:lang w:val="en-US"/>
              </w:rPr>
              <w:t>1</w:t>
            </w:r>
          </w:p>
        </w:tc>
        <w:tc>
          <w:tcPr>
            <w:tcW w:w="4202" w:type="dxa"/>
          </w:tcPr>
          <w:p w14:paraId="0EAAA955" w14:textId="498B6AFF" w:rsidR="00AA3C1E" w:rsidRPr="008B6BC5" w:rsidRDefault="00AA3C1E" w:rsidP="00AA3C1E">
            <w:pPr>
              <w:pStyle w:val="NoSpacing"/>
              <w:rPr>
                <w:rFonts w:cs="Times New Roman"/>
                <w:sz w:val="20"/>
                <w:szCs w:val="20"/>
                <w:lang w:val="en-US"/>
              </w:rPr>
            </w:pPr>
            <w:hyperlink r:id="rId10" w:history="1">
              <w:r w:rsidRPr="008B6BC5">
                <w:rPr>
                  <w:rStyle w:val="Hyperlink"/>
                  <w:rFonts w:cs="Times New Roman"/>
                  <w:sz w:val="20"/>
                  <w:szCs w:val="20"/>
                  <w:lang w:val="en-US"/>
                </w:rPr>
                <w:t>https://doi.org/10.1016/j.jad.2013.08.022</w:t>
              </w:r>
            </w:hyperlink>
            <w:r w:rsidRPr="008B6BC5">
              <w:rPr>
                <w:rFonts w:cs="Times New Roman"/>
                <w:sz w:val="20"/>
                <w:szCs w:val="20"/>
                <w:lang w:val="en-US"/>
              </w:rPr>
              <w:t xml:space="preserve"> </w:t>
            </w:r>
          </w:p>
        </w:tc>
        <w:tc>
          <w:tcPr>
            <w:tcW w:w="690" w:type="dxa"/>
          </w:tcPr>
          <w:p w14:paraId="442EE8B0" w14:textId="348D1839" w:rsidR="00AA3C1E" w:rsidRPr="008B6BC5" w:rsidRDefault="00AA3C1E" w:rsidP="00AA3C1E">
            <w:pPr>
              <w:pStyle w:val="NoSpacing"/>
              <w:rPr>
                <w:rFonts w:cs="Times New Roman"/>
                <w:sz w:val="20"/>
                <w:szCs w:val="20"/>
                <w:lang w:val="en-US"/>
              </w:rPr>
            </w:pPr>
            <w:r w:rsidRPr="008B6BC5">
              <w:rPr>
                <w:rFonts w:cs="Times New Roman"/>
                <w:sz w:val="20"/>
                <w:szCs w:val="20"/>
                <w:lang w:val="en-US"/>
              </w:rPr>
              <w:t>4</w:t>
            </w:r>
          </w:p>
        </w:tc>
        <w:tc>
          <w:tcPr>
            <w:tcW w:w="3944" w:type="dxa"/>
          </w:tcPr>
          <w:p w14:paraId="56A1745D" w14:textId="23E70A1E" w:rsidR="00AA3C1E" w:rsidRPr="008B6BC5" w:rsidRDefault="00AA3C1E" w:rsidP="00AA3C1E">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AA3C1E" w:rsidRPr="008B6BC5" w14:paraId="655917A3" w14:textId="77777777" w:rsidTr="00760C26">
        <w:tc>
          <w:tcPr>
            <w:tcW w:w="1560" w:type="dxa"/>
          </w:tcPr>
          <w:p w14:paraId="416BE130" w14:textId="2426ECF5" w:rsidR="00AA3C1E" w:rsidRPr="008B6BC5" w:rsidRDefault="00A97F97" w:rsidP="00AA3C1E">
            <w:pPr>
              <w:pStyle w:val="NoSpacing"/>
              <w:rPr>
                <w:rFonts w:cs="Times New Roman"/>
                <w:sz w:val="20"/>
                <w:szCs w:val="20"/>
                <w:lang w:val="en-US"/>
              </w:rPr>
            </w:pPr>
            <w:r w:rsidRPr="008B6BC5">
              <w:rPr>
                <w:rFonts w:cs="Times New Roman"/>
                <w:sz w:val="20"/>
                <w:szCs w:val="20"/>
                <w:lang w:val="en-US"/>
              </w:rPr>
              <w:t>17</w:t>
            </w:r>
          </w:p>
        </w:tc>
        <w:tc>
          <w:tcPr>
            <w:tcW w:w="6048" w:type="dxa"/>
          </w:tcPr>
          <w:p w14:paraId="62AAB76A" w14:textId="558DFB35" w:rsidR="00AA3C1E" w:rsidRPr="008B6BC5" w:rsidRDefault="00AA3C1E" w:rsidP="00AA3C1E">
            <w:pPr>
              <w:pStyle w:val="NoSpacing"/>
              <w:rPr>
                <w:rFonts w:cs="Times New Roman"/>
                <w:sz w:val="20"/>
                <w:szCs w:val="20"/>
                <w:lang w:val="en-US"/>
              </w:rPr>
            </w:pPr>
            <w:r w:rsidRPr="008B6BC5">
              <w:rPr>
                <w:rFonts w:cs="Times New Roman"/>
                <w:sz w:val="20"/>
                <w:szCs w:val="20"/>
                <w:lang w:val="en-US"/>
              </w:rPr>
              <w:t xml:space="preserve">Rauen et al. (2020) randomized psychiatric outpatients with depressive disorders to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alone or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plus ongoing face-to-face psychotherapy. Both groups demonstrated substantial symptom improvement over 12 weeks, and between-group differences in depressive symptoms were small, although additional face-to-face care appeared to better stabilize quality of life at six-month follow-up.</w:t>
            </w:r>
          </w:p>
        </w:tc>
        <w:tc>
          <w:tcPr>
            <w:tcW w:w="4202" w:type="dxa"/>
          </w:tcPr>
          <w:p w14:paraId="4A4B5A90" w14:textId="451F2C70" w:rsidR="00AA3C1E" w:rsidRPr="008B6BC5" w:rsidRDefault="00AA3C1E" w:rsidP="00AA3C1E">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10.3389/fdgth.2020.00004 </w:t>
            </w:r>
          </w:p>
        </w:tc>
        <w:tc>
          <w:tcPr>
            <w:tcW w:w="690" w:type="dxa"/>
          </w:tcPr>
          <w:p w14:paraId="47DE2638" w14:textId="287AC133" w:rsidR="00AA3C1E" w:rsidRPr="008B6BC5" w:rsidRDefault="00AA3C1E" w:rsidP="00AA3C1E">
            <w:pPr>
              <w:pStyle w:val="NoSpacing"/>
              <w:rPr>
                <w:rFonts w:cs="Times New Roman"/>
                <w:sz w:val="20"/>
                <w:szCs w:val="20"/>
                <w:lang w:val="en-US"/>
              </w:rPr>
            </w:pPr>
            <w:r w:rsidRPr="008B6BC5">
              <w:rPr>
                <w:rFonts w:cs="Times New Roman"/>
                <w:sz w:val="20"/>
                <w:szCs w:val="20"/>
                <w:lang w:val="en-US"/>
              </w:rPr>
              <w:t>3</w:t>
            </w:r>
          </w:p>
        </w:tc>
        <w:tc>
          <w:tcPr>
            <w:tcW w:w="3944" w:type="dxa"/>
          </w:tcPr>
          <w:p w14:paraId="306D1F5E" w14:textId="01C72B0F" w:rsidR="00AA3C1E" w:rsidRPr="008B6BC5" w:rsidRDefault="00AA3C1E" w:rsidP="00AA3C1E">
            <w:pPr>
              <w:pStyle w:val="NoSpacing"/>
              <w:rPr>
                <w:rFonts w:cs="Times New Roman"/>
                <w:sz w:val="20"/>
                <w:szCs w:val="20"/>
                <w:lang w:val="en-US"/>
              </w:rPr>
            </w:pPr>
            <w:r w:rsidRPr="008B6BC5">
              <w:rPr>
                <w:rFonts w:cs="Times New Roman"/>
                <w:sz w:val="20"/>
                <w:szCs w:val="20"/>
                <w:lang w:val="en-US"/>
              </w:rPr>
              <w:t xml:space="preserve">The sample were community-based, not psychiatric outpatients. </w:t>
            </w:r>
          </w:p>
        </w:tc>
      </w:tr>
      <w:tr w:rsidR="00AA3C1E" w:rsidRPr="008B6BC5" w14:paraId="6F114C70" w14:textId="77777777" w:rsidTr="00760C26">
        <w:tc>
          <w:tcPr>
            <w:tcW w:w="1560" w:type="dxa"/>
          </w:tcPr>
          <w:p w14:paraId="2D502F1D" w14:textId="09C17300" w:rsidR="00AA3C1E" w:rsidRPr="008B6BC5" w:rsidRDefault="00A97F97" w:rsidP="00AA3C1E">
            <w:pPr>
              <w:pStyle w:val="NoSpacing"/>
              <w:rPr>
                <w:rFonts w:cs="Times New Roman"/>
                <w:sz w:val="20"/>
                <w:szCs w:val="20"/>
                <w:lang w:val="en-US"/>
              </w:rPr>
            </w:pPr>
            <w:r w:rsidRPr="008B6BC5">
              <w:rPr>
                <w:rFonts w:cs="Times New Roman"/>
                <w:sz w:val="20"/>
                <w:szCs w:val="20"/>
                <w:lang w:val="en-US"/>
              </w:rPr>
              <w:t>18</w:t>
            </w:r>
          </w:p>
        </w:tc>
        <w:tc>
          <w:tcPr>
            <w:tcW w:w="6048" w:type="dxa"/>
          </w:tcPr>
          <w:p w14:paraId="782C3197" w14:textId="18372BE6" w:rsidR="00AA3C1E" w:rsidRPr="008B6BC5" w:rsidRDefault="00AA3C1E" w:rsidP="00AA3C1E">
            <w:pPr>
              <w:pStyle w:val="NoSpacing"/>
              <w:rPr>
                <w:rFonts w:cs="Times New Roman"/>
                <w:sz w:val="20"/>
                <w:szCs w:val="20"/>
                <w:lang w:val="en-US"/>
              </w:rPr>
            </w:pPr>
            <w:proofErr w:type="spellStart"/>
            <w:r w:rsidRPr="008B6BC5">
              <w:rPr>
                <w:rFonts w:cs="Times New Roman"/>
                <w:sz w:val="20"/>
                <w:szCs w:val="20"/>
                <w:lang w:val="en-US"/>
              </w:rPr>
              <w:t>Hadjistavropoulos</w:t>
            </w:r>
            <w:proofErr w:type="spellEnd"/>
            <w:r w:rsidRPr="008B6BC5">
              <w:rPr>
                <w:rFonts w:cs="Times New Roman"/>
                <w:sz w:val="20"/>
                <w:szCs w:val="20"/>
                <w:lang w:val="en-US"/>
              </w:rPr>
              <w:t xml:space="preserve"> et al. (2017) compared standard weekly therapist-assisted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to optional therapist support in adults with MDD and found similar symptom outcomes despite markedly reduced therapist time in the optional-support arm, illustrating the potential for efficiency gains without sacrificing efficacy (</w:t>
            </w:r>
            <w:proofErr w:type="spellStart"/>
            <w:r w:rsidRPr="008B6BC5">
              <w:rPr>
                <w:rFonts w:cs="Times New Roman"/>
                <w:sz w:val="20"/>
                <w:szCs w:val="20"/>
                <w:lang w:val="en-US"/>
              </w:rPr>
              <w:t>Hadjistavropoulos</w:t>
            </w:r>
            <w:proofErr w:type="spellEnd"/>
            <w:r w:rsidRPr="008B6BC5">
              <w:rPr>
                <w:rFonts w:cs="Times New Roman"/>
                <w:sz w:val="20"/>
                <w:szCs w:val="20"/>
                <w:lang w:val="en-US"/>
              </w:rPr>
              <w:t xml:space="preserve"> et al., 2017).</w:t>
            </w:r>
          </w:p>
        </w:tc>
        <w:tc>
          <w:tcPr>
            <w:tcW w:w="4202" w:type="dxa"/>
          </w:tcPr>
          <w:p w14:paraId="527767B0" w14:textId="3A67102C" w:rsidR="00AA3C1E" w:rsidRPr="008B6BC5" w:rsidRDefault="00AA3C1E" w:rsidP="00AA3C1E">
            <w:pPr>
              <w:pStyle w:val="NoSpacing"/>
              <w:rPr>
                <w:rFonts w:cs="Times New Roman"/>
                <w:sz w:val="20"/>
                <w:szCs w:val="20"/>
                <w:lang w:val="en-US"/>
              </w:rPr>
            </w:pPr>
            <w:r w:rsidRPr="008B6BC5">
              <w:rPr>
                <w:rFonts w:cs="Times New Roman"/>
                <w:sz w:val="20"/>
                <w:szCs w:val="20"/>
                <w:lang w:val="en-US"/>
              </w:rPr>
              <w:t>http://dx.doi.org/10.1016/j.janxdis.2017.09.006</w:t>
            </w:r>
          </w:p>
        </w:tc>
        <w:tc>
          <w:tcPr>
            <w:tcW w:w="690" w:type="dxa"/>
          </w:tcPr>
          <w:p w14:paraId="49D1B243" w14:textId="18DB9007" w:rsidR="00AA3C1E" w:rsidRPr="008B6BC5" w:rsidRDefault="002B2AF3" w:rsidP="00AA3C1E">
            <w:pPr>
              <w:pStyle w:val="NoSpacing"/>
              <w:rPr>
                <w:rFonts w:cs="Times New Roman"/>
                <w:sz w:val="20"/>
                <w:szCs w:val="20"/>
                <w:lang w:val="en-US"/>
              </w:rPr>
            </w:pPr>
            <w:r w:rsidRPr="008B6BC5">
              <w:rPr>
                <w:rFonts w:cs="Times New Roman"/>
                <w:sz w:val="20"/>
                <w:szCs w:val="20"/>
                <w:lang w:val="en-US"/>
              </w:rPr>
              <w:t>3</w:t>
            </w:r>
          </w:p>
        </w:tc>
        <w:tc>
          <w:tcPr>
            <w:tcW w:w="3944" w:type="dxa"/>
          </w:tcPr>
          <w:p w14:paraId="0CB0A0B1" w14:textId="2F3822FA" w:rsidR="00AA3C1E" w:rsidRPr="008B6BC5" w:rsidRDefault="002B2AF3" w:rsidP="00AA3C1E">
            <w:pPr>
              <w:pStyle w:val="NoSpacing"/>
              <w:rPr>
                <w:rFonts w:cs="Times New Roman"/>
                <w:sz w:val="20"/>
                <w:szCs w:val="20"/>
                <w:lang w:val="en-US"/>
              </w:rPr>
            </w:pPr>
            <w:r w:rsidRPr="008B6BC5">
              <w:rPr>
                <w:rFonts w:cs="Times New Roman"/>
                <w:sz w:val="20"/>
                <w:szCs w:val="20"/>
                <w:lang w:val="en-US"/>
              </w:rPr>
              <w:t>The sample was not diagnosed for MDD</w:t>
            </w:r>
            <w:r w:rsidR="00DA326F" w:rsidRPr="008B6BC5">
              <w:rPr>
                <w:rFonts w:cs="Times New Roman"/>
                <w:sz w:val="20"/>
                <w:szCs w:val="20"/>
                <w:lang w:val="en-US"/>
              </w:rPr>
              <w:t xml:space="preserve"> but were screened using the PHQ-9.</w:t>
            </w:r>
          </w:p>
        </w:tc>
      </w:tr>
      <w:tr w:rsidR="00AA3C1E" w:rsidRPr="008B6BC5" w14:paraId="4CCEB910" w14:textId="77777777" w:rsidTr="00760C26">
        <w:tc>
          <w:tcPr>
            <w:tcW w:w="1560" w:type="dxa"/>
          </w:tcPr>
          <w:p w14:paraId="7361E9EC" w14:textId="1743E113" w:rsidR="00AA3C1E" w:rsidRPr="008B6BC5" w:rsidRDefault="00A97F97" w:rsidP="00AA3C1E">
            <w:pPr>
              <w:pStyle w:val="NoSpacing"/>
              <w:rPr>
                <w:rFonts w:cs="Times New Roman"/>
                <w:sz w:val="20"/>
                <w:szCs w:val="20"/>
                <w:lang w:val="en-US"/>
              </w:rPr>
            </w:pPr>
            <w:r w:rsidRPr="008B6BC5">
              <w:rPr>
                <w:rFonts w:cs="Times New Roman"/>
                <w:sz w:val="20"/>
                <w:szCs w:val="20"/>
                <w:lang w:val="en-US"/>
              </w:rPr>
              <w:t>19</w:t>
            </w:r>
          </w:p>
        </w:tc>
        <w:tc>
          <w:tcPr>
            <w:tcW w:w="6048" w:type="dxa"/>
          </w:tcPr>
          <w:p w14:paraId="0E57FAD9" w14:textId="7FEA02AD" w:rsidR="00AA3C1E" w:rsidRPr="008B6BC5" w:rsidRDefault="00AA3C1E" w:rsidP="00AA3C1E">
            <w:pPr>
              <w:pStyle w:val="NoSpacing"/>
              <w:rPr>
                <w:rFonts w:cs="Times New Roman"/>
                <w:sz w:val="20"/>
                <w:szCs w:val="20"/>
                <w:lang w:val="en-US"/>
              </w:rPr>
            </w:pPr>
            <w:r w:rsidRPr="008B6BC5">
              <w:rPr>
                <w:rFonts w:cs="Times New Roman"/>
                <w:sz w:val="20"/>
                <w:szCs w:val="20"/>
                <w:lang w:val="en-US"/>
              </w:rPr>
              <w:t>Donker et al. (2013) randomized adults with MDD to internet-delivered CBT, internet-delivered interpersonal psychotherapy, or waitlist. Both active arms showed large reductions in depressive symptoms versus waitlist with no significant difference between CBT and IPT, suggesting that multiple evidence-based psychotherapy models can be effectively delivered online.</w:t>
            </w:r>
          </w:p>
        </w:tc>
        <w:tc>
          <w:tcPr>
            <w:tcW w:w="4202" w:type="dxa"/>
          </w:tcPr>
          <w:p w14:paraId="603F10E6" w14:textId="7200F545" w:rsidR="00AA3C1E" w:rsidRPr="008B6BC5" w:rsidRDefault="00AA3C1E" w:rsidP="00AA3C1E">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10.2196/jmir.2307</w:t>
            </w:r>
          </w:p>
        </w:tc>
        <w:tc>
          <w:tcPr>
            <w:tcW w:w="690" w:type="dxa"/>
          </w:tcPr>
          <w:p w14:paraId="6E783EFD" w14:textId="1B75C3C3" w:rsidR="00AA3C1E" w:rsidRPr="008B6BC5" w:rsidRDefault="00B87C28" w:rsidP="00AA3C1E">
            <w:pPr>
              <w:pStyle w:val="NoSpacing"/>
              <w:rPr>
                <w:rFonts w:cs="Times New Roman"/>
                <w:sz w:val="20"/>
                <w:szCs w:val="20"/>
                <w:lang w:val="en-US"/>
              </w:rPr>
            </w:pPr>
            <w:r w:rsidRPr="008B6BC5">
              <w:rPr>
                <w:rFonts w:cs="Times New Roman"/>
                <w:sz w:val="20"/>
                <w:szCs w:val="20"/>
                <w:lang w:val="en-US"/>
              </w:rPr>
              <w:t>2</w:t>
            </w:r>
          </w:p>
        </w:tc>
        <w:tc>
          <w:tcPr>
            <w:tcW w:w="3944" w:type="dxa"/>
          </w:tcPr>
          <w:p w14:paraId="16155E48" w14:textId="23E020F9" w:rsidR="00AA3C1E" w:rsidRPr="008B6BC5" w:rsidRDefault="00B87C28" w:rsidP="00AA3C1E">
            <w:pPr>
              <w:pStyle w:val="NoSpacing"/>
              <w:rPr>
                <w:rFonts w:cs="Times New Roman"/>
                <w:sz w:val="20"/>
                <w:szCs w:val="20"/>
                <w:lang w:val="en-US"/>
              </w:rPr>
            </w:pPr>
            <w:r w:rsidRPr="008B6BC5">
              <w:rPr>
                <w:rFonts w:cs="Times New Roman"/>
                <w:sz w:val="20"/>
                <w:szCs w:val="20"/>
                <w:lang w:val="en-US"/>
              </w:rPr>
              <w:t>T</w:t>
            </w:r>
            <w:r w:rsidR="002E7920" w:rsidRPr="008B6BC5">
              <w:rPr>
                <w:rFonts w:cs="Times New Roman"/>
                <w:sz w:val="20"/>
                <w:szCs w:val="20"/>
                <w:lang w:val="en-US"/>
              </w:rPr>
              <w:t>he control condition was an active web intervention (</w:t>
            </w:r>
            <w:proofErr w:type="spellStart"/>
            <w:r w:rsidR="002E7920" w:rsidRPr="008B6BC5">
              <w:rPr>
                <w:rFonts w:cs="Times New Roman"/>
                <w:sz w:val="20"/>
                <w:szCs w:val="20"/>
                <w:lang w:val="en-US"/>
              </w:rPr>
              <w:t>MoodGym</w:t>
            </w:r>
            <w:proofErr w:type="spellEnd"/>
            <w:r w:rsidR="002E7920" w:rsidRPr="008B6BC5">
              <w:rPr>
                <w:rFonts w:cs="Times New Roman"/>
                <w:sz w:val="20"/>
                <w:szCs w:val="20"/>
                <w:lang w:val="en-US"/>
              </w:rPr>
              <w:t xml:space="preserve">); participants need diagnosed with MDD; </w:t>
            </w:r>
            <w:r w:rsidR="00D37026" w:rsidRPr="008B6BC5">
              <w:rPr>
                <w:rFonts w:cs="Times New Roman"/>
                <w:sz w:val="20"/>
                <w:szCs w:val="20"/>
                <w:lang w:val="en-US"/>
              </w:rPr>
              <w:t>no between-group differences emerged for depressive symptoms.</w:t>
            </w:r>
          </w:p>
        </w:tc>
      </w:tr>
      <w:tr w:rsidR="005E494A" w:rsidRPr="008B6BC5" w14:paraId="3BA088BD" w14:textId="77777777" w:rsidTr="00760C26">
        <w:tc>
          <w:tcPr>
            <w:tcW w:w="1560" w:type="dxa"/>
          </w:tcPr>
          <w:p w14:paraId="686AEEB0" w14:textId="01CEDEF0" w:rsidR="005E494A" w:rsidRPr="008B6BC5" w:rsidRDefault="00A97F97" w:rsidP="005E494A">
            <w:pPr>
              <w:pStyle w:val="NoSpacing"/>
              <w:rPr>
                <w:rFonts w:cs="Times New Roman"/>
                <w:sz w:val="20"/>
                <w:szCs w:val="20"/>
                <w:lang w:val="en-US"/>
              </w:rPr>
            </w:pPr>
            <w:r w:rsidRPr="008B6BC5">
              <w:rPr>
                <w:rFonts w:cs="Times New Roman"/>
                <w:sz w:val="20"/>
                <w:szCs w:val="20"/>
                <w:lang w:val="en-US"/>
              </w:rPr>
              <w:t>20</w:t>
            </w:r>
          </w:p>
        </w:tc>
        <w:tc>
          <w:tcPr>
            <w:tcW w:w="6048" w:type="dxa"/>
          </w:tcPr>
          <w:p w14:paraId="6953C0EF" w14:textId="3F64E948"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Within smartphone RCTs synthesized by Serrano-Ripoll et al. (2022), several trials directly compared alternative app formats (for example, gamified vs standard CBT or different CBT variants) and generally found </w:t>
            </w:r>
            <w:r w:rsidRPr="008B6BC5">
              <w:rPr>
                <w:rFonts w:cs="Times New Roman"/>
                <w:sz w:val="20"/>
                <w:szCs w:val="20"/>
                <w:lang w:val="en-US"/>
              </w:rPr>
              <w:lastRenderedPageBreak/>
              <w:t>comparable clinical outcomes, although the evidence is heterogeneous and underpowered for fine-grained comparative conclusions</w:t>
            </w:r>
          </w:p>
        </w:tc>
        <w:tc>
          <w:tcPr>
            <w:tcW w:w="4202" w:type="dxa"/>
          </w:tcPr>
          <w:p w14:paraId="4D1D7959" w14:textId="0F781020" w:rsidR="005E494A" w:rsidRPr="008B6BC5" w:rsidRDefault="005E494A" w:rsidP="005E494A">
            <w:pPr>
              <w:pStyle w:val="NoSpacing"/>
              <w:rPr>
                <w:rFonts w:cs="Times New Roman"/>
                <w:sz w:val="20"/>
                <w:szCs w:val="20"/>
                <w:lang w:val="en-US"/>
              </w:rPr>
            </w:pPr>
            <w:r w:rsidRPr="008B6BC5">
              <w:rPr>
                <w:rFonts w:cs="Times New Roman"/>
                <w:sz w:val="20"/>
                <w:szCs w:val="20"/>
                <w:lang w:val="en-US"/>
              </w:rPr>
              <w:lastRenderedPageBreak/>
              <w:t>doi:10.2196/29621</w:t>
            </w:r>
          </w:p>
        </w:tc>
        <w:tc>
          <w:tcPr>
            <w:tcW w:w="690" w:type="dxa"/>
          </w:tcPr>
          <w:p w14:paraId="7EC53414" w14:textId="3B2323C6" w:rsidR="005E494A" w:rsidRPr="008B6BC5" w:rsidRDefault="005E494A" w:rsidP="005E494A">
            <w:pPr>
              <w:pStyle w:val="NoSpacing"/>
              <w:rPr>
                <w:rFonts w:cs="Times New Roman"/>
                <w:sz w:val="20"/>
                <w:szCs w:val="20"/>
                <w:lang w:val="en-US"/>
              </w:rPr>
            </w:pPr>
            <w:r w:rsidRPr="008B6BC5">
              <w:rPr>
                <w:rFonts w:cs="Times New Roman"/>
                <w:sz w:val="20"/>
                <w:szCs w:val="20"/>
                <w:lang w:val="en-US"/>
              </w:rPr>
              <w:t>4</w:t>
            </w:r>
          </w:p>
        </w:tc>
        <w:tc>
          <w:tcPr>
            <w:tcW w:w="3944" w:type="dxa"/>
          </w:tcPr>
          <w:p w14:paraId="6E6BE0EB" w14:textId="4E2031AE"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E494A" w:rsidRPr="008B6BC5" w14:paraId="25D873B9" w14:textId="77777777" w:rsidTr="00760C26">
        <w:tc>
          <w:tcPr>
            <w:tcW w:w="1560" w:type="dxa"/>
          </w:tcPr>
          <w:p w14:paraId="07C79FDD" w14:textId="7A0F5633" w:rsidR="005E494A" w:rsidRPr="008B6BC5" w:rsidRDefault="00A97F97" w:rsidP="005E494A">
            <w:pPr>
              <w:pStyle w:val="NoSpacing"/>
              <w:rPr>
                <w:rFonts w:cs="Times New Roman"/>
                <w:sz w:val="20"/>
                <w:szCs w:val="20"/>
                <w:lang w:val="en-US"/>
              </w:rPr>
            </w:pPr>
            <w:r w:rsidRPr="008B6BC5">
              <w:rPr>
                <w:rFonts w:cs="Times New Roman"/>
                <w:sz w:val="20"/>
                <w:szCs w:val="20"/>
                <w:lang w:val="en-US"/>
              </w:rPr>
              <w:t>21</w:t>
            </w:r>
          </w:p>
        </w:tc>
        <w:tc>
          <w:tcPr>
            <w:tcW w:w="6048" w:type="dxa"/>
          </w:tcPr>
          <w:p w14:paraId="104C924B" w14:textId="17EAAA97"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At a broader treatment-system level, a network meta-analysis comparing pharmacotherapies, psychotherapies, and their combinations for adult depression found that CBT-based psychotherapies (the foundation for most digital programs) have acute effect sizes similar to antidepressant medications, and combined treatment is often superior to either alone (Cuijpers et al., 2020) </w:t>
            </w:r>
          </w:p>
        </w:tc>
        <w:tc>
          <w:tcPr>
            <w:tcW w:w="4202" w:type="dxa"/>
          </w:tcPr>
          <w:p w14:paraId="6494F2C7" w14:textId="5DFACA2E" w:rsidR="005E494A" w:rsidRPr="008B6BC5" w:rsidRDefault="005E494A" w:rsidP="005E494A">
            <w:pPr>
              <w:pStyle w:val="NoSpacing"/>
              <w:rPr>
                <w:rFonts w:cs="Times New Roman"/>
                <w:sz w:val="20"/>
                <w:szCs w:val="20"/>
                <w:lang w:val="en-US"/>
              </w:rPr>
            </w:pPr>
            <w:r w:rsidRPr="008B6BC5">
              <w:rPr>
                <w:rFonts w:cs="Times New Roman"/>
                <w:sz w:val="20"/>
                <w:szCs w:val="20"/>
                <w:lang w:val="en-US"/>
              </w:rPr>
              <w:t>DOI:10.1002/wps.20701</w:t>
            </w:r>
          </w:p>
        </w:tc>
        <w:tc>
          <w:tcPr>
            <w:tcW w:w="690" w:type="dxa"/>
          </w:tcPr>
          <w:p w14:paraId="4132AA96" w14:textId="3A5B83DC" w:rsidR="005E494A" w:rsidRPr="008B6BC5" w:rsidRDefault="005E494A" w:rsidP="005E494A">
            <w:pPr>
              <w:pStyle w:val="NoSpacing"/>
              <w:rPr>
                <w:rFonts w:cs="Times New Roman"/>
                <w:sz w:val="20"/>
                <w:szCs w:val="20"/>
                <w:lang w:val="en-US"/>
              </w:rPr>
            </w:pPr>
            <w:r w:rsidRPr="008B6BC5">
              <w:rPr>
                <w:rFonts w:cs="Times New Roman"/>
                <w:sz w:val="20"/>
                <w:szCs w:val="20"/>
                <w:lang w:val="en-US"/>
              </w:rPr>
              <w:t>4</w:t>
            </w:r>
          </w:p>
        </w:tc>
        <w:tc>
          <w:tcPr>
            <w:tcW w:w="3944" w:type="dxa"/>
          </w:tcPr>
          <w:p w14:paraId="4FC724B8" w14:textId="63DE52E1"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E494A" w:rsidRPr="008B6BC5" w14:paraId="0A74700C" w14:textId="77777777" w:rsidTr="00760C26">
        <w:tc>
          <w:tcPr>
            <w:tcW w:w="1560" w:type="dxa"/>
          </w:tcPr>
          <w:p w14:paraId="2C9881EB" w14:textId="3B69D8B4" w:rsidR="005E494A" w:rsidRPr="008B6BC5" w:rsidRDefault="00A97F97" w:rsidP="005E494A">
            <w:pPr>
              <w:pStyle w:val="NoSpacing"/>
              <w:rPr>
                <w:rFonts w:cs="Times New Roman"/>
                <w:sz w:val="20"/>
                <w:szCs w:val="20"/>
                <w:lang w:val="en-US"/>
              </w:rPr>
            </w:pPr>
            <w:r w:rsidRPr="008B6BC5">
              <w:rPr>
                <w:rFonts w:cs="Times New Roman"/>
                <w:sz w:val="20"/>
                <w:szCs w:val="20"/>
                <w:lang w:val="en-US"/>
              </w:rPr>
              <w:t>22</w:t>
            </w:r>
            <w:r w:rsidR="000938FF" w:rsidRPr="008B6BC5">
              <w:rPr>
                <w:rFonts w:cs="Times New Roman"/>
                <w:sz w:val="20"/>
                <w:szCs w:val="20"/>
                <w:lang w:val="en-US"/>
              </w:rPr>
              <w:t>.</w:t>
            </w:r>
            <w:r w:rsidRPr="008B6BC5">
              <w:rPr>
                <w:rFonts w:cs="Times New Roman"/>
                <w:sz w:val="20"/>
                <w:szCs w:val="20"/>
                <w:lang w:val="en-US"/>
              </w:rPr>
              <w:t>1</w:t>
            </w:r>
          </w:p>
          <w:p w14:paraId="73C150B0" w14:textId="77777777" w:rsidR="00A97F97" w:rsidRPr="008B6BC5" w:rsidRDefault="00A97F97" w:rsidP="005E494A">
            <w:pPr>
              <w:pStyle w:val="NoSpacing"/>
              <w:rPr>
                <w:rFonts w:cs="Times New Roman"/>
                <w:sz w:val="20"/>
                <w:szCs w:val="20"/>
                <w:lang w:val="en-US"/>
              </w:rPr>
            </w:pPr>
          </w:p>
          <w:p w14:paraId="4044FF1F" w14:textId="55214037" w:rsidR="00A97F97" w:rsidRPr="008B6BC5" w:rsidRDefault="00A97F97" w:rsidP="005E494A">
            <w:pPr>
              <w:pStyle w:val="NoSpacing"/>
              <w:rPr>
                <w:rFonts w:cs="Times New Roman"/>
                <w:sz w:val="20"/>
                <w:szCs w:val="20"/>
                <w:lang w:val="en-US"/>
              </w:rPr>
            </w:pPr>
            <w:r w:rsidRPr="008B6BC5">
              <w:rPr>
                <w:rFonts w:cs="Times New Roman"/>
                <w:sz w:val="20"/>
                <w:szCs w:val="20"/>
                <w:lang w:val="en-US"/>
              </w:rPr>
              <w:t>22</w:t>
            </w:r>
            <w:r w:rsidR="000938FF" w:rsidRPr="008B6BC5">
              <w:rPr>
                <w:rFonts w:cs="Times New Roman"/>
                <w:sz w:val="20"/>
                <w:szCs w:val="20"/>
                <w:lang w:val="en-US"/>
              </w:rPr>
              <w:t>.</w:t>
            </w:r>
            <w:r w:rsidRPr="008B6BC5">
              <w:rPr>
                <w:rFonts w:cs="Times New Roman"/>
                <w:sz w:val="20"/>
                <w:szCs w:val="20"/>
                <w:lang w:val="en-US"/>
              </w:rPr>
              <w:t>2</w:t>
            </w:r>
          </w:p>
        </w:tc>
        <w:tc>
          <w:tcPr>
            <w:tcW w:w="6048" w:type="dxa"/>
          </w:tcPr>
          <w:p w14:paraId="31FC31C3" w14:textId="103BBBC6"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In this context, adjunctive digital therapeutics such as CT-152 plus SSRIs—showing incremental benefit over medication alone—appear conceptually consistent with evidence that augmenting pharmacotherapy with CBT improves outcomes in MDD (Rothman et al., 2025; </w:t>
            </w:r>
            <w:proofErr w:type="spellStart"/>
            <w:r w:rsidRPr="008B6BC5">
              <w:rPr>
                <w:rFonts w:cs="Times New Roman"/>
                <w:sz w:val="20"/>
                <w:szCs w:val="20"/>
                <w:lang w:val="en-US"/>
              </w:rPr>
              <w:t>Mantani</w:t>
            </w:r>
            <w:proofErr w:type="spellEnd"/>
            <w:r w:rsidRPr="008B6BC5">
              <w:rPr>
                <w:rFonts w:cs="Times New Roman"/>
                <w:sz w:val="20"/>
                <w:szCs w:val="20"/>
                <w:lang w:val="en-US"/>
              </w:rPr>
              <w:t xml:space="preserve"> et al., 2017).</w:t>
            </w:r>
          </w:p>
        </w:tc>
        <w:tc>
          <w:tcPr>
            <w:tcW w:w="4202" w:type="dxa"/>
          </w:tcPr>
          <w:p w14:paraId="5C21D638" w14:textId="4F16B2B7" w:rsidR="005E494A" w:rsidRPr="008B6BC5" w:rsidRDefault="005E494A" w:rsidP="005E494A">
            <w:pPr>
              <w:pStyle w:val="NoSpacing"/>
              <w:rPr>
                <w:rFonts w:cs="Times New Roman"/>
                <w:sz w:val="20"/>
                <w:szCs w:val="20"/>
                <w:lang w:val="en-US"/>
              </w:rPr>
            </w:pPr>
            <w:hyperlink r:id="rId11" w:history="1">
              <w:r w:rsidRPr="008B6BC5">
                <w:rPr>
                  <w:rStyle w:val="Hyperlink"/>
                  <w:rFonts w:cs="Times New Roman"/>
                  <w:sz w:val="20"/>
                  <w:szCs w:val="20"/>
                  <w:lang w:val="en-US"/>
                </w:rPr>
                <w:t>https://doi.org/10.1016/j.jad.2025.119409</w:t>
              </w:r>
            </w:hyperlink>
          </w:p>
          <w:p w14:paraId="7B907F40" w14:textId="77777777" w:rsidR="005E494A" w:rsidRPr="008B6BC5" w:rsidRDefault="005E494A" w:rsidP="005E494A">
            <w:pPr>
              <w:pStyle w:val="NoSpacing"/>
              <w:rPr>
                <w:rFonts w:cs="Times New Roman"/>
                <w:sz w:val="20"/>
                <w:szCs w:val="20"/>
                <w:lang w:val="en-US"/>
              </w:rPr>
            </w:pPr>
          </w:p>
          <w:p w14:paraId="330DD617" w14:textId="44A29FCD" w:rsidR="005E494A" w:rsidRPr="008B6BC5" w:rsidRDefault="005E494A" w:rsidP="005E494A">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10.2196/jmir.8602</w:t>
            </w:r>
          </w:p>
        </w:tc>
        <w:tc>
          <w:tcPr>
            <w:tcW w:w="690" w:type="dxa"/>
          </w:tcPr>
          <w:p w14:paraId="12C75F59" w14:textId="77777777" w:rsidR="005E494A" w:rsidRPr="008B6BC5" w:rsidRDefault="005E494A" w:rsidP="005E494A">
            <w:pPr>
              <w:pStyle w:val="NoSpacing"/>
              <w:rPr>
                <w:rFonts w:cs="Times New Roman"/>
                <w:sz w:val="20"/>
                <w:szCs w:val="20"/>
                <w:lang w:val="en-US"/>
              </w:rPr>
            </w:pPr>
            <w:r w:rsidRPr="008B6BC5">
              <w:rPr>
                <w:rFonts w:cs="Times New Roman"/>
                <w:sz w:val="20"/>
                <w:szCs w:val="20"/>
                <w:lang w:val="en-US"/>
              </w:rPr>
              <w:t>4</w:t>
            </w:r>
          </w:p>
          <w:p w14:paraId="34DAF870" w14:textId="05A19727" w:rsidR="005E494A" w:rsidRPr="008B6BC5" w:rsidRDefault="005E494A" w:rsidP="005E494A">
            <w:pPr>
              <w:pStyle w:val="NoSpacing"/>
              <w:rPr>
                <w:rFonts w:cs="Times New Roman"/>
                <w:sz w:val="20"/>
                <w:szCs w:val="20"/>
                <w:lang w:val="en-US"/>
              </w:rPr>
            </w:pPr>
            <w:r w:rsidRPr="008B6BC5">
              <w:rPr>
                <w:rFonts w:cs="Times New Roman"/>
                <w:sz w:val="20"/>
                <w:szCs w:val="20"/>
                <w:lang w:val="en-US"/>
              </w:rPr>
              <w:t>4</w:t>
            </w:r>
          </w:p>
        </w:tc>
        <w:tc>
          <w:tcPr>
            <w:tcW w:w="3944" w:type="dxa"/>
          </w:tcPr>
          <w:p w14:paraId="4F79B07C" w14:textId="0D409948" w:rsidR="005E494A" w:rsidRPr="008B6BC5" w:rsidRDefault="005E494A" w:rsidP="005E494A">
            <w:pPr>
              <w:pStyle w:val="NoSpacing"/>
              <w:rPr>
                <w:rFonts w:cs="Times New Roman"/>
                <w:sz w:val="20"/>
                <w:szCs w:val="20"/>
                <w:lang w:val="en-US"/>
              </w:rPr>
            </w:pPr>
            <w:r w:rsidRPr="008B6BC5">
              <w:rPr>
                <w:rFonts w:cs="Times New Roman"/>
                <w:sz w:val="20"/>
                <w:szCs w:val="20"/>
                <w:lang w:val="en-US"/>
              </w:rPr>
              <w:t>No inaccuracies identified for either citation.</w:t>
            </w:r>
          </w:p>
        </w:tc>
      </w:tr>
      <w:tr w:rsidR="005E494A" w:rsidRPr="008B6BC5" w14:paraId="46EE0686" w14:textId="77777777" w:rsidTr="00760C26">
        <w:tc>
          <w:tcPr>
            <w:tcW w:w="1560" w:type="dxa"/>
          </w:tcPr>
          <w:p w14:paraId="63D6D47E" w14:textId="422F3094" w:rsidR="005E494A" w:rsidRPr="008B6BC5" w:rsidRDefault="00A97F97" w:rsidP="005E494A">
            <w:pPr>
              <w:pStyle w:val="NoSpacing"/>
              <w:rPr>
                <w:rFonts w:cs="Times New Roman"/>
                <w:sz w:val="20"/>
                <w:szCs w:val="20"/>
                <w:lang w:val="en-US"/>
              </w:rPr>
            </w:pPr>
            <w:r w:rsidRPr="008B6BC5">
              <w:rPr>
                <w:rFonts w:cs="Times New Roman"/>
                <w:sz w:val="20"/>
                <w:szCs w:val="20"/>
                <w:lang w:val="en-US"/>
              </w:rPr>
              <w:t>23</w:t>
            </w:r>
          </w:p>
        </w:tc>
        <w:tc>
          <w:tcPr>
            <w:tcW w:w="6048" w:type="dxa"/>
          </w:tcPr>
          <w:p w14:paraId="43A2D6B1" w14:textId="1F86033F" w:rsidR="005E494A" w:rsidRPr="008B6BC5" w:rsidRDefault="005E494A" w:rsidP="005E494A">
            <w:pPr>
              <w:pStyle w:val="NoSpacing"/>
              <w:rPr>
                <w:rFonts w:cs="Times New Roman"/>
                <w:sz w:val="20"/>
                <w:szCs w:val="20"/>
                <w:lang w:val="en-US"/>
              </w:rPr>
            </w:pPr>
            <w:r w:rsidRPr="008B6BC5">
              <w:rPr>
                <w:rFonts w:cs="Times New Roman"/>
                <w:sz w:val="20"/>
                <w:szCs w:val="20"/>
                <w:lang w:val="en-US"/>
              </w:rPr>
              <w:t xml:space="preserve">In the self-guided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IPD meta-analysis, drop-out rates averaged around one-quarter of participants, comparable to many face-to-face psychotherapy trials, and there was no signal of increased suicidality or serious AEs attributable to the interventions (Karyotaki et al., 2017) </w:t>
            </w:r>
          </w:p>
        </w:tc>
        <w:tc>
          <w:tcPr>
            <w:tcW w:w="4202" w:type="dxa"/>
          </w:tcPr>
          <w:p w14:paraId="591313E0" w14:textId="7B4210BC" w:rsidR="005E494A" w:rsidRPr="008B6BC5" w:rsidRDefault="005E494A" w:rsidP="005E494A">
            <w:pPr>
              <w:pStyle w:val="NoSpacing"/>
              <w:rPr>
                <w:rFonts w:cs="Times New Roman"/>
                <w:sz w:val="20"/>
                <w:szCs w:val="20"/>
                <w:lang w:val="en-US"/>
              </w:rPr>
            </w:pPr>
            <w:r w:rsidRPr="008B6BC5">
              <w:rPr>
                <w:rFonts w:cs="Times New Roman"/>
                <w:sz w:val="20"/>
                <w:szCs w:val="20"/>
                <w:lang w:val="en-US"/>
              </w:rPr>
              <w:t>doi:10.1001/jamapsychiatry.2017.0044</w:t>
            </w:r>
          </w:p>
        </w:tc>
        <w:tc>
          <w:tcPr>
            <w:tcW w:w="690" w:type="dxa"/>
          </w:tcPr>
          <w:p w14:paraId="4BEE4E78" w14:textId="024523A5" w:rsidR="005E494A" w:rsidRPr="008B6BC5" w:rsidRDefault="005E494A" w:rsidP="005E494A">
            <w:pPr>
              <w:pStyle w:val="NoSpacing"/>
              <w:rPr>
                <w:rFonts w:cs="Times New Roman"/>
                <w:sz w:val="20"/>
                <w:szCs w:val="20"/>
                <w:lang w:val="en-US"/>
              </w:rPr>
            </w:pPr>
            <w:r w:rsidRPr="008B6BC5">
              <w:rPr>
                <w:rFonts w:cs="Times New Roman"/>
                <w:sz w:val="20"/>
                <w:szCs w:val="20"/>
                <w:lang w:val="en-US"/>
              </w:rPr>
              <w:t>1</w:t>
            </w:r>
          </w:p>
        </w:tc>
        <w:tc>
          <w:tcPr>
            <w:tcW w:w="3944" w:type="dxa"/>
          </w:tcPr>
          <w:p w14:paraId="1045201F" w14:textId="28B2B053" w:rsidR="005E494A" w:rsidRPr="008B6BC5" w:rsidRDefault="008B50A2" w:rsidP="005E494A">
            <w:pPr>
              <w:pStyle w:val="NoSpacing"/>
              <w:rPr>
                <w:rFonts w:cs="Times New Roman"/>
                <w:sz w:val="20"/>
                <w:szCs w:val="20"/>
                <w:lang w:val="en-US"/>
              </w:rPr>
            </w:pPr>
            <w:r w:rsidRPr="008B6BC5">
              <w:rPr>
                <w:rFonts w:cs="Times New Roman"/>
                <w:sz w:val="20"/>
                <w:szCs w:val="20"/>
                <w:lang w:val="en-US"/>
              </w:rPr>
              <w:t>AEs or suicidality were not mentioned, reported or assessed in this meta-analysis.</w:t>
            </w:r>
          </w:p>
        </w:tc>
      </w:tr>
      <w:tr w:rsidR="008B50A2" w:rsidRPr="008B6BC5" w14:paraId="078425D6" w14:textId="77777777" w:rsidTr="00760C26">
        <w:tc>
          <w:tcPr>
            <w:tcW w:w="1560" w:type="dxa"/>
          </w:tcPr>
          <w:p w14:paraId="39D3FDBE" w14:textId="48BD3776" w:rsidR="008B50A2" w:rsidRPr="008B6BC5" w:rsidRDefault="00A97F97" w:rsidP="008B50A2">
            <w:pPr>
              <w:pStyle w:val="NoSpacing"/>
              <w:rPr>
                <w:rFonts w:cs="Times New Roman"/>
                <w:sz w:val="20"/>
                <w:szCs w:val="20"/>
                <w:lang w:val="en-US"/>
              </w:rPr>
            </w:pPr>
            <w:r w:rsidRPr="008B6BC5">
              <w:rPr>
                <w:rFonts w:cs="Times New Roman"/>
                <w:sz w:val="20"/>
                <w:szCs w:val="20"/>
                <w:lang w:val="en-US"/>
              </w:rPr>
              <w:t>24</w:t>
            </w:r>
          </w:p>
        </w:tc>
        <w:tc>
          <w:tcPr>
            <w:tcW w:w="6048" w:type="dxa"/>
          </w:tcPr>
          <w:p w14:paraId="14BA45C2" w14:textId="18D3CE24" w:rsidR="008B50A2" w:rsidRPr="008B6BC5" w:rsidRDefault="008B50A2" w:rsidP="008B50A2">
            <w:pPr>
              <w:pStyle w:val="NoSpacing"/>
              <w:rPr>
                <w:rFonts w:cs="Times New Roman"/>
                <w:sz w:val="20"/>
                <w:szCs w:val="20"/>
                <w:lang w:val="en-US"/>
              </w:rPr>
            </w:pPr>
            <w:r w:rsidRPr="008B6BC5">
              <w:rPr>
                <w:rFonts w:cs="Times New Roman"/>
                <w:sz w:val="20"/>
                <w:szCs w:val="20"/>
                <w:lang w:val="en-US"/>
              </w:rPr>
              <w:t xml:space="preserve">A meta-analysis of adherence across 24 studies (n = 981) reported that participants in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for depression completed roughly 81% of treatment sessions on average, similar to adherence in face-to-face CBT (84%), although a lower proportion of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participants completed all sessions (65% vs 85%) (van Ballegooijen et al., 2014).</w:t>
            </w:r>
          </w:p>
        </w:tc>
        <w:tc>
          <w:tcPr>
            <w:tcW w:w="4202" w:type="dxa"/>
          </w:tcPr>
          <w:p w14:paraId="4912CDE3" w14:textId="2C698175" w:rsidR="008B50A2" w:rsidRPr="008B6BC5" w:rsidRDefault="008B50A2" w:rsidP="008B50A2">
            <w:pPr>
              <w:pStyle w:val="NoSpacing"/>
              <w:rPr>
                <w:rFonts w:cs="Times New Roman"/>
                <w:sz w:val="20"/>
                <w:szCs w:val="20"/>
                <w:lang w:val="en-US"/>
              </w:rPr>
            </w:pPr>
            <w:r w:rsidRPr="008B6BC5">
              <w:rPr>
                <w:rFonts w:cs="Times New Roman"/>
                <w:sz w:val="20"/>
                <w:szCs w:val="20"/>
                <w:lang w:val="en-US"/>
              </w:rPr>
              <w:t>doi:10.1371/journal.pone.0100674</w:t>
            </w:r>
          </w:p>
        </w:tc>
        <w:tc>
          <w:tcPr>
            <w:tcW w:w="690" w:type="dxa"/>
          </w:tcPr>
          <w:p w14:paraId="71714FF5" w14:textId="40F79E7F" w:rsidR="008B50A2" w:rsidRPr="008B6BC5" w:rsidRDefault="008B50A2" w:rsidP="008B50A2">
            <w:pPr>
              <w:pStyle w:val="NoSpacing"/>
              <w:rPr>
                <w:rFonts w:cs="Times New Roman"/>
                <w:sz w:val="20"/>
                <w:szCs w:val="20"/>
                <w:lang w:val="en-US"/>
              </w:rPr>
            </w:pPr>
            <w:r w:rsidRPr="008B6BC5">
              <w:rPr>
                <w:rFonts w:cs="Times New Roman"/>
                <w:sz w:val="20"/>
                <w:szCs w:val="20"/>
                <w:lang w:val="en-US"/>
              </w:rPr>
              <w:t>4</w:t>
            </w:r>
          </w:p>
        </w:tc>
        <w:tc>
          <w:tcPr>
            <w:tcW w:w="3944" w:type="dxa"/>
          </w:tcPr>
          <w:p w14:paraId="231569AF" w14:textId="76883EFB" w:rsidR="008B50A2" w:rsidRPr="008B6BC5" w:rsidRDefault="008B50A2" w:rsidP="008B50A2">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8B50A2" w:rsidRPr="008B6BC5" w14:paraId="746CB051" w14:textId="77777777" w:rsidTr="00760C26">
        <w:tc>
          <w:tcPr>
            <w:tcW w:w="1560" w:type="dxa"/>
          </w:tcPr>
          <w:p w14:paraId="1253CBD2" w14:textId="552A41F5" w:rsidR="008B50A2" w:rsidRPr="008B6BC5" w:rsidRDefault="00A97F97" w:rsidP="008B50A2">
            <w:pPr>
              <w:pStyle w:val="NoSpacing"/>
              <w:rPr>
                <w:rFonts w:cs="Times New Roman"/>
                <w:sz w:val="20"/>
                <w:szCs w:val="20"/>
                <w:lang w:val="en-US"/>
              </w:rPr>
            </w:pPr>
            <w:r w:rsidRPr="008B6BC5">
              <w:rPr>
                <w:rFonts w:cs="Times New Roman"/>
                <w:sz w:val="20"/>
                <w:szCs w:val="20"/>
                <w:lang w:val="en-US"/>
              </w:rPr>
              <w:t>25</w:t>
            </w:r>
          </w:p>
        </w:tc>
        <w:tc>
          <w:tcPr>
            <w:tcW w:w="6048" w:type="dxa"/>
          </w:tcPr>
          <w:p w14:paraId="33BEEE23" w14:textId="784F400D" w:rsidR="008B50A2" w:rsidRPr="008B6BC5" w:rsidRDefault="008B50A2" w:rsidP="008B50A2">
            <w:pPr>
              <w:pStyle w:val="NoSpacing"/>
              <w:rPr>
                <w:rFonts w:cs="Times New Roman"/>
                <w:sz w:val="20"/>
                <w:szCs w:val="20"/>
                <w:lang w:val="en-US"/>
              </w:rPr>
            </w:pPr>
            <w:r w:rsidRPr="008B6BC5">
              <w:rPr>
                <w:rFonts w:cs="Times New Roman"/>
                <w:sz w:val="20"/>
                <w:szCs w:val="20"/>
                <w:lang w:val="en-US"/>
              </w:rPr>
              <w:t>For smartphone apps, Serrano-Ripoll et al. (2022) noted attrition rates that were typically in the 20–40% range over 4–12 weeks. Most trials reported no serious AEs related to app use; when AEs were reported, they usually reflected expected fluctuations in mood or life events rather than intervention-induced harm. Satisfaction ratings were generally high, with users valuing flexibility and anonymity</w:t>
            </w:r>
          </w:p>
        </w:tc>
        <w:tc>
          <w:tcPr>
            <w:tcW w:w="4202" w:type="dxa"/>
          </w:tcPr>
          <w:p w14:paraId="3EC28D0E" w14:textId="202FB026" w:rsidR="008B50A2" w:rsidRPr="008B6BC5" w:rsidRDefault="008B50A2" w:rsidP="008B50A2">
            <w:pPr>
              <w:pStyle w:val="NoSpacing"/>
              <w:rPr>
                <w:rFonts w:cs="Times New Roman"/>
                <w:sz w:val="20"/>
                <w:szCs w:val="20"/>
                <w:lang w:val="en-US"/>
              </w:rPr>
            </w:pPr>
            <w:r w:rsidRPr="008B6BC5">
              <w:rPr>
                <w:rFonts w:cs="Times New Roman"/>
                <w:sz w:val="20"/>
                <w:szCs w:val="20"/>
                <w:lang w:val="en-US"/>
              </w:rPr>
              <w:t>doi:10.2196/29621</w:t>
            </w:r>
          </w:p>
        </w:tc>
        <w:tc>
          <w:tcPr>
            <w:tcW w:w="690" w:type="dxa"/>
          </w:tcPr>
          <w:p w14:paraId="48AA31D8" w14:textId="0FF1542A" w:rsidR="008B50A2" w:rsidRPr="008B6BC5" w:rsidRDefault="008B50A2" w:rsidP="008B50A2">
            <w:pPr>
              <w:pStyle w:val="NoSpacing"/>
              <w:rPr>
                <w:rFonts w:cs="Times New Roman"/>
                <w:sz w:val="20"/>
                <w:szCs w:val="20"/>
                <w:lang w:val="en-US"/>
              </w:rPr>
            </w:pPr>
            <w:r w:rsidRPr="008B6BC5">
              <w:rPr>
                <w:rFonts w:cs="Times New Roman"/>
                <w:sz w:val="20"/>
                <w:szCs w:val="20"/>
                <w:lang w:val="en-US"/>
              </w:rPr>
              <w:t>1</w:t>
            </w:r>
          </w:p>
        </w:tc>
        <w:tc>
          <w:tcPr>
            <w:tcW w:w="3944" w:type="dxa"/>
          </w:tcPr>
          <w:p w14:paraId="44470A8E" w14:textId="17B0B5BE" w:rsidR="008B50A2" w:rsidRPr="008B6BC5" w:rsidRDefault="009A173C" w:rsidP="008B50A2">
            <w:pPr>
              <w:pStyle w:val="NoSpacing"/>
              <w:rPr>
                <w:rFonts w:cs="Times New Roman"/>
                <w:sz w:val="20"/>
                <w:szCs w:val="20"/>
                <w:lang w:val="en-US"/>
              </w:rPr>
            </w:pPr>
            <w:r w:rsidRPr="008B6BC5">
              <w:rPr>
                <w:rFonts w:cs="Times New Roman"/>
                <w:sz w:val="20"/>
                <w:szCs w:val="20"/>
                <w:lang w:val="en-US"/>
              </w:rPr>
              <w:t xml:space="preserve">No reporting or assessment of AEs or satisfaction ratings. </w:t>
            </w:r>
          </w:p>
        </w:tc>
      </w:tr>
      <w:tr w:rsidR="009A173C" w:rsidRPr="008B6BC5" w14:paraId="0D5BB05F" w14:textId="77777777" w:rsidTr="00760C26">
        <w:tc>
          <w:tcPr>
            <w:tcW w:w="1560" w:type="dxa"/>
          </w:tcPr>
          <w:p w14:paraId="7E80E61C" w14:textId="6A44E045" w:rsidR="009A173C" w:rsidRPr="008B6BC5" w:rsidRDefault="00A97F97" w:rsidP="009A173C">
            <w:pPr>
              <w:pStyle w:val="NoSpacing"/>
              <w:rPr>
                <w:rFonts w:cs="Times New Roman"/>
                <w:sz w:val="20"/>
                <w:szCs w:val="20"/>
                <w:lang w:val="en-US"/>
              </w:rPr>
            </w:pPr>
            <w:r w:rsidRPr="008B6BC5">
              <w:rPr>
                <w:rFonts w:cs="Times New Roman"/>
                <w:sz w:val="20"/>
                <w:szCs w:val="20"/>
                <w:lang w:val="en-US"/>
              </w:rPr>
              <w:t>26</w:t>
            </w:r>
          </w:p>
        </w:tc>
        <w:tc>
          <w:tcPr>
            <w:tcW w:w="6048" w:type="dxa"/>
          </w:tcPr>
          <w:p w14:paraId="3208C88B" w14:textId="5043E4F2" w:rsidR="009A173C" w:rsidRPr="008B6BC5" w:rsidRDefault="009A173C" w:rsidP="009A173C">
            <w:pPr>
              <w:pStyle w:val="NoSpacing"/>
              <w:rPr>
                <w:rFonts w:cs="Times New Roman"/>
                <w:sz w:val="20"/>
                <w:szCs w:val="20"/>
                <w:lang w:val="en-US"/>
              </w:rPr>
            </w:pPr>
            <w:r w:rsidRPr="008B6BC5">
              <w:rPr>
                <w:rFonts w:cs="Times New Roman"/>
                <w:sz w:val="20"/>
                <w:szCs w:val="20"/>
                <w:lang w:val="en-US"/>
              </w:rPr>
              <w:t xml:space="preserve">The </w:t>
            </w:r>
            <w:proofErr w:type="spellStart"/>
            <w:r w:rsidRPr="008B6BC5">
              <w:rPr>
                <w:rFonts w:cs="Times New Roman"/>
                <w:sz w:val="20"/>
                <w:szCs w:val="20"/>
                <w:lang w:val="en-US"/>
              </w:rPr>
              <w:t>Woebot</w:t>
            </w:r>
            <w:proofErr w:type="spellEnd"/>
            <w:r w:rsidRPr="008B6BC5">
              <w:rPr>
                <w:rFonts w:cs="Times New Roman"/>
                <w:sz w:val="20"/>
                <w:szCs w:val="20"/>
                <w:lang w:val="en-US"/>
              </w:rPr>
              <w:t xml:space="preserve"> RCT reported high engagement over the two-week trial and significantly greater reductions in depressive symptoms compared with an information control, with no serious AEs and qualitative feedback</w:t>
            </w:r>
          </w:p>
        </w:tc>
        <w:tc>
          <w:tcPr>
            <w:tcW w:w="4202" w:type="dxa"/>
          </w:tcPr>
          <w:p w14:paraId="16024674" w14:textId="0299DCC4" w:rsidR="009A173C" w:rsidRPr="008B6BC5" w:rsidRDefault="009A173C" w:rsidP="009A173C">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10.2196/mental.7785</w:t>
            </w:r>
          </w:p>
        </w:tc>
        <w:tc>
          <w:tcPr>
            <w:tcW w:w="690" w:type="dxa"/>
          </w:tcPr>
          <w:p w14:paraId="70558E54" w14:textId="7214E0B2" w:rsidR="009A173C" w:rsidRPr="008B6BC5" w:rsidRDefault="009A173C" w:rsidP="009A173C">
            <w:pPr>
              <w:pStyle w:val="NoSpacing"/>
              <w:rPr>
                <w:rFonts w:cs="Times New Roman"/>
                <w:sz w:val="20"/>
                <w:szCs w:val="20"/>
                <w:lang w:val="en-US"/>
              </w:rPr>
            </w:pPr>
            <w:r w:rsidRPr="008B6BC5">
              <w:rPr>
                <w:rFonts w:cs="Times New Roman"/>
                <w:sz w:val="20"/>
                <w:szCs w:val="20"/>
                <w:lang w:val="en-US"/>
              </w:rPr>
              <w:t>4</w:t>
            </w:r>
          </w:p>
        </w:tc>
        <w:tc>
          <w:tcPr>
            <w:tcW w:w="3944" w:type="dxa"/>
          </w:tcPr>
          <w:p w14:paraId="1D422394" w14:textId="25FD133D" w:rsidR="009A173C" w:rsidRPr="008B6BC5" w:rsidRDefault="009A173C" w:rsidP="009A173C">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A173C" w:rsidRPr="008B6BC5" w14:paraId="303D8319" w14:textId="77777777" w:rsidTr="00760C26">
        <w:tc>
          <w:tcPr>
            <w:tcW w:w="1560" w:type="dxa"/>
          </w:tcPr>
          <w:p w14:paraId="422995D7" w14:textId="77777777" w:rsidR="009A173C" w:rsidRPr="008B6BC5" w:rsidRDefault="00A97F97" w:rsidP="009A173C">
            <w:pPr>
              <w:pStyle w:val="NoSpacing"/>
              <w:rPr>
                <w:rFonts w:cs="Times New Roman"/>
                <w:sz w:val="20"/>
                <w:szCs w:val="20"/>
                <w:lang w:val="en-US"/>
              </w:rPr>
            </w:pPr>
            <w:r w:rsidRPr="008B6BC5">
              <w:rPr>
                <w:rFonts w:cs="Times New Roman"/>
                <w:sz w:val="20"/>
                <w:szCs w:val="20"/>
                <w:lang w:val="en-US"/>
              </w:rPr>
              <w:t>27.1</w:t>
            </w:r>
          </w:p>
          <w:p w14:paraId="7AF9C860" w14:textId="77777777" w:rsidR="00A97F97" w:rsidRPr="008B6BC5" w:rsidRDefault="00A97F97" w:rsidP="009A173C">
            <w:pPr>
              <w:pStyle w:val="NoSpacing"/>
              <w:rPr>
                <w:rFonts w:cs="Times New Roman"/>
                <w:sz w:val="20"/>
                <w:szCs w:val="20"/>
                <w:lang w:val="en-US"/>
              </w:rPr>
            </w:pPr>
          </w:p>
          <w:p w14:paraId="0B18129D" w14:textId="1EFB7B4C" w:rsidR="00A97F97" w:rsidRPr="008B6BC5" w:rsidRDefault="00A97F97" w:rsidP="009A173C">
            <w:pPr>
              <w:pStyle w:val="NoSpacing"/>
              <w:rPr>
                <w:rFonts w:cs="Times New Roman"/>
                <w:sz w:val="20"/>
                <w:szCs w:val="20"/>
                <w:lang w:val="en-US"/>
              </w:rPr>
            </w:pPr>
            <w:r w:rsidRPr="008B6BC5">
              <w:rPr>
                <w:rFonts w:cs="Times New Roman"/>
                <w:sz w:val="20"/>
                <w:szCs w:val="20"/>
                <w:lang w:val="en-US"/>
              </w:rPr>
              <w:t>27.2</w:t>
            </w:r>
          </w:p>
        </w:tc>
        <w:tc>
          <w:tcPr>
            <w:tcW w:w="6048" w:type="dxa"/>
          </w:tcPr>
          <w:p w14:paraId="358EC842" w14:textId="7F945B65" w:rsidR="009A173C" w:rsidRPr="008B6BC5" w:rsidRDefault="009A173C" w:rsidP="009A173C">
            <w:pPr>
              <w:pStyle w:val="NoSpacing"/>
              <w:rPr>
                <w:rFonts w:cs="Times New Roman"/>
                <w:sz w:val="20"/>
                <w:szCs w:val="20"/>
                <w:lang w:val="en-US"/>
              </w:rPr>
            </w:pPr>
            <w:r w:rsidRPr="008B6BC5">
              <w:rPr>
                <w:rFonts w:cs="Times New Roman"/>
                <w:sz w:val="20"/>
                <w:szCs w:val="20"/>
                <w:lang w:val="en-US"/>
              </w:rPr>
              <w:t xml:space="preserve">The </w:t>
            </w:r>
            <w:proofErr w:type="spellStart"/>
            <w:r w:rsidRPr="008B6BC5">
              <w:rPr>
                <w:rFonts w:cs="Times New Roman"/>
                <w:sz w:val="20"/>
                <w:szCs w:val="20"/>
                <w:lang w:val="en-US"/>
              </w:rPr>
              <w:t>XiaoNan</w:t>
            </w:r>
            <w:proofErr w:type="spellEnd"/>
            <w:r w:rsidRPr="008B6BC5">
              <w:rPr>
                <w:rFonts w:cs="Times New Roman"/>
                <w:sz w:val="20"/>
                <w:szCs w:val="20"/>
                <w:lang w:val="en-US"/>
              </w:rPr>
              <w:t xml:space="preserve"> and WeChat-based chatbot trials similarly reported good usability, high satisfaction scores, and absence of serious treatment-related AEs in university students with clinically significant depressive symptoms  (Liu et al., 2022; He et al., 2022). </w:t>
            </w:r>
          </w:p>
        </w:tc>
        <w:tc>
          <w:tcPr>
            <w:tcW w:w="4202" w:type="dxa"/>
          </w:tcPr>
          <w:p w14:paraId="64350FCA" w14:textId="37EB5067" w:rsidR="009A173C" w:rsidRPr="008B6BC5" w:rsidRDefault="009A173C" w:rsidP="009A173C">
            <w:pPr>
              <w:pStyle w:val="NoSpacing"/>
              <w:rPr>
                <w:rFonts w:cs="Times New Roman"/>
                <w:sz w:val="20"/>
                <w:szCs w:val="20"/>
                <w:lang w:val="en-US"/>
              </w:rPr>
            </w:pPr>
            <w:hyperlink r:id="rId12" w:history="1">
              <w:r w:rsidRPr="008B6BC5">
                <w:rPr>
                  <w:rStyle w:val="Hyperlink"/>
                  <w:rFonts w:cs="Times New Roman"/>
                  <w:sz w:val="20"/>
                  <w:szCs w:val="20"/>
                  <w:lang w:val="en-US"/>
                </w:rPr>
                <w:t>https://doi.org/10.1016/j.invent.2022.100495</w:t>
              </w:r>
            </w:hyperlink>
          </w:p>
          <w:p w14:paraId="5601B32F" w14:textId="77777777" w:rsidR="009A173C" w:rsidRPr="008B6BC5" w:rsidRDefault="009A173C" w:rsidP="009A173C">
            <w:pPr>
              <w:pStyle w:val="NoSpacing"/>
              <w:rPr>
                <w:rFonts w:cs="Times New Roman"/>
                <w:sz w:val="20"/>
                <w:szCs w:val="20"/>
                <w:lang w:val="en-US"/>
              </w:rPr>
            </w:pPr>
          </w:p>
          <w:p w14:paraId="41A560CC" w14:textId="1D13A807" w:rsidR="009A173C" w:rsidRPr="008B6BC5" w:rsidRDefault="009A173C" w:rsidP="009A173C">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10.2196/40719</w:t>
            </w:r>
          </w:p>
        </w:tc>
        <w:tc>
          <w:tcPr>
            <w:tcW w:w="690" w:type="dxa"/>
          </w:tcPr>
          <w:p w14:paraId="376E794D" w14:textId="77777777" w:rsidR="009A173C" w:rsidRPr="008B6BC5" w:rsidRDefault="009A173C" w:rsidP="009A173C">
            <w:pPr>
              <w:pStyle w:val="NoSpacing"/>
              <w:rPr>
                <w:rFonts w:cs="Times New Roman"/>
                <w:sz w:val="20"/>
                <w:szCs w:val="20"/>
                <w:lang w:val="en-US"/>
              </w:rPr>
            </w:pPr>
            <w:r w:rsidRPr="008B6BC5">
              <w:rPr>
                <w:rFonts w:cs="Times New Roman"/>
                <w:sz w:val="20"/>
                <w:szCs w:val="20"/>
                <w:lang w:val="en-US"/>
              </w:rPr>
              <w:t>3</w:t>
            </w:r>
          </w:p>
          <w:p w14:paraId="233DCA3F" w14:textId="77777777" w:rsidR="009A173C" w:rsidRPr="008B6BC5" w:rsidRDefault="009A173C" w:rsidP="009A173C">
            <w:pPr>
              <w:pStyle w:val="NoSpacing"/>
              <w:rPr>
                <w:rFonts w:cs="Times New Roman"/>
                <w:sz w:val="20"/>
                <w:szCs w:val="20"/>
                <w:lang w:val="en-US"/>
              </w:rPr>
            </w:pPr>
            <w:r w:rsidRPr="008B6BC5">
              <w:rPr>
                <w:rFonts w:cs="Times New Roman"/>
                <w:sz w:val="20"/>
                <w:szCs w:val="20"/>
                <w:lang w:val="en-US"/>
              </w:rPr>
              <w:t>4</w:t>
            </w:r>
          </w:p>
          <w:p w14:paraId="007F3D44" w14:textId="243051EC" w:rsidR="009A173C" w:rsidRPr="008B6BC5" w:rsidRDefault="009A173C" w:rsidP="009A173C">
            <w:pPr>
              <w:pStyle w:val="NoSpacing"/>
              <w:rPr>
                <w:rFonts w:cs="Times New Roman"/>
                <w:sz w:val="20"/>
                <w:szCs w:val="20"/>
                <w:lang w:val="en-US"/>
              </w:rPr>
            </w:pPr>
          </w:p>
        </w:tc>
        <w:tc>
          <w:tcPr>
            <w:tcW w:w="3944" w:type="dxa"/>
          </w:tcPr>
          <w:p w14:paraId="278F49C4" w14:textId="79FA3251" w:rsidR="009A173C" w:rsidRPr="008B6BC5" w:rsidRDefault="00860317" w:rsidP="009A173C">
            <w:pPr>
              <w:pStyle w:val="NoSpacing"/>
              <w:rPr>
                <w:rFonts w:cs="Times New Roman"/>
                <w:sz w:val="20"/>
                <w:szCs w:val="20"/>
                <w:lang w:val="en-US"/>
              </w:rPr>
            </w:pPr>
            <w:r w:rsidRPr="008B6BC5">
              <w:rPr>
                <w:rFonts w:cs="Times New Roman"/>
                <w:sz w:val="20"/>
                <w:szCs w:val="20"/>
                <w:lang w:val="en-US"/>
              </w:rPr>
              <w:t xml:space="preserve">Only 33% </w:t>
            </w:r>
            <w:r w:rsidR="00C86301" w:rsidRPr="008B6BC5">
              <w:rPr>
                <w:rFonts w:cs="Times New Roman"/>
                <w:sz w:val="20"/>
                <w:szCs w:val="20"/>
                <w:lang w:val="en-US"/>
              </w:rPr>
              <w:t>explicitly</w:t>
            </w:r>
            <w:r w:rsidRPr="008B6BC5">
              <w:rPr>
                <w:rFonts w:cs="Times New Roman"/>
                <w:sz w:val="20"/>
                <w:szCs w:val="20"/>
                <w:lang w:val="en-US"/>
              </w:rPr>
              <w:t xml:space="preserve"> made reference to “good usability”</w:t>
            </w:r>
            <w:r w:rsidR="00C86301" w:rsidRPr="008B6BC5">
              <w:rPr>
                <w:rFonts w:cs="Times New Roman"/>
                <w:sz w:val="20"/>
                <w:szCs w:val="20"/>
                <w:lang w:val="en-US"/>
              </w:rPr>
              <w:t xml:space="preserve">. </w:t>
            </w:r>
          </w:p>
          <w:p w14:paraId="1F35450C" w14:textId="77777777" w:rsidR="00860317" w:rsidRPr="008B6BC5" w:rsidRDefault="00860317" w:rsidP="009A173C">
            <w:pPr>
              <w:pStyle w:val="NoSpacing"/>
              <w:rPr>
                <w:rFonts w:cs="Times New Roman"/>
                <w:sz w:val="20"/>
                <w:szCs w:val="20"/>
                <w:lang w:val="en-US"/>
              </w:rPr>
            </w:pPr>
          </w:p>
          <w:p w14:paraId="2C5E144C" w14:textId="74937BB6" w:rsidR="00860317" w:rsidRPr="008B6BC5" w:rsidRDefault="00860317" w:rsidP="009A173C">
            <w:pPr>
              <w:pStyle w:val="NoSpacing"/>
              <w:rPr>
                <w:rFonts w:cs="Times New Roman"/>
                <w:sz w:val="20"/>
                <w:szCs w:val="20"/>
                <w:lang w:val="en-US"/>
              </w:rPr>
            </w:pPr>
            <w:r w:rsidRPr="008B6BC5">
              <w:rPr>
                <w:rFonts w:cs="Times New Roman"/>
                <w:sz w:val="20"/>
                <w:szCs w:val="20"/>
                <w:lang w:val="en-US"/>
              </w:rPr>
              <w:t>No inaccuracies identified for He et al (2022)</w:t>
            </w:r>
          </w:p>
        </w:tc>
      </w:tr>
      <w:tr w:rsidR="00C86301" w:rsidRPr="008B6BC5" w14:paraId="7DAE556C" w14:textId="77777777" w:rsidTr="00760C26">
        <w:tc>
          <w:tcPr>
            <w:tcW w:w="1560" w:type="dxa"/>
          </w:tcPr>
          <w:p w14:paraId="6CAA676C" w14:textId="04989C6A" w:rsidR="00C86301" w:rsidRPr="008B6BC5" w:rsidRDefault="00A97F97" w:rsidP="00C86301">
            <w:pPr>
              <w:pStyle w:val="NoSpacing"/>
              <w:rPr>
                <w:rFonts w:cs="Times New Roman"/>
                <w:sz w:val="20"/>
                <w:szCs w:val="20"/>
                <w:lang w:val="en-US"/>
              </w:rPr>
            </w:pPr>
            <w:r w:rsidRPr="008B6BC5">
              <w:rPr>
                <w:rFonts w:cs="Times New Roman"/>
                <w:sz w:val="20"/>
                <w:szCs w:val="20"/>
                <w:lang w:val="en-US"/>
              </w:rPr>
              <w:t>28</w:t>
            </w:r>
          </w:p>
        </w:tc>
        <w:tc>
          <w:tcPr>
            <w:tcW w:w="6048" w:type="dxa"/>
          </w:tcPr>
          <w:p w14:paraId="604E8382" w14:textId="608DB394" w:rsidR="00C86301" w:rsidRPr="008B6BC5" w:rsidRDefault="00C86301" w:rsidP="00C86301">
            <w:pPr>
              <w:pStyle w:val="NoSpacing"/>
              <w:rPr>
                <w:rFonts w:cs="Times New Roman"/>
                <w:sz w:val="20"/>
                <w:szCs w:val="20"/>
                <w:lang w:val="en-US"/>
              </w:rPr>
            </w:pPr>
            <w:r w:rsidRPr="008B6BC5">
              <w:rPr>
                <w:rFonts w:cs="Times New Roman"/>
                <w:sz w:val="20"/>
                <w:szCs w:val="20"/>
                <w:lang w:val="en-US"/>
              </w:rPr>
              <w:t xml:space="preserve">The CT-152 digital therapeutic trial monitored AEs in the context of adjunctive SSRI treatment. Rates of serious AEs did not differ significantly between CT-152 and sham arms, and most AEs reflected </w:t>
            </w:r>
            <w:r w:rsidRPr="008B6BC5">
              <w:rPr>
                <w:rFonts w:cs="Times New Roman"/>
                <w:sz w:val="20"/>
                <w:szCs w:val="20"/>
                <w:lang w:val="en-US"/>
              </w:rPr>
              <w:lastRenderedPageBreak/>
              <w:t>known side-effects of SSRIs rather than the digital intervention itself (Rothman et al., 2025).</w:t>
            </w:r>
          </w:p>
        </w:tc>
        <w:tc>
          <w:tcPr>
            <w:tcW w:w="4202" w:type="dxa"/>
          </w:tcPr>
          <w:p w14:paraId="3F17F402" w14:textId="7119E095" w:rsidR="00C86301" w:rsidRPr="008B6BC5" w:rsidRDefault="00C86301" w:rsidP="00C86301">
            <w:pPr>
              <w:pStyle w:val="NoSpacing"/>
              <w:rPr>
                <w:rFonts w:cs="Times New Roman"/>
                <w:sz w:val="20"/>
                <w:szCs w:val="20"/>
                <w:lang w:val="en-US"/>
              </w:rPr>
            </w:pPr>
            <w:r w:rsidRPr="008B6BC5">
              <w:rPr>
                <w:rFonts w:cs="Times New Roman"/>
                <w:sz w:val="20"/>
                <w:szCs w:val="20"/>
                <w:lang w:val="en-US"/>
              </w:rPr>
              <w:lastRenderedPageBreak/>
              <w:t>https://doi.org/10.1016/j.jad.2025.119409</w:t>
            </w:r>
          </w:p>
        </w:tc>
        <w:tc>
          <w:tcPr>
            <w:tcW w:w="690" w:type="dxa"/>
          </w:tcPr>
          <w:p w14:paraId="14F8CC24" w14:textId="132A4F3E" w:rsidR="00C86301" w:rsidRPr="008B6BC5" w:rsidRDefault="00C86301" w:rsidP="00C86301">
            <w:pPr>
              <w:pStyle w:val="NoSpacing"/>
              <w:rPr>
                <w:rFonts w:cs="Times New Roman"/>
                <w:sz w:val="20"/>
                <w:szCs w:val="20"/>
                <w:lang w:val="en-US"/>
              </w:rPr>
            </w:pPr>
            <w:r w:rsidRPr="008B6BC5">
              <w:rPr>
                <w:rFonts w:cs="Times New Roman"/>
                <w:sz w:val="20"/>
                <w:szCs w:val="20"/>
                <w:lang w:val="en-US"/>
              </w:rPr>
              <w:t>4</w:t>
            </w:r>
          </w:p>
        </w:tc>
        <w:tc>
          <w:tcPr>
            <w:tcW w:w="3944" w:type="dxa"/>
          </w:tcPr>
          <w:p w14:paraId="27BC4BA2" w14:textId="592EB558" w:rsidR="00C86301" w:rsidRPr="008B6BC5" w:rsidRDefault="00C86301" w:rsidP="00C8630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A97F97" w:rsidRPr="008B6BC5" w14:paraId="6986B7FA" w14:textId="77777777" w:rsidTr="00760C26">
        <w:tc>
          <w:tcPr>
            <w:tcW w:w="1560" w:type="dxa"/>
          </w:tcPr>
          <w:p w14:paraId="60CF5BD3" w14:textId="4D81F1DB" w:rsidR="00A97F97" w:rsidRPr="008B6BC5" w:rsidRDefault="00A97F97" w:rsidP="00C86301">
            <w:pPr>
              <w:pStyle w:val="NoSpacing"/>
              <w:rPr>
                <w:rFonts w:cs="Times New Roman"/>
                <w:sz w:val="20"/>
                <w:szCs w:val="20"/>
                <w:lang w:val="en-US"/>
              </w:rPr>
            </w:pPr>
            <w:r w:rsidRPr="008B6BC5">
              <w:rPr>
                <w:rFonts w:cs="Times New Roman"/>
                <w:sz w:val="20"/>
                <w:szCs w:val="20"/>
                <w:lang w:val="en-US"/>
              </w:rPr>
              <w:t>Psychotherapy</w:t>
            </w:r>
          </w:p>
        </w:tc>
        <w:tc>
          <w:tcPr>
            <w:tcW w:w="6048" w:type="dxa"/>
          </w:tcPr>
          <w:p w14:paraId="0E029B47" w14:textId="77777777" w:rsidR="00A97F97" w:rsidRPr="008B6BC5" w:rsidRDefault="00A97F97" w:rsidP="00C86301">
            <w:pPr>
              <w:pStyle w:val="NoSpacing"/>
              <w:rPr>
                <w:rFonts w:cs="Times New Roman"/>
                <w:sz w:val="20"/>
                <w:szCs w:val="20"/>
                <w:lang w:val="en-US"/>
              </w:rPr>
            </w:pPr>
          </w:p>
        </w:tc>
        <w:tc>
          <w:tcPr>
            <w:tcW w:w="4202" w:type="dxa"/>
          </w:tcPr>
          <w:p w14:paraId="150B9C4E" w14:textId="77777777" w:rsidR="00A97F97" w:rsidRPr="008B6BC5" w:rsidRDefault="00A97F97" w:rsidP="00C86301">
            <w:pPr>
              <w:pStyle w:val="NoSpacing"/>
              <w:rPr>
                <w:rFonts w:cs="Times New Roman"/>
                <w:sz w:val="20"/>
                <w:szCs w:val="20"/>
                <w:lang w:val="en-US"/>
              </w:rPr>
            </w:pPr>
          </w:p>
        </w:tc>
        <w:tc>
          <w:tcPr>
            <w:tcW w:w="690" w:type="dxa"/>
          </w:tcPr>
          <w:p w14:paraId="797827EF" w14:textId="77777777" w:rsidR="00A97F97" w:rsidRPr="008B6BC5" w:rsidRDefault="00A97F97" w:rsidP="00C86301">
            <w:pPr>
              <w:pStyle w:val="NoSpacing"/>
              <w:rPr>
                <w:rFonts w:cs="Times New Roman"/>
                <w:sz w:val="20"/>
                <w:szCs w:val="20"/>
                <w:lang w:val="en-US"/>
              </w:rPr>
            </w:pPr>
          </w:p>
        </w:tc>
        <w:tc>
          <w:tcPr>
            <w:tcW w:w="3944" w:type="dxa"/>
          </w:tcPr>
          <w:p w14:paraId="11A10698" w14:textId="77777777" w:rsidR="00A97F97" w:rsidRPr="008B6BC5" w:rsidRDefault="00A97F97" w:rsidP="00C86301">
            <w:pPr>
              <w:pStyle w:val="NoSpacing"/>
              <w:rPr>
                <w:rFonts w:cs="Times New Roman"/>
                <w:sz w:val="20"/>
                <w:szCs w:val="20"/>
                <w:lang w:val="en-US"/>
              </w:rPr>
            </w:pPr>
          </w:p>
        </w:tc>
      </w:tr>
      <w:tr w:rsidR="00A51F30" w:rsidRPr="008B6BC5" w14:paraId="5329A697" w14:textId="77777777" w:rsidTr="00760C26">
        <w:tc>
          <w:tcPr>
            <w:tcW w:w="1560" w:type="dxa"/>
          </w:tcPr>
          <w:p w14:paraId="1B021389" w14:textId="77A96887" w:rsidR="00A51F30" w:rsidRPr="008B6BC5" w:rsidRDefault="000938FF" w:rsidP="00A51F30">
            <w:pPr>
              <w:pStyle w:val="NoSpacing"/>
              <w:rPr>
                <w:rFonts w:cs="Times New Roman"/>
                <w:sz w:val="20"/>
                <w:szCs w:val="20"/>
                <w:lang w:val="en-US"/>
              </w:rPr>
            </w:pPr>
            <w:r w:rsidRPr="008B6BC5">
              <w:rPr>
                <w:rFonts w:cs="Times New Roman"/>
                <w:sz w:val="20"/>
                <w:szCs w:val="20"/>
                <w:lang w:val="en-US"/>
              </w:rPr>
              <w:t>1</w:t>
            </w:r>
          </w:p>
        </w:tc>
        <w:tc>
          <w:tcPr>
            <w:tcW w:w="6048" w:type="dxa"/>
          </w:tcPr>
          <w:p w14:paraId="39B43BB9" w14:textId="7017C8EA" w:rsidR="00A51F30" w:rsidRPr="008B6BC5" w:rsidRDefault="00A51F30" w:rsidP="00A51F30">
            <w:pPr>
              <w:pStyle w:val="NoSpacing"/>
              <w:rPr>
                <w:rFonts w:cs="Times New Roman"/>
                <w:sz w:val="20"/>
                <w:szCs w:val="20"/>
                <w:lang w:val="en-US"/>
              </w:rPr>
            </w:pPr>
            <w:r w:rsidRPr="008B6BC5">
              <w:rPr>
                <w:rFonts w:cs="Times New Roman"/>
                <w:sz w:val="20"/>
                <w:szCs w:val="20"/>
                <w:lang w:val="en-US"/>
              </w:rPr>
              <w:t>In a comprehensive meta-analysis of 115 RCTs (N ≈ 7,000) of adult depression, CBT showed a mean effect size of Hedges’ g = 0.71 (95% CI 0.62–0.79) versus control groups, corresponding to a number-needed-to-treat (NNT) of 2.6; when adjusting for publication bias and trial quality, effects remained in the moderate range (g ≈ 0.53) (Cuijpers et al., 2013a). Trials typically enrolled adults meeting DSM criteria for MDD or major depressive episode, predominantly in outpatient settings, with acute treatment doses of 12–20 sessions of individual CBT.</w:t>
            </w:r>
          </w:p>
        </w:tc>
        <w:tc>
          <w:tcPr>
            <w:tcW w:w="4202" w:type="dxa"/>
          </w:tcPr>
          <w:p w14:paraId="5263F096" w14:textId="09B9DEC4" w:rsidR="00A51F30" w:rsidRPr="008B6BC5" w:rsidRDefault="00A51F30" w:rsidP="00A51F30">
            <w:pPr>
              <w:pStyle w:val="NoSpacing"/>
              <w:rPr>
                <w:rFonts w:cs="Times New Roman"/>
                <w:sz w:val="20"/>
                <w:szCs w:val="20"/>
                <w:lang w:val="en-US"/>
              </w:rPr>
            </w:pPr>
            <w:r w:rsidRPr="008B6BC5">
              <w:rPr>
                <w:rFonts w:cs="Times New Roman"/>
                <w:sz w:val="20"/>
                <w:szCs w:val="20"/>
                <w:lang w:val="en-US"/>
              </w:rPr>
              <w:t>https://doi.org/10.1177/070674371305800702</w:t>
            </w:r>
          </w:p>
        </w:tc>
        <w:tc>
          <w:tcPr>
            <w:tcW w:w="690" w:type="dxa"/>
          </w:tcPr>
          <w:p w14:paraId="5F11962A" w14:textId="006DA6C4" w:rsidR="00A51F30" w:rsidRPr="008B6BC5" w:rsidRDefault="00A51F30" w:rsidP="00A51F30">
            <w:pPr>
              <w:pStyle w:val="NoSpacing"/>
              <w:rPr>
                <w:rFonts w:cs="Times New Roman"/>
                <w:sz w:val="20"/>
                <w:szCs w:val="20"/>
                <w:lang w:val="en-US"/>
              </w:rPr>
            </w:pPr>
            <w:r w:rsidRPr="008B6BC5">
              <w:rPr>
                <w:rFonts w:cs="Times New Roman"/>
                <w:sz w:val="20"/>
                <w:szCs w:val="20"/>
                <w:lang w:val="en-US"/>
              </w:rPr>
              <w:t>4</w:t>
            </w:r>
          </w:p>
        </w:tc>
        <w:tc>
          <w:tcPr>
            <w:tcW w:w="3944" w:type="dxa"/>
          </w:tcPr>
          <w:p w14:paraId="40BAA3C5" w14:textId="09A36015" w:rsidR="00A51F30" w:rsidRPr="008B6BC5" w:rsidRDefault="00A51F30" w:rsidP="00A51F3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A51F30" w:rsidRPr="008B6BC5" w14:paraId="39B6C611" w14:textId="77777777" w:rsidTr="00760C26">
        <w:tc>
          <w:tcPr>
            <w:tcW w:w="1560" w:type="dxa"/>
          </w:tcPr>
          <w:p w14:paraId="16214C45" w14:textId="391BE81F" w:rsidR="00A51F30" w:rsidRPr="008B6BC5" w:rsidRDefault="000938FF" w:rsidP="00A51F30">
            <w:pPr>
              <w:pStyle w:val="NoSpacing"/>
              <w:rPr>
                <w:rFonts w:cs="Times New Roman"/>
                <w:sz w:val="20"/>
                <w:szCs w:val="20"/>
                <w:lang w:val="en-US"/>
              </w:rPr>
            </w:pPr>
            <w:r w:rsidRPr="008B6BC5">
              <w:rPr>
                <w:rFonts w:cs="Times New Roman"/>
                <w:sz w:val="20"/>
                <w:szCs w:val="20"/>
                <w:lang w:val="en-US"/>
              </w:rPr>
              <w:t>2</w:t>
            </w:r>
          </w:p>
        </w:tc>
        <w:tc>
          <w:tcPr>
            <w:tcW w:w="6048" w:type="dxa"/>
          </w:tcPr>
          <w:p w14:paraId="1677B0A9" w14:textId="649F769E" w:rsidR="00A51F30" w:rsidRPr="008B6BC5" w:rsidRDefault="00A51F30" w:rsidP="00A51F30">
            <w:pPr>
              <w:pStyle w:val="NoSpacing"/>
              <w:rPr>
                <w:rFonts w:cs="Times New Roman"/>
                <w:sz w:val="20"/>
                <w:szCs w:val="20"/>
                <w:lang w:val="en-US"/>
              </w:rPr>
            </w:pPr>
            <w:r w:rsidRPr="008B6BC5">
              <w:rPr>
                <w:rFonts w:cs="Times New Roman"/>
                <w:sz w:val="20"/>
                <w:szCs w:val="20"/>
                <w:lang w:val="en-US"/>
              </w:rPr>
              <w:t>A 2023 meta-analysis synthesizing 409 RCTs (52,702 patients) reported that across modalities, psychotherapies produced standardized mean differences (SMDs) around −0.80 versus waitlist and −0.50 versus care-as-usual, with somewhat smaller effects versus pill placebo (Cuijpers et al., 2023a).</w:t>
            </w:r>
          </w:p>
        </w:tc>
        <w:tc>
          <w:tcPr>
            <w:tcW w:w="4202" w:type="dxa"/>
          </w:tcPr>
          <w:p w14:paraId="08C102B6" w14:textId="1E2462E0" w:rsidR="00A51F30" w:rsidRPr="008B6BC5" w:rsidRDefault="00A51F30" w:rsidP="00A51F30">
            <w:pPr>
              <w:pStyle w:val="NoSpacing"/>
              <w:rPr>
                <w:rFonts w:cs="Times New Roman"/>
                <w:sz w:val="20"/>
                <w:szCs w:val="20"/>
                <w:lang w:val="en-US"/>
              </w:rPr>
            </w:pPr>
            <w:r w:rsidRPr="008B6BC5">
              <w:rPr>
                <w:rFonts w:cs="Times New Roman"/>
                <w:sz w:val="20"/>
                <w:szCs w:val="20"/>
                <w:lang w:val="en-US"/>
              </w:rPr>
              <w:t>DOI:10.1002/wps.21069</w:t>
            </w:r>
          </w:p>
        </w:tc>
        <w:tc>
          <w:tcPr>
            <w:tcW w:w="690" w:type="dxa"/>
          </w:tcPr>
          <w:p w14:paraId="6F91C63F" w14:textId="6A92EFB8" w:rsidR="00A51F30" w:rsidRPr="008B6BC5" w:rsidRDefault="00983103" w:rsidP="00A51F30">
            <w:pPr>
              <w:pStyle w:val="NoSpacing"/>
              <w:rPr>
                <w:rFonts w:cs="Times New Roman"/>
                <w:sz w:val="20"/>
                <w:szCs w:val="20"/>
                <w:lang w:val="en-US"/>
              </w:rPr>
            </w:pPr>
            <w:r w:rsidRPr="008B6BC5">
              <w:rPr>
                <w:rFonts w:cs="Times New Roman"/>
                <w:sz w:val="20"/>
                <w:szCs w:val="20"/>
                <w:lang w:val="en-US"/>
              </w:rPr>
              <w:t>2</w:t>
            </w:r>
          </w:p>
        </w:tc>
        <w:tc>
          <w:tcPr>
            <w:tcW w:w="3944" w:type="dxa"/>
          </w:tcPr>
          <w:p w14:paraId="466F5FB0" w14:textId="761D0583" w:rsidR="00A51F30" w:rsidRPr="008B6BC5" w:rsidRDefault="00983103" w:rsidP="00A51F30">
            <w:pPr>
              <w:pStyle w:val="NoSpacing"/>
              <w:rPr>
                <w:rFonts w:cs="Times New Roman"/>
                <w:sz w:val="20"/>
                <w:szCs w:val="20"/>
                <w:lang w:val="en-US"/>
              </w:rPr>
            </w:pPr>
            <w:r w:rsidRPr="008B6BC5">
              <w:rPr>
                <w:rFonts w:cs="Times New Roman"/>
                <w:sz w:val="20"/>
                <w:szCs w:val="20"/>
                <w:lang w:val="en-US"/>
              </w:rPr>
              <w:t xml:space="preserve">No pill placebo control groups were identified; </w:t>
            </w:r>
          </w:p>
        </w:tc>
      </w:tr>
      <w:tr w:rsidR="00A51F30" w:rsidRPr="008B6BC5" w14:paraId="31A2F44F" w14:textId="77777777" w:rsidTr="00760C26">
        <w:tc>
          <w:tcPr>
            <w:tcW w:w="1560" w:type="dxa"/>
          </w:tcPr>
          <w:p w14:paraId="64C0A500" w14:textId="7EA4C872" w:rsidR="00A51F30" w:rsidRPr="008B6BC5" w:rsidRDefault="000938FF" w:rsidP="00A51F30">
            <w:pPr>
              <w:pStyle w:val="NoSpacing"/>
              <w:rPr>
                <w:rFonts w:cs="Times New Roman"/>
                <w:sz w:val="20"/>
                <w:szCs w:val="20"/>
                <w:lang w:val="en-US"/>
              </w:rPr>
            </w:pPr>
            <w:r w:rsidRPr="008B6BC5">
              <w:rPr>
                <w:rFonts w:cs="Times New Roman"/>
                <w:sz w:val="20"/>
                <w:szCs w:val="20"/>
                <w:lang w:val="en-US"/>
              </w:rPr>
              <w:t>3</w:t>
            </w:r>
          </w:p>
        </w:tc>
        <w:tc>
          <w:tcPr>
            <w:tcW w:w="6048" w:type="dxa"/>
          </w:tcPr>
          <w:p w14:paraId="4D86DC86" w14:textId="7D19B6A2" w:rsidR="00A51F30" w:rsidRPr="008B6BC5" w:rsidRDefault="00A51F30" w:rsidP="00A51F30">
            <w:pPr>
              <w:pStyle w:val="NoSpacing"/>
              <w:rPr>
                <w:rFonts w:cs="Times New Roman"/>
                <w:sz w:val="20"/>
                <w:szCs w:val="20"/>
                <w:lang w:val="en-US"/>
              </w:rPr>
            </w:pPr>
            <w:r w:rsidRPr="008B6BC5">
              <w:rPr>
                <w:rFonts w:cs="Times New Roman"/>
                <w:sz w:val="20"/>
                <w:szCs w:val="20"/>
                <w:lang w:val="en-US"/>
              </w:rPr>
              <w:t>In parallel, a meta-analysis focusing on acute response and remission found that psychotherapies yield response rates of approximately 41% and remission rates of 26% at post-treatment, compared with 17–20% and 14% in control conditions (risk ratios ~1.5–1.8; NNT ≈ 4–5) (Cuijpers et al., 2021a).</w:t>
            </w:r>
          </w:p>
        </w:tc>
        <w:tc>
          <w:tcPr>
            <w:tcW w:w="4202" w:type="dxa"/>
          </w:tcPr>
          <w:p w14:paraId="49C6CD42" w14:textId="261E964F" w:rsidR="00A51F30" w:rsidRPr="008B6BC5" w:rsidRDefault="00A51F30" w:rsidP="00A51F30">
            <w:pPr>
              <w:pStyle w:val="NoSpacing"/>
              <w:rPr>
                <w:rFonts w:cs="Times New Roman"/>
                <w:sz w:val="20"/>
                <w:szCs w:val="20"/>
                <w:lang w:val="en-US"/>
              </w:rPr>
            </w:pPr>
            <w:r w:rsidRPr="008B6BC5">
              <w:rPr>
                <w:rFonts w:cs="Times New Roman"/>
                <w:sz w:val="20"/>
                <w:szCs w:val="20"/>
                <w:lang w:val="en-US"/>
              </w:rPr>
              <w:t>DOI: 10.1111/acps.13335</w:t>
            </w:r>
          </w:p>
        </w:tc>
        <w:tc>
          <w:tcPr>
            <w:tcW w:w="690" w:type="dxa"/>
          </w:tcPr>
          <w:p w14:paraId="6ABD28E0" w14:textId="55108722" w:rsidR="00A51F30" w:rsidRPr="008B6BC5" w:rsidRDefault="00DD21F1" w:rsidP="00A51F30">
            <w:pPr>
              <w:pStyle w:val="NoSpacing"/>
              <w:rPr>
                <w:rFonts w:cs="Times New Roman"/>
                <w:sz w:val="20"/>
                <w:szCs w:val="20"/>
                <w:lang w:val="en-US"/>
              </w:rPr>
            </w:pPr>
            <w:r w:rsidRPr="008B6BC5">
              <w:rPr>
                <w:rFonts w:cs="Times New Roman"/>
                <w:sz w:val="20"/>
                <w:szCs w:val="20"/>
                <w:lang w:val="en-US"/>
              </w:rPr>
              <w:t>3</w:t>
            </w:r>
          </w:p>
        </w:tc>
        <w:tc>
          <w:tcPr>
            <w:tcW w:w="3944" w:type="dxa"/>
          </w:tcPr>
          <w:p w14:paraId="75D619A6" w14:textId="404282DC" w:rsidR="00A51F30" w:rsidRPr="008B6BC5" w:rsidRDefault="00FE5BFA" w:rsidP="00A51F30">
            <w:pPr>
              <w:pStyle w:val="NoSpacing"/>
              <w:rPr>
                <w:rFonts w:cs="Times New Roman"/>
                <w:sz w:val="20"/>
                <w:szCs w:val="20"/>
                <w:lang w:val="en-US"/>
              </w:rPr>
            </w:pPr>
            <w:r w:rsidRPr="008B6BC5">
              <w:rPr>
                <w:rFonts w:cs="Times New Roman"/>
                <w:sz w:val="20"/>
                <w:szCs w:val="20"/>
                <w:lang w:val="en-US"/>
              </w:rPr>
              <w:t xml:space="preserve">The response rate percentages and risk ratios are not </w:t>
            </w:r>
            <w:r w:rsidR="003B54DE" w:rsidRPr="008B6BC5">
              <w:rPr>
                <w:rFonts w:cs="Times New Roman"/>
                <w:sz w:val="20"/>
                <w:szCs w:val="20"/>
                <w:lang w:val="en-US"/>
              </w:rPr>
              <w:t xml:space="preserve">precisely correct. </w:t>
            </w:r>
          </w:p>
        </w:tc>
      </w:tr>
      <w:tr w:rsidR="00A51F30" w:rsidRPr="008B6BC5" w14:paraId="543AE37D" w14:textId="77777777" w:rsidTr="00760C26">
        <w:tc>
          <w:tcPr>
            <w:tcW w:w="1560" w:type="dxa"/>
          </w:tcPr>
          <w:p w14:paraId="7061BF0C" w14:textId="12AABFCB" w:rsidR="00A51F30" w:rsidRPr="008B6BC5" w:rsidRDefault="000938FF" w:rsidP="00A51F30">
            <w:pPr>
              <w:pStyle w:val="NoSpacing"/>
              <w:rPr>
                <w:rFonts w:cs="Times New Roman"/>
                <w:sz w:val="20"/>
                <w:szCs w:val="20"/>
                <w:lang w:val="en-US"/>
              </w:rPr>
            </w:pPr>
            <w:r w:rsidRPr="008B6BC5">
              <w:rPr>
                <w:rFonts w:cs="Times New Roman"/>
                <w:sz w:val="20"/>
                <w:szCs w:val="20"/>
                <w:lang w:val="en-US"/>
              </w:rPr>
              <w:t>4</w:t>
            </w:r>
          </w:p>
        </w:tc>
        <w:tc>
          <w:tcPr>
            <w:tcW w:w="6048" w:type="dxa"/>
          </w:tcPr>
          <w:p w14:paraId="70EB1901" w14:textId="1C6BC7BC" w:rsidR="00A51F30" w:rsidRPr="008B6BC5" w:rsidRDefault="00A51F30" w:rsidP="00A51F30">
            <w:pPr>
              <w:pStyle w:val="NoSpacing"/>
              <w:rPr>
                <w:rFonts w:cs="Times New Roman"/>
                <w:sz w:val="20"/>
                <w:szCs w:val="20"/>
                <w:lang w:val="en-US"/>
              </w:rPr>
            </w:pPr>
            <w:r w:rsidRPr="008B6BC5">
              <w:rPr>
                <w:rFonts w:cs="Times New Roman"/>
                <w:sz w:val="20"/>
                <w:szCs w:val="20"/>
                <w:lang w:val="en-US"/>
              </w:rPr>
              <w:t>Behavioural activation, a relatively parsimonious psychotherapy that focuses on increasing engagement with rewarding activities, has been examined in a dedicated meta-analysis of 53 RCTs (n &gt; 8,000) including adults with MDD or elevated depressive symptoms. BA showed large effects versus waitlist (g ≈ 0.83) and moderate effects versus TAU (g ≈ 0.56), with effects maintained at follow-up (Cuijpers et al., 2023b).</w:t>
            </w:r>
          </w:p>
        </w:tc>
        <w:tc>
          <w:tcPr>
            <w:tcW w:w="4202" w:type="dxa"/>
          </w:tcPr>
          <w:p w14:paraId="062B4011" w14:textId="372D756F" w:rsidR="00A51F30" w:rsidRPr="008B6BC5" w:rsidRDefault="00A51F30" w:rsidP="00A51F30">
            <w:pPr>
              <w:pStyle w:val="NoSpacing"/>
              <w:rPr>
                <w:rFonts w:cs="Times New Roman"/>
                <w:sz w:val="20"/>
                <w:szCs w:val="20"/>
                <w:lang w:val="en-US"/>
              </w:rPr>
            </w:pPr>
            <w:hyperlink r:id="rId13" w:history="1">
              <w:r w:rsidRPr="008B6BC5">
                <w:rPr>
                  <w:rStyle w:val="Hyperlink"/>
                  <w:rFonts w:cs="Times New Roman"/>
                  <w:sz w:val="20"/>
                  <w:szCs w:val="20"/>
                  <w:lang w:val="en-US"/>
                </w:rPr>
                <w:t>https://doi.org/10.1080/10503307.2023.2197630</w:t>
              </w:r>
            </w:hyperlink>
            <w:r w:rsidRPr="008B6BC5">
              <w:rPr>
                <w:rFonts w:cs="Times New Roman"/>
                <w:sz w:val="20"/>
                <w:szCs w:val="20"/>
                <w:lang w:val="en-US"/>
              </w:rPr>
              <w:t xml:space="preserve"> </w:t>
            </w:r>
          </w:p>
        </w:tc>
        <w:tc>
          <w:tcPr>
            <w:tcW w:w="690" w:type="dxa"/>
          </w:tcPr>
          <w:p w14:paraId="444573AA" w14:textId="73D34710" w:rsidR="00A51F30" w:rsidRPr="008B6BC5" w:rsidRDefault="003B54DE" w:rsidP="00A51F30">
            <w:pPr>
              <w:pStyle w:val="NoSpacing"/>
              <w:rPr>
                <w:rFonts w:cs="Times New Roman"/>
                <w:sz w:val="20"/>
                <w:szCs w:val="20"/>
                <w:lang w:val="en-US"/>
              </w:rPr>
            </w:pPr>
            <w:r w:rsidRPr="008B6BC5">
              <w:rPr>
                <w:rFonts w:cs="Times New Roman"/>
                <w:sz w:val="20"/>
                <w:szCs w:val="20"/>
                <w:lang w:val="en-US"/>
              </w:rPr>
              <w:t>1</w:t>
            </w:r>
          </w:p>
        </w:tc>
        <w:tc>
          <w:tcPr>
            <w:tcW w:w="3944" w:type="dxa"/>
          </w:tcPr>
          <w:p w14:paraId="3E471775" w14:textId="77777777" w:rsidR="00A51F30" w:rsidRPr="008B6BC5" w:rsidRDefault="003B54DE" w:rsidP="00A51F30">
            <w:pPr>
              <w:pStyle w:val="NoSpacing"/>
              <w:rPr>
                <w:rFonts w:cs="Times New Roman"/>
                <w:sz w:val="20"/>
                <w:szCs w:val="20"/>
                <w:lang w:val="en-US"/>
              </w:rPr>
            </w:pPr>
            <w:r w:rsidRPr="008B6BC5">
              <w:rPr>
                <w:rFonts w:cs="Times New Roman"/>
                <w:sz w:val="20"/>
                <w:szCs w:val="20"/>
                <w:lang w:val="en-US"/>
              </w:rPr>
              <w:t>The authors did not conduct any analyses of outcomes at follow-up.</w:t>
            </w:r>
          </w:p>
          <w:p w14:paraId="023C6D7D" w14:textId="77777777" w:rsidR="000C07BF" w:rsidRPr="008B6BC5" w:rsidRDefault="000C07BF" w:rsidP="00A51F30">
            <w:pPr>
              <w:pStyle w:val="NoSpacing"/>
              <w:rPr>
                <w:rFonts w:cs="Times New Roman"/>
                <w:sz w:val="20"/>
                <w:szCs w:val="20"/>
                <w:lang w:val="en-US"/>
              </w:rPr>
            </w:pPr>
          </w:p>
          <w:p w14:paraId="37731008" w14:textId="0D930618" w:rsidR="000C07BF" w:rsidRPr="008B6BC5" w:rsidRDefault="000C07BF" w:rsidP="00A51F30">
            <w:pPr>
              <w:pStyle w:val="NoSpacing"/>
              <w:rPr>
                <w:rFonts w:cs="Times New Roman"/>
                <w:sz w:val="20"/>
                <w:szCs w:val="20"/>
                <w:lang w:val="en-US"/>
              </w:rPr>
            </w:pPr>
          </w:p>
        </w:tc>
      </w:tr>
      <w:tr w:rsidR="00A51F30" w:rsidRPr="008B6BC5" w14:paraId="43F1C407" w14:textId="77777777" w:rsidTr="00760C26">
        <w:tc>
          <w:tcPr>
            <w:tcW w:w="1560" w:type="dxa"/>
          </w:tcPr>
          <w:p w14:paraId="00C66A5F" w14:textId="3B8C8452" w:rsidR="00A51F30" w:rsidRPr="008B6BC5" w:rsidRDefault="000938FF" w:rsidP="00A51F30">
            <w:pPr>
              <w:pStyle w:val="NoSpacing"/>
              <w:rPr>
                <w:rFonts w:cs="Times New Roman"/>
                <w:sz w:val="20"/>
                <w:szCs w:val="20"/>
                <w:lang w:val="en-US"/>
              </w:rPr>
            </w:pPr>
            <w:r w:rsidRPr="008B6BC5">
              <w:rPr>
                <w:rFonts w:cs="Times New Roman"/>
                <w:sz w:val="20"/>
                <w:szCs w:val="20"/>
                <w:lang w:val="en-US"/>
              </w:rPr>
              <w:t>5</w:t>
            </w:r>
          </w:p>
        </w:tc>
        <w:tc>
          <w:tcPr>
            <w:tcW w:w="6048" w:type="dxa"/>
          </w:tcPr>
          <w:p w14:paraId="56EB768F" w14:textId="1073004C" w:rsidR="00A51F30" w:rsidRPr="008B6BC5" w:rsidRDefault="00A51F30" w:rsidP="00A51F30">
            <w:pPr>
              <w:pStyle w:val="NoSpacing"/>
              <w:rPr>
                <w:rFonts w:cs="Times New Roman"/>
                <w:sz w:val="20"/>
                <w:szCs w:val="20"/>
                <w:lang w:val="en-US"/>
              </w:rPr>
            </w:pPr>
            <w:r w:rsidRPr="008B6BC5">
              <w:rPr>
                <w:rFonts w:cs="Times New Roman"/>
                <w:sz w:val="20"/>
                <w:szCs w:val="20"/>
                <w:lang w:val="en-US"/>
              </w:rPr>
              <w:t xml:space="preserve">In a classic RCT of adults with MDD,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(10 modules over 10 weeks) achieved large effects versus waitlist (Cohen’s d ≈ 0.80) and remission in about 42–57% of participants, compared with 11–23% in controls (Andersson et al., 2005)</w:t>
            </w:r>
          </w:p>
        </w:tc>
        <w:tc>
          <w:tcPr>
            <w:tcW w:w="4202" w:type="dxa"/>
          </w:tcPr>
          <w:p w14:paraId="223020B2" w14:textId="0C8917A6" w:rsidR="00A51F30" w:rsidRPr="008B6BC5" w:rsidRDefault="00A51F30" w:rsidP="00A51F30">
            <w:pPr>
              <w:pStyle w:val="NoSpacing"/>
              <w:rPr>
                <w:rFonts w:cs="Times New Roman"/>
                <w:sz w:val="20"/>
                <w:szCs w:val="20"/>
                <w:lang w:val="en-US"/>
              </w:rPr>
            </w:pPr>
            <w:hyperlink r:id="rId14" w:history="1">
              <w:r w:rsidRPr="008B6BC5">
                <w:rPr>
                  <w:rStyle w:val="Hyperlink"/>
                  <w:rFonts w:cs="Times New Roman"/>
                  <w:sz w:val="20"/>
                  <w:szCs w:val="20"/>
                  <w:lang w:val="en-US"/>
                </w:rPr>
                <w:t>https://doi.org/10.1192/bjp.187.5.456</w:t>
              </w:r>
            </w:hyperlink>
            <w:r w:rsidRPr="008B6BC5">
              <w:rPr>
                <w:rFonts w:cs="Times New Roman"/>
                <w:sz w:val="20"/>
                <w:szCs w:val="20"/>
                <w:lang w:val="en-US"/>
              </w:rPr>
              <w:t xml:space="preserve"> </w:t>
            </w:r>
          </w:p>
        </w:tc>
        <w:tc>
          <w:tcPr>
            <w:tcW w:w="690" w:type="dxa"/>
          </w:tcPr>
          <w:p w14:paraId="2B631C50" w14:textId="1F9BFE41" w:rsidR="00A51F30" w:rsidRPr="008B6BC5" w:rsidRDefault="00C07206" w:rsidP="00A51F30">
            <w:pPr>
              <w:pStyle w:val="NoSpacing"/>
              <w:rPr>
                <w:rFonts w:cs="Times New Roman"/>
                <w:sz w:val="20"/>
                <w:szCs w:val="20"/>
                <w:lang w:val="en-US"/>
              </w:rPr>
            </w:pPr>
            <w:r w:rsidRPr="008B6BC5">
              <w:rPr>
                <w:rFonts w:cs="Times New Roman"/>
                <w:sz w:val="20"/>
                <w:szCs w:val="20"/>
                <w:lang w:val="en-US"/>
              </w:rPr>
              <w:t>1</w:t>
            </w:r>
          </w:p>
        </w:tc>
        <w:tc>
          <w:tcPr>
            <w:tcW w:w="3944" w:type="dxa"/>
          </w:tcPr>
          <w:p w14:paraId="14420620" w14:textId="433BB919" w:rsidR="00A51F30" w:rsidRPr="008B6BC5" w:rsidRDefault="00C07206" w:rsidP="00A51F30">
            <w:pPr>
              <w:pStyle w:val="NoSpacing"/>
              <w:rPr>
                <w:rFonts w:cs="Times New Roman"/>
                <w:sz w:val="20"/>
                <w:szCs w:val="20"/>
                <w:lang w:val="en-US"/>
              </w:rPr>
            </w:pPr>
            <w:r w:rsidRPr="008B6BC5">
              <w:rPr>
                <w:rFonts w:cs="Times New Roman"/>
                <w:sz w:val="20"/>
                <w:szCs w:val="20"/>
                <w:lang w:val="en-US"/>
              </w:rPr>
              <w:t>Remission was not an outcome in this trial.</w:t>
            </w:r>
          </w:p>
        </w:tc>
      </w:tr>
      <w:tr w:rsidR="00A51F30" w:rsidRPr="008B6BC5" w14:paraId="49579719" w14:textId="77777777" w:rsidTr="00760C26">
        <w:tc>
          <w:tcPr>
            <w:tcW w:w="1560" w:type="dxa"/>
          </w:tcPr>
          <w:p w14:paraId="14FFB128" w14:textId="77777777" w:rsidR="00A51F30" w:rsidRPr="008B6BC5" w:rsidRDefault="000938FF" w:rsidP="00A51F30">
            <w:pPr>
              <w:pStyle w:val="NoSpacing"/>
              <w:rPr>
                <w:rFonts w:cs="Times New Roman"/>
                <w:sz w:val="20"/>
                <w:szCs w:val="20"/>
                <w:lang w:val="en-US"/>
              </w:rPr>
            </w:pPr>
            <w:r w:rsidRPr="008B6BC5">
              <w:rPr>
                <w:rFonts w:cs="Times New Roman"/>
                <w:sz w:val="20"/>
                <w:szCs w:val="20"/>
                <w:lang w:val="en-US"/>
              </w:rPr>
              <w:t>6.1</w:t>
            </w:r>
          </w:p>
          <w:p w14:paraId="39B538AA" w14:textId="4642E49C" w:rsidR="000938FF" w:rsidRPr="008B6BC5" w:rsidRDefault="000938FF" w:rsidP="00A51F30">
            <w:pPr>
              <w:pStyle w:val="NoSpacing"/>
              <w:rPr>
                <w:rFonts w:cs="Times New Roman"/>
                <w:sz w:val="20"/>
                <w:szCs w:val="20"/>
                <w:lang w:val="en-US"/>
              </w:rPr>
            </w:pPr>
            <w:r w:rsidRPr="008B6BC5">
              <w:rPr>
                <w:rFonts w:cs="Times New Roman"/>
                <w:sz w:val="20"/>
                <w:szCs w:val="20"/>
                <w:lang w:val="en-US"/>
              </w:rPr>
              <w:t>6.2</w:t>
            </w:r>
          </w:p>
        </w:tc>
        <w:tc>
          <w:tcPr>
            <w:tcW w:w="6048" w:type="dxa"/>
          </w:tcPr>
          <w:p w14:paraId="784B92F1" w14:textId="65D3FC32" w:rsidR="00A51F30" w:rsidRPr="008B6BC5" w:rsidRDefault="00A51F30" w:rsidP="00A51F30">
            <w:pPr>
              <w:pStyle w:val="NoSpacing"/>
              <w:rPr>
                <w:rFonts w:cs="Times New Roman"/>
                <w:sz w:val="20"/>
                <w:szCs w:val="20"/>
                <w:lang w:val="en-US"/>
              </w:rPr>
            </w:pPr>
            <w:r w:rsidRPr="008B6BC5">
              <w:rPr>
                <w:rFonts w:cs="Times New Roman"/>
                <w:sz w:val="20"/>
                <w:szCs w:val="20"/>
                <w:lang w:val="en-US"/>
              </w:rPr>
              <w:t xml:space="preserve">More recent RCTs of guided and minimally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for DSM-defined MDD report effect sizes in the moderate range (d ≈ 0.6–0.8) versus waitlist or TAU and clinically meaningful reductions in Hamilton or PHQ-9 scores (Lin et al., 2023; Rosso et al., 2016). </w:t>
            </w:r>
            <w:r w:rsidRPr="008B6BC5">
              <w:rPr>
                <w:rFonts w:cs="Times New Roman"/>
                <w:sz w:val="20"/>
                <w:szCs w:val="20"/>
                <w:vertAlign w:val="superscript"/>
                <w:lang w:val="en-US"/>
              </w:rPr>
              <w:t>2</w:t>
            </w:r>
          </w:p>
        </w:tc>
        <w:tc>
          <w:tcPr>
            <w:tcW w:w="4202" w:type="dxa"/>
          </w:tcPr>
          <w:p w14:paraId="3784565D" w14:textId="73F54A65" w:rsidR="00A51F30" w:rsidRPr="008B6BC5" w:rsidRDefault="00A51F30" w:rsidP="00A51F3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10.2196/42786 </w:t>
            </w:r>
          </w:p>
          <w:p w14:paraId="37874156" w14:textId="66736AFD" w:rsidR="00A51F30" w:rsidRPr="008B6BC5" w:rsidRDefault="00A51F30" w:rsidP="00A51F30">
            <w:pPr>
              <w:pStyle w:val="NoSpacing"/>
              <w:rPr>
                <w:rFonts w:cs="Times New Roman"/>
                <w:sz w:val="20"/>
                <w:szCs w:val="20"/>
                <w:lang w:val="en-US"/>
              </w:rPr>
            </w:pPr>
            <w:hyperlink r:id="rId15" w:history="1">
              <w:r w:rsidRPr="008B6BC5">
                <w:rPr>
                  <w:rStyle w:val="Hyperlink"/>
                  <w:rFonts w:cs="Times New Roman"/>
                  <w:sz w:val="20"/>
                  <w:szCs w:val="20"/>
                  <w:lang w:val="en-US"/>
                </w:rPr>
                <w:t>https://doi.org/10.1016/j.invent.2019.100247</w:t>
              </w:r>
            </w:hyperlink>
            <w:r w:rsidRPr="008B6BC5">
              <w:rPr>
                <w:rFonts w:cs="Times New Roman"/>
                <w:sz w:val="20"/>
                <w:szCs w:val="20"/>
                <w:lang w:val="en-US"/>
              </w:rPr>
              <w:t xml:space="preserve"> </w:t>
            </w:r>
          </w:p>
          <w:p w14:paraId="065128CE" w14:textId="4D67C597" w:rsidR="00A51F30" w:rsidRPr="008B6BC5" w:rsidRDefault="00A51F30" w:rsidP="00A51F30">
            <w:pPr>
              <w:pStyle w:val="NoSpacing"/>
              <w:rPr>
                <w:rFonts w:cs="Times New Roman"/>
                <w:sz w:val="20"/>
                <w:szCs w:val="20"/>
                <w:lang w:val="en-US"/>
              </w:rPr>
            </w:pPr>
          </w:p>
        </w:tc>
        <w:tc>
          <w:tcPr>
            <w:tcW w:w="690" w:type="dxa"/>
          </w:tcPr>
          <w:p w14:paraId="744C5435" w14:textId="77777777" w:rsidR="00A51F30" w:rsidRPr="008B6BC5" w:rsidRDefault="00C07206" w:rsidP="00A51F30">
            <w:pPr>
              <w:pStyle w:val="NoSpacing"/>
              <w:rPr>
                <w:rFonts w:cs="Times New Roman"/>
                <w:sz w:val="20"/>
                <w:szCs w:val="20"/>
                <w:lang w:val="en-US"/>
              </w:rPr>
            </w:pPr>
            <w:r w:rsidRPr="008B6BC5">
              <w:rPr>
                <w:rFonts w:cs="Times New Roman"/>
                <w:sz w:val="20"/>
                <w:szCs w:val="20"/>
                <w:lang w:val="en-US"/>
              </w:rPr>
              <w:t>4</w:t>
            </w:r>
          </w:p>
          <w:p w14:paraId="7297270C" w14:textId="2F476BCB" w:rsidR="00C07206" w:rsidRPr="008B6BC5" w:rsidRDefault="00C07206" w:rsidP="00A51F30">
            <w:pPr>
              <w:pStyle w:val="NoSpacing"/>
              <w:rPr>
                <w:rFonts w:cs="Times New Roman"/>
                <w:sz w:val="20"/>
                <w:szCs w:val="20"/>
                <w:lang w:val="en-US"/>
              </w:rPr>
            </w:pPr>
            <w:r w:rsidRPr="008B6BC5">
              <w:rPr>
                <w:rFonts w:cs="Times New Roman"/>
                <w:sz w:val="20"/>
                <w:szCs w:val="20"/>
                <w:lang w:val="en-US"/>
              </w:rPr>
              <w:t>3</w:t>
            </w:r>
          </w:p>
        </w:tc>
        <w:tc>
          <w:tcPr>
            <w:tcW w:w="3944" w:type="dxa"/>
          </w:tcPr>
          <w:p w14:paraId="648A007D" w14:textId="77777777" w:rsidR="00A51F30" w:rsidRPr="008B6BC5" w:rsidRDefault="00C07206" w:rsidP="00A51F30">
            <w:pPr>
              <w:pStyle w:val="NoSpacing"/>
              <w:rPr>
                <w:rFonts w:cs="Times New Roman"/>
                <w:sz w:val="20"/>
                <w:szCs w:val="20"/>
                <w:lang w:val="en-US"/>
              </w:rPr>
            </w:pPr>
            <w:r w:rsidRPr="008B6BC5">
              <w:rPr>
                <w:rFonts w:cs="Times New Roman"/>
                <w:sz w:val="20"/>
                <w:szCs w:val="20"/>
                <w:lang w:val="en-US"/>
              </w:rPr>
              <w:t>No inaccuracies identified for Lin et al (2023)</w:t>
            </w:r>
          </w:p>
          <w:p w14:paraId="0828AD38" w14:textId="77777777" w:rsidR="001F323C" w:rsidRPr="008B6BC5" w:rsidRDefault="001F323C" w:rsidP="00A51F30">
            <w:pPr>
              <w:pStyle w:val="NoSpacing"/>
              <w:rPr>
                <w:rFonts w:cs="Times New Roman"/>
                <w:sz w:val="20"/>
                <w:szCs w:val="20"/>
                <w:lang w:val="en-US"/>
              </w:rPr>
            </w:pPr>
          </w:p>
          <w:p w14:paraId="18721CBC" w14:textId="028F0245" w:rsidR="001F323C" w:rsidRPr="008B6BC5" w:rsidRDefault="001F323C" w:rsidP="00A51F30">
            <w:pPr>
              <w:pStyle w:val="NoSpacing"/>
              <w:rPr>
                <w:rFonts w:cs="Times New Roman"/>
                <w:sz w:val="20"/>
                <w:szCs w:val="20"/>
                <w:lang w:val="en-US"/>
              </w:rPr>
            </w:pPr>
            <w:r w:rsidRPr="008B6BC5">
              <w:rPr>
                <w:rFonts w:cs="Times New Roman"/>
                <w:sz w:val="20"/>
                <w:szCs w:val="20"/>
                <w:lang w:val="en-US"/>
              </w:rPr>
              <w:t xml:space="preserve">For Johansson et al (incorrectly labelled as Rosso et al), </w:t>
            </w:r>
            <w:r w:rsidR="00346FAB" w:rsidRPr="008B6BC5">
              <w:rPr>
                <w:rFonts w:cs="Times New Roman"/>
                <w:sz w:val="20"/>
                <w:szCs w:val="20"/>
                <w:lang w:val="en-US"/>
              </w:rPr>
              <w:t xml:space="preserve">the effect sizes were larger than the range provided in the claim, and the PHQ-9 </w:t>
            </w:r>
            <w:r w:rsidR="006E4490" w:rsidRPr="008B6BC5">
              <w:rPr>
                <w:rFonts w:cs="Times New Roman"/>
                <w:sz w:val="20"/>
                <w:szCs w:val="20"/>
                <w:lang w:val="en-US"/>
              </w:rPr>
              <w:t xml:space="preserve">and HDRS </w:t>
            </w:r>
            <w:r w:rsidR="00346FAB" w:rsidRPr="008B6BC5">
              <w:rPr>
                <w:rFonts w:cs="Times New Roman"/>
                <w:sz w:val="20"/>
                <w:szCs w:val="20"/>
                <w:lang w:val="en-US"/>
              </w:rPr>
              <w:t>w</w:t>
            </w:r>
            <w:r w:rsidR="006E4490" w:rsidRPr="008B6BC5">
              <w:rPr>
                <w:rFonts w:cs="Times New Roman"/>
                <w:sz w:val="20"/>
                <w:szCs w:val="20"/>
                <w:lang w:val="en-US"/>
              </w:rPr>
              <w:t>ere</w:t>
            </w:r>
            <w:r w:rsidR="00346FAB" w:rsidRPr="008B6BC5">
              <w:rPr>
                <w:rFonts w:cs="Times New Roman"/>
                <w:sz w:val="20"/>
                <w:szCs w:val="20"/>
                <w:lang w:val="en-US"/>
              </w:rPr>
              <w:t xml:space="preserve"> not used as the depression </w:t>
            </w:r>
          </w:p>
          <w:p w14:paraId="7A46700E" w14:textId="6AD54F6D" w:rsidR="00C07206" w:rsidRPr="008B6BC5" w:rsidRDefault="006E4490" w:rsidP="00A51F30">
            <w:pPr>
              <w:pStyle w:val="NoSpacing"/>
              <w:rPr>
                <w:rFonts w:cs="Times New Roman"/>
                <w:sz w:val="20"/>
                <w:szCs w:val="20"/>
                <w:lang w:val="en-US"/>
              </w:rPr>
            </w:pPr>
            <w:r w:rsidRPr="008B6BC5">
              <w:rPr>
                <w:rFonts w:cs="Times New Roman"/>
                <w:sz w:val="20"/>
                <w:szCs w:val="20"/>
                <w:lang w:val="en-US"/>
              </w:rPr>
              <w:t xml:space="preserve">Measure. </w:t>
            </w:r>
          </w:p>
          <w:p w14:paraId="2BC1EAC0" w14:textId="76A01CD6" w:rsidR="00C07206" w:rsidRPr="008B6BC5" w:rsidRDefault="00C07206" w:rsidP="00A51F30">
            <w:pPr>
              <w:pStyle w:val="NoSpacing"/>
              <w:rPr>
                <w:rFonts w:cs="Times New Roman"/>
                <w:sz w:val="20"/>
                <w:szCs w:val="20"/>
                <w:lang w:val="en-US"/>
              </w:rPr>
            </w:pPr>
          </w:p>
        </w:tc>
      </w:tr>
      <w:tr w:rsidR="00A51F30" w:rsidRPr="008B6BC5" w14:paraId="45DA4581" w14:textId="77777777" w:rsidTr="00760C26">
        <w:tc>
          <w:tcPr>
            <w:tcW w:w="1560" w:type="dxa"/>
          </w:tcPr>
          <w:p w14:paraId="27979844" w14:textId="0F491FD3" w:rsidR="00A51F30" w:rsidRPr="008B6BC5" w:rsidRDefault="000938FF" w:rsidP="00A51F30">
            <w:pPr>
              <w:pStyle w:val="NoSpacing"/>
              <w:rPr>
                <w:rFonts w:cs="Times New Roman"/>
                <w:sz w:val="20"/>
                <w:szCs w:val="20"/>
                <w:lang w:val="en-US"/>
              </w:rPr>
            </w:pPr>
            <w:r w:rsidRPr="008B6BC5">
              <w:rPr>
                <w:rFonts w:cs="Times New Roman"/>
                <w:sz w:val="20"/>
                <w:szCs w:val="20"/>
                <w:lang w:val="en-US"/>
              </w:rPr>
              <w:lastRenderedPageBreak/>
              <w:t>7</w:t>
            </w:r>
          </w:p>
        </w:tc>
        <w:tc>
          <w:tcPr>
            <w:tcW w:w="6048" w:type="dxa"/>
          </w:tcPr>
          <w:p w14:paraId="7DB930EE" w14:textId="11AB2587" w:rsidR="00A51F30" w:rsidRPr="008B6BC5" w:rsidRDefault="00A51F30" w:rsidP="00A51F30">
            <w:pPr>
              <w:pStyle w:val="NoSpacing"/>
              <w:rPr>
                <w:rFonts w:cs="Times New Roman"/>
                <w:sz w:val="20"/>
                <w:szCs w:val="20"/>
                <w:lang w:val="en-US"/>
              </w:rPr>
            </w:pPr>
            <w:r w:rsidRPr="008B6BC5">
              <w:rPr>
                <w:rFonts w:cs="Times New Roman"/>
                <w:sz w:val="20"/>
                <w:szCs w:val="20"/>
                <w:lang w:val="en-US"/>
              </w:rPr>
              <w:t>Meta-analytic data indicate that internet- and app-based CBT interventions for depressive symptoms yield small-to-moderate pooled effects versus controls (g ≈ 0.30–0.45), with stronger effects when interventions are disorder-specific, CBT-based, and guided (Linardon et al., 2024)</w:t>
            </w:r>
          </w:p>
        </w:tc>
        <w:tc>
          <w:tcPr>
            <w:tcW w:w="4202" w:type="dxa"/>
          </w:tcPr>
          <w:p w14:paraId="44971E8F" w14:textId="1D147585" w:rsidR="00A51F30" w:rsidRPr="008B6BC5" w:rsidRDefault="00A51F30" w:rsidP="00A51F30">
            <w:pPr>
              <w:pStyle w:val="NoSpacing"/>
              <w:rPr>
                <w:rFonts w:cs="Times New Roman"/>
                <w:sz w:val="20"/>
                <w:szCs w:val="20"/>
                <w:lang w:val="en-US"/>
              </w:rPr>
            </w:pPr>
            <w:r w:rsidRPr="008B6BC5">
              <w:rPr>
                <w:rFonts w:cs="Times New Roman"/>
                <w:sz w:val="20"/>
                <w:szCs w:val="20"/>
                <w:lang w:val="en-US"/>
              </w:rPr>
              <w:t>DOI:10.1002/wps.21183</w:t>
            </w:r>
          </w:p>
        </w:tc>
        <w:tc>
          <w:tcPr>
            <w:tcW w:w="690" w:type="dxa"/>
          </w:tcPr>
          <w:p w14:paraId="747C36C7" w14:textId="378F3B7A" w:rsidR="00A51F30" w:rsidRPr="008B6BC5" w:rsidRDefault="00807917" w:rsidP="00A51F30">
            <w:pPr>
              <w:pStyle w:val="NoSpacing"/>
              <w:rPr>
                <w:rFonts w:cs="Times New Roman"/>
                <w:sz w:val="20"/>
                <w:szCs w:val="20"/>
                <w:lang w:val="en-US"/>
              </w:rPr>
            </w:pPr>
            <w:r w:rsidRPr="008B6BC5">
              <w:rPr>
                <w:rFonts w:cs="Times New Roman"/>
                <w:sz w:val="20"/>
                <w:szCs w:val="20"/>
                <w:lang w:val="en-US"/>
              </w:rPr>
              <w:t>2</w:t>
            </w:r>
          </w:p>
        </w:tc>
        <w:tc>
          <w:tcPr>
            <w:tcW w:w="3944" w:type="dxa"/>
          </w:tcPr>
          <w:p w14:paraId="5C4E6089" w14:textId="7C8ECC5C" w:rsidR="00A51F30" w:rsidRPr="008B6BC5" w:rsidRDefault="00807917" w:rsidP="00A51F30">
            <w:pPr>
              <w:pStyle w:val="NoSpacing"/>
              <w:rPr>
                <w:rFonts w:cs="Times New Roman"/>
                <w:sz w:val="20"/>
                <w:szCs w:val="20"/>
                <w:lang w:val="en-US"/>
              </w:rPr>
            </w:pPr>
            <w:r w:rsidRPr="008B6BC5">
              <w:rPr>
                <w:rFonts w:cs="Times New Roman"/>
                <w:sz w:val="20"/>
                <w:szCs w:val="20"/>
                <w:lang w:val="en-US"/>
              </w:rPr>
              <w:t xml:space="preserve">Guidance was not a significant moderator. </w:t>
            </w:r>
          </w:p>
        </w:tc>
      </w:tr>
      <w:tr w:rsidR="00DC44B2" w:rsidRPr="008B6BC5" w14:paraId="6A8DB273" w14:textId="77777777" w:rsidTr="00760C26">
        <w:tc>
          <w:tcPr>
            <w:tcW w:w="1560" w:type="dxa"/>
          </w:tcPr>
          <w:p w14:paraId="1D2DC73E" w14:textId="03568B64" w:rsidR="00DC44B2" w:rsidRPr="008B6BC5" w:rsidRDefault="000938FF" w:rsidP="00DC44B2">
            <w:pPr>
              <w:pStyle w:val="NoSpacing"/>
              <w:rPr>
                <w:rFonts w:cs="Times New Roman"/>
                <w:sz w:val="20"/>
                <w:szCs w:val="20"/>
                <w:lang w:val="en-US"/>
              </w:rPr>
            </w:pPr>
            <w:r w:rsidRPr="008B6BC5">
              <w:rPr>
                <w:rFonts w:cs="Times New Roman"/>
                <w:sz w:val="20"/>
                <w:szCs w:val="20"/>
                <w:lang w:val="en-US"/>
              </w:rPr>
              <w:t>8</w:t>
            </w:r>
          </w:p>
        </w:tc>
        <w:tc>
          <w:tcPr>
            <w:tcW w:w="6048" w:type="dxa"/>
          </w:tcPr>
          <w:p w14:paraId="00414987" w14:textId="0549D5CD"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A meta-analysis of comparative outcome studies (53 RCTs) found no consistent, clinically meaningful differences between CBT, IPT, psychodynamic therapy, problem-solving therapy, and others; mean between-treatment SMDs clustered around 0.00–0.20 (Cuijpers et al., 2008). </w:t>
            </w:r>
          </w:p>
        </w:tc>
        <w:tc>
          <w:tcPr>
            <w:tcW w:w="4202" w:type="dxa"/>
          </w:tcPr>
          <w:p w14:paraId="63AE75C4" w14:textId="46E234D3"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DOI: 10.1037/a0013075 </w:t>
            </w:r>
          </w:p>
        </w:tc>
        <w:tc>
          <w:tcPr>
            <w:tcW w:w="690" w:type="dxa"/>
          </w:tcPr>
          <w:p w14:paraId="36E8C31C" w14:textId="23C5624D" w:rsidR="00DC44B2" w:rsidRPr="008B6BC5" w:rsidRDefault="00DC44B2" w:rsidP="00DC44B2">
            <w:pPr>
              <w:pStyle w:val="NoSpacing"/>
              <w:rPr>
                <w:rFonts w:cs="Times New Roman"/>
                <w:sz w:val="20"/>
                <w:szCs w:val="20"/>
                <w:lang w:val="en-US"/>
              </w:rPr>
            </w:pPr>
            <w:r w:rsidRPr="008B6BC5">
              <w:rPr>
                <w:rFonts w:cs="Times New Roman"/>
                <w:sz w:val="20"/>
                <w:szCs w:val="20"/>
                <w:lang w:val="en-US"/>
              </w:rPr>
              <w:t>4</w:t>
            </w:r>
          </w:p>
        </w:tc>
        <w:tc>
          <w:tcPr>
            <w:tcW w:w="3944" w:type="dxa"/>
          </w:tcPr>
          <w:p w14:paraId="1A91E869" w14:textId="777903BB"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DC44B2" w:rsidRPr="008B6BC5" w14:paraId="173123E0" w14:textId="77777777" w:rsidTr="00760C26">
        <w:tc>
          <w:tcPr>
            <w:tcW w:w="1560" w:type="dxa"/>
          </w:tcPr>
          <w:p w14:paraId="3979FB41" w14:textId="2A2E3579" w:rsidR="00DC44B2" w:rsidRPr="008B6BC5" w:rsidRDefault="000938FF" w:rsidP="00DC44B2">
            <w:pPr>
              <w:pStyle w:val="NoSpacing"/>
              <w:rPr>
                <w:rFonts w:cs="Times New Roman"/>
                <w:sz w:val="20"/>
                <w:szCs w:val="20"/>
                <w:lang w:val="en-US"/>
              </w:rPr>
            </w:pPr>
            <w:r w:rsidRPr="008B6BC5">
              <w:rPr>
                <w:rFonts w:cs="Times New Roman"/>
                <w:sz w:val="20"/>
                <w:szCs w:val="20"/>
                <w:lang w:val="en-US"/>
              </w:rPr>
              <w:t>9</w:t>
            </w:r>
          </w:p>
        </w:tc>
        <w:tc>
          <w:tcPr>
            <w:tcW w:w="6048" w:type="dxa"/>
          </w:tcPr>
          <w:p w14:paraId="17A8C315" w14:textId="2B838AA7"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A network meta-analysis of 331 RCTs (MDD and major depressive episode) similarly concluded that the major psychotherapies are broadly equivalent in acute efficacy, with only small advantages for CBT and IPT over some non-directive or supportive interventions (Cuijpers et al., 2021b). </w:t>
            </w:r>
          </w:p>
        </w:tc>
        <w:tc>
          <w:tcPr>
            <w:tcW w:w="4202" w:type="dxa"/>
          </w:tcPr>
          <w:p w14:paraId="4050C7A2" w14:textId="7CA0BFD9"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DOI:10.1002/wps.20860 </w:t>
            </w:r>
          </w:p>
        </w:tc>
        <w:tc>
          <w:tcPr>
            <w:tcW w:w="690" w:type="dxa"/>
          </w:tcPr>
          <w:p w14:paraId="760764DE" w14:textId="7891102C" w:rsidR="00DC44B2" w:rsidRPr="008B6BC5" w:rsidRDefault="00DC44B2" w:rsidP="00DC44B2">
            <w:pPr>
              <w:pStyle w:val="NoSpacing"/>
              <w:rPr>
                <w:rFonts w:cs="Times New Roman"/>
                <w:sz w:val="20"/>
                <w:szCs w:val="20"/>
                <w:lang w:val="en-US"/>
              </w:rPr>
            </w:pPr>
            <w:r w:rsidRPr="008B6BC5">
              <w:rPr>
                <w:rFonts w:cs="Times New Roman"/>
                <w:sz w:val="20"/>
                <w:szCs w:val="20"/>
                <w:lang w:val="en-US"/>
              </w:rPr>
              <w:t>3</w:t>
            </w:r>
          </w:p>
        </w:tc>
        <w:tc>
          <w:tcPr>
            <w:tcW w:w="3944" w:type="dxa"/>
          </w:tcPr>
          <w:p w14:paraId="14B5A2BF" w14:textId="47E5641B" w:rsidR="00DC44B2" w:rsidRPr="008B6BC5" w:rsidRDefault="00D15BA6" w:rsidP="00DC44B2">
            <w:pPr>
              <w:pStyle w:val="NoSpacing"/>
              <w:rPr>
                <w:rFonts w:cs="Times New Roman"/>
                <w:sz w:val="20"/>
                <w:szCs w:val="20"/>
                <w:lang w:val="en-US"/>
              </w:rPr>
            </w:pPr>
            <w:r w:rsidRPr="008B6BC5">
              <w:rPr>
                <w:rFonts w:cs="Times New Roman"/>
                <w:sz w:val="20"/>
                <w:szCs w:val="20"/>
                <w:lang w:val="en-US"/>
              </w:rPr>
              <w:t xml:space="preserve">The samples also comprised participants who scored above a cut-off on a self-report depression scale. </w:t>
            </w:r>
          </w:p>
        </w:tc>
      </w:tr>
      <w:tr w:rsidR="00DC44B2" w:rsidRPr="008B6BC5" w14:paraId="48ADC96F" w14:textId="77777777" w:rsidTr="00760C26">
        <w:tc>
          <w:tcPr>
            <w:tcW w:w="1560" w:type="dxa"/>
          </w:tcPr>
          <w:p w14:paraId="1399C81D" w14:textId="77777777" w:rsidR="00DC44B2" w:rsidRPr="008B6BC5" w:rsidRDefault="000938FF" w:rsidP="00DC44B2">
            <w:pPr>
              <w:pStyle w:val="NoSpacing"/>
              <w:rPr>
                <w:rFonts w:cs="Times New Roman"/>
                <w:sz w:val="20"/>
                <w:szCs w:val="20"/>
                <w:lang w:val="en-US"/>
              </w:rPr>
            </w:pPr>
            <w:r w:rsidRPr="008B6BC5">
              <w:rPr>
                <w:rFonts w:cs="Times New Roman"/>
                <w:sz w:val="20"/>
                <w:szCs w:val="20"/>
                <w:lang w:val="en-US"/>
              </w:rPr>
              <w:t>10.1</w:t>
            </w:r>
          </w:p>
          <w:p w14:paraId="40DDC587" w14:textId="2D2BF8E0" w:rsidR="000938FF" w:rsidRPr="008B6BC5" w:rsidRDefault="000938FF" w:rsidP="00DC44B2">
            <w:pPr>
              <w:pStyle w:val="NoSpacing"/>
              <w:rPr>
                <w:rFonts w:cs="Times New Roman"/>
                <w:sz w:val="20"/>
                <w:szCs w:val="20"/>
                <w:lang w:val="en-US"/>
              </w:rPr>
            </w:pPr>
            <w:r w:rsidRPr="008B6BC5">
              <w:rPr>
                <w:rFonts w:cs="Times New Roman"/>
                <w:sz w:val="20"/>
                <w:szCs w:val="20"/>
                <w:lang w:val="en-US"/>
              </w:rPr>
              <w:t>10.2</w:t>
            </w:r>
          </w:p>
        </w:tc>
        <w:tc>
          <w:tcPr>
            <w:tcW w:w="6048" w:type="dxa"/>
          </w:tcPr>
          <w:p w14:paraId="16EFA7C2" w14:textId="58BC6B0C"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Complementing these meta-analyses, contemporary RCTs comparing CBT and IPT for MDD typically find non-significant or small between-group differences in symptom reduction (Srivastava et al., 2024; Swartz et al., 2023). </w:t>
            </w:r>
          </w:p>
        </w:tc>
        <w:tc>
          <w:tcPr>
            <w:tcW w:w="4202" w:type="dxa"/>
          </w:tcPr>
          <w:p w14:paraId="6E3343FF" w14:textId="77777777" w:rsidR="00DC44B2" w:rsidRPr="008B6BC5" w:rsidRDefault="00DC44B2" w:rsidP="00DC44B2">
            <w:pPr>
              <w:pStyle w:val="NoSpacing"/>
              <w:rPr>
                <w:rFonts w:cs="Times New Roman"/>
                <w:sz w:val="20"/>
                <w:szCs w:val="20"/>
                <w:lang w:val="en-US"/>
              </w:rPr>
            </w:pPr>
            <w:r w:rsidRPr="008B6BC5">
              <w:rPr>
                <w:rFonts w:cs="Times New Roman"/>
                <w:sz w:val="20"/>
                <w:szCs w:val="20"/>
                <w:lang w:val="en-US"/>
              </w:rPr>
              <w:t>DOI: 10.4103/ipj.ipj_294_23</w:t>
            </w:r>
          </w:p>
          <w:p w14:paraId="03037D8B" w14:textId="2BF7CEA6" w:rsidR="00DC44B2" w:rsidRPr="008B6BC5" w:rsidRDefault="00DC44B2" w:rsidP="00DC44B2">
            <w:pPr>
              <w:pStyle w:val="NoSpacing"/>
              <w:rPr>
                <w:rFonts w:cs="Times New Roman"/>
                <w:sz w:val="20"/>
                <w:szCs w:val="20"/>
                <w:lang w:val="en-US"/>
              </w:rPr>
            </w:pPr>
            <w:r w:rsidRPr="008B6BC5">
              <w:rPr>
                <w:rFonts w:cs="Times New Roman"/>
                <w:sz w:val="20"/>
                <w:szCs w:val="20"/>
                <w:lang w:val="en-US"/>
              </w:rPr>
              <w:t>https://doi.org/10.1016/j.jad.2023.04.092</w:t>
            </w:r>
          </w:p>
        </w:tc>
        <w:tc>
          <w:tcPr>
            <w:tcW w:w="690" w:type="dxa"/>
          </w:tcPr>
          <w:p w14:paraId="02EB84A2" w14:textId="77777777" w:rsidR="00DC44B2" w:rsidRPr="008B6BC5" w:rsidRDefault="00D15BA6" w:rsidP="00DC44B2">
            <w:pPr>
              <w:pStyle w:val="NoSpacing"/>
              <w:rPr>
                <w:rFonts w:cs="Times New Roman"/>
                <w:sz w:val="20"/>
                <w:szCs w:val="20"/>
                <w:lang w:val="en-US"/>
              </w:rPr>
            </w:pPr>
            <w:r w:rsidRPr="008B6BC5">
              <w:rPr>
                <w:rFonts w:cs="Times New Roman"/>
                <w:sz w:val="20"/>
                <w:szCs w:val="20"/>
                <w:lang w:val="en-US"/>
              </w:rPr>
              <w:t>2</w:t>
            </w:r>
          </w:p>
          <w:p w14:paraId="37F3FC96" w14:textId="204BEC3B" w:rsidR="00D15BA6" w:rsidRPr="008B6BC5" w:rsidRDefault="00D15BA6" w:rsidP="00DC44B2">
            <w:pPr>
              <w:pStyle w:val="NoSpacing"/>
              <w:rPr>
                <w:rFonts w:cs="Times New Roman"/>
                <w:sz w:val="20"/>
                <w:szCs w:val="20"/>
                <w:lang w:val="en-US"/>
              </w:rPr>
            </w:pPr>
            <w:r w:rsidRPr="008B6BC5">
              <w:rPr>
                <w:rFonts w:cs="Times New Roman"/>
                <w:sz w:val="20"/>
                <w:szCs w:val="20"/>
                <w:lang w:val="en-US"/>
              </w:rPr>
              <w:t>4</w:t>
            </w:r>
          </w:p>
        </w:tc>
        <w:tc>
          <w:tcPr>
            <w:tcW w:w="3944" w:type="dxa"/>
          </w:tcPr>
          <w:p w14:paraId="7AF0E5E7" w14:textId="77777777" w:rsidR="0068052D" w:rsidRPr="008B6BC5" w:rsidRDefault="0068052D" w:rsidP="00DC44B2">
            <w:pPr>
              <w:pStyle w:val="NoSpacing"/>
              <w:rPr>
                <w:rFonts w:cs="Times New Roman"/>
                <w:sz w:val="20"/>
                <w:szCs w:val="20"/>
                <w:lang w:val="en-US"/>
              </w:rPr>
            </w:pPr>
          </w:p>
          <w:p w14:paraId="262DDE16" w14:textId="12D8D02D" w:rsidR="00CE0A75" w:rsidRPr="008B6BC5" w:rsidRDefault="00CE0A75" w:rsidP="00DC44B2">
            <w:pPr>
              <w:pStyle w:val="NoSpacing"/>
              <w:rPr>
                <w:rFonts w:cs="Times New Roman"/>
                <w:sz w:val="20"/>
                <w:szCs w:val="20"/>
                <w:lang w:val="en-US"/>
              </w:rPr>
            </w:pPr>
            <w:r w:rsidRPr="008B6BC5">
              <w:rPr>
                <w:rFonts w:cs="Times New Roman"/>
                <w:sz w:val="20"/>
                <w:szCs w:val="20"/>
                <w:lang w:val="en-US"/>
              </w:rPr>
              <w:t>No inaccuracies identified</w:t>
            </w:r>
            <w:r w:rsidR="0068052D" w:rsidRPr="008B6BC5">
              <w:rPr>
                <w:rFonts w:cs="Times New Roman"/>
                <w:sz w:val="20"/>
                <w:szCs w:val="20"/>
                <w:lang w:val="en-US"/>
              </w:rPr>
              <w:t xml:space="preserve"> for Swartz 2023</w:t>
            </w:r>
          </w:p>
        </w:tc>
      </w:tr>
      <w:tr w:rsidR="00DC44B2" w:rsidRPr="008B6BC5" w14:paraId="7D1499E0" w14:textId="77777777" w:rsidTr="00760C26">
        <w:tc>
          <w:tcPr>
            <w:tcW w:w="1560" w:type="dxa"/>
          </w:tcPr>
          <w:p w14:paraId="60910BC2" w14:textId="54EA6138" w:rsidR="00DC44B2" w:rsidRPr="008B6BC5" w:rsidRDefault="000938FF" w:rsidP="00DC44B2">
            <w:pPr>
              <w:pStyle w:val="NoSpacing"/>
              <w:rPr>
                <w:rFonts w:cs="Times New Roman"/>
                <w:sz w:val="20"/>
                <w:szCs w:val="20"/>
                <w:lang w:val="en-US"/>
              </w:rPr>
            </w:pPr>
            <w:r w:rsidRPr="008B6BC5">
              <w:rPr>
                <w:rFonts w:cs="Times New Roman"/>
                <w:sz w:val="20"/>
                <w:szCs w:val="20"/>
                <w:lang w:val="en-US"/>
              </w:rPr>
              <w:t>11</w:t>
            </w:r>
          </w:p>
        </w:tc>
        <w:tc>
          <w:tcPr>
            <w:tcW w:w="6048" w:type="dxa"/>
          </w:tcPr>
          <w:p w14:paraId="377CF8BB" w14:textId="76E94907" w:rsidR="00DC44B2" w:rsidRPr="008B6BC5" w:rsidRDefault="00DC44B2" w:rsidP="00DC44B2">
            <w:pPr>
              <w:pStyle w:val="NoSpacing"/>
              <w:rPr>
                <w:rFonts w:cs="Times New Roman"/>
                <w:sz w:val="20"/>
                <w:szCs w:val="20"/>
                <w:lang w:val="en-US"/>
              </w:rPr>
            </w:pPr>
            <w:r w:rsidRPr="008B6BC5">
              <w:rPr>
                <w:rFonts w:cs="Times New Roman"/>
                <w:sz w:val="20"/>
                <w:szCs w:val="20"/>
                <w:lang w:val="en-US"/>
              </w:rPr>
              <w:t>For example, Srivastava et al. (2024) randomized adults with MDD to 16 sessions of CBT or IPT and observed similar reductions in Hamilton Depression Rating Scale scores (Cohen’s d ≈ 1.1–1.2 within-group; between-group d &lt; 0.20).</w:t>
            </w:r>
          </w:p>
        </w:tc>
        <w:tc>
          <w:tcPr>
            <w:tcW w:w="4202" w:type="dxa"/>
          </w:tcPr>
          <w:p w14:paraId="38AE33C8" w14:textId="77777777" w:rsidR="00DC44B2" w:rsidRPr="008B6BC5" w:rsidRDefault="00DC44B2" w:rsidP="00DC44B2">
            <w:pPr>
              <w:pStyle w:val="NoSpacing"/>
              <w:rPr>
                <w:rFonts w:cs="Times New Roman"/>
                <w:sz w:val="20"/>
                <w:szCs w:val="20"/>
                <w:lang w:val="en-US"/>
              </w:rPr>
            </w:pPr>
            <w:r w:rsidRPr="008B6BC5">
              <w:rPr>
                <w:rFonts w:cs="Times New Roman"/>
                <w:sz w:val="20"/>
                <w:szCs w:val="20"/>
                <w:lang w:val="en-US"/>
              </w:rPr>
              <w:t>DOI: 10.4103/ipj.ipj_294_23</w:t>
            </w:r>
          </w:p>
          <w:p w14:paraId="505EDCF3" w14:textId="77777777" w:rsidR="00DC44B2" w:rsidRPr="008B6BC5" w:rsidRDefault="00DC44B2" w:rsidP="00DC44B2">
            <w:pPr>
              <w:pStyle w:val="NoSpacing"/>
              <w:rPr>
                <w:rFonts w:cs="Times New Roman"/>
                <w:sz w:val="20"/>
                <w:szCs w:val="20"/>
                <w:lang w:val="en-US"/>
              </w:rPr>
            </w:pPr>
          </w:p>
        </w:tc>
        <w:tc>
          <w:tcPr>
            <w:tcW w:w="690" w:type="dxa"/>
          </w:tcPr>
          <w:p w14:paraId="624F26E6" w14:textId="1E0724EA" w:rsidR="00DC44B2" w:rsidRPr="008B6BC5" w:rsidRDefault="00DE688C" w:rsidP="00DC44B2">
            <w:pPr>
              <w:pStyle w:val="NoSpacing"/>
              <w:rPr>
                <w:rFonts w:cs="Times New Roman"/>
                <w:sz w:val="20"/>
                <w:szCs w:val="20"/>
                <w:lang w:val="en-US"/>
              </w:rPr>
            </w:pPr>
            <w:r w:rsidRPr="008B6BC5">
              <w:rPr>
                <w:rFonts w:cs="Times New Roman"/>
                <w:sz w:val="20"/>
                <w:szCs w:val="20"/>
                <w:lang w:val="en-US"/>
              </w:rPr>
              <w:t>3</w:t>
            </w:r>
          </w:p>
        </w:tc>
        <w:tc>
          <w:tcPr>
            <w:tcW w:w="3944" w:type="dxa"/>
          </w:tcPr>
          <w:p w14:paraId="1194307B" w14:textId="01E02F1D" w:rsidR="00DC44B2" w:rsidRPr="008B6BC5" w:rsidRDefault="00DE688C" w:rsidP="00DC44B2">
            <w:pPr>
              <w:pStyle w:val="NoSpacing"/>
              <w:rPr>
                <w:rFonts w:cs="Times New Roman"/>
                <w:sz w:val="20"/>
                <w:szCs w:val="20"/>
                <w:lang w:val="en-US"/>
              </w:rPr>
            </w:pPr>
            <w:r w:rsidRPr="008B6BC5">
              <w:rPr>
                <w:rFonts w:cs="Times New Roman"/>
                <w:sz w:val="20"/>
                <w:szCs w:val="20"/>
                <w:lang w:val="en-US"/>
              </w:rPr>
              <w:t xml:space="preserve">Between 16-20 sessions were delivered; the HDRS was not a depression measured used; </w:t>
            </w:r>
            <w:r w:rsidR="00F3181A" w:rsidRPr="008B6BC5">
              <w:rPr>
                <w:rFonts w:cs="Times New Roman"/>
                <w:sz w:val="20"/>
                <w:szCs w:val="20"/>
                <w:lang w:val="en-US"/>
              </w:rPr>
              <w:t xml:space="preserve">within group effects &gt; 2.0 in some instances. </w:t>
            </w:r>
          </w:p>
        </w:tc>
      </w:tr>
      <w:tr w:rsidR="00DC44B2" w:rsidRPr="008B6BC5" w14:paraId="52B879A7" w14:textId="77777777" w:rsidTr="00B478D2">
        <w:trPr>
          <w:trHeight w:val="179"/>
        </w:trPr>
        <w:tc>
          <w:tcPr>
            <w:tcW w:w="1560" w:type="dxa"/>
          </w:tcPr>
          <w:p w14:paraId="2C75761F" w14:textId="305FEC31" w:rsidR="00DC44B2" w:rsidRPr="008B6BC5" w:rsidRDefault="000938FF" w:rsidP="00DC44B2">
            <w:pPr>
              <w:pStyle w:val="NoSpacing"/>
              <w:rPr>
                <w:rFonts w:cs="Times New Roman"/>
                <w:sz w:val="20"/>
                <w:szCs w:val="20"/>
                <w:lang w:val="en-US"/>
              </w:rPr>
            </w:pPr>
            <w:r w:rsidRPr="008B6BC5">
              <w:rPr>
                <w:rFonts w:cs="Times New Roman"/>
                <w:sz w:val="20"/>
                <w:szCs w:val="20"/>
                <w:lang w:val="en-US"/>
              </w:rPr>
              <w:t>12</w:t>
            </w:r>
          </w:p>
        </w:tc>
        <w:tc>
          <w:tcPr>
            <w:tcW w:w="6048" w:type="dxa"/>
          </w:tcPr>
          <w:p w14:paraId="31415BD4" w14:textId="052E9E98" w:rsidR="00DC44B2" w:rsidRPr="008B6BC5" w:rsidRDefault="00DC44B2" w:rsidP="00DC44B2">
            <w:pPr>
              <w:pStyle w:val="NoSpacing"/>
              <w:rPr>
                <w:rFonts w:cs="Times New Roman"/>
                <w:sz w:val="20"/>
                <w:szCs w:val="20"/>
                <w:lang w:val="en-US"/>
              </w:rPr>
            </w:pPr>
            <w:r w:rsidRPr="008B6BC5">
              <w:rPr>
                <w:rFonts w:cs="Times New Roman"/>
                <w:sz w:val="20"/>
                <w:szCs w:val="20"/>
                <w:lang w:val="en-US"/>
              </w:rPr>
              <w:t>a large network meta-analysis of psychotherapies, antidepressant medications, and their combinations in adult depression (N = 46,000+, mostly MDD) showed that psychotherapy and antidepressants have comparable acute efficacy versus placebo/TAU (odds ratios for response ≈ 1.5–1.7 for each) (Cuijpers et al., 2020)</w:t>
            </w:r>
          </w:p>
        </w:tc>
        <w:tc>
          <w:tcPr>
            <w:tcW w:w="4202" w:type="dxa"/>
          </w:tcPr>
          <w:p w14:paraId="336CA251" w14:textId="371AFFDB" w:rsidR="00DC44B2" w:rsidRPr="008B6BC5" w:rsidRDefault="00DC44B2" w:rsidP="00DC44B2">
            <w:pPr>
              <w:pStyle w:val="NoSpacing"/>
              <w:rPr>
                <w:rFonts w:cs="Times New Roman"/>
                <w:sz w:val="20"/>
                <w:szCs w:val="20"/>
                <w:lang w:val="en-US"/>
              </w:rPr>
            </w:pPr>
            <w:r w:rsidRPr="008B6BC5">
              <w:rPr>
                <w:rFonts w:cs="Times New Roman"/>
                <w:sz w:val="20"/>
                <w:szCs w:val="20"/>
                <w:lang w:val="en-US"/>
              </w:rPr>
              <w:t xml:space="preserve">DOI:10.1002/wps.20701 </w:t>
            </w:r>
          </w:p>
        </w:tc>
        <w:tc>
          <w:tcPr>
            <w:tcW w:w="690" w:type="dxa"/>
          </w:tcPr>
          <w:p w14:paraId="699BD025" w14:textId="107C2C20" w:rsidR="00DC44B2" w:rsidRPr="008B6BC5" w:rsidRDefault="00F3181A" w:rsidP="00DC44B2">
            <w:pPr>
              <w:pStyle w:val="NoSpacing"/>
              <w:rPr>
                <w:rFonts w:cs="Times New Roman"/>
                <w:sz w:val="20"/>
                <w:szCs w:val="20"/>
                <w:lang w:val="en-US"/>
              </w:rPr>
            </w:pPr>
            <w:r w:rsidRPr="008B6BC5">
              <w:rPr>
                <w:rFonts w:cs="Times New Roman"/>
                <w:sz w:val="20"/>
                <w:szCs w:val="20"/>
                <w:lang w:val="en-US"/>
              </w:rPr>
              <w:t>1</w:t>
            </w:r>
          </w:p>
        </w:tc>
        <w:tc>
          <w:tcPr>
            <w:tcW w:w="3944" w:type="dxa"/>
          </w:tcPr>
          <w:p w14:paraId="198D09AA" w14:textId="394338CA" w:rsidR="00DC44B2" w:rsidRPr="008B6BC5" w:rsidRDefault="002F480E" w:rsidP="00DC44B2">
            <w:pPr>
              <w:pStyle w:val="NoSpacing"/>
              <w:rPr>
                <w:rFonts w:cs="Times New Roman"/>
                <w:sz w:val="20"/>
                <w:szCs w:val="20"/>
                <w:lang w:val="en-US"/>
              </w:rPr>
            </w:pPr>
            <w:r w:rsidRPr="008B6BC5">
              <w:rPr>
                <w:rFonts w:cs="Times New Roman"/>
                <w:sz w:val="20"/>
                <w:szCs w:val="20"/>
                <w:lang w:val="en-US"/>
              </w:rPr>
              <w:t>N</w:t>
            </w:r>
            <w:r w:rsidR="00F3181A" w:rsidRPr="008B6BC5">
              <w:rPr>
                <w:rFonts w:cs="Times New Roman"/>
                <w:sz w:val="20"/>
                <w:szCs w:val="20"/>
                <w:lang w:val="en-US"/>
              </w:rPr>
              <w:t xml:space="preserve">o comparisons </w:t>
            </w:r>
            <w:r w:rsidR="00195477" w:rsidRPr="008B6BC5">
              <w:rPr>
                <w:rFonts w:cs="Times New Roman"/>
                <w:sz w:val="20"/>
                <w:szCs w:val="20"/>
                <w:lang w:val="en-US"/>
              </w:rPr>
              <w:t>between psychotherapy and antidepressants individually to</w:t>
            </w:r>
            <w:r w:rsidR="00F3181A" w:rsidRPr="008B6BC5">
              <w:rPr>
                <w:rFonts w:cs="Times New Roman"/>
                <w:sz w:val="20"/>
                <w:szCs w:val="20"/>
                <w:lang w:val="en-US"/>
              </w:rPr>
              <w:t xml:space="preserve"> </w:t>
            </w:r>
            <w:r w:rsidRPr="008B6BC5">
              <w:rPr>
                <w:rFonts w:cs="Times New Roman"/>
                <w:sz w:val="20"/>
                <w:szCs w:val="20"/>
                <w:lang w:val="en-US"/>
              </w:rPr>
              <w:t>placebo/tau controls were made in this meta-analysis</w:t>
            </w:r>
            <w:r w:rsidR="00195477" w:rsidRPr="008B6BC5">
              <w:rPr>
                <w:rFonts w:cs="Times New Roman"/>
                <w:sz w:val="20"/>
                <w:szCs w:val="20"/>
                <w:lang w:val="en-US"/>
              </w:rPr>
              <w:t xml:space="preserve">; only 12,000 participants included. </w:t>
            </w:r>
          </w:p>
        </w:tc>
      </w:tr>
      <w:tr w:rsidR="00DC44B2" w:rsidRPr="008B6BC5" w14:paraId="299F8928" w14:textId="77777777" w:rsidTr="00760C26">
        <w:tc>
          <w:tcPr>
            <w:tcW w:w="1560" w:type="dxa"/>
          </w:tcPr>
          <w:p w14:paraId="2C8E9A80" w14:textId="77777777" w:rsidR="00DC44B2" w:rsidRPr="008B6BC5" w:rsidRDefault="000938FF" w:rsidP="00DC44B2">
            <w:pPr>
              <w:pStyle w:val="NoSpacing"/>
              <w:rPr>
                <w:rFonts w:cs="Times New Roman"/>
                <w:sz w:val="20"/>
                <w:szCs w:val="20"/>
                <w:lang w:val="en-US"/>
              </w:rPr>
            </w:pPr>
            <w:r w:rsidRPr="008B6BC5">
              <w:rPr>
                <w:rFonts w:cs="Times New Roman"/>
                <w:sz w:val="20"/>
                <w:szCs w:val="20"/>
                <w:lang w:val="en-US"/>
              </w:rPr>
              <w:t>13.1</w:t>
            </w:r>
          </w:p>
          <w:p w14:paraId="44C2086B" w14:textId="52006F4C" w:rsidR="000938FF" w:rsidRPr="008B6BC5" w:rsidRDefault="000938FF" w:rsidP="00DC44B2">
            <w:pPr>
              <w:pStyle w:val="NoSpacing"/>
              <w:rPr>
                <w:rFonts w:cs="Times New Roman"/>
                <w:sz w:val="20"/>
                <w:szCs w:val="20"/>
                <w:lang w:val="en-US"/>
              </w:rPr>
            </w:pPr>
            <w:r w:rsidRPr="008B6BC5">
              <w:rPr>
                <w:rFonts w:cs="Times New Roman"/>
                <w:sz w:val="20"/>
                <w:szCs w:val="20"/>
                <w:lang w:val="en-US"/>
              </w:rPr>
              <w:t>13.2</w:t>
            </w:r>
          </w:p>
        </w:tc>
        <w:tc>
          <w:tcPr>
            <w:tcW w:w="6048" w:type="dxa"/>
          </w:tcPr>
          <w:p w14:paraId="62C9C7A3" w14:textId="51FD1F7F" w:rsidR="00DC44B2" w:rsidRPr="008B6BC5" w:rsidRDefault="00DC44B2" w:rsidP="00DC44B2">
            <w:pPr>
              <w:pStyle w:val="NoSpacing"/>
              <w:rPr>
                <w:rFonts w:cs="Times New Roman"/>
                <w:sz w:val="20"/>
                <w:szCs w:val="20"/>
                <w:lang w:val="en-US"/>
              </w:rPr>
            </w:pPr>
            <w:r w:rsidRPr="008B6BC5">
              <w:rPr>
                <w:rFonts w:cs="Times New Roman"/>
                <w:sz w:val="20"/>
                <w:szCs w:val="20"/>
                <w:lang w:val="en-US"/>
              </w:rPr>
              <w:t>However, combined psychotherapy plus antidepressants outperformed either monotherapy (OR for response vs psychotherapy alone ≈ 1.27; vs pharmacotherapy alone ≈ 1.25), particularly in samples with more severe or chronic MDD (Cuijpers et al., 2020; Karyotaki et al., 2016).</w:t>
            </w:r>
          </w:p>
        </w:tc>
        <w:tc>
          <w:tcPr>
            <w:tcW w:w="4202" w:type="dxa"/>
          </w:tcPr>
          <w:p w14:paraId="4871DD66" w14:textId="77777777" w:rsidR="00DC44B2" w:rsidRPr="008B6BC5" w:rsidRDefault="00DC44B2" w:rsidP="00DC44B2">
            <w:pPr>
              <w:pStyle w:val="NoSpacing"/>
              <w:rPr>
                <w:rFonts w:cs="Times New Roman"/>
                <w:sz w:val="20"/>
                <w:szCs w:val="20"/>
                <w:lang w:val="en-US"/>
              </w:rPr>
            </w:pPr>
            <w:r w:rsidRPr="008B6BC5">
              <w:rPr>
                <w:rFonts w:cs="Times New Roman"/>
                <w:sz w:val="20"/>
                <w:szCs w:val="20"/>
                <w:lang w:val="en-US"/>
              </w:rPr>
              <w:t>DOI:10.1002/wps.20701</w:t>
            </w:r>
          </w:p>
          <w:p w14:paraId="71FC9F17" w14:textId="357C04D8" w:rsidR="00DC44B2" w:rsidRPr="008B6BC5" w:rsidRDefault="00DC44B2" w:rsidP="00DC44B2">
            <w:pPr>
              <w:pStyle w:val="NoSpacing"/>
              <w:rPr>
                <w:rFonts w:cs="Times New Roman"/>
                <w:sz w:val="20"/>
                <w:szCs w:val="20"/>
                <w:lang w:val="en-US"/>
              </w:rPr>
            </w:pPr>
            <w:hyperlink r:id="rId16" w:history="1">
              <w:r w:rsidRPr="008B6BC5">
                <w:rPr>
                  <w:rStyle w:val="Hyperlink"/>
                  <w:rFonts w:cs="Times New Roman"/>
                  <w:sz w:val="20"/>
                  <w:szCs w:val="20"/>
                  <w:lang w:val="en-US"/>
                </w:rPr>
                <w:t>https://doi.org/10.1016/j.jad.2016.01.036</w:t>
              </w:r>
            </w:hyperlink>
            <w:r w:rsidRPr="008B6BC5">
              <w:rPr>
                <w:rFonts w:cs="Times New Roman"/>
                <w:sz w:val="20"/>
                <w:szCs w:val="20"/>
                <w:lang w:val="en-US"/>
              </w:rPr>
              <w:t xml:space="preserve"> </w:t>
            </w:r>
          </w:p>
        </w:tc>
        <w:tc>
          <w:tcPr>
            <w:tcW w:w="690" w:type="dxa"/>
          </w:tcPr>
          <w:p w14:paraId="3F34F69C" w14:textId="77777777" w:rsidR="00DC44B2" w:rsidRPr="008B6BC5" w:rsidRDefault="00411D39" w:rsidP="00DC44B2">
            <w:pPr>
              <w:pStyle w:val="NoSpacing"/>
              <w:rPr>
                <w:rFonts w:cs="Times New Roman"/>
                <w:sz w:val="20"/>
                <w:szCs w:val="20"/>
                <w:lang w:val="en-US"/>
              </w:rPr>
            </w:pPr>
            <w:r w:rsidRPr="008B6BC5">
              <w:rPr>
                <w:rFonts w:cs="Times New Roman"/>
                <w:sz w:val="20"/>
                <w:szCs w:val="20"/>
                <w:lang w:val="en-US"/>
              </w:rPr>
              <w:t>3</w:t>
            </w:r>
          </w:p>
          <w:p w14:paraId="03701E42" w14:textId="6DE586D3" w:rsidR="00411D39" w:rsidRPr="008B6BC5" w:rsidRDefault="00411D39" w:rsidP="00DC44B2">
            <w:pPr>
              <w:pStyle w:val="NoSpacing"/>
              <w:rPr>
                <w:rFonts w:cs="Times New Roman"/>
                <w:sz w:val="20"/>
                <w:szCs w:val="20"/>
                <w:lang w:val="en-US"/>
              </w:rPr>
            </w:pPr>
            <w:r w:rsidRPr="008B6BC5">
              <w:rPr>
                <w:rFonts w:cs="Times New Roman"/>
                <w:sz w:val="20"/>
                <w:szCs w:val="20"/>
                <w:lang w:val="en-US"/>
              </w:rPr>
              <w:t>1</w:t>
            </w:r>
          </w:p>
        </w:tc>
        <w:tc>
          <w:tcPr>
            <w:tcW w:w="3944" w:type="dxa"/>
          </w:tcPr>
          <w:p w14:paraId="7ADBBD9F" w14:textId="3A8D7803" w:rsidR="00DC44B2" w:rsidRPr="008B6BC5" w:rsidRDefault="00411D39" w:rsidP="00DC44B2">
            <w:pPr>
              <w:pStyle w:val="NoSpacing"/>
              <w:rPr>
                <w:rFonts w:cs="Times New Roman"/>
                <w:sz w:val="20"/>
                <w:szCs w:val="20"/>
                <w:lang w:val="en-US"/>
              </w:rPr>
            </w:pPr>
            <w:r w:rsidRPr="008B6BC5">
              <w:rPr>
                <w:rFonts w:cs="Times New Roman"/>
                <w:sz w:val="20"/>
                <w:szCs w:val="20"/>
                <w:lang w:val="en-US"/>
              </w:rPr>
              <w:t xml:space="preserve">Cuijpers et al provided </w:t>
            </w:r>
            <w:r w:rsidR="007E34C5" w:rsidRPr="008B6BC5">
              <w:rPr>
                <w:rFonts w:cs="Times New Roman"/>
                <w:sz w:val="20"/>
                <w:szCs w:val="20"/>
                <w:lang w:val="en-US"/>
              </w:rPr>
              <w:t>RRs, not O</w:t>
            </w:r>
            <w:r w:rsidR="00864D77" w:rsidRPr="008B6BC5">
              <w:rPr>
                <w:rFonts w:cs="Times New Roman"/>
                <w:sz w:val="20"/>
                <w:szCs w:val="20"/>
                <w:lang w:val="en-US"/>
              </w:rPr>
              <w:t>R</w:t>
            </w:r>
            <w:r w:rsidR="007E34C5" w:rsidRPr="008B6BC5">
              <w:rPr>
                <w:rFonts w:cs="Times New Roman"/>
                <w:sz w:val="20"/>
                <w:szCs w:val="20"/>
                <w:lang w:val="en-US"/>
              </w:rPr>
              <w:t xml:space="preserve">s </w:t>
            </w:r>
          </w:p>
          <w:p w14:paraId="201222CB" w14:textId="77777777" w:rsidR="007E34C5" w:rsidRPr="008B6BC5" w:rsidRDefault="007E34C5" w:rsidP="00DC44B2">
            <w:pPr>
              <w:pStyle w:val="NoSpacing"/>
              <w:rPr>
                <w:rFonts w:cs="Times New Roman"/>
                <w:sz w:val="20"/>
                <w:szCs w:val="20"/>
                <w:lang w:val="en-US"/>
              </w:rPr>
            </w:pPr>
          </w:p>
          <w:p w14:paraId="7F4588D6" w14:textId="27ABFE9B" w:rsidR="007E34C5" w:rsidRPr="008B6BC5" w:rsidRDefault="007E34C5" w:rsidP="00DC44B2">
            <w:pPr>
              <w:pStyle w:val="NoSpacing"/>
              <w:rPr>
                <w:rFonts w:cs="Times New Roman"/>
                <w:sz w:val="20"/>
                <w:szCs w:val="20"/>
                <w:lang w:val="en-US"/>
              </w:rPr>
            </w:pPr>
            <w:r w:rsidRPr="008B6BC5">
              <w:rPr>
                <w:rFonts w:cs="Times New Roman"/>
                <w:sz w:val="20"/>
                <w:szCs w:val="20"/>
                <w:lang w:val="en-US"/>
              </w:rPr>
              <w:t xml:space="preserve">Karyotaki et al. did not conduct any analyses on baseline severity. </w:t>
            </w:r>
          </w:p>
        </w:tc>
      </w:tr>
      <w:tr w:rsidR="00DC44B2" w:rsidRPr="008B6BC5" w14:paraId="793FA188" w14:textId="77777777" w:rsidTr="00760C26">
        <w:tc>
          <w:tcPr>
            <w:tcW w:w="1560" w:type="dxa"/>
          </w:tcPr>
          <w:p w14:paraId="23241089" w14:textId="13A5C209" w:rsidR="00DC44B2" w:rsidRPr="008B6BC5" w:rsidRDefault="000938FF" w:rsidP="00DC44B2">
            <w:pPr>
              <w:pStyle w:val="NoSpacing"/>
              <w:rPr>
                <w:rFonts w:cs="Times New Roman"/>
                <w:sz w:val="20"/>
                <w:szCs w:val="20"/>
                <w:lang w:val="en-US"/>
              </w:rPr>
            </w:pPr>
            <w:r w:rsidRPr="008B6BC5">
              <w:rPr>
                <w:rFonts w:cs="Times New Roman"/>
                <w:sz w:val="20"/>
                <w:szCs w:val="20"/>
                <w:lang w:val="en-US"/>
              </w:rPr>
              <w:t>14</w:t>
            </w:r>
          </w:p>
        </w:tc>
        <w:tc>
          <w:tcPr>
            <w:tcW w:w="6048" w:type="dxa"/>
          </w:tcPr>
          <w:p w14:paraId="399B0F98" w14:textId="56467E73" w:rsidR="00DC44B2" w:rsidRPr="008B6BC5" w:rsidRDefault="00DC44B2" w:rsidP="00DC44B2">
            <w:pPr>
              <w:pStyle w:val="NoSpacing"/>
              <w:rPr>
                <w:rFonts w:cs="Times New Roman"/>
                <w:sz w:val="20"/>
                <w:szCs w:val="20"/>
                <w:lang w:val="en-US"/>
              </w:rPr>
            </w:pPr>
            <w:r w:rsidRPr="008B6BC5">
              <w:rPr>
                <w:rFonts w:cs="Times New Roman"/>
                <w:sz w:val="20"/>
                <w:szCs w:val="20"/>
                <w:lang w:val="en-US"/>
              </w:rPr>
              <w:t>A meta-analysis of long-term follow-up trials found that, after acute treatment, psychological interventions showed lower relapse/recurrence rates than antidepressant continuation (Hedges’ g ≈ 0.30; risk ratio ≈ 0.78), especially for CBT and mindfulness-based cognitive therapy (MBCT) (Karyotaki et al., 2016).</w:t>
            </w:r>
          </w:p>
        </w:tc>
        <w:tc>
          <w:tcPr>
            <w:tcW w:w="4202" w:type="dxa"/>
          </w:tcPr>
          <w:p w14:paraId="0CB1FA10" w14:textId="03276EBA" w:rsidR="00DC44B2" w:rsidRPr="008B6BC5" w:rsidRDefault="00DC44B2" w:rsidP="00DC44B2">
            <w:pPr>
              <w:pStyle w:val="NoSpacing"/>
              <w:rPr>
                <w:rFonts w:cs="Times New Roman"/>
                <w:sz w:val="20"/>
                <w:szCs w:val="20"/>
                <w:lang w:val="en-US"/>
              </w:rPr>
            </w:pPr>
            <w:hyperlink r:id="rId17" w:tgtFrame="_blank" w:tooltip="Persistent link using digital object identifier" w:history="1">
              <w:r w:rsidRPr="008B6BC5">
                <w:rPr>
                  <w:rStyle w:val="Hyperlink"/>
                  <w:rFonts w:cs="Times New Roman"/>
                  <w:sz w:val="20"/>
                  <w:szCs w:val="20"/>
                </w:rPr>
                <w:t>https://doi.org/10.1016/j.jad.2016.01.036</w:t>
              </w:r>
            </w:hyperlink>
          </w:p>
        </w:tc>
        <w:tc>
          <w:tcPr>
            <w:tcW w:w="690" w:type="dxa"/>
          </w:tcPr>
          <w:p w14:paraId="22D2E200" w14:textId="5879E993" w:rsidR="00DC44B2" w:rsidRPr="008B6BC5" w:rsidRDefault="00B91A66" w:rsidP="00DC44B2">
            <w:pPr>
              <w:pStyle w:val="NoSpacing"/>
              <w:rPr>
                <w:rFonts w:cs="Times New Roman"/>
                <w:sz w:val="20"/>
                <w:szCs w:val="20"/>
                <w:lang w:val="en-US"/>
              </w:rPr>
            </w:pPr>
            <w:r w:rsidRPr="008B6BC5">
              <w:rPr>
                <w:rFonts w:cs="Times New Roman"/>
                <w:sz w:val="20"/>
                <w:szCs w:val="20"/>
                <w:lang w:val="en-US"/>
              </w:rPr>
              <w:t>1</w:t>
            </w:r>
          </w:p>
        </w:tc>
        <w:tc>
          <w:tcPr>
            <w:tcW w:w="3944" w:type="dxa"/>
          </w:tcPr>
          <w:p w14:paraId="0F34D798" w14:textId="5D6ACF9E" w:rsidR="00DC44B2" w:rsidRPr="008B6BC5" w:rsidRDefault="00B91A66" w:rsidP="00DC44B2">
            <w:pPr>
              <w:pStyle w:val="NoSpacing"/>
              <w:rPr>
                <w:rFonts w:cs="Times New Roman"/>
                <w:sz w:val="20"/>
                <w:szCs w:val="20"/>
                <w:lang w:val="en-US"/>
              </w:rPr>
            </w:pPr>
            <w:r w:rsidRPr="008B6BC5">
              <w:rPr>
                <w:rFonts w:cs="Times New Roman"/>
                <w:sz w:val="20"/>
                <w:szCs w:val="20"/>
                <w:lang w:val="en-US"/>
              </w:rPr>
              <w:t xml:space="preserve">Relapse/recurrence were not outcomes assessed; corresponding effect sizes were fabricated; </w:t>
            </w:r>
            <w:r w:rsidR="00E73353" w:rsidRPr="008B6BC5">
              <w:rPr>
                <w:rFonts w:cs="Times New Roman"/>
                <w:sz w:val="20"/>
                <w:szCs w:val="20"/>
                <w:lang w:val="en-US"/>
              </w:rPr>
              <w:t xml:space="preserve">MBCT was not a therapy of focus in this review. </w:t>
            </w:r>
          </w:p>
        </w:tc>
      </w:tr>
      <w:tr w:rsidR="00E73353" w:rsidRPr="008B6BC5" w14:paraId="49CF1501" w14:textId="77777777" w:rsidTr="00760C26">
        <w:tc>
          <w:tcPr>
            <w:tcW w:w="1560" w:type="dxa"/>
          </w:tcPr>
          <w:p w14:paraId="60A1FAF0" w14:textId="11AD1094" w:rsidR="00E73353" w:rsidRPr="008B6BC5" w:rsidRDefault="000938FF" w:rsidP="00E73353">
            <w:pPr>
              <w:pStyle w:val="NoSpacing"/>
              <w:rPr>
                <w:rFonts w:cs="Times New Roman"/>
                <w:sz w:val="20"/>
                <w:szCs w:val="20"/>
                <w:lang w:val="en-US"/>
              </w:rPr>
            </w:pPr>
            <w:r w:rsidRPr="008B6BC5">
              <w:rPr>
                <w:rFonts w:cs="Times New Roman"/>
                <w:sz w:val="20"/>
                <w:szCs w:val="20"/>
                <w:lang w:val="en-US"/>
              </w:rPr>
              <w:lastRenderedPageBreak/>
              <w:t>15</w:t>
            </w:r>
          </w:p>
        </w:tc>
        <w:tc>
          <w:tcPr>
            <w:tcW w:w="6048" w:type="dxa"/>
          </w:tcPr>
          <w:p w14:paraId="4124B948" w14:textId="593C71D8"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A BMJ Open meta-analysis focusing on CBT reported that CBT produced enduring effects comparable or superior to continuation pharmacotherapy once medication was tapered (Cuijpers et al., 2013b). </w:t>
            </w:r>
          </w:p>
        </w:tc>
        <w:tc>
          <w:tcPr>
            <w:tcW w:w="4202" w:type="dxa"/>
          </w:tcPr>
          <w:p w14:paraId="38E4CECE" w14:textId="0EA1BCD3"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http://dx.doi.org/10.1136/bmjopen-2012-002542 </w:t>
            </w:r>
          </w:p>
        </w:tc>
        <w:tc>
          <w:tcPr>
            <w:tcW w:w="690" w:type="dxa"/>
          </w:tcPr>
          <w:p w14:paraId="3CDE91E6" w14:textId="293A2215" w:rsidR="00E73353" w:rsidRPr="008B6BC5" w:rsidRDefault="00E73353" w:rsidP="00E73353">
            <w:pPr>
              <w:pStyle w:val="NoSpacing"/>
              <w:rPr>
                <w:rFonts w:cs="Times New Roman"/>
                <w:sz w:val="20"/>
                <w:szCs w:val="20"/>
                <w:lang w:val="en-US"/>
              </w:rPr>
            </w:pPr>
            <w:r w:rsidRPr="008B6BC5">
              <w:rPr>
                <w:rFonts w:cs="Times New Roman"/>
                <w:sz w:val="20"/>
                <w:szCs w:val="20"/>
                <w:lang w:val="en-US"/>
              </w:rPr>
              <w:t>4</w:t>
            </w:r>
          </w:p>
        </w:tc>
        <w:tc>
          <w:tcPr>
            <w:tcW w:w="3944" w:type="dxa"/>
          </w:tcPr>
          <w:p w14:paraId="418FEEF5" w14:textId="363A50C7"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E73353" w:rsidRPr="008B6BC5" w14:paraId="636A4C5C" w14:textId="77777777" w:rsidTr="00760C26">
        <w:tc>
          <w:tcPr>
            <w:tcW w:w="1560" w:type="dxa"/>
          </w:tcPr>
          <w:p w14:paraId="7321AEDD" w14:textId="399A2C0B" w:rsidR="00E73353" w:rsidRPr="008B6BC5" w:rsidRDefault="000938FF" w:rsidP="00E73353">
            <w:pPr>
              <w:pStyle w:val="NoSpacing"/>
              <w:rPr>
                <w:rFonts w:cs="Times New Roman"/>
                <w:sz w:val="20"/>
                <w:szCs w:val="20"/>
                <w:lang w:val="en-US"/>
              </w:rPr>
            </w:pPr>
            <w:r w:rsidRPr="008B6BC5">
              <w:rPr>
                <w:rFonts w:cs="Times New Roman"/>
                <w:sz w:val="20"/>
                <w:szCs w:val="20"/>
                <w:lang w:val="en-US"/>
              </w:rPr>
              <w:t>16</w:t>
            </w:r>
          </w:p>
        </w:tc>
        <w:tc>
          <w:tcPr>
            <w:tcW w:w="6048" w:type="dxa"/>
          </w:tcPr>
          <w:p w14:paraId="6E3E3829" w14:textId="34C69A42"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Guidi and Fava (2021) synthesized 17 RCTs (n = 2,283 adults with remitted MDD) testing sequential strategies: psychotherapy delivered after successful acute-phase pharmacotherapy reduced relapse/recurrence risk by 16% relative to continued pharmacotherapy or clinical management alone (risk ratio 0.84, 95% CI 0.74–0.94). </w:t>
            </w:r>
          </w:p>
        </w:tc>
        <w:tc>
          <w:tcPr>
            <w:tcW w:w="4202" w:type="dxa"/>
          </w:tcPr>
          <w:p w14:paraId="63FD820A" w14:textId="38CF49EE"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doi:10.1001/jamapsychiatry.2020.3650 </w:t>
            </w:r>
          </w:p>
        </w:tc>
        <w:tc>
          <w:tcPr>
            <w:tcW w:w="690" w:type="dxa"/>
          </w:tcPr>
          <w:p w14:paraId="0F72B14C" w14:textId="624D78F4" w:rsidR="00E73353" w:rsidRPr="008B6BC5" w:rsidRDefault="00E73353" w:rsidP="00E73353">
            <w:pPr>
              <w:pStyle w:val="NoSpacing"/>
              <w:rPr>
                <w:rFonts w:cs="Times New Roman"/>
                <w:sz w:val="20"/>
                <w:szCs w:val="20"/>
                <w:lang w:val="en-US"/>
              </w:rPr>
            </w:pPr>
            <w:r w:rsidRPr="008B6BC5">
              <w:rPr>
                <w:rFonts w:cs="Times New Roman"/>
                <w:sz w:val="20"/>
                <w:szCs w:val="20"/>
                <w:lang w:val="en-US"/>
              </w:rPr>
              <w:t>4</w:t>
            </w:r>
          </w:p>
        </w:tc>
        <w:tc>
          <w:tcPr>
            <w:tcW w:w="3944" w:type="dxa"/>
          </w:tcPr>
          <w:p w14:paraId="3E086728" w14:textId="51260D32" w:rsidR="00E73353" w:rsidRPr="008B6BC5" w:rsidRDefault="00E73353" w:rsidP="00E73353">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E73353" w:rsidRPr="008B6BC5" w14:paraId="73B666D4" w14:textId="77777777" w:rsidTr="00760C26">
        <w:tc>
          <w:tcPr>
            <w:tcW w:w="1560" w:type="dxa"/>
          </w:tcPr>
          <w:p w14:paraId="2104AC25" w14:textId="73193D59" w:rsidR="00E73353" w:rsidRPr="008B6BC5" w:rsidRDefault="000938FF" w:rsidP="00E73353">
            <w:pPr>
              <w:pStyle w:val="NoSpacing"/>
              <w:rPr>
                <w:rFonts w:cs="Times New Roman"/>
                <w:sz w:val="20"/>
                <w:szCs w:val="20"/>
                <w:lang w:val="en-US"/>
              </w:rPr>
            </w:pPr>
            <w:r w:rsidRPr="008B6BC5">
              <w:rPr>
                <w:rFonts w:cs="Times New Roman"/>
                <w:sz w:val="20"/>
                <w:szCs w:val="20"/>
                <w:lang w:val="en-US"/>
              </w:rPr>
              <w:t>17</w:t>
            </w:r>
          </w:p>
        </w:tc>
        <w:tc>
          <w:tcPr>
            <w:tcW w:w="6048" w:type="dxa"/>
          </w:tcPr>
          <w:p w14:paraId="4B4CD837" w14:textId="6D67F492" w:rsidR="00E73353" w:rsidRPr="008B6BC5" w:rsidRDefault="00E73353" w:rsidP="00E73353">
            <w:pPr>
              <w:pStyle w:val="NoSpacing"/>
              <w:rPr>
                <w:rFonts w:cs="Times New Roman"/>
                <w:sz w:val="20"/>
                <w:szCs w:val="20"/>
                <w:lang w:val="en-US"/>
              </w:rPr>
            </w:pPr>
            <w:r w:rsidRPr="008B6BC5">
              <w:rPr>
                <w:rFonts w:cs="Times New Roman"/>
                <w:sz w:val="20"/>
                <w:szCs w:val="20"/>
                <w:lang w:val="en-US"/>
              </w:rPr>
              <w:t>A meta-analysis of enduring effects similarly concluded that follow-up outcomes after psychotherapy or combined treatment are superior to pharmacotherapy alone for MDD (</w:t>
            </w:r>
            <w:proofErr w:type="spellStart"/>
            <w:r w:rsidRPr="008B6BC5">
              <w:rPr>
                <w:rFonts w:cs="Times New Roman"/>
                <w:sz w:val="20"/>
                <w:szCs w:val="20"/>
                <w:lang w:val="en-US"/>
              </w:rPr>
              <w:t>Voderholzer</w:t>
            </w:r>
            <w:proofErr w:type="spellEnd"/>
            <w:r w:rsidRPr="008B6BC5">
              <w:rPr>
                <w:rFonts w:cs="Times New Roman"/>
                <w:sz w:val="20"/>
                <w:szCs w:val="20"/>
                <w:lang w:val="en-US"/>
              </w:rPr>
              <w:t xml:space="preserve"> et al., 2024).</w:t>
            </w:r>
          </w:p>
        </w:tc>
        <w:tc>
          <w:tcPr>
            <w:tcW w:w="4202" w:type="dxa"/>
          </w:tcPr>
          <w:p w14:paraId="5E0F887A" w14:textId="2074CC1B" w:rsidR="00E73353" w:rsidRPr="008B6BC5" w:rsidRDefault="00E73353" w:rsidP="00E73353">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10.3389/fpsyt.2024.1415905 </w:t>
            </w:r>
          </w:p>
        </w:tc>
        <w:tc>
          <w:tcPr>
            <w:tcW w:w="690" w:type="dxa"/>
          </w:tcPr>
          <w:p w14:paraId="14F389A3" w14:textId="69E10AA9" w:rsidR="00E73353" w:rsidRPr="008B6BC5" w:rsidRDefault="00E73353" w:rsidP="00E73353">
            <w:pPr>
              <w:pStyle w:val="NoSpacing"/>
              <w:rPr>
                <w:rFonts w:cs="Times New Roman"/>
                <w:sz w:val="20"/>
                <w:szCs w:val="20"/>
                <w:lang w:val="en-US"/>
              </w:rPr>
            </w:pPr>
            <w:r w:rsidRPr="008B6BC5">
              <w:rPr>
                <w:rFonts w:cs="Times New Roman"/>
                <w:sz w:val="20"/>
                <w:szCs w:val="20"/>
                <w:lang w:val="en-US"/>
              </w:rPr>
              <w:t>3</w:t>
            </w:r>
          </w:p>
        </w:tc>
        <w:tc>
          <w:tcPr>
            <w:tcW w:w="3944" w:type="dxa"/>
          </w:tcPr>
          <w:p w14:paraId="5DF3F978" w14:textId="39113D6C" w:rsidR="00E73353" w:rsidRPr="008B6BC5" w:rsidRDefault="00E73353" w:rsidP="00E73353">
            <w:pPr>
              <w:pStyle w:val="NoSpacing"/>
              <w:rPr>
                <w:rFonts w:cs="Times New Roman"/>
                <w:sz w:val="20"/>
                <w:szCs w:val="20"/>
                <w:lang w:val="en-US"/>
              </w:rPr>
            </w:pPr>
            <w:r w:rsidRPr="008B6BC5">
              <w:rPr>
                <w:rFonts w:cs="Times New Roman"/>
                <w:sz w:val="20"/>
                <w:szCs w:val="20"/>
                <w:lang w:val="en-US"/>
              </w:rPr>
              <w:t>The authors also included participants with either MDD or Persistent Depressive Disorder.</w:t>
            </w:r>
          </w:p>
        </w:tc>
      </w:tr>
      <w:tr w:rsidR="00E73353" w:rsidRPr="008B6BC5" w14:paraId="499C3626" w14:textId="77777777" w:rsidTr="00760C26">
        <w:tc>
          <w:tcPr>
            <w:tcW w:w="1560" w:type="dxa"/>
          </w:tcPr>
          <w:p w14:paraId="479EBB94" w14:textId="5E50D389" w:rsidR="00E73353" w:rsidRPr="008B6BC5" w:rsidRDefault="000938FF" w:rsidP="00E73353">
            <w:pPr>
              <w:pStyle w:val="NoSpacing"/>
              <w:rPr>
                <w:rFonts w:cs="Times New Roman"/>
                <w:sz w:val="20"/>
                <w:szCs w:val="20"/>
                <w:lang w:val="en-US"/>
              </w:rPr>
            </w:pPr>
            <w:r w:rsidRPr="008B6BC5">
              <w:rPr>
                <w:rFonts w:cs="Times New Roman"/>
                <w:sz w:val="20"/>
                <w:szCs w:val="20"/>
                <w:lang w:val="en-US"/>
              </w:rPr>
              <w:t>18</w:t>
            </w:r>
          </w:p>
        </w:tc>
        <w:tc>
          <w:tcPr>
            <w:tcW w:w="6048" w:type="dxa"/>
          </w:tcPr>
          <w:p w14:paraId="2F8F09DD" w14:textId="2498F153" w:rsidR="00E73353" w:rsidRPr="008B6BC5" w:rsidRDefault="00E73353" w:rsidP="00E73353">
            <w:pPr>
              <w:pStyle w:val="NoSpacing"/>
              <w:rPr>
                <w:rFonts w:cs="Times New Roman"/>
                <w:sz w:val="20"/>
                <w:szCs w:val="20"/>
                <w:lang w:val="en-US"/>
              </w:rPr>
            </w:pPr>
            <w:r w:rsidRPr="008B6BC5">
              <w:rPr>
                <w:rFonts w:cs="Times New Roman"/>
                <w:sz w:val="20"/>
                <w:szCs w:val="20"/>
                <w:lang w:val="en-US"/>
              </w:rPr>
              <w:t>Meta-analytic evidence indicates that structured exercise interventions for adult depression yield moderate effects versus inactive controls (SMD ≈ −0.5) and are non-inferior to antidepressants in some trials (</w:t>
            </w:r>
            <w:proofErr w:type="spellStart"/>
            <w:r w:rsidRPr="008B6BC5">
              <w:rPr>
                <w:rFonts w:cs="Times New Roman"/>
                <w:sz w:val="20"/>
                <w:szCs w:val="20"/>
                <w:lang w:val="en-US"/>
              </w:rPr>
              <w:t>Noetel</w:t>
            </w:r>
            <w:proofErr w:type="spellEnd"/>
            <w:r w:rsidRPr="008B6BC5">
              <w:rPr>
                <w:rFonts w:cs="Times New Roman"/>
                <w:sz w:val="20"/>
                <w:szCs w:val="20"/>
                <w:lang w:val="en-US"/>
              </w:rPr>
              <w:t xml:space="preserve"> et al., 2024). </w:t>
            </w:r>
          </w:p>
        </w:tc>
        <w:tc>
          <w:tcPr>
            <w:tcW w:w="4202" w:type="dxa"/>
          </w:tcPr>
          <w:p w14:paraId="1D7A28BF" w14:textId="14DAEC15" w:rsidR="00E73353" w:rsidRPr="008B6BC5" w:rsidRDefault="00E73353" w:rsidP="00E73353">
            <w:pPr>
              <w:pStyle w:val="NoSpacing"/>
              <w:rPr>
                <w:rFonts w:cs="Times New Roman"/>
                <w:sz w:val="20"/>
                <w:szCs w:val="20"/>
                <w:lang w:val="en-US"/>
              </w:rPr>
            </w:pPr>
            <w:r w:rsidRPr="008B6BC5">
              <w:rPr>
                <w:rFonts w:cs="Times New Roman"/>
                <w:sz w:val="20"/>
                <w:szCs w:val="20"/>
                <w:lang w:val="en-US"/>
              </w:rPr>
              <w:t>http://dx.doi.org/10.1136/ bmj‑2023‑075847</w:t>
            </w:r>
          </w:p>
        </w:tc>
        <w:tc>
          <w:tcPr>
            <w:tcW w:w="690" w:type="dxa"/>
          </w:tcPr>
          <w:p w14:paraId="7279E979" w14:textId="7FA4F30A" w:rsidR="00E73353" w:rsidRPr="008B6BC5" w:rsidRDefault="000D447C" w:rsidP="00E73353">
            <w:pPr>
              <w:pStyle w:val="NoSpacing"/>
              <w:rPr>
                <w:rFonts w:cs="Times New Roman"/>
                <w:sz w:val="20"/>
                <w:szCs w:val="20"/>
                <w:lang w:val="en-US"/>
              </w:rPr>
            </w:pPr>
            <w:r w:rsidRPr="008B6BC5">
              <w:rPr>
                <w:rFonts w:cs="Times New Roman"/>
                <w:sz w:val="20"/>
                <w:szCs w:val="20"/>
                <w:lang w:val="en-US"/>
              </w:rPr>
              <w:t>1</w:t>
            </w:r>
          </w:p>
        </w:tc>
        <w:tc>
          <w:tcPr>
            <w:tcW w:w="3944" w:type="dxa"/>
          </w:tcPr>
          <w:p w14:paraId="49FEA8BD" w14:textId="46B68F4E" w:rsidR="00E73353" w:rsidRPr="008B6BC5" w:rsidRDefault="00D748EF" w:rsidP="00E73353">
            <w:pPr>
              <w:pStyle w:val="NoSpacing"/>
              <w:rPr>
                <w:rFonts w:cs="Times New Roman"/>
                <w:sz w:val="20"/>
                <w:szCs w:val="20"/>
                <w:lang w:val="en-US"/>
              </w:rPr>
            </w:pPr>
            <w:r w:rsidRPr="008B6BC5">
              <w:rPr>
                <w:rFonts w:cs="Times New Roman"/>
                <w:sz w:val="20"/>
                <w:szCs w:val="20"/>
                <w:lang w:val="en-US"/>
              </w:rPr>
              <w:t xml:space="preserve">There were no comparisons to antidepressants and no corresponding tests of non-inferiority. </w:t>
            </w:r>
          </w:p>
        </w:tc>
      </w:tr>
      <w:tr w:rsidR="00E73353" w:rsidRPr="008B6BC5" w14:paraId="547873E6" w14:textId="77777777" w:rsidTr="00760C26">
        <w:tc>
          <w:tcPr>
            <w:tcW w:w="1560" w:type="dxa"/>
          </w:tcPr>
          <w:p w14:paraId="471A5F39" w14:textId="12936714" w:rsidR="00E73353" w:rsidRPr="008B6BC5" w:rsidRDefault="000938FF" w:rsidP="00E73353">
            <w:pPr>
              <w:pStyle w:val="NoSpacing"/>
              <w:rPr>
                <w:rFonts w:cs="Times New Roman"/>
                <w:sz w:val="20"/>
                <w:szCs w:val="20"/>
                <w:lang w:val="en-US"/>
              </w:rPr>
            </w:pPr>
            <w:r w:rsidRPr="008B6BC5">
              <w:rPr>
                <w:rFonts w:cs="Times New Roman"/>
                <w:sz w:val="20"/>
                <w:szCs w:val="20"/>
                <w:lang w:val="en-US"/>
              </w:rPr>
              <w:t>19</w:t>
            </w:r>
          </w:p>
        </w:tc>
        <w:tc>
          <w:tcPr>
            <w:tcW w:w="6048" w:type="dxa"/>
          </w:tcPr>
          <w:p w14:paraId="59C3F6C1" w14:textId="2359C10E" w:rsidR="00E73353" w:rsidRPr="008B6BC5" w:rsidRDefault="00E73353" w:rsidP="00E73353">
            <w:pPr>
              <w:pStyle w:val="NoSpacing"/>
              <w:rPr>
                <w:rFonts w:cs="Times New Roman"/>
                <w:sz w:val="20"/>
                <w:szCs w:val="20"/>
                <w:lang w:val="en-US"/>
              </w:rPr>
            </w:pPr>
            <w:r w:rsidRPr="008B6BC5">
              <w:rPr>
                <w:rFonts w:cs="Times New Roman"/>
                <w:sz w:val="20"/>
                <w:szCs w:val="20"/>
                <w:lang w:val="en-US"/>
              </w:rPr>
              <w:t>Smartphone mental health apps, many incorporating CBT or BA elements, show small effects on depressive symptoms (g ≈ 0.33) versus digital or waitlist controls across 176 RCTs (Linardon et al., 2024).</w:t>
            </w:r>
          </w:p>
        </w:tc>
        <w:tc>
          <w:tcPr>
            <w:tcW w:w="4202" w:type="dxa"/>
          </w:tcPr>
          <w:p w14:paraId="4DDE3D47" w14:textId="4571A802" w:rsidR="00E73353" w:rsidRPr="008B6BC5" w:rsidRDefault="00E73353" w:rsidP="00E73353">
            <w:pPr>
              <w:pStyle w:val="NoSpacing"/>
              <w:rPr>
                <w:rFonts w:cs="Times New Roman"/>
                <w:sz w:val="20"/>
                <w:szCs w:val="20"/>
                <w:lang w:val="en-US"/>
              </w:rPr>
            </w:pPr>
            <w:r w:rsidRPr="008B6BC5">
              <w:rPr>
                <w:rFonts w:cs="Times New Roman"/>
                <w:sz w:val="20"/>
                <w:szCs w:val="20"/>
                <w:lang w:val="en-US"/>
              </w:rPr>
              <w:t>DOI:10.1002/wps.21183</w:t>
            </w:r>
          </w:p>
        </w:tc>
        <w:tc>
          <w:tcPr>
            <w:tcW w:w="690" w:type="dxa"/>
          </w:tcPr>
          <w:p w14:paraId="61E1AD99" w14:textId="64A4808B" w:rsidR="00E73353" w:rsidRPr="008B6BC5" w:rsidRDefault="00D748EF" w:rsidP="00E73353">
            <w:pPr>
              <w:pStyle w:val="NoSpacing"/>
              <w:rPr>
                <w:rFonts w:cs="Times New Roman"/>
                <w:sz w:val="20"/>
                <w:szCs w:val="20"/>
                <w:lang w:val="en-US"/>
              </w:rPr>
            </w:pPr>
            <w:r w:rsidRPr="008B6BC5">
              <w:rPr>
                <w:rFonts w:cs="Times New Roman"/>
                <w:sz w:val="20"/>
                <w:szCs w:val="20"/>
                <w:lang w:val="en-US"/>
              </w:rPr>
              <w:t>3</w:t>
            </w:r>
          </w:p>
        </w:tc>
        <w:tc>
          <w:tcPr>
            <w:tcW w:w="3944" w:type="dxa"/>
          </w:tcPr>
          <w:p w14:paraId="29CDBA7F" w14:textId="46F78AD4" w:rsidR="00E73353" w:rsidRPr="008B6BC5" w:rsidRDefault="00042FAD" w:rsidP="00E73353">
            <w:pPr>
              <w:pStyle w:val="NoSpacing"/>
              <w:rPr>
                <w:rFonts w:cs="Times New Roman"/>
                <w:sz w:val="20"/>
                <w:szCs w:val="20"/>
                <w:lang w:val="en-US"/>
              </w:rPr>
            </w:pPr>
            <w:r w:rsidRPr="008B6BC5">
              <w:rPr>
                <w:rFonts w:cs="Times New Roman"/>
                <w:sz w:val="20"/>
                <w:szCs w:val="20"/>
                <w:lang w:val="en-US"/>
              </w:rPr>
              <w:t xml:space="preserve">Minor inaccuracy in the reported effect size. </w:t>
            </w:r>
          </w:p>
        </w:tc>
      </w:tr>
      <w:tr w:rsidR="00E73353" w:rsidRPr="008B6BC5" w14:paraId="3616F7DD" w14:textId="77777777" w:rsidTr="00760C26">
        <w:tc>
          <w:tcPr>
            <w:tcW w:w="1560" w:type="dxa"/>
          </w:tcPr>
          <w:p w14:paraId="05810080" w14:textId="05F5F4DD" w:rsidR="00E73353" w:rsidRPr="008B6BC5" w:rsidRDefault="000938FF" w:rsidP="00E73353">
            <w:pPr>
              <w:pStyle w:val="NoSpacing"/>
              <w:rPr>
                <w:rFonts w:cs="Times New Roman"/>
                <w:sz w:val="20"/>
                <w:szCs w:val="20"/>
                <w:lang w:val="en-US"/>
              </w:rPr>
            </w:pPr>
            <w:r w:rsidRPr="008B6BC5">
              <w:rPr>
                <w:rFonts w:cs="Times New Roman"/>
                <w:sz w:val="20"/>
                <w:szCs w:val="20"/>
                <w:lang w:val="en-US"/>
              </w:rPr>
              <w:t>20</w:t>
            </w:r>
          </w:p>
        </w:tc>
        <w:tc>
          <w:tcPr>
            <w:tcW w:w="6048" w:type="dxa"/>
          </w:tcPr>
          <w:p w14:paraId="40FCDC82" w14:textId="4D839E14" w:rsidR="00E73353" w:rsidRPr="008B6BC5" w:rsidRDefault="00E73353" w:rsidP="00E73353">
            <w:pPr>
              <w:pStyle w:val="NoSpacing"/>
              <w:rPr>
                <w:rFonts w:cs="Times New Roman"/>
                <w:sz w:val="20"/>
                <w:szCs w:val="20"/>
                <w:lang w:val="en-US"/>
              </w:rPr>
            </w:pPr>
            <w:r w:rsidRPr="008B6BC5">
              <w:rPr>
                <w:rFonts w:cs="Times New Roman"/>
                <w:sz w:val="20"/>
                <w:szCs w:val="20"/>
                <w:lang w:val="en-US"/>
              </w:rPr>
              <w:t>A meta-analysis of 54 RCTs of individual psychotherapy for major depression (N = 5,852) found an overall study-level dropout rate of 19.9%, with 17.5% of patients discontinuing psychotherapy prematurely (Cooper &amp; Conklin, 2015). Dropout was modestly higher in trials with longer treatment duration and in those using individual rather than group formats</w:t>
            </w:r>
          </w:p>
        </w:tc>
        <w:tc>
          <w:tcPr>
            <w:tcW w:w="4202" w:type="dxa"/>
          </w:tcPr>
          <w:p w14:paraId="3FA42EEF" w14:textId="50804579" w:rsidR="00E73353" w:rsidRPr="008B6BC5" w:rsidRDefault="00E73353" w:rsidP="00E73353">
            <w:pPr>
              <w:pStyle w:val="NoSpacing"/>
              <w:rPr>
                <w:rFonts w:cs="Times New Roman"/>
                <w:sz w:val="20"/>
                <w:szCs w:val="20"/>
                <w:lang w:val="en-US"/>
              </w:rPr>
            </w:pPr>
            <w:r w:rsidRPr="008B6BC5">
              <w:rPr>
                <w:rFonts w:cs="Times New Roman"/>
                <w:sz w:val="20"/>
                <w:szCs w:val="20"/>
                <w:lang w:val="en-US"/>
              </w:rPr>
              <w:t>http://dx.doi.org/10.1016/j.cpr.2015.05.001</w:t>
            </w:r>
          </w:p>
        </w:tc>
        <w:tc>
          <w:tcPr>
            <w:tcW w:w="690" w:type="dxa"/>
          </w:tcPr>
          <w:p w14:paraId="18A95A26" w14:textId="2195BCD0" w:rsidR="00E73353" w:rsidRPr="008B6BC5" w:rsidRDefault="00042FAD" w:rsidP="00E73353">
            <w:pPr>
              <w:pStyle w:val="NoSpacing"/>
              <w:rPr>
                <w:rFonts w:cs="Times New Roman"/>
                <w:sz w:val="20"/>
                <w:szCs w:val="20"/>
                <w:lang w:val="en-US"/>
              </w:rPr>
            </w:pPr>
            <w:r w:rsidRPr="008B6BC5">
              <w:rPr>
                <w:rFonts w:cs="Times New Roman"/>
                <w:sz w:val="20"/>
                <w:szCs w:val="20"/>
                <w:lang w:val="en-US"/>
              </w:rPr>
              <w:t>1</w:t>
            </w:r>
          </w:p>
        </w:tc>
        <w:tc>
          <w:tcPr>
            <w:tcW w:w="3944" w:type="dxa"/>
          </w:tcPr>
          <w:p w14:paraId="33F416AF" w14:textId="3641160A" w:rsidR="00E73353" w:rsidRPr="008B6BC5" w:rsidRDefault="00042FAD" w:rsidP="00E73353">
            <w:pPr>
              <w:pStyle w:val="NoSpacing"/>
              <w:rPr>
                <w:rFonts w:cs="Times New Roman"/>
                <w:sz w:val="20"/>
                <w:szCs w:val="20"/>
                <w:lang w:val="en-US"/>
              </w:rPr>
            </w:pPr>
            <w:r w:rsidRPr="008B6BC5">
              <w:rPr>
                <w:rFonts w:cs="Times New Roman"/>
                <w:sz w:val="20"/>
                <w:szCs w:val="20"/>
                <w:lang w:val="en-US"/>
              </w:rPr>
              <w:t xml:space="preserve">The authors only included individual psychotherapy and excluded group psychotherapy trials. This was not a moderating variable tested. </w:t>
            </w:r>
          </w:p>
        </w:tc>
      </w:tr>
      <w:tr w:rsidR="00E73353" w:rsidRPr="008B6BC5" w14:paraId="72966CC4" w14:textId="77777777" w:rsidTr="00760C26">
        <w:tc>
          <w:tcPr>
            <w:tcW w:w="1560" w:type="dxa"/>
          </w:tcPr>
          <w:p w14:paraId="4874F8B0" w14:textId="16D36E7D" w:rsidR="00E73353" w:rsidRPr="008B6BC5" w:rsidRDefault="000938FF" w:rsidP="00E73353">
            <w:pPr>
              <w:pStyle w:val="NoSpacing"/>
              <w:rPr>
                <w:rFonts w:cs="Times New Roman"/>
                <w:sz w:val="20"/>
                <w:szCs w:val="20"/>
                <w:lang w:val="en-US"/>
              </w:rPr>
            </w:pPr>
            <w:r w:rsidRPr="008B6BC5">
              <w:rPr>
                <w:rFonts w:cs="Times New Roman"/>
                <w:sz w:val="20"/>
                <w:szCs w:val="20"/>
                <w:lang w:val="en-US"/>
              </w:rPr>
              <w:t>21</w:t>
            </w:r>
          </w:p>
        </w:tc>
        <w:tc>
          <w:tcPr>
            <w:tcW w:w="6048" w:type="dxa"/>
          </w:tcPr>
          <w:p w14:paraId="4A755932" w14:textId="3F76DCB9" w:rsidR="00E73353" w:rsidRPr="008B6BC5" w:rsidRDefault="00E73353" w:rsidP="00E73353">
            <w:pPr>
              <w:pStyle w:val="NoSpacing"/>
              <w:rPr>
                <w:rFonts w:cs="Times New Roman"/>
                <w:sz w:val="20"/>
                <w:szCs w:val="20"/>
                <w:lang w:val="en-US"/>
              </w:rPr>
            </w:pPr>
            <w:r w:rsidRPr="008B6BC5">
              <w:rPr>
                <w:rFonts w:cs="Times New Roman"/>
                <w:sz w:val="20"/>
                <w:szCs w:val="20"/>
                <w:lang w:val="en-US"/>
              </w:rPr>
              <w:t>A broader meta-analysis of psychotherapies for adult depression noted that most modalities show comparable all-cause dropout, with only non-directive counselling and possibly psychodynamic therapy exhibiting slightly higher attrition in some networks (Cuijpers et al., 2021b).</w:t>
            </w:r>
          </w:p>
        </w:tc>
        <w:tc>
          <w:tcPr>
            <w:tcW w:w="4202" w:type="dxa"/>
          </w:tcPr>
          <w:p w14:paraId="12EBA42A" w14:textId="38A5894A" w:rsidR="00E73353" w:rsidRPr="008B6BC5" w:rsidRDefault="00E73353" w:rsidP="00E73353">
            <w:pPr>
              <w:pStyle w:val="NoSpacing"/>
              <w:rPr>
                <w:rFonts w:cs="Times New Roman"/>
                <w:sz w:val="20"/>
                <w:szCs w:val="20"/>
                <w:lang w:val="en-US"/>
              </w:rPr>
            </w:pPr>
            <w:r w:rsidRPr="008B6BC5">
              <w:rPr>
                <w:rFonts w:cs="Times New Roman"/>
                <w:sz w:val="20"/>
                <w:szCs w:val="20"/>
                <w:lang w:val="en-US"/>
              </w:rPr>
              <w:t>DOI:10.1002/wps.20860</w:t>
            </w:r>
          </w:p>
        </w:tc>
        <w:tc>
          <w:tcPr>
            <w:tcW w:w="690" w:type="dxa"/>
          </w:tcPr>
          <w:p w14:paraId="7505A04B" w14:textId="2B7ECDF4" w:rsidR="00E73353" w:rsidRPr="008B6BC5" w:rsidRDefault="00B72AC6" w:rsidP="00E73353">
            <w:pPr>
              <w:pStyle w:val="NoSpacing"/>
              <w:rPr>
                <w:rFonts w:cs="Times New Roman"/>
                <w:sz w:val="20"/>
                <w:szCs w:val="20"/>
                <w:lang w:val="en-US"/>
              </w:rPr>
            </w:pPr>
            <w:r w:rsidRPr="008B6BC5">
              <w:rPr>
                <w:rFonts w:cs="Times New Roman"/>
                <w:sz w:val="20"/>
                <w:szCs w:val="20"/>
                <w:lang w:val="en-US"/>
              </w:rPr>
              <w:t>2</w:t>
            </w:r>
          </w:p>
        </w:tc>
        <w:tc>
          <w:tcPr>
            <w:tcW w:w="3944" w:type="dxa"/>
          </w:tcPr>
          <w:p w14:paraId="73E3508F" w14:textId="1B1F4CF3" w:rsidR="00E73353" w:rsidRPr="008B6BC5" w:rsidRDefault="00B72AC6" w:rsidP="00E73353">
            <w:pPr>
              <w:pStyle w:val="NoSpacing"/>
              <w:rPr>
                <w:rFonts w:cs="Times New Roman"/>
                <w:sz w:val="20"/>
                <w:szCs w:val="20"/>
                <w:lang w:val="en-US"/>
              </w:rPr>
            </w:pPr>
            <w:r w:rsidRPr="008B6BC5">
              <w:rPr>
                <w:rFonts w:cs="Times New Roman"/>
                <w:sz w:val="20"/>
                <w:szCs w:val="20"/>
                <w:lang w:val="en-US"/>
              </w:rPr>
              <w:t xml:space="preserve">The authors reported that no significant differences in acceptability were found between psychotherapies. </w:t>
            </w:r>
          </w:p>
        </w:tc>
      </w:tr>
      <w:tr w:rsidR="004F612B" w:rsidRPr="008B6BC5" w14:paraId="69BDB0A2" w14:textId="77777777" w:rsidTr="00760C26">
        <w:tc>
          <w:tcPr>
            <w:tcW w:w="1560" w:type="dxa"/>
          </w:tcPr>
          <w:p w14:paraId="17CA44B7" w14:textId="38C8ABBF" w:rsidR="004F612B" w:rsidRPr="008B6BC5" w:rsidRDefault="000938FF" w:rsidP="004F612B">
            <w:pPr>
              <w:pStyle w:val="NoSpacing"/>
              <w:rPr>
                <w:rFonts w:cs="Times New Roman"/>
                <w:sz w:val="20"/>
                <w:szCs w:val="20"/>
                <w:lang w:val="en-US"/>
              </w:rPr>
            </w:pPr>
            <w:r w:rsidRPr="008B6BC5">
              <w:rPr>
                <w:rFonts w:cs="Times New Roman"/>
                <w:sz w:val="20"/>
                <w:szCs w:val="20"/>
                <w:lang w:val="en-US"/>
              </w:rPr>
              <w:t>22</w:t>
            </w:r>
          </w:p>
        </w:tc>
        <w:tc>
          <w:tcPr>
            <w:tcW w:w="6048" w:type="dxa"/>
          </w:tcPr>
          <w:p w14:paraId="45BAE497" w14:textId="66771A53" w:rsidR="004F612B" w:rsidRPr="008B6BC5" w:rsidRDefault="004F612B" w:rsidP="004F612B">
            <w:pPr>
              <w:pStyle w:val="NoSpacing"/>
              <w:rPr>
                <w:rFonts w:cs="Times New Roman"/>
                <w:sz w:val="20"/>
                <w:szCs w:val="20"/>
                <w:lang w:val="en-US"/>
              </w:rPr>
            </w:pPr>
            <w:r w:rsidRPr="008B6BC5">
              <w:rPr>
                <w:rFonts w:cs="Times New Roman"/>
                <w:sz w:val="20"/>
                <w:szCs w:val="20"/>
                <w:lang w:val="en-US"/>
              </w:rPr>
              <w:t>Vaughan et al. (2014) surveyed randomized trials and documented that AEs were reported far more frequently in pharmacotherapy studies than in psychotherapy trials, where only a minority of reports systematically monitored potential harms.</w:t>
            </w:r>
          </w:p>
        </w:tc>
        <w:tc>
          <w:tcPr>
            <w:tcW w:w="4202" w:type="dxa"/>
          </w:tcPr>
          <w:p w14:paraId="2DE052F8" w14:textId="057312FE" w:rsidR="004F612B" w:rsidRPr="008B6BC5" w:rsidRDefault="004F612B" w:rsidP="004F612B">
            <w:pPr>
              <w:pStyle w:val="NoSpacing"/>
              <w:rPr>
                <w:rFonts w:cs="Times New Roman"/>
                <w:sz w:val="20"/>
                <w:szCs w:val="20"/>
                <w:lang w:val="en-US"/>
              </w:rPr>
            </w:pPr>
            <w:r w:rsidRPr="008B6BC5">
              <w:rPr>
                <w:rFonts w:cs="Times New Roman"/>
                <w:sz w:val="20"/>
                <w:szCs w:val="20"/>
                <w:lang w:val="en-US"/>
              </w:rPr>
              <w:t>doi:10.1016/j.comppsych.2014.01.001.</w:t>
            </w:r>
          </w:p>
        </w:tc>
        <w:tc>
          <w:tcPr>
            <w:tcW w:w="690" w:type="dxa"/>
          </w:tcPr>
          <w:p w14:paraId="11DBACF8" w14:textId="7E81D30A" w:rsidR="004F612B" w:rsidRPr="008B6BC5" w:rsidRDefault="004F612B" w:rsidP="004F612B">
            <w:pPr>
              <w:pStyle w:val="NoSpacing"/>
              <w:rPr>
                <w:rFonts w:cs="Times New Roman"/>
                <w:sz w:val="20"/>
                <w:szCs w:val="20"/>
                <w:lang w:val="en-US"/>
              </w:rPr>
            </w:pPr>
            <w:r w:rsidRPr="008B6BC5">
              <w:rPr>
                <w:rFonts w:cs="Times New Roman"/>
                <w:sz w:val="20"/>
                <w:szCs w:val="20"/>
                <w:lang w:val="en-US"/>
              </w:rPr>
              <w:t>4</w:t>
            </w:r>
          </w:p>
        </w:tc>
        <w:tc>
          <w:tcPr>
            <w:tcW w:w="3944" w:type="dxa"/>
          </w:tcPr>
          <w:p w14:paraId="33875467" w14:textId="558A2B7B" w:rsidR="004F612B" w:rsidRPr="008B6BC5" w:rsidRDefault="004F612B" w:rsidP="004F612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4F612B" w:rsidRPr="008B6BC5" w14:paraId="4E7CCD44" w14:textId="77777777" w:rsidTr="00760C26">
        <w:tc>
          <w:tcPr>
            <w:tcW w:w="1560" w:type="dxa"/>
          </w:tcPr>
          <w:p w14:paraId="54F511BD" w14:textId="34D4C4D9" w:rsidR="004F612B" w:rsidRPr="008B6BC5" w:rsidRDefault="000938FF" w:rsidP="004F612B">
            <w:pPr>
              <w:pStyle w:val="NoSpacing"/>
              <w:rPr>
                <w:rFonts w:cs="Times New Roman"/>
                <w:sz w:val="20"/>
                <w:szCs w:val="20"/>
                <w:lang w:val="en-US"/>
              </w:rPr>
            </w:pPr>
            <w:r w:rsidRPr="008B6BC5">
              <w:rPr>
                <w:rFonts w:cs="Times New Roman"/>
                <w:sz w:val="20"/>
                <w:szCs w:val="20"/>
                <w:lang w:val="en-US"/>
              </w:rPr>
              <w:t>2</w:t>
            </w:r>
            <w:r w:rsidR="005A677F" w:rsidRPr="008B6BC5">
              <w:rPr>
                <w:rFonts w:cs="Times New Roman"/>
                <w:sz w:val="20"/>
                <w:szCs w:val="20"/>
                <w:lang w:val="en-US"/>
              </w:rPr>
              <w:t>3</w:t>
            </w:r>
            <w:r w:rsidRPr="008B6BC5">
              <w:rPr>
                <w:rFonts w:cs="Times New Roman"/>
                <w:sz w:val="20"/>
                <w:szCs w:val="20"/>
                <w:lang w:val="en-US"/>
              </w:rPr>
              <w:t>.1</w:t>
            </w:r>
          </w:p>
          <w:p w14:paraId="7EFA18FD" w14:textId="7D7F47D9" w:rsidR="000938FF" w:rsidRPr="008B6BC5" w:rsidRDefault="000938FF" w:rsidP="004F612B">
            <w:pPr>
              <w:pStyle w:val="NoSpacing"/>
              <w:rPr>
                <w:rFonts w:cs="Times New Roman"/>
                <w:sz w:val="20"/>
                <w:szCs w:val="20"/>
                <w:lang w:val="en-US"/>
              </w:rPr>
            </w:pPr>
            <w:r w:rsidRPr="008B6BC5">
              <w:rPr>
                <w:rFonts w:cs="Times New Roman"/>
                <w:sz w:val="20"/>
                <w:szCs w:val="20"/>
                <w:lang w:val="en-US"/>
              </w:rPr>
              <w:t>2</w:t>
            </w:r>
            <w:r w:rsidR="005A677F" w:rsidRPr="008B6BC5">
              <w:rPr>
                <w:rFonts w:cs="Times New Roman"/>
                <w:sz w:val="20"/>
                <w:szCs w:val="20"/>
                <w:lang w:val="en-US"/>
              </w:rPr>
              <w:t>3</w:t>
            </w:r>
            <w:r w:rsidRPr="008B6BC5">
              <w:rPr>
                <w:rFonts w:cs="Times New Roman"/>
                <w:sz w:val="20"/>
                <w:szCs w:val="20"/>
                <w:lang w:val="en-US"/>
              </w:rPr>
              <w:t>.2</w:t>
            </w:r>
          </w:p>
        </w:tc>
        <w:tc>
          <w:tcPr>
            <w:tcW w:w="6048" w:type="dxa"/>
          </w:tcPr>
          <w:p w14:paraId="5B9DA1E3" w14:textId="58A656C4" w:rsidR="004F612B" w:rsidRPr="008B6BC5" w:rsidRDefault="004F612B" w:rsidP="004F612B">
            <w:pPr>
              <w:pStyle w:val="NoSpacing"/>
              <w:rPr>
                <w:rFonts w:cs="Times New Roman"/>
                <w:sz w:val="20"/>
                <w:szCs w:val="20"/>
                <w:lang w:val="en-US"/>
              </w:rPr>
            </w:pPr>
            <w:r w:rsidRPr="008B6BC5">
              <w:rPr>
                <w:rFonts w:cs="Times New Roman"/>
                <w:sz w:val="20"/>
                <w:szCs w:val="20"/>
                <w:lang w:val="en-US"/>
              </w:rPr>
              <w:t>A recent systematic review of adverse events in psychotherapy RCTs across psychiatric indications suggests that when AEs are explicitly assessed, more than 10% of patients may report unwanted effects (e.g., symptom worsening, interpersonal strain, dependency), although serious AEs directly attributable to psychotherapy appear rare and causality is often unclear (</w:t>
            </w:r>
            <w:proofErr w:type="spellStart"/>
            <w:r w:rsidRPr="008B6BC5">
              <w:rPr>
                <w:rFonts w:cs="Times New Roman"/>
                <w:sz w:val="20"/>
                <w:szCs w:val="20"/>
                <w:lang w:val="en-US"/>
              </w:rPr>
              <w:t>Schermuly</w:t>
            </w:r>
            <w:proofErr w:type="spellEnd"/>
            <w:r w:rsidRPr="008B6BC5">
              <w:rPr>
                <w:rFonts w:cs="Times New Roman"/>
                <w:sz w:val="20"/>
                <w:szCs w:val="20"/>
                <w:lang w:val="en-US"/>
              </w:rPr>
              <w:t xml:space="preserve">-Haupt et al., 2018; </w:t>
            </w:r>
            <w:proofErr w:type="spellStart"/>
            <w:r w:rsidRPr="008B6BC5">
              <w:rPr>
                <w:rFonts w:cs="Times New Roman"/>
                <w:sz w:val="20"/>
                <w:szCs w:val="20"/>
                <w:lang w:val="en-US"/>
              </w:rPr>
              <w:t>Rheker</w:t>
            </w:r>
            <w:proofErr w:type="spellEnd"/>
            <w:r w:rsidRPr="008B6BC5">
              <w:rPr>
                <w:rFonts w:cs="Times New Roman"/>
                <w:sz w:val="20"/>
                <w:szCs w:val="20"/>
                <w:lang w:val="en-US"/>
              </w:rPr>
              <w:t xml:space="preserve"> et al., 2017).</w:t>
            </w:r>
          </w:p>
        </w:tc>
        <w:tc>
          <w:tcPr>
            <w:tcW w:w="4202" w:type="dxa"/>
          </w:tcPr>
          <w:p w14:paraId="7A56DD89" w14:textId="0223E472" w:rsidR="004F612B" w:rsidRPr="008B6BC5" w:rsidRDefault="004F612B" w:rsidP="004F612B">
            <w:pPr>
              <w:pStyle w:val="NoSpacing"/>
              <w:rPr>
                <w:rFonts w:cs="Times New Roman"/>
                <w:sz w:val="20"/>
                <w:szCs w:val="20"/>
                <w:lang w:val="en-US"/>
              </w:rPr>
            </w:pPr>
            <w:hyperlink r:id="rId18" w:history="1">
              <w:r w:rsidRPr="008B6BC5">
                <w:rPr>
                  <w:rStyle w:val="Hyperlink"/>
                  <w:rFonts w:cs="Times New Roman"/>
                  <w:sz w:val="20"/>
                  <w:szCs w:val="20"/>
                  <w:lang w:val="en-US"/>
                </w:rPr>
                <w:t>https://doi.org/10.1007/s10608-018-9904-y</w:t>
              </w:r>
            </w:hyperlink>
          </w:p>
          <w:p w14:paraId="49586498" w14:textId="47BA3FEF" w:rsidR="004F612B" w:rsidRPr="008B6BC5" w:rsidRDefault="004F612B" w:rsidP="004F612B">
            <w:pPr>
              <w:pStyle w:val="NoSpacing"/>
              <w:rPr>
                <w:rFonts w:cs="Times New Roman"/>
                <w:sz w:val="20"/>
                <w:szCs w:val="20"/>
                <w:lang w:val="en-US"/>
              </w:rPr>
            </w:pPr>
            <w:hyperlink r:id="rId19" w:history="1">
              <w:r w:rsidRPr="008B6BC5">
                <w:rPr>
                  <w:rStyle w:val="Hyperlink"/>
                  <w:rFonts w:cs="Times New Roman"/>
                  <w:sz w:val="20"/>
                  <w:szCs w:val="20"/>
                  <w:lang w:val="en-US"/>
                </w:rPr>
                <w:t>http://dx.doi.org/10.1016/j.psychres.2017.04.042</w:t>
              </w:r>
            </w:hyperlink>
            <w:r w:rsidRPr="008B6BC5">
              <w:rPr>
                <w:rFonts w:cs="Times New Roman"/>
                <w:sz w:val="20"/>
                <w:szCs w:val="20"/>
                <w:lang w:val="en-US"/>
              </w:rPr>
              <w:t xml:space="preserve"> </w:t>
            </w:r>
          </w:p>
        </w:tc>
        <w:tc>
          <w:tcPr>
            <w:tcW w:w="690" w:type="dxa"/>
          </w:tcPr>
          <w:p w14:paraId="01B3AA9C" w14:textId="77777777" w:rsidR="004F612B" w:rsidRPr="008B6BC5" w:rsidRDefault="00085D3D" w:rsidP="004F612B">
            <w:pPr>
              <w:pStyle w:val="NoSpacing"/>
              <w:rPr>
                <w:rFonts w:cs="Times New Roman"/>
                <w:sz w:val="20"/>
                <w:szCs w:val="20"/>
                <w:lang w:val="en-US"/>
              </w:rPr>
            </w:pPr>
            <w:r w:rsidRPr="008B6BC5">
              <w:rPr>
                <w:rFonts w:cs="Times New Roman"/>
                <w:sz w:val="20"/>
                <w:szCs w:val="20"/>
                <w:lang w:val="en-US"/>
              </w:rPr>
              <w:t>2</w:t>
            </w:r>
          </w:p>
          <w:p w14:paraId="5F1800F8" w14:textId="64A4C7AF" w:rsidR="00085D3D" w:rsidRPr="008B6BC5" w:rsidRDefault="00085D3D" w:rsidP="004F612B">
            <w:pPr>
              <w:pStyle w:val="NoSpacing"/>
              <w:rPr>
                <w:rFonts w:cs="Times New Roman"/>
                <w:sz w:val="20"/>
                <w:szCs w:val="20"/>
                <w:lang w:val="en-US"/>
              </w:rPr>
            </w:pPr>
            <w:r w:rsidRPr="008B6BC5">
              <w:rPr>
                <w:rFonts w:cs="Times New Roman"/>
                <w:sz w:val="20"/>
                <w:szCs w:val="20"/>
                <w:lang w:val="en-US"/>
              </w:rPr>
              <w:t>2</w:t>
            </w:r>
          </w:p>
        </w:tc>
        <w:tc>
          <w:tcPr>
            <w:tcW w:w="3944" w:type="dxa"/>
          </w:tcPr>
          <w:p w14:paraId="36EA1D8F" w14:textId="4143A1DA" w:rsidR="004F612B" w:rsidRPr="008B6BC5" w:rsidRDefault="00085D3D" w:rsidP="004F612B">
            <w:pPr>
              <w:pStyle w:val="NoSpacing"/>
              <w:rPr>
                <w:rFonts w:cs="Times New Roman"/>
                <w:sz w:val="20"/>
                <w:szCs w:val="20"/>
                <w:lang w:val="en-US"/>
              </w:rPr>
            </w:pPr>
            <w:r w:rsidRPr="008B6BC5">
              <w:rPr>
                <w:rFonts w:cs="Times New Roman"/>
                <w:sz w:val="20"/>
                <w:szCs w:val="20"/>
                <w:lang w:val="en-US"/>
              </w:rPr>
              <w:t xml:space="preserve">Neither of these cited sources were systematic reviews; both were empirical investigations. </w:t>
            </w:r>
          </w:p>
        </w:tc>
      </w:tr>
      <w:tr w:rsidR="005D36F1" w:rsidRPr="008B6BC5" w14:paraId="7CE711DB" w14:textId="77777777" w:rsidTr="00760C26">
        <w:tc>
          <w:tcPr>
            <w:tcW w:w="1560" w:type="dxa"/>
          </w:tcPr>
          <w:p w14:paraId="05AB1039" w14:textId="7E836E41" w:rsidR="005D36F1" w:rsidRPr="008B6BC5" w:rsidRDefault="000938FF" w:rsidP="005D36F1">
            <w:pPr>
              <w:pStyle w:val="NoSpacing"/>
              <w:rPr>
                <w:rFonts w:cs="Times New Roman"/>
                <w:sz w:val="20"/>
                <w:szCs w:val="20"/>
                <w:lang w:val="en-US"/>
              </w:rPr>
            </w:pPr>
            <w:r w:rsidRPr="008B6BC5">
              <w:rPr>
                <w:rFonts w:cs="Times New Roman"/>
                <w:sz w:val="20"/>
                <w:szCs w:val="20"/>
                <w:lang w:val="en-US"/>
              </w:rPr>
              <w:lastRenderedPageBreak/>
              <w:t>2</w:t>
            </w:r>
            <w:r w:rsidR="005A677F" w:rsidRPr="008B6BC5">
              <w:rPr>
                <w:rFonts w:cs="Times New Roman"/>
                <w:sz w:val="20"/>
                <w:szCs w:val="20"/>
                <w:lang w:val="en-US"/>
              </w:rPr>
              <w:t>4</w:t>
            </w:r>
          </w:p>
        </w:tc>
        <w:tc>
          <w:tcPr>
            <w:tcW w:w="6048" w:type="dxa"/>
          </w:tcPr>
          <w:p w14:paraId="0E9A1BC0" w14:textId="612A3D16"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In a systematic review and meta-analysis of RCTs of mental health apps (including many trials targeting depression), the weighted average deterioration rate in app arms was 6.7% (95% CI 4.3–10.1) compared with 10.1% (95% CI 5.8–16.7) in control conditions; odds of deterioration did not significantly differ between apps and controls (OR = 0.79, 95% CI 0.62–1.01) (Linardon et al., 2024). Severe AEs (hospitalization, suicidality, death) occurred in some trials but were rarely adjudicated as app-related. </w:t>
            </w:r>
          </w:p>
        </w:tc>
        <w:tc>
          <w:tcPr>
            <w:tcW w:w="4202" w:type="dxa"/>
          </w:tcPr>
          <w:p w14:paraId="49273B56" w14:textId="2FE04372" w:rsidR="005D36F1" w:rsidRPr="008B6BC5" w:rsidRDefault="005D36F1" w:rsidP="005D36F1">
            <w:pPr>
              <w:pStyle w:val="NoSpacing"/>
              <w:rPr>
                <w:rFonts w:cs="Times New Roman"/>
                <w:sz w:val="20"/>
                <w:szCs w:val="20"/>
                <w:lang w:val="en-US"/>
              </w:rPr>
            </w:pPr>
            <w:r w:rsidRPr="008B6BC5">
              <w:rPr>
                <w:rFonts w:cs="Times New Roman"/>
                <w:sz w:val="20"/>
                <w:szCs w:val="20"/>
              </w:rPr>
              <w:t>https://doi.org/10.1038/s41746-024-01388-y</w:t>
            </w:r>
          </w:p>
        </w:tc>
        <w:tc>
          <w:tcPr>
            <w:tcW w:w="690" w:type="dxa"/>
          </w:tcPr>
          <w:p w14:paraId="011C40FE" w14:textId="4952C16E" w:rsidR="005D36F1" w:rsidRPr="008B6BC5" w:rsidRDefault="005D36F1" w:rsidP="005D36F1">
            <w:pPr>
              <w:pStyle w:val="NoSpacing"/>
              <w:rPr>
                <w:rFonts w:cs="Times New Roman"/>
                <w:sz w:val="20"/>
                <w:szCs w:val="20"/>
                <w:lang w:val="en-US"/>
              </w:rPr>
            </w:pPr>
            <w:r w:rsidRPr="008B6BC5">
              <w:rPr>
                <w:rFonts w:cs="Times New Roman"/>
                <w:sz w:val="20"/>
                <w:szCs w:val="20"/>
                <w:lang w:val="en-US"/>
              </w:rPr>
              <w:t>4</w:t>
            </w:r>
          </w:p>
        </w:tc>
        <w:tc>
          <w:tcPr>
            <w:tcW w:w="3944" w:type="dxa"/>
          </w:tcPr>
          <w:p w14:paraId="33F5EF38" w14:textId="06D3682A"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D36F1" w:rsidRPr="008B6BC5" w14:paraId="1BA2C55D" w14:textId="77777777" w:rsidTr="00760C26">
        <w:tc>
          <w:tcPr>
            <w:tcW w:w="1560" w:type="dxa"/>
          </w:tcPr>
          <w:p w14:paraId="5118011D" w14:textId="3FB3A3D1" w:rsidR="005D36F1" w:rsidRPr="008B6BC5" w:rsidRDefault="000938FF" w:rsidP="005D36F1">
            <w:pPr>
              <w:pStyle w:val="NoSpacing"/>
              <w:rPr>
                <w:rFonts w:cs="Times New Roman"/>
                <w:sz w:val="20"/>
                <w:szCs w:val="20"/>
                <w:lang w:val="en-US"/>
              </w:rPr>
            </w:pPr>
            <w:r w:rsidRPr="008B6BC5">
              <w:rPr>
                <w:rFonts w:cs="Times New Roman"/>
                <w:sz w:val="20"/>
                <w:szCs w:val="20"/>
                <w:lang w:val="en-US"/>
              </w:rPr>
              <w:t>2</w:t>
            </w:r>
            <w:r w:rsidR="005A677F" w:rsidRPr="008B6BC5">
              <w:rPr>
                <w:rFonts w:cs="Times New Roman"/>
                <w:sz w:val="20"/>
                <w:szCs w:val="20"/>
                <w:lang w:val="en-US"/>
              </w:rPr>
              <w:t>5</w:t>
            </w:r>
          </w:p>
        </w:tc>
        <w:tc>
          <w:tcPr>
            <w:tcW w:w="6048" w:type="dxa"/>
          </w:tcPr>
          <w:p w14:paraId="20EF9B5E" w14:textId="0764EF79" w:rsidR="005D36F1" w:rsidRPr="008B6BC5" w:rsidRDefault="005D36F1" w:rsidP="005D36F1">
            <w:pPr>
              <w:pStyle w:val="NoSpacing"/>
              <w:rPr>
                <w:rFonts w:cs="Times New Roman"/>
                <w:sz w:val="20"/>
                <w:szCs w:val="20"/>
                <w:lang w:val="en-US"/>
              </w:rPr>
            </w:pPr>
            <w:r w:rsidRPr="008B6BC5">
              <w:rPr>
                <w:rFonts w:cs="Times New Roman"/>
                <w:sz w:val="20"/>
                <w:szCs w:val="20"/>
                <w:lang w:val="en-US"/>
              </w:rPr>
              <w:t>In face-to-face psychotherapy trials for depression, where deterioration has been explicitly monitored, rates of symptom worsening are generally in the single digits and do not exceed those in control conditions; some meta-analytic work suggests psychotherapy may reduce the risk of deterioration compared with waitlist or TAU (Cuijpers et al., 2021a).</w:t>
            </w:r>
          </w:p>
        </w:tc>
        <w:tc>
          <w:tcPr>
            <w:tcW w:w="4202" w:type="dxa"/>
          </w:tcPr>
          <w:p w14:paraId="232829DC" w14:textId="498A3A76" w:rsidR="005D36F1" w:rsidRPr="008B6BC5" w:rsidRDefault="005D36F1" w:rsidP="005D36F1">
            <w:pPr>
              <w:pStyle w:val="NoSpacing"/>
              <w:rPr>
                <w:rFonts w:cs="Times New Roman"/>
                <w:sz w:val="20"/>
                <w:szCs w:val="20"/>
                <w:lang w:val="en-US"/>
              </w:rPr>
            </w:pPr>
            <w:r w:rsidRPr="008B6BC5">
              <w:rPr>
                <w:rFonts w:cs="Times New Roman"/>
                <w:sz w:val="20"/>
                <w:szCs w:val="20"/>
                <w:lang w:val="en-US"/>
              </w:rPr>
              <w:t>https://doi.org/10.1016/j.jad.2018.05.050</w:t>
            </w:r>
          </w:p>
        </w:tc>
        <w:tc>
          <w:tcPr>
            <w:tcW w:w="690" w:type="dxa"/>
          </w:tcPr>
          <w:p w14:paraId="56DAA60D" w14:textId="161393F5" w:rsidR="005D36F1" w:rsidRPr="008B6BC5" w:rsidRDefault="005D36F1" w:rsidP="005D36F1">
            <w:pPr>
              <w:pStyle w:val="NoSpacing"/>
              <w:rPr>
                <w:rFonts w:cs="Times New Roman"/>
                <w:sz w:val="20"/>
                <w:szCs w:val="20"/>
                <w:lang w:val="en-US"/>
              </w:rPr>
            </w:pPr>
            <w:r w:rsidRPr="008B6BC5">
              <w:rPr>
                <w:rFonts w:cs="Times New Roman"/>
                <w:sz w:val="20"/>
                <w:szCs w:val="20"/>
                <w:lang w:val="en-US"/>
              </w:rPr>
              <w:t>4</w:t>
            </w:r>
          </w:p>
        </w:tc>
        <w:tc>
          <w:tcPr>
            <w:tcW w:w="3944" w:type="dxa"/>
          </w:tcPr>
          <w:p w14:paraId="1D21255B" w14:textId="081FDAC6"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D36F1" w:rsidRPr="008B6BC5" w14:paraId="0BA69F23" w14:textId="77777777" w:rsidTr="00760C26">
        <w:tc>
          <w:tcPr>
            <w:tcW w:w="1560" w:type="dxa"/>
          </w:tcPr>
          <w:p w14:paraId="249128B2" w14:textId="7F6B946A" w:rsidR="005D36F1" w:rsidRPr="008B6BC5" w:rsidRDefault="000938FF" w:rsidP="005D36F1">
            <w:pPr>
              <w:pStyle w:val="NoSpacing"/>
              <w:rPr>
                <w:rFonts w:cs="Times New Roman"/>
                <w:sz w:val="20"/>
                <w:szCs w:val="20"/>
                <w:lang w:val="en-US"/>
              </w:rPr>
            </w:pPr>
            <w:r w:rsidRPr="008B6BC5">
              <w:rPr>
                <w:rFonts w:cs="Times New Roman"/>
                <w:sz w:val="20"/>
                <w:szCs w:val="20"/>
                <w:lang w:val="en-US"/>
              </w:rPr>
              <w:t>2</w:t>
            </w:r>
            <w:r w:rsidR="005A677F" w:rsidRPr="008B6BC5">
              <w:rPr>
                <w:rFonts w:cs="Times New Roman"/>
                <w:sz w:val="20"/>
                <w:szCs w:val="20"/>
                <w:lang w:val="en-US"/>
              </w:rPr>
              <w:t>6.1</w:t>
            </w:r>
          </w:p>
          <w:p w14:paraId="39332E94" w14:textId="423A2E80" w:rsidR="000938FF" w:rsidRPr="008B6BC5" w:rsidRDefault="000938FF" w:rsidP="005D36F1">
            <w:pPr>
              <w:pStyle w:val="NoSpacing"/>
              <w:rPr>
                <w:rFonts w:cs="Times New Roman"/>
                <w:sz w:val="20"/>
                <w:szCs w:val="20"/>
                <w:lang w:val="en-US"/>
              </w:rPr>
            </w:pPr>
            <w:r w:rsidRPr="008B6BC5">
              <w:rPr>
                <w:rFonts w:cs="Times New Roman"/>
                <w:sz w:val="20"/>
                <w:szCs w:val="20"/>
                <w:lang w:val="en-US"/>
              </w:rPr>
              <w:t>2</w:t>
            </w:r>
            <w:r w:rsidR="005A677F" w:rsidRPr="008B6BC5">
              <w:rPr>
                <w:rFonts w:cs="Times New Roman"/>
                <w:sz w:val="20"/>
                <w:szCs w:val="20"/>
                <w:lang w:val="en-US"/>
              </w:rPr>
              <w:t>6.2</w:t>
            </w:r>
          </w:p>
        </w:tc>
        <w:tc>
          <w:tcPr>
            <w:tcW w:w="6048" w:type="dxa"/>
          </w:tcPr>
          <w:p w14:paraId="7B8EAF5D" w14:textId="549679C4" w:rsidR="005D36F1" w:rsidRPr="008B6BC5" w:rsidRDefault="005D36F1" w:rsidP="005D36F1">
            <w:pPr>
              <w:pStyle w:val="NoSpacing"/>
              <w:rPr>
                <w:rFonts w:cs="Times New Roman"/>
                <w:sz w:val="20"/>
                <w:szCs w:val="20"/>
                <w:lang w:val="en-US"/>
              </w:rPr>
            </w:pPr>
            <w:r w:rsidRPr="008B6BC5">
              <w:rPr>
                <w:rFonts w:cs="Times New Roman"/>
                <w:sz w:val="20"/>
                <w:szCs w:val="20"/>
                <w:lang w:val="en-US"/>
              </w:rPr>
              <w:t>Patient-reported satisfaction with CBT, IPT, and other modalities in MDD RCTs is typically high, with most patients rating treatments as credible and helpful, although individuals who drop out often endorse dissatisfaction or lack of fit (Cooper &amp; Conklin, 2015; Swartz et al., 2023).</w:t>
            </w:r>
          </w:p>
        </w:tc>
        <w:tc>
          <w:tcPr>
            <w:tcW w:w="4202" w:type="dxa"/>
          </w:tcPr>
          <w:p w14:paraId="5C31FE94" w14:textId="0721DCC2" w:rsidR="005D36F1" w:rsidRPr="008B6BC5" w:rsidRDefault="005D36F1" w:rsidP="005D36F1">
            <w:pPr>
              <w:pStyle w:val="NoSpacing"/>
              <w:rPr>
                <w:rFonts w:cs="Times New Roman"/>
                <w:sz w:val="20"/>
                <w:szCs w:val="20"/>
                <w:lang w:val="en-US"/>
              </w:rPr>
            </w:pPr>
            <w:hyperlink r:id="rId20" w:history="1">
              <w:r w:rsidRPr="008B6BC5">
                <w:rPr>
                  <w:rStyle w:val="Hyperlink"/>
                  <w:rFonts w:cs="Times New Roman"/>
                  <w:sz w:val="20"/>
                  <w:szCs w:val="20"/>
                  <w:lang w:val="en-US"/>
                </w:rPr>
                <w:t>http://dx.doi.org/10.1016/j.cpr.2015.05.001</w:t>
              </w:r>
            </w:hyperlink>
          </w:p>
          <w:p w14:paraId="2BEA8D8E" w14:textId="140EC69C" w:rsidR="005D36F1" w:rsidRPr="008B6BC5" w:rsidRDefault="005D36F1" w:rsidP="005D36F1">
            <w:pPr>
              <w:pStyle w:val="NoSpacing"/>
              <w:rPr>
                <w:rFonts w:cs="Times New Roman"/>
                <w:sz w:val="20"/>
                <w:szCs w:val="20"/>
                <w:lang w:val="en-US"/>
              </w:rPr>
            </w:pPr>
            <w:hyperlink r:id="rId21" w:history="1">
              <w:r w:rsidRPr="008B6BC5">
                <w:rPr>
                  <w:rStyle w:val="Hyperlink"/>
                  <w:rFonts w:cs="Times New Roman"/>
                  <w:sz w:val="20"/>
                  <w:szCs w:val="20"/>
                  <w:lang w:val="en-US"/>
                </w:rPr>
                <w:t>https://doi.org/10.1016/j.jad.2023.04.092</w:t>
              </w:r>
            </w:hyperlink>
            <w:r w:rsidRPr="008B6BC5">
              <w:rPr>
                <w:rFonts w:cs="Times New Roman"/>
                <w:sz w:val="20"/>
                <w:szCs w:val="20"/>
                <w:lang w:val="en-US"/>
              </w:rPr>
              <w:t xml:space="preserve"> </w:t>
            </w:r>
          </w:p>
        </w:tc>
        <w:tc>
          <w:tcPr>
            <w:tcW w:w="690" w:type="dxa"/>
          </w:tcPr>
          <w:p w14:paraId="65A4A53E" w14:textId="77777777" w:rsidR="005D36F1" w:rsidRPr="008B6BC5" w:rsidRDefault="005D36F1" w:rsidP="005D36F1">
            <w:pPr>
              <w:pStyle w:val="NoSpacing"/>
              <w:rPr>
                <w:rFonts w:cs="Times New Roman"/>
                <w:sz w:val="20"/>
                <w:szCs w:val="20"/>
                <w:lang w:val="en-US"/>
              </w:rPr>
            </w:pPr>
            <w:r w:rsidRPr="008B6BC5">
              <w:rPr>
                <w:rFonts w:cs="Times New Roman"/>
                <w:sz w:val="20"/>
                <w:szCs w:val="20"/>
                <w:lang w:val="en-US"/>
              </w:rPr>
              <w:t>1</w:t>
            </w:r>
          </w:p>
          <w:p w14:paraId="60454358" w14:textId="786422B2" w:rsidR="005D36F1" w:rsidRPr="008B6BC5" w:rsidRDefault="005D36F1" w:rsidP="005D36F1">
            <w:pPr>
              <w:pStyle w:val="NoSpacing"/>
              <w:rPr>
                <w:rFonts w:cs="Times New Roman"/>
                <w:sz w:val="20"/>
                <w:szCs w:val="20"/>
                <w:lang w:val="en-US"/>
              </w:rPr>
            </w:pPr>
            <w:r w:rsidRPr="008B6BC5">
              <w:rPr>
                <w:rFonts w:cs="Times New Roman"/>
                <w:sz w:val="20"/>
                <w:szCs w:val="20"/>
                <w:lang w:val="en-US"/>
              </w:rPr>
              <w:t>3</w:t>
            </w:r>
          </w:p>
        </w:tc>
        <w:tc>
          <w:tcPr>
            <w:tcW w:w="3944" w:type="dxa"/>
          </w:tcPr>
          <w:p w14:paraId="0DBAECFB" w14:textId="77777777"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Cooper &amp; Conklin (2015) did not report any </w:t>
            </w:r>
            <w:r w:rsidR="009B0313" w:rsidRPr="008B6BC5">
              <w:rPr>
                <w:rFonts w:cs="Times New Roman"/>
                <w:sz w:val="20"/>
                <w:szCs w:val="20"/>
                <w:lang w:val="en-US"/>
              </w:rPr>
              <w:t xml:space="preserve">data on helpfulness, credibility or satisfaction ratings, nor explore reasons for dropout. </w:t>
            </w:r>
          </w:p>
          <w:p w14:paraId="4F6F2B06" w14:textId="77777777" w:rsidR="009B0313" w:rsidRPr="008B6BC5" w:rsidRDefault="009B0313" w:rsidP="005D36F1">
            <w:pPr>
              <w:pStyle w:val="NoSpacing"/>
              <w:rPr>
                <w:rFonts w:cs="Times New Roman"/>
                <w:sz w:val="20"/>
                <w:szCs w:val="20"/>
                <w:lang w:val="en-US"/>
              </w:rPr>
            </w:pPr>
          </w:p>
          <w:p w14:paraId="5C35811A" w14:textId="35F61D8D" w:rsidR="009B0313" w:rsidRPr="008B6BC5" w:rsidRDefault="009B0313" w:rsidP="005D36F1">
            <w:pPr>
              <w:pStyle w:val="NoSpacing"/>
              <w:rPr>
                <w:rFonts w:cs="Times New Roman"/>
                <w:sz w:val="20"/>
                <w:szCs w:val="20"/>
                <w:lang w:val="en-US"/>
              </w:rPr>
            </w:pPr>
            <w:r w:rsidRPr="008B6BC5">
              <w:rPr>
                <w:rFonts w:cs="Times New Roman"/>
                <w:sz w:val="20"/>
                <w:szCs w:val="20"/>
                <w:lang w:val="en-US"/>
              </w:rPr>
              <w:t xml:space="preserve">Swarts et al (2023) </w:t>
            </w:r>
            <w:r w:rsidR="00153022" w:rsidRPr="008B6BC5">
              <w:rPr>
                <w:rFonts w:cs="Times New Roman"/>
                <w:sz w:val="20"/>
                <w:szCs w:val="20"/>
                <w:lang w:val="en-US"/>
              </w:rPr>
              <w:t xml:space="preserve">never reported that dissatisfaction or lack of fit were typical reasons for dropout. </w:t>
            </w:r>
          </w:p>
        </w:tc>
      </w:tr>
      <w:tr w:rsidR="000938FF" w:rsidRPr="008B6BC5" w14:paraId="7B3A914C" w14:textId="77777777" w:rsidTr="00760C26">
        <w:tc>
          <w:tcPr>
            <w:tcW w:w="1560" w:type="dxa"/>
          </w:tcPr>
          <w:p w14:paraId="46EAC22D" w14:textId="6E068EC8" w:rsidR="000938FF" w:rsidRPr="008B6BC5" w:rsidRDefault="000938FF" w:rsidP="005D36F1">
            <w:pPr>
              <w:pStyle w:val="NoSpacing"/>
              <w:rPr>
                <w:rFonts w:cs="Times New Roman"/>
                <w:sz w:val="20"/>
                <w:szCs w:val="20"/>
                <w:lang w:val="en-US"/>
              </w:rPr>
            </w:pPr>
            <w:r w:rsidRPr="008B6BC5">
              <w:rPr>
                <w:rFonts w:cs="Times New Roman"/>
                <w:sz w:val="20"/>
                <w:szCs w:val="20"/>
                <w:lang w:val="en-US"/>
              </w:rPr>
              <w:t>Pharmaco-therapy</w:t>
            </w:r>
          </w:p>
        </w:tc>
        <w:tc>
          <w:tcPr>
            <w:tcW w:w="6048" w:type="dxa"/>
          </w:tcPr>
          <w:p w14:paraId="372825F8" w14:textId="77777777" w:rsidR="000938FF" w:rsidRPr="008B6BC5" w:rsidRDefault="000938FF" w:rsidP="005D36F1">
            <w:pPr>
              <w:pStyle w:val="NoSpacing"/>
              <w:rPr>
                <w:rFonts w:cs="Times New Roman"/>
                <w:sz w:val="20"/>
                <w:szCs w:val="20"/>
                <w:lang w:val="en-US"/>
              </w:rPr>
            </w:pPr>
          </w:p>
        </w:tc>
        <w:tc>
          <w:tcPr>
            <w:tcW w:w="4202" w:type="dxa"/>
          </w:tcPr>
          <w:p w14:paraId="1A456AF8" w14:textId="77777777" w:rsidR="000938FF" w:rsidRPr="008B6BC5" w:rsidRDefault="000938FF" w:rsidP="005D36F1">
            <w:pPr>
              <w:pStyle w:val="NoSpacing"/>
            </w:pPr>
          </w:p>
        </w:tc>
        <w:tc>
          <w:tcPr>
            <w:tcW w:w="690" w:type="dxa"/>
          </w:tcPr>
          <w:p w14:paraId="742577B2" w14:textId="77777777" w:rsidR="000938FF" w:rsidRPr="008B6BC5" w:rsidRDefault="000938FF" w:rsidP="005D36F1">
            <w:pPr>
              <w:pStyle w:val="NoSpacing"/>
              <w:rPr>
                <w:rFonts w:cs="Times New Roman"/>
                <w:sz w:val="20"/>
                <w:szCs w:val="20"/>
                <w:lang w:val="en-US"/>
              </w:rPr>
            </w:pPr>
          </w:p>
        </w:tc>
        <w:tc>
          <w:tcPr>
            <w:tcW w:w="3944" w:type="dxa"/>
          </w:tcPr>
          <w:p w14:paraId="5C6DCC11" w14:textId="77777777" w:rsidR="000938FF" w:rsidRPr="008B6BC5" w:rsidRDefault="000938FF" w:rsidP="005D36F1">
            <w:pPr>
              <w:pStyle w:val="NoSpacing"/>
              <w:rPr>
                <w:rFonts w:cs="Times New Roman"/>
                <w:sz w:val="20"/>
                <w:szCs w:val="20"/>
                <w:lang w:val="en-US"/>
              </w:rPr>
            </w:pPr>
          </w:p>
        </w:tc>
      </w:tr>
      <w:tr w:rsidR="005D36F1" w:rsidRPr="008B6BC5" w14:paraId="6724C109" w14:textId="77777777" w:rsidTr="00760C26">
        <w:tc>
          <w:tcPr>
            <w:tcW w:w="1560" w:type="dxa"/>
          </w:tcPr>
          <w:p w14:paraId="7D74F05A" w14:textId="796CCFBF" w:rsidR="005D36F1" w:rsidRPr="008B6BC5" w:rsidRDefault="000938FF" w:rsidP="005D36F1">
            <w:pPr>
              <w:pStyle w:val="NoSpacing"/>
              <w:rPr>
                <w:rFonts w:cs="Times New Roman"/>
                <w:sz w:val="20"/>
                <w:szCs w:val="20"/>
                <w:lang w:val="en-US"/>
              </w:rPr>
            </w:pPr>
            <w:r w:rsidRPr="008B6BC5">
              <w:rPr>
                <w:rFonts w:cs="Times New Roman"/>
                <w:sz w:val="20"/>
                <w:szCs w:val="20"/>
                <w:lang w:val="en-US"/>
              </w:rPr>
              <w:t>1</w:t>
            </w:r>
            <w:r w:rsidR="005D36F1" w:rsidRPr="008B6BC5">
              <w:rPr>
                <w:rFonts w:cs="Times New Roman"/>
                <w:sz w:val="20"/>
                <w:szCs w:val="20"/>
                <w:lang w:val="en-US"/>
              </w:rPr>
              <w:t xml:space="preserve"> </w:t>
            </w:r>
          </w:p>
        </w:tc>
        <w:tc>
          <w:tcPr>
            <w:tcW w:w="6048" w:type="dxa"/>
          </w:tcPr>
          <w:p w14:paraId="0A35A63C" w14:textId="1E1A8891"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The most comprehensive synthesis to date is the network meta-analysis by Cipriani et al. (2018), which pooled 522 double-blind randomized controlled trials (RCTs; N ≈ 116,000 adults with acute unipolar MDD) comparing 21 antidepressants with placebo over 6–12 weeks. Across drugs, antidepressants were superior to placebo for acute response, with a pooled odds ratio (OR) of approximately 1.37 (95% CI ~1.29–1.45) for ≥50% symptom reduction on standard clinician-rated scales, corresponding to a small-to-moderate standardized mean difference (SMD) of around 0.30 in </w:t>
            </w:r>
            <w:proofErr w:type="spellStart"/>
            <w:r w:rsidRPr="008B6BC5">
              <w:rPr>
                <w:rFonts w:cs="Times New Roman"/>
                <w:sz w:val="20"/>
                <w:szCs w:val="20"/>
                <w:lang w:val="en-US"/>
              </w:rPr>
              <w:t>favour</w:t>
            </w:r>
            <w:proofErr w:type="spellEnd"/>
            <w:r w:rsidRPr="008B6BC5">
              <w:rPr>
                <w:rFonts w:cs="Times New Roman"/>
                <w:sz w:val="20"/>
                <w:szCs w:val="20"/>
                <w:lang w:val="en-US"/>
              </w:rPr>
              <w:t xml:space="preserve"> of active medication </w:t>
            </w:r>
          </w:p>
        </w:tc>
        <w:tc>
          <w:tcPr>
            <w:tcW w:w="4202" w:type="dxa"/>
          </w:tcPr>
          <w:p w14:paraId="4736F0E3" w14:textId="050A832F" w:rsidR="005D36F1" w:rsidRPr="008B6BC5" w:rsidRDefault="005D36F1" w:rsidP="005D36F1">
            <w:pPr>
              <w:pStyle w:val="NoSpacing"/>
              <w:rPr>
                <w:rFonts w:cs="Times New Roman"/>
                <w:sz w:val="20"/>
                <w:szCs w:val="20"/>
                <w:lang w:val="en-US"/>
              </w:rPr>
            </w:pPr>
            <w:proofErr w:type="spellStart"/>
            <w:r w:rsidRPr="008B6BC5">
              <w:rPr>
                <w:rFonts w:cs="Times New Roman"/>
                <w:sz w:val="20"/>
                <w:szCs w:val="20"/>
              </w:rPr>
              <w:t>doi</w:t>
            </w:r>
            <w:proofErr w:type="spellEnd"/>
            <w:r w:rsidRPr="008B6BC5">
              <w:rPr>
                <w:rFonts w:cs="Times New Roman"/>
                <w:sz w:val="20"/>
                <w:szCs w:val="20"/>
              </w:rPr>
              <w:t>: 10.1016/S0140-6736(17)32802-7</w:t>
            </w:r>
          </w:p>
        </w:tc>
        <w:tc>
          <w:tcPr>
            <w:tcW w:w="690" w:type="dxa"/>
          </w:tcPr>
          <w:p w14:paraId="21C40AEF" w14:textId="1B95373B" w:rsidR="005D36F1" w:rsidRPr="008B6BC5" w:rsidRDefault="00DA4328" w:rsidP="005D36F1">
            <w:pPr>
              <w:pStyle w:val="NoSpacing"/>
              <w:rPr>
                <w:rFonts w:cs="Times New Roman"/>
                <w:sz w:val="20"/>
                <w:szCs w:val="20"/>
                <w:lang w:val="en-US"/>
              </w:rPr>
            </w:pPr>
            <w:r w:rsidRPr="008B6BC5">
              <w:rPr>
                <w:rFonts w:cs="Times New Roman"/>
                <w:sz w:val="20"/>
                <w:szCs w:val="20"/>
                <w:lang w:val="en-US"/>
              </w:rPr>
              <w:t>3</w:t>
            </w:r>
          </w:p>
        </w:tc>
        <w:tc>
          <w:tcPr>
            <w:tcW w:w="3944" w:type="dxa"/>
          </w:tcPr>
          <w:p w14:paraId="78E43DD3" w14:textId="159B6B26" w:rsidR="005D36F1" w:rsidRPr="008B6BC5" w:rsidRDefault="00590AB2" w:rsidP="005D36F1">
            <w:pPr>
              <w:pStyle w:val="NoSpacing"/>
              <w:rPr>
                <w:rFonts w:cs="Times New Roman"/>
                <w:sz w:val="20"/>
                <w:szCs w:val="20"/>
                <w:lang w:val="en-US"/>
              </w:rPr>
            </w:pPr>
            <w:r w:rsidRPr="008B6BC5">
              <w:rPr>
                <w:rFonts w:cs="Times New Roman"/>
                <w:sz w:val="20"/>
                <w:szCs w:val="20"/>
                <w:lang w:val="en-US"/>
              </w:rPr>
              <w:t xml:space="preserve">The OR of 1.37 does </w:t>
            </w:r>
            <w:r w:rsidR="008B246F" w:rsidRPr="008B6BC5">
              <w:rPr>
                <w:rFonts w:cs="Times New Roman"/>
                <w:sz w:val="20"/>
                <w:szCs w:val="20"/>
                <w:lang w:val="en-US"/>
              </w:rPr>
              <w:t xml:space="preserve">not reflect the pooled effect combining across drugs; </w:t>
            </w:r>
            <w:r w:rsidR="008F3879" w:rsidRPr="008B6BC5">
              <w:rPr>
                <w:rFonts w:cs="Times New Roman"/>
                <w:sz w:val="20"/>
                <w:szCs w:val="20"/>
                <w:lang w:val="en-US"/>
              </w:rPr>
              <w:t xml:space="preserve">the SMD of 0.30 </w:t>
            </w:r>
            <w:r w:rsidR="0041480D" w:rsidRPr="008B6BC5">
              <w:rPr>
                <w:rFonts w:cs="Times New Roman"/>
                <w:sz w:val="20"/>
                <w:szCs w:val="20"/>
                <w:lang w:val="en-US"/>
              </w:rPr>
              <w:t>also does not correspond to the ≥50% symptom reduction outcome definition</w:t>
            </w:r>
            <w:r w:rsidR="00A16B02" w:rsidRPr="008B6BC5">
              <w:rPr>
                <w:rFonts w:cs="Times New Roman"/>
                <w:sz w:val="20"/>
                <w:szCs w:val="20"/>
                <w:lang w:val="en-US"/>
              </w:rPr>
              <w:t xml:space="preserve"> (it corresponds to a different remission operationalization)</w:t>
            </w:r>
            <w:r w:rsidR="0041480D" w:rsidRPr="008B6BC5">
              <w:rPr>
                <w:rFonts w:cs="Times New Roman"/>
                <w:sz w:val="20"/>
                <w:szCs w:val="20"/>
                <w:lang w:val="en-US"/>
              </w:rPr>
              <w:t>.</w:t>
            </w:r>
            <w:r w:rsidRPr="008B6BC5">
              <w:rPr>
                <w:rFonts w:cs="Times New Roman"/>
                <w:sz w:val="20"/>
                <w:szCs w:val="20"/>
                <w:lang w:val="en-US"/>
              </w:rPr>
              <w:t xml:space="preserve"> </w:t>
            </w:r>
          </w:p>
        </w:tc>
      </w:tr>
      <w:tr w:rsidR="005D36F1" w:rsidRPr="008B6BC5" w14:paraId="47A0AAD0" w14:textId="77777777" w:rsidTr="00760C26">
        <w:tc>
          <w:tcPr>
            <w:tcW w:w="1560" w:type="dxa"/>
          </w:tcPr>
          <w:p w14:paraId="2988FB2E" w14:textId="5E6AD835" w:rsidR="005D36F1" w:rsidRPr="008B6BC5" w:rsidRDefault="000938FF" w:rsidP="005D36F1">
            <w:pPr>
              <w:pStyle w:val="NoSpacing"/>
              <w:rPr>
                <w:rFonts w:cs="Times New Roman"/>
                <w:sz w:val="20"/>
                <w:szCs w:val="20"/>
                <w:lang w:val="en-US"/>
              </w:rPr>
            </w:pPr>
            <w:r w:rsidRPr="008B6BC5">
              <w:rPr>
                <w:rFonts w:cs="Times New Roman"/>
                <w:sz w:val="20"/>
                <w:szCs w:val="20"/>
                <w:lang w:val="en-US"/>
              </w:rPr>
              <w:t>2</w:t>
            </w:r>
          </w:p>
        </w:tc>
        <w:tc>
          <w:tcPr>
            <w:tcW w:w="6048" w:type="dxa"/>
          </w:tcPr>
          <w:p w14:paraId="5C74540F" w14:textId="77777777" w:rsidR="005D36F1" w:rsidRPr="008B6BC5" w:rsidRDefault="005D36F1" w:rsidP="005D36F1">
            <w:pPr>
              <w:pStyle w:val="NoSpacing"/>
              <w:rPr>
                <w:rFonts w:cs="Times New Roman"/>
                <w:sz w:val="20"/>
                <w:szCs w:val="20"/>
                <w:lang w:val="en-US"/>
              </w:rPr>
            </w:pPr>
            <w:r w:rsidRPr="008B6BC5">
              <w:rPr>
                <w:rFonts w:cs="Times New Roman"/>
                <w:sz w:val="20"/>
                <w:szCs w:val="20"/>
                <w:lang w:val="en-US"/>
              </w:rPr>
              <w:t>A more stringent re-analysis by Jakobsen et al. (2017) of 131 SSRI vs placebo RCTs (N = 27,422) found that SSRIs produced a mean difference of about 1.9 points on the 17-item Hamilton Depression Rating Scale (HDRS), which translates to a small effect size (Hedges’ g ≈ 0.3), and modestly increased odds of remission versus placebo</w:t>
            </w:r>
          </w:p>
          <w:p w14:paraId="0718CB3D" w14:textId="77777777" w:rsidR="005D36F1" w:rsidRPr="008B6BC5" w:rsidRDefault="005D36F1" w:rsidP="005D36F1">
            <w:pPr>
              <w:pStyle w:val="NoSpacing"/>
              <w:rPr>
                <w:rFonts w:cs="Times New Roman"/>
                <w:sz w:val="20"/>
                <w:szCs w:val="20"/>
                <w:lang w:val="en-US"/>
              </w:rPr>
            </w:pPr>
          </w:p>
        </w:tc>
        <w:tc>
          <w:tcPr>
            <w:tcW w:w="4202" w:type="dxa"/>
          </w:tcPr>
          <w:p w14:paraId="5D398720" w14:textId="20924427" w:rsidR="005D36F1" w:rsidRPr="008B6BC5" w:rsidRDefault="005D36F1" w:rsidP="005D36F1">
            <w:pPr>
              <w:pStyle w:val="NoSpacing"/>
              <w:rPr>
                <w:rFonts w:cs="Times New Roman"/>
                <w:sz w:val="20"/>
                <w:szCs w:val="20"/>
                <w:lang w:val="en-US"/>
              </w:rPr>
            </w:pPr>
            <w:r w:rsidRPr="008B6BC5">
              <w:rPr>
                <w:rFonts w:cs="Times New Roman"/>
                <w:sz w:val="20"/>
                <w:szCs w:val="20"/>
                <w:lang w:val="en-US"/>
              </w:rPr>
              <w:t>DOI 10.1186/s12888-016-1173-2</w:t>
            </w:r>
          </w:p>
        </w:tc>
        <w:tc>
          <w:tcPr>
            <w:tcW w:w="690" w:type="dxa"/>
          </w:tcPr>
          <w:p w14:paraId="0301B7A9" w14:textId="066A49C1" w:rsidR="005D36F1" w:rsidRPr="008B6BC5" w:rsidRDefault="00A16B02" w:rsidP="005D36F1">
            <w:pPr>
              <w:pStyle w:val="NoSpacing"/>
              <w:rPr>
                <w:rFonts w:cs="Times New Roman"/>
                <w:sz w:val="20"/>
                <w:szCs w:val="20"/>
                <w:lang w:val="en-US"/>
              </w:rPr>
            </w:pPr>
            <w:r w:rsidRPr="008B6BC5">
              <w:rPr>
                <w:rFonts w:cs="Times New Roman"/>
                <w:sz w:val="20"/>
                <w:szCs w:val="20"/>
                <w:lang w:val="en-US"/>
              </w:rPr>
              <w:t>3</w:t>
            </w:r>
          </w:p>
        </w:tc>
        <w:tc>
          <w:tcPr>
            <w:tcW w:w="3944" w:type="dxa"/>
          </w:tcPr>
          <w:p w14:paraId="73EF8A7C" w14:textId="3202AAB0" w:rsidR="005D36F1" w:rsidRPr="008B6BC5" w:rsidRDefault="007E5F6C" w:rsidP="005D36F1">
            <w:pPr>
              <w:pStyle w:val="NoSpacing"/>
              <w:rPr>
                <w:rFonts w:cs="Times New Roman"/>
                <w:sz w:val="20"/>
                <w:szCs w:val="20"/>
                <w:lang w:val="en-US"/>
              </w:rPr>
            </w:pPr>
            <w:r w:rsidRPr="008B6BC5">
              <w:rPr>
                <w:rFonts w:cs="Times New Roman"/>
                <w:sz w:val="20"/>
                <w:szCs w:val="20"/>
                <w:lang w:val="en-US"/>
              </w:rPr>
              <w:t xml:space="preserve">The authors report raw mean differences, not Hedges’ g. </w:t>
            </w:r>
          </w:p>
        </w:tc>
      </w:tr>
      <w:tr w:rsidR="005D36F1" w:rsidRPr="008B6BC5" w14:paraId="45A15E2F" w14:textId="77777777" w:rsidTr="00760C26">
        <w:tc>
          <w:tcPr>
            <w:tcW w:w="1560" w:type="dxa"/>
          </w:tcPr>
          <w:p w14:paraId="0FB82213" w14:textId="43F552FA" w:rsidR="005D36F1" w:rsidRPr="008B6BC5" w:rsidRDefault="000938FF" w:rsidP="005D36F1">
            <w:pPr>
              <w:pStyle w:val="NoSpacing"/>
              <w:rPr>
                <w:rFonts w:cs="Times New Roman"/>
                <w:sz w:val="20"/>
                <w:szCs w:val="20"/>
                <w:lang w:val="en-US"/>
              </w:rPr>
            </w:pPr>
            <w:r w:rsidRPr="008B6BC5">
              <w:rPr>
                <w:rFonts w:cs="Times New Roman"/>
                <w:sz w:val="20"/>
                <w:szCs w:val="20"/>
                <w:lang w:val="en-US"/>
              </w:rPr>
              <w:lastRenderedPageBreak/>
              <w:t>3</w:t>
            </w:r>
          </w:p>
        </w:tc>
        <w:tc>
          <w:tcPr>
            <w:tcW w:w="6048" w:type="dxa"/>
          </w:tcPr>
          <w:p w14:paraId="25FFDC7D" w14:textId="136174B4" w:rsidR="005D36F1" w:rsidRPr="008B6BC5" w:rsidRDefault="005D36F1" w:rsidP="005D36F1">
            <w:pPr>
              <w:pStyle w:val="NoSpacing"/>
              <w:rPr>
                <w:rFonts w:cs="Times New Roman"/>
                <w:sz w:val="20"/>
                <w:szCs w:val="20"/>
                <w:lang w:val="en-US"/>
              </w:rPr>
            </w:pPr>
            <w:r w:rsidRPr="008B6BC5">
              <w:rPr>
                <w:rFonts w:cs="Times New Roman"/>
                <w:sz w:val="20"/>
                <w:szCs w:val="20"/>
                <w:lang w:val="en-US"/>
              </w:rPr>
              <w:t>Hieronymus et al. (2021) used trial-level data to show that, given the constraints of placebo-controlled design, the maximal achievable drug–placebo difference in these settings is in the order of SMD ≈ 0.30, suggesting that observed effect sizes are close to what is methodologically attainable rather than necessarily clinically trivial (Hieronymus et al., 2021).</w:t>
            </w:r>
          </w:p>
        </w:tc>
        <w:tc>
          <w:tcPr>
            <w:tcW w:w="4202" w:type="dxa"/>
          </w:tcPr>
          <w:p w14:paraId="63BA79FB" w14:textId="1433D1D4" w:rsidR="005D36F1" w:rsidRPr="008B6BC5" w:rsidRDefault="005D36F1" w:rsidP="005D36F1">
            <w:pPr>
              <w:pStyle w:val="NoSpacing"/>
              <w:rPr>
                <w:rFonts w:cs="Times New Roman"/>
                <w:sz w:val="20"/>
                <w:szCs w:val="20"/>
                <w:lang w:val="en-US"/>
              </w:rPr>
            </w:pPr>
            <w:r w:rsidRPr="008B6BC5">
              <w:rPr>
                <w:rFonts w:cs="Times New Roman"/>
                <w:sz w:val="20"/>
                <w:szCs w:val="20"/>
                <w:lang w:val="en-US"/>
              </w:rPr>
              <w:t>DOI: 10.1111/acps.13340</w:t>
            </w:r>
          </w:p>
        </w:tc>
        <w:tc>
          <w:tcPr>
            <w:tcW w:w="690" w:type="dxa"/>
          </w:tcPr>
          <w:p w14:paraId="03E67278" w14:textId="332672E5" w:rsidR="005D36F1" w:rsidRPr="008B6BC5" w:rsidRDefault="006E2539" w:rsidP="005D36F1">
            <w:pPr>
              <w:pStyle w:val="NoSpacing"/>
              <w:rPr>
                <w:rFonts w:cs="Times New Roman"/>
                <w:sz w:val="20"/>
                <w:szCs w:val="20"/>
                <w:lang w:val="en-US"/>
              </w:rPr>
            </w:pPr>
            <w:r w:rsidRPr="008B6BC5">
              <w:rPr>
                <w:rFonts w:cs="Times New Roman"/>
                <w:sz w:val="20"/>
                <w:szCs w:val="20"/>
                <w:lang w:val="en-US"/>
              </w:rPr>
              <w:t>2</w:t>
            </w:r>
          </w:p>
        </w:tc>
        <w:tc>
          <w:tcPr>
            <w:tcW w:w="3944" w:type="dxa"/>
          </w:tcPr>
          <w:p w14:paraId="3AC228BB" w14:textId="2FA6B2FD" w:rsidR="005D36F1" w:rsidRPr="008B6BC5" w:rsidRDefault="006E2539" w:rsidP="005D36F1">
            <w:pPr>
              <w:pStyle w:val="NoSpacing"/>
              <w:rPr>
                <w:rFonts w:cs="Times New Roman"/>
                <w:sz w:val="20"/>
                <w:szCs w:val="20"/>
                <w:lang w:val="en-US"/>
              </w:rPr>
            </w:pPr>
            <w:r w:rsidRPr="008B6BC5">
              <w:rPr>
                <w:rFonts w:cs="Times New Roman"/>
                <w:sz w:val="20"/>
                <w:szCs w:val="20"/>
                <w:lang w:val="en-US"/>
              </w:rPr>
              <w:t xml:space="preserve">The maximal achievable drug–placebo difference is substantially larger than the reported 0.30. </w:t>
            </w:r>
          </w:p>
        </w:tc>
      </w:tr>
      <w:tr w:rsidR="005D36F1" w:rsidRPr="008B6BC5" w14:paraId="0A106A11" w14:textId="77777777" w:rsidTr="00760C26">
        <w:tc>
          <w:tcPr>
            <w:tcW w:w="1560" w:type="dxa"/>
          </w:tcPr>
          <w:p w14:paraId="0BB01A78" w14:textId="77777777" w:rsidR="005D36F1" w:rsidRPr="008B6BC5" w:rsidRDefault="000938FF" w:rsidP="005D36F1">
            <w:pPr>
              <w:pStyle w:val="NoSpacing"/>
              <w:rPr>
                <w:rFonts w:cs="Times New Roman"/>
                <w:sz w:val="20"/>
                <w:szCs w:val="20"/>
                <w:lang w:val="en-US"/>
              </w:rPr>
            </w:pPr>
            <w:r w:rsidRPr="008B6BC5">
              <w:rPr>
                <w:rFonts w:cs="Times New Roman"/>
                <w:sz w:val="20"/>
                <w:szCs w:val="20"/>
                <w:lang w:val="en-US"/>
              </w:rPr>
              <w:t>4.1</w:t>
            </w:r>
          </w:p>
          <w:p w14:paraId="360D4513" w14:textId="75BF3DE6" w:rsidR="000938FF" w:rsidRPr="008B6BC5" w:rsidRDefault="000938FF" w:rsidP="005D36F1">
            <w:pPr>
              <w:pStyle w:val="NoSpacing"/>
              <w:rPr>
                <w:rFonts w:cs="Times New Roman"/>
                <w:sz w:val="20"/>
                <w:szCs w:val="20"/>
                <w:lang w:val="en-US"/>
              </w:rPr>
            </w:pPr>
            <w:r w:rsidRPr="008B6BC5">
              <w:rPr>
                <w:rFonts w:cs="Times New Roman"/>
                <w:sz w:val="20"/>
                <w:szCs w:val="20"/>
                <w:lang w:val="en-US"/>
              </w:rPr>
              <w:t>4.2</w:t>
            </w:r>
          </w:p>
        </w:tc>
        <w:tc>
          <w:tcPr>
            <w:tcW w:w="6048" w:type="dxa"/>
          </w:tcPr>
          <w:p w14:paraId="74574263" w14:textId="77777777" w:rsidR="005D36F1" w:rsidRPr="008B6BC5" w:rsidRDefault="005D36F1" w:rsidP="005D36F1">
            <w:pPr>
              <w:pStyle w:val="NoSpacing"/>
              <w:rPr>
                <w:rFonts w:cs="Times New Roman"/>
                <w:sz w:val="20"/>
                <w:szCs w:val="20"/>
                <w:lang w:val="en-US"/>
              </w:rPr>
            </w:pPr>
            <w:r w:rsidRPr="008B6BC5">
              <w:rPr>
                <w:rFonts w:cs="Times New Roman"/>
                <w:sz w:val="20"/>
                <w:szCs w:val="20"/>
                <w:lang w:val="en-US"/>
              </w:rPr>
              <w:t>The STARD trial enrolled 4,041 adult outpatients with non-psychotic MDD into an initial 12-week open-label citalopram trial, followed by up to three sequenced switch/augmentation steps for non-remitters (Rush et al., 2006; Trivedi et al., 2006). Although STARD lacked a placebo arm, it is informative about achievable outcomes under measurement-based care: remission rates were approximately 28–33% at step 1 and cumulatively about 67% after up to four sequential treatment steps, with diminishing returns at higher steps, indicating that initial pharmacotherapy is insufficient for a sizeable proportion of patients.</w:t>
            </w:r>
          </w:p>
          <w:p w14:paraId="361FB056" w14:textId="77777777" w:rsidR="005D36F1" w:rsidRPr="008B6BC5" w:rsidRDefault="005D36F1" w:rsidP="005D36F1">
            <w:pPr>
              <w:pStyle w:val="NoSpacing"/>
              <w:rPr>
                <w:rFonts w:cs="Times New Roman"/>
                <w:sz w:val="20"/>
                <w:szCs w:val="20"/>
                <w:lang w:val="en-US"/>
              </w:rPr>
            </w:pPr>
          </w:p>
        </w:tc>
        <w:tc>
          <w:tcPr>
            <w:tcW w:w="4202" w:type="dxa"/>
          </w:tcPr>
          <w:p w14:paraId="66C5A260" w14:textId="77777777" w:rsidR="005D36F1" w:rsidRPr="008B6BC5" w:rsidRDefault="005D36F1" w:rsidP="005D36F1">
            <w:pPr>
              <w:pStyle w:val="NoSpacing"/>
              <w:rPr>
                <w:rFonts w:cs="Times New Roman"/>
                <w:sz w:val="20"/>
                <w:szCs w:val="20"/>
              </w:rPr>
            </w:pPr>
            <w:proofErr w:type="spellStart"/>
            <w:r w:rsidRPr="008B6BC5">
              <w:rPr>
                <w:rFonts w:cs="Times New Roman"/>
                <w:sz w:val="20"/>
                <w:szCs w:val="20"/>
              </w:rPr>
              <w:t>doi</w:t>
            </w:r>
            <w:proofErr w:type="spellEnd"/>
            <w:r w:rsidRPr="008B6BC5">
              <w:rPr>
                <w:rFonts w:cs="Times New Roman"/>
                <w:sz w:val="20"/>
                <w:szCs w:val="20"/>
              </w:rPr>
              <w:t>: 10.1176/ajp.2006.163.11.1905.</w:t>
            </w:r>
          </w:p>
          <w:p w14:paraId="269CA936" w14:textId="121ED36D" w:rsidR="005D36F1" w:rsidRPr="008B6BC5" w:rsidRDefault="005D36F1" w:rsidP="005D36F1">
            <w:pPr>
              <w:pStyle w:val="NoSpacing"/>
              <w:rPr>
                <w:rFonts w:cs="Times New Roman"/>
                <w:sz w:val="20"/>
                <w:szCs w:val="20"/>
              </w:rPr>
            </w:pPr>
            <w:r w:rsidRPr="008B6BC5">
              <w:rPr>
                <w:rFonts w:cs="Times New Roman"/>
                <w:sz w:val="20"/>
                <w:szCs w:val="20"/>
              </w:rPr>
              <w:t>DOI: </w:t>
            </w:r>
            <w:hyperlink r:id="rId22" w:tgtFrame="_blank" w:history="1">
              <w:r w:rsidRPr="008B6BC5">
                <w:rPr>
                  <w:rStyle w:val="Hyperlink"/>
                  <w:rFonts w:cs="Times New Roman"/>
                  <w:sz w:val="20"/>
                  <w:szCs w:val="20"/>
                </w:rPr>
                <w:t>10.1176/appi.ajp.163.1.28</w:t>
              </w:r>
            </w:hyperlink>
          </w:p>
          <w:p w14:paraId="78BCA330" w14:textId="65E2BFBA" w:rsidR="005D36F1" w:rsidRPr="008B6BC5" w:rsidRDefault="005D36F1" w:rsidP="005D36F1">
            <w:pPr>
              <w:pStyle w:val="NoSpacing"/>
              <w:rPr>
                <w:rFonts w:cs="Times New Roman"/>
                <w:sz w:val="20"/>
                <w:szCs w:val="20"/>
                <w:lang w:val="en-US"/>
              </w:rPr>
            </w:pPr>
          </w:p>
        </w:tc>
        <w:tc>
          <w:tcPr>
            <w:tcW w:w="690" w:type="dxa"/>
          </w:tcPr>
          <w:p w14:paraId="166BD4AC" w14:textId="128DFE2D" w:rsidR="005D36F1" w:rsidRPr="008B6BC5" w:rsidRDefault="00AF3693" w:rsidP="005D36F1">
            <w:pPr>
              <w:pStyle w:val="NoSpacing"/>
              <w:rPr>
                <w:rFonts w:cs="Times New Roman"/>
                <w:sz w:val="20"/>
                <w:szCs w:val="20"/>
                <w:lang w:val="en-US"/>
              </w:rPr>
            </w:pPr>
            <w:r w:rsidRPr="008B6BC5">
              <w:rPr>
                <w:rFonts w:cs="Times New Roman"/>
                <w:sz w:val="20"/>
                <w:szCs w:val="20"/>
                <w:lang w:val="en-US"/>
              </w:rPr>
              <w:t>3</w:t>
            </w:r>
          </w:p>
          <w:p w14:paraId="77CD615E" w14:textId="41CA8CF2" w:rsidR="00AF3693" w:rsidRPr="008B6BC5" w:rsidRDefault="00AF3693" w:rsidP="005D36F1">
            <w:pPr>
              <w:pStyle w:val="NoSpacing"/>
              <w:rPr>
                <w:rFonts w:cs="Times New Roman"/>
                <w:sz w:val="20"/>
                <w:szCs w:val="20"/>
                <w:lang w:val="en-US"/>
              </w:rPr>
            </w:pPr>
            <w:r w:rsidRPr="008B6BC5">
              <w:rPr>
                <w:rFonts w:cs="Times New Roman"/>
                <w:sz w:val="20"/>
                <w:szCs w:val="20"/>
                <w:lang w:val="en-US"/>
              </w:rPr>
              <w:t>1</w:t>
            </w:r>
          </w:p>
        </w:tc>
        <w:tc>
          <w:tcPr>
            <w:tcW w:w="3944" w:type="dxa"/>
          </w:tcPr>
          <w:p w14:paraId="692F1CDD" w14:textId="77777777" w:rsidR="005D36F1" w:rsidRPr="008B6BC5" w:rsidRDefault="00AF3693" w:rsidP="005D36F1">
            <w:pPr>
              <w:pStyle w:val="NoSpacing"/>
              <w:rPr>
                <w:rFonts w:cs="Times New Roman"/>
                <w:sz w:val="20"/>
                <w:szCs w:val="20"/>
                <w:lang w:val="en-US"/>
              </w:rPr>
            </w:pPr>
            <w:r w:rsidRPr="008B6BC5">
              <w:rPr>
                <w:rFonts w:cs="Times New Roman"/>
                <w:sz w:val="20"/>
                <w:szCs w:val="20"/>
                <w:lang w:val="en-US"/>
              </w:rPr>
              <w:t xml:space="preserve">Rush et al. </w:t>
            </w:r>
            <w:r w:rsidR="00800DB6" w:rsidRPr="008B6BC5">
              <w:rPr>
                <w:rFonts w:cs="Times New Roman"/>
                <w:sz w:val="20"/>
                <w:szCs w:val="20"/>
                <w:lang w:val="en-US"/>
              </w:rPr>
              <w:t xml:space="preserve">show that there are four not three sequences steps in the STARD trial. </w:t>
            </w:r>
          </w:p>
          <w:p w14:paraId="127F62CC" w14:textId="77777777" w:rsidR="00800DB6" w:rsidRPr="008B6BC5" w:rsidRDefault="00800DB6" w:rsidP="005D36F1">
            <w:pPr>
              <w:pStyle w:val="NoSpacing"/>
              <w:rPr>
                <w:rFonts w:cs="Times New Roman"/>
                <w:sz w:val="20"/>
                <w:szCs w:val="20"/>
                <w:lang w:val="en-US"/>
              </w:rPr>
            </w:pPr>
          </w:p>
          <w:p w14:paraId="1D1D59F2" w14:textId="037C6B09" w:rsidR="00800DB6" w:rsidRPr="008B6BC5" w:rsidRDefault="00AC54F5" w:rsidP="005D36F1">
            <w:pPr>
              <w:pStyle w:val="NoSpacing"/>
              <w:rPr>
                <w:rFonts w:cs="Times New Roman"/>
                <w:sz w:val="20"/>
                <w:szCs w:val="20"/>
                <w:lang w:val="en-US"/>
              </w:rPr>
            </w:pPr>
            <w:r w:rsidRPr="008B6BC5">
              <w:rPr>
                <w:rFonts w:cs="Times New Roman"/>
                <w:sz w:val="20"/>
                <w:szCs w:val="20"/>
                <w:lang w:val="en-US"/>
              </w:rPr>
              <w:t xml:space="preserve">Trivedi et al only </w:t>
            </w:r>
            <w:proofErr w:type="spellStart"/>
            <w:r w:rsidRPr="008B6BC5">
              <w:rPr>
                <w:rFonts w:cs="Times New Roman"/>
                <w:sz w:val="20"/>
                <w:szCs w:val="20"/>
                <w:lang w:val="en-US"/>
              </w:rPr>
              <w:t>analysed</w:t>
            </w:r>
            <w:proofErr w:type="spellEnd"/>
            <w:r w:rsidRPr="008B6BC5">
              <w:rPr>
                <w:rFonts w:cs="Times New Roman"/>
                <w:sz w:val="20"/>
                <w:szCs w:val="20"/>
                <w:lang w:val="en-US"/>
              </w:rPr>
              <w:t xml:space="preserve"> the first sequenced step </w:t>
            </w:r>
            <w:r w:rsidR="00CA7CDE" w:rsidRPr="008B6BC5">
              <w:rPr>
                <w:rFonts w:cs="Times New Roman"/>
                <w:sz w:val="20"/>
                <w:szCs w:val="20"/>
                <w:lang w:val="en-US"/>
              </w:rPr>
              <w:t xml:space="preserve">and did not make reference to the subsequent three steps. </w:t>
            </w:r>
          </w:p>
        </w:tc>
      </w:tr>
      <w:tr w:rsidR="005D36F1" w:rsidRPr="008B6BC5" w14:paraId="020FFCD1" w14:textId="77777777" w:rsidTr="00760C26">
        <w:tc>
          <w:tcPr>
            <w:tcW w:w="1560" w:type="dxa"/>
          </w:tcPr>
          <w:p w14:paraId="01AAF985" w14:textId="44B6937F" w:rsidR="005D36F1" w:rsidRPr="008B6BC5" w:rsidRDefault="000938FF" w:rsidP="005D36F1">
            <w:pPr>
              <w:pStyle w:val="NoSpacing"/>
              <w:rPr>
                <w:rFonts w:cs="Times New Roman"/>
                <w:sz w:val="20"/>
                <w:szCs w:val="20"/>
                <w:lang w:val="en-US"/>
              </w:rPr>
            </w:pPr>
            <w:r w:rsidRPr="008B6BC5">
              <w:rPr>
                <w:rFonts w:cs="Times New Roman"/>
                <w:sz w:val="20"/>
                <w:szCs w:val="20"/>
                <w:lang w:val="en-US"/>
              </w:rPr>
              <w:t>5</w:t>
            </w:r>
          </w:p>
        </w:tc>
        <w:tc>
          <w:tcPr>
            <w:tcW w:w="6048" w:type="dxa"/>
          </w:tcPr>
          <w:p w14:paraId="17330962" w14:textId="184ED957" w:rsidR="005D36F1" w:rsidRPr="008B6BC5" w:rsidRDefault="005D36F1" w:rsidP="005D36F1">
            <w:pPr>
              <w:pStyle w:val="NoSpacing"/>
              <w:rPr>
                <w:rFonts w:cs="Times New Roman"/>
                <w:sz w:val="20"/>
                <w:szCs w:val="20"/>
                <w:lang w:val="en-US"/>
              </w:rPr>
            </w:pPr>
            <w:r w:rsidRPr="008B6BC5">
              <w:rPr>
                <w:rFonts w:cs="Times New Roman"/>
                <w:sz w:val="20"/>
                <w:szCs w:val="20"/>
                <w:lang w:val="en-US"/>
              </w:rPr>
              <w:t>Hansen et al. (2008) reviewed 4 head-to-head and 23 placebo-controlled continuation/maintenance trials of second-generation antidepressants (N ≈ 5,000) and reported that continued antidepressant treatment after acute response reduced relapse risk, with a number needed to treat (NNT) of 5 (95% CI 4–6) relative to placebo or drug discontinuation.</w:t>
            </w:r>
          </w:p>
        </w:tc>
        <w:tc>
          <w:tcPr>
            <w:tcW w:w="4202" w:type="dxa"/>
          </w:tcPr>
          <w:p w14:paraId="19C5409A" w14:textId="77777777" w:rsidR="005D36F1" w:rsidRPr="008B6BC5" w:rsidRDefault="005D36F1" w:rsidP="005D36F1">
            <w:pPr>
              <w:pStyle w:val="NoSpacing"/>
              <w:rPr>
                <w:rFonts w:cs="Times New Roman"/>
                <w:sz w:val="20"/>
                <w:szCs w:val="20"/>
              </w:rPr>
            </w:pPr>
            <w:r w:rsidRPr="008B6BC5">
              <w:rPr>
                <w:rFonts w:cs="Times New Roman"/>
                <w:sz w:val="20"/>
                <w:szCs w:val="20"/>
              </w:rPr>
              <w:t>DOI: </w:t>
            </w:r>
            <w:hyperlink r:id="rId23" w:tgtFrame="_blank" w:history="1">
              <w:r w:rsidRPr="008B6BC5">
                <w:rPr>
                  <w:rStyle w:val="Hyperlink"/>
                  <w:rFonts w:cs="Times New Roman"/>
                  <w:sz w:val="20"/>
                  <w:szCs w:val="20"/>
                </w:rPr>
                <w:t>10.1176/ps.2008.59.10.1121</w:t>
              </w:r>
            </w:hyperlink>
          </w:p>
          <w:p w14:paraId="1BFBB292" w14:textId="77777777" w:rsidR="005D36F1" w:rsidRPr="008B6BC5" w:rsidRDefault="005D36F1" w:rsidP="005D36F1">
            <w:pPr>
              <w:pStyle w:val="NoSpacing"/>
              <w:rPr>
                <w:rFonts w:cs="Times New Roman"/>
                <w:sz w:val="20"/>
                <w:szCs w:val="20"/>
                <w:lang w:val="en-US"/>
              </w:rPr>
            </w:pPr>
          </w:p>
        </w:tc>
        <w:tc>
          <w:tcPr>
            <w:tcW w:w="690" w:type="dxa"/>
          </w:tcPr>
          <w:p w14:paraId="21FE5DD6" w14:textId="0BDDFDF8" w:rsidR="005D36F1" w:rsidRPr="008B6BC5" w:rsidRDefault="007E71A8" w:rsidP="005D36F1">
            <w:pPr>
              <w:pStyle w:val="NoSpacing"/>
              <w:rPr>
                <w:rFonts w:cs="Times New Roman"/>
                <w:sz w:val="20"/>
                <w:szCs w:val="20"/>
                <w:lang w:val="en-US"/>
              </w:rPr>
            </w:pPr>
            <w:r w:rsidRPr="008B6BC5">
              <w:rPr>
                <w:rFonts w:cs="Times New Roman"/>
                <w:sz w:val="20"/>
                <w:szCs w:val="20"/>
                <w:lang w:val="en-US"/>
              </w:rPr>
              <w:t>4</w:t>
            </w:r>
          </w:p>
        </w:tc>
        <w:tc>
          <w:tcPr>
            <w:tcW w:w="3944" w:type="dxa"/>
          </w:tcPr>
          <w:p w14:paraId="3662A991" w14:textId="56703D2A" w:rsidR="005D36F1" w:rsidRPr="008B6BC5" w:rsidRDefault="007E71A8" w:rsidP="005D36F1">
            <w:pPr>
              <w:pStyle w:val="NoSpacing"/>
              <w:rPr>
                <w:rFonts w:cs="Times New Roman"/>
                <w:sz w:val="20"/>
                <w:szCs w:val="20"/>
                <w:lang w:val="en-US"/>
              </w:rPr>
            </w:pPr>
            <w:r w:rsidRPr="008B6BC5">
              <w:rPr>
                <w:rFonts w:cs="Times New Roman"/>
                <w:sz w:val="20"/>
                <w:szCs w:val="20"/>
                <w:lang w:val="en-US"/>
              </w:rPr>
              <w:t>No inaccuracies identified.</w:t>
            </w:r>
          </w:p>
        </w:tc>
      </w:tr>
      <w:tr w:rsidR="005D36F1" w:rsidRPr="008B6BC5" w14:paraId="205C2A7D" w14:textId="77777777" w:rsidTr="00760C26">
        <w:tc>
          <w:tcPr>
            <w:tcW w:w="1560" w:type="dxa"/>
          </w:tcPr>
          <w:p w14:paraId="189D057D" w14:textId="2B453B31" w:rsidR="005D36F1" w:rsidRPr="008B6BC5" w:rsidRDefault="000938FF" w:rsidP="005D36F1">
            <w:pPr>
              <w:pStyle w:val="NoSpacing"/>
              <w:rPr>
                <w:rFonts w:cs="Times New Roman"/>
                <w:sz w:val="20"/>
                <w:szCs w:val="20"/>
                <w:lang w:val="en-US"/>
              </w:rPr>
            </w:pPr>
            <w:r w:rsidRPr="008B6BC5">
              <w:rPr>
                <w:rFonts w:cs="Times New Roman"/>
                <w:sz w:val="20"/>
                <w:szCs w:val="20"/>
                <w:lang w:val="en-US"/>
              </w:rPr>
              <w:t>6</w:t>
            </w:r>
          </w:p>
        </w:tc>
        <w:tc>
          <w:tcPr>
            <w:tcW w:w="6048" w:type="dxa"/>
          </w:tcPr>
          <w:p w14:paraId="5598A287" w14:textId="77777777" w:rsidR="005D36F1" w:rsidRPr="008B6BC5" w:rsidRDefault="005D36F1" w:rsidP="005D36F1">
            <w:pPr>
              <w:pStyle w:val="NoSpacing"/>
              <w:rPr>
                <w:rFonts w:cs="Times New Roman"/>
                <w:sz w:val="20"/>
                <w:szCs w:val="20"/>
                <w:lang w:val="en-US"/>
              </w:rPr>
            </w:pPr>
            <w:r w:rsidRPr="008B6BC5">
              <w:rPr>
                <w:rFonts w:cs="Times New Roman"/>
                <w:sz w:val="20"/>
                <w:szCs w:val="20"/>
                <w:lang w:val="en-US"/>
              </w:rPr>
              <w:t>A larger meta-analysis by Sim et al. (2016) of 72 RCTs (N = 14,450; mean follow-up ≈ 33 weeks) found that antidepressants nearly doubled the likelihood of remaining well compared with placebo (RR for staying in remission = 1.90, 95% CI 1.73–2.08; NNT ≈ 4.4), with similar benefits for prevention of new depressive episodes in longer-term maintenance phases (RR = 2.03, 95% CI 1.80–2.28; NNT ≈ 3.8).</w:t>
            </w:r>
          </w:p>
          <w:p w14:paraId="5AE85311" w14:textId="77777777" w:rsidR="005D36F1" w:rsidRPr="008B6BC5" w:rsidRDefault="005D36F1" w:rsidP="005D36F1">
            <w:pPr>
              <w:pStyle w:val="NoSpacing"/>
              <w:rPr>
                <w:rFonts w:cs="Times New Roman"/>
                <w:sz w:val="20"/>
                <w:szCs w:val="20"/>
                <w:lang w:val="en-US"/>
              </w:rPr>
            </w:pPr>
          </w:p>
        </w:tc>
        <w:tc>
          <w:tcPr>
            <w:tcW w:w="4202" w:type="dxa"/>
          </w:tcPr>
          <w:p w14:paraId="1DC79808" w14:textId="43E5B1AC" w:rsidR="005D36F1" w:rsidRPr="008B6BC5" w:rsidRDefault="005D36F1" w:rsidP="005D36F1">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ijnp</w:t>
            </w:r>
            <w:proofErr w:type="spellEnd"/>
            <w:r w:rsidRPr="008B6BC5">
              <w:rPr>
                <w:rFonts w:cs="Times New Roman"/>
                <w:sz w:val="20"/>
                <w:szCs w:val="20"/>
                <w:lang w:val="en-US"/>
              </w:rPr>
              <w:t>/pyv076</w:t>
            </w:r>
          </w:p>
        </w:tc>
        <w:tc>
          <w:tcPr>
            <w:tcW w:w="690" w:type="dxa"/>
          </w:tcPr>
          <w:p w14:paraId="0D20311E" w14:textId="11B1E2BA" w:rsidR="005D36F1" w:rsidRPr="008B6BC5" w:rsidRDefault="007E71A8" w:rsidP="005D36F1">
            <w:pPr>
              <w:pStyle w:val="NoSpacing"/>
              <w:rPr>
                <w:rFonts w:cs="Times New Roman"/>
                <w:sz w:val="20"/>
                <w:szCs w:val="20"/>
                <w:lang w:val="en-US"/>
              </w:rPr>
            </w:pPr>
            <w:r w:rsidRPr="008B6BC5">
              <w:rPr>
                <w:rFonts w:cs="Times New Roman"/>
                <w:sz w:val="20"/>
                <w:szCs w:val="20"/>
                <w:lang w:val="en-US"/>
              </w:rPr>
              <w:t>4</w:t>
            </w:r>
          </w:p>
        </w:tc>
        <w:tc>
          <w:tcPr>
            <w:tcW w:w="3944" w:type="dxa"/>
          </w:tcPr>
          <w:p w14:paraId="270906F2" w14:textId="5741C866" w:rsidR="005D36F1" w:rsidRPr="008B6BC5" w:rsidRDefault="007E71A8" w:rsidP="005D36F1">
            <w:pPr>
              <w:pStyle w:val="NoSpacing"/>
              <w:rPr>
                <w:rFonts w:cs="Times New Roman"/>
                <w:sz w:val="20"/>
                <w:szCs w:val="20"/>
                <w:lang w:val="en-US"/>
              </w:rPr>
            </w:pPr>
            <w:r w:rsidRPr="008B6BC5">
              <w:rPr>
                <w:rFonts w:cs="Times New Roman"/>
                <w:sz w:val="20"/>
                <w:szCs w:val="20"/>
                <w:lang w:val="en-US"/>
              </w:rPr>
              <w:t>No inaccuracies identified.</w:t>
            </w:r>
          </w:p>
        </w:tc>
      </w:tr>
      <w:tr w:rsidR="005D36F1" w:rsidRPr="008B6BC5" w14:paraId="427414D3" w14:textId="77777777" w:rsidTr="00760C26">
        <w:tc>
          <w:tcPr>
            <w:tcW w:w="1560" w:type="dxa"/>
          </w:tcPr>
          <w:p w14:paraId="42EF5707" w14:textId="19FC884A" w:rsidR="005D36F1" w:rsidRPr="008B6BC5" w:rsidRDefault="000938FF" w:rsidP="005D36F1">
            <w:pPr>
              <w:pStyle w:val="NoSpacing"/>
              <w:rPr>
                <w:rFonts w:cs="Times New Roman"/>
                <w:sz w:val="20"/>
                <w:szCs w:val="20"/>
                <w:lang w:val="en-US"/>
              </w:rPr>
            </w:pPr>
            <w:r w:rsidRPr="008B6BC5">
              <w:rPr>
                <w:rFonts w:cs="Times New Roman"/>
                <w:sz w:val="20"/>
                <w:szCs w:val="20"/>
                <w:lang w:val="en-US"/>
              </w:rPr>
              <w:t>7</w:t>
            </w:r>
          </w:p>
        </w:tc>
        <w:tc>
          <w:tcPr>
            <w:tcW w:w="6048" w:type="dxa"/>
          </w:tcPr>
          <w:p w14:paraId="72EA7D2F" w14:textId="2B08310B" w:rsidR="005D36F1" w:rsidRPr="008B6BC5" w:rsidRDefault="005D36F1" w:rsidP="005D36F1">
            <w:pPr>
              <w:pStyle w:val="NoSpacing"/>
              <w:rPr>
                <w:rFonts w:cs="Times New Roman"/>
                <w:sz w:val="20"/>
                <w:szCs w:val="20"/>
                <w:lang w:val="en-US"/>
              </w:rPr>
            </w:pPr>
            <w:r w:rsidRPr="008B6BC5">
              <w:rPr>
                <w:rFonts w:cs="Times New Roman"/>
                <w:sz w:val="20"/>
                <w:szCs w:val="20"/>
                <w:lang w:val="en-US"/>
              </w:rPr>
              <w:t xml:space="preserve">Cuijpers et al. (2013) </w:t>
            </w:r>
            <w:proofErr w:type="spellStart"/>
            <w:r w:rsidRPr="008B6BC5">
              <w:rPr>
                <w:rFonts w:cs="Times New Roman"/>
                <w:sz w:val="20"/>
                <w:szCs w:val="20"/>
                <w:lang w:val="en-US"/>
              </w:rPr>
              <w:t>synthesised</w:t>
            </w:r>
            <w:proofErr w:type="spellEnd"/>
            <w:r w:rsidRPr="008B6BC5">
              <w:rPr>
                <w:rFonts w:cs="Times New Roman"/>
                <w:sz w:val="20"/>
                <w:szCs w:val="20"/>
                <w:lang w:val="en-US"/>
              </w:rPr>
              <w:t xml:space="preserve"> 68 RCTs (N ≈ 5,000 adults) directly comparing pharmacotherapy (primarily SSRIs or tricyclics) with evidence-based psychotherapy (mostly cognitive-behavioral therapy [CBT]) for depressive and anxiety disorders, including MDD. The pooled effect size for symptom reduction was essentially zero (Hedges’ g = 0.02, 95% CI −0.10 to 0.14), indicating no meaningful difference in acute efficacy between pharmacotherapy and psychotherapy when both are delivered under trial conditions (Cuijpers et al., 2013).</w:t>
            </w:r>
          </w:p>
        </w:tc>
        <w:tc>
          <w:tcPr>
            <w:tcW w:w="4202" w:type="dxa"/>
          </w:tcPr>
          <w:p w14:paraId="4A7F65C1" w14:textId="77777777" w:rsidR="005D36F1" w:rsidRPr="008B6BC5" w:rsidRDefault="005D36F1" w:rsidP="005D36F1">
            <w:pPr>
              <w:pStyle w:val="NoSpacing"/>
              <w:rPr>
                <w:rFonts w:cs="Times New Roman"/>
                <w:sz w:val="20"/>
                <w:szCs w:val="20"/>
              </w:rPr>
            </w:pPr>
            <w:r w:rsidRPr="008B6BC5">
              <w:rPr>
                <w:rFonts w:cs="Times New Roman"/>
                <w:sz w:val="20"/>
                <w:szCs w:val="20"/>
              </w:rPr>
              <w:t>DOI: </w:t>
            </w:r>
            <w:hyperlink r:id="rId24" w:tgtFrame="_blank" w:history="1">
              <w:r w:rsidRPr="008B6BC5">
                <w:rPr>
                  <w:rStyle w:val="Hyperlink"/>
                  <w:rFonts w:cs="Times New Roman"/>
                  <w:sz w:val="20"/>
                  <w:szCs w:val="20"/>
                </w:rPr>
                <w:t>10.1002/wps.20038</w:t>
              </w:r>
            </w:hyperlink>
          </w:p>
          <w:p w14:paraId="28D16584" w14:textId="77777777" w:rsidR="005D36F1" w:rsidRPr="008B6BC5" w:rsidRDefault="005D36F1" w:rsidP="005D36F1">
            <w:pPr>
              <w:pStyle w:val="NoSpacing"/>
              <w:rPr>
                <w:rFonts w:cs="Times New Roman"/>
                <w:sz w:val="20"/>
                <w:szCs w:val="20"/>
                <w:lang w:val="en-US"/>
              </w:rPr>
            </w:pPr>
          </w:p>
        </w:tc>
        <w:tc>
          <w:tcPr>
            <w:tcW w:w="690" w:type="dxa"/>
          </w:tcPr>
          <w:p w14:paraId="04305319" w14:textId="12B98313" w:rsidR="005D36F1" w:rsidRPr="008B6BC5" w:rsidRDefault="00792C0C" w:rsidP="005D36F1">
            <w:pPr>
              <w:pStyle w:val="NoSpacing"/>
              <w:rPr>
                <w:rFonts w:cs="Times New Roman"/>
                <w:sz w:val="20"/>
                <w:szCs w:val="20"/>
                <w:lang w:val="en-US"/>
              </w:rPr>
            </w:pPr>
            <w:r w:rsidRPr="008B6BC5">
              <w:rPr>
                <w:rFonts w:cs="Times New Roman"/>
                <w:sz w:val="20"/>
                <w:szCs w:val="20"/>
                <w:lang w:val="en-US"/>
              </w:rPr>
              <w:t>3</w:t>
            </w:r>
          </w:p>
        </w:tc>
        <w:tc>
          <w:tcPr>
            <w:tcW w:w="3944" w:type="dxa"/>
          </w:tcPr>
          <w:p w14:paraId="4CF086E6" w14:textId="091957BD" w:rsidR="005D36F1" w:rsidRPr="008B6BC5" w:rsidRDefault="00792C0C" w:rsidP="005D36F1">
            <w:pPr>
              <w:pStyle w:val="NoSpacing"/>
              <w:rPr>
                <w:rFonts w:cs="Times New Roman"/>
                <w:sz w:val="20"/>
                <w:szCs w:val="20"/>
                <w:lang w:val="en-US"/>
              </w:rPr>
            </w:pPr>
            <w:r w:rsidRPr="008B6BC5">
              <w:rPr>
                <w:rFonts w:cs="Times New Roman"/>
                <w:sz w:val="20"/>
                <w:szCs w:val="20"/>
                <w:lang w:val="en-US"/>
              </w:rPr>
              <w:t>There were 67 not 6</w:t>
            </w:r>
            <w:r w:rsidR="002B2FB7" w:rsidRPr="008B6BC5">
              <w:rPr>
                <w:rFonts w:cs="Times New Roman"/>
                <w:sz w:val="20"/>
                <w:szCs w:val="20"/>
                <w:lang w:val="en-US"/>
              </w:rPr>
              <w:t>8</w:t>
            </w:r>
            <w:r w:rsidRPr="008B6BC5">
              <w:rPr>
                <w:rFonts w:cs="Times New Roman"/>
                <w:sz w:val="20"/>
                <w:szCs w:val="20"/>
                <w:lang w:val="en-US"/>
              </w:rPr>
              <w:t xml:space="preserve"> trials and the reported 95% CI was incorrect. </w:t>
            </w:r>
          </w:p>
        </w:tc>
      </w:tr>
      <w:tr w:rsidR="002B2FB7" w:rsidRPr="008B6BC5" w14:paraId="39C97023" w14:textId="77777777" w:rsidTr="00760C26">
        <w:tc>
          <w:tcPr>
            <w:tcW w:w="1560" w:type="dxa"/>
          </w:tcPr>
          <w:p w14:paraId="7F169A4D" w14:textId="08054F49" w:rsidR="002B2FB7" w:rsidRPr="008B6BC5" w:rsidRDefault="000938FF" w:rsidP="002B2FB7">
            <w:pPr>
              <w:pStyle w:val="NoSpacing"/>
              <w:rPr>
                <w:rFonts w:cs="Times New Roman"/>
                <w:sz w:val="20"/>
                <w:szCs w:val="20"/>
                <w:lang w:val="en-US"/>
              </w:rPr>
            </w:pPr>
            <w:r w:rsidRPr="008B6BC5">
              <w:rPr>
                <w:rFonts w:cs="Times New Roman"/>
                <w:sz w:val="20"/>
                <w:szCs w:val="20"/>
                <w:lang w:val="en-US"/>
              </w:rPr>
              <w:t>8</w:t>
            </w:r>
          </w:p>
        </w:tc>
        <w:tc>
          <w:tcPr>
            <w:tcW w:w="6048" w:type="dxa"/>
          </w:tcPr>
          <w:p w14:paraId="212A7F53" w14:textId="1104CEF8" w:rsidR="002B2FB7" w:rsidRPr="008B6BC5" w:rsidRDefault="002B2FB7" w:rsidP="002B2FB7">
            <w:pPr>
              <w:pStyle w:val="NoSpacing"/>
              <w:rPr>
                <w:rFonts w:cs="Times New Roman"/>
                <w:sz w:val="20"/>
                <w:szCs w:val="20"/>
                <w:lang w:val="en-US"/>
              </w:rPr>
            </w:pPr>
            <w:r w:rsidRPr="008B6BC5">
              <w:rPr>
                <w:rFonts w:cs="Times New Roman"/>
                <w:sz w:val="20"/>
                <w:szCs w:val="20"/>
                <w:lang w:val="en-US"/>
              </w:rPr>
              <w:t xml:space="preserve">In a meta-analysis of 52 RCTs (N = 3,623 adults with depressive and anxiety disorders, including MDD), Cuijpers et al. (2014) compared </w:t>
            </w:r>
            <w:r w:rsidRPr="008B6BC5">
              <w:rPr>
                <w:rFonts w:cs="Times New Roman"/>
                <w:sz w:val="20"/>
                <w:szCs w:val="20"/>
                <w:lang w:val="en-US"/>
              </w:rPr>
              <w:lastRenderedPageBreak/>
              <w:t>antidepressant monotherapy with combined antidepressant plus psychotherapy. Combined treatment yielded a moderate advantage (Hedges’ g = 0.43, 95% CI 0.31–0.56; NNT ≈ 4.2) over antidepressant medication alone, with benefits maintained up to two years post-treatment (Cuijpers et al., 2014).</w:t>
            </w:r>
          </w:p>
        </w:tc>
        <w:tc>
          <w:tcPr>
            <w:tcW w:w="4202" w:type="dxa"/>
          </w:tcPr>
          <w:p w14:paraId="6A4F108F" w14:textId="49095B2D" w:rsidR="002B2FB7" w:rsidRPr="008B6BC5" w:rsidRDefault="002B2FB7" w:rsidP="002B2FB7">
            <w:pPr>
              <w:pStyle w:val="NoSpacing"/>
              <w:rPr>
                <w:rFonts w:cs="Times New Roman"/>
                <w:sz w:val="20"/>
                <w:szCs w:val="20"/>
              </w:rPr>
            </w:pPr>
            <w:r w:rsidRPr="008B6BC5">
              <w:rPr>
                <w:rFonts w:cs="Times New Roman"/>
                <w:sz w:val="20"/>
                <w:szCs w:val="20"/>
              </w:rPr>
              <w:lastRenderedPageBreak/>
              <w:t>DOI: </w:t>
            </w:r>
            <w:hyperlink r:id="rId25" w:tgtFrame="_blank" w:history="1">
              <w:r w:rsidRPr="008B6BC5">
                <w:rPr>
                  <w:rStyle w:val="Hyperlink"/>
                  <w:rFonts w:cs="Times New Roman"/>
                  <w:sz w:val="20"/>
                  <w:szCs w:val="20"/>
                </w:rPr>
                <w:t>10.1002/wps.20089</w:t>
              </w:r>
            </w:hyperlink>
          </w:p>
          <w:p w14:paraId="766356A9" w14:textId="77777777" w:rsidR="002B2FB7" w:rsidRPr="008B6BC5" w:rsidRDefault="002B2FB7" w:rsidP="002B2FB7">
            <w:pPr>
              <w:pStyle w:val="NoSpacing"/>
              <w:rPr>
                <w:rFonts w:cs="Times New Roman"/>
                <w:sz w:val="20"/>
                <w:szCs w:val="20"/>
                <w:lang w:val="en-US"/>
              </w:rPr>
            </w:pPr>
          </w:p>
        </w:tc>
        <w:tc>
          <w:tcPr>
            <w:tcW w:w="690" w:type="dxa"/>
          </w:tcPr>
          <w:p w14:paraId="5C00847C" w14:textId="3B8FD90A" w:rsidR="002B2FB7" w:rsidRPr="008B6BC5" w:rsidRDefault="002B2FB7" w:rsidP="002B2FB7">
            <w:pPr>
              <w:pStyle w:val="NoSpacing"/>
              <w:rPr>
                <w:rFonts w:cs="Times New Roman"/>
                <w:sz w:val="20"/>
                <w:szCs w:val="20"/>
                <w:lang w:val="en-US"/>
              </w:rPr>
            </w:pPr>
            <w:r w:rsidRPr="008B6BC5">
              <w:rPr>
                <w:rFonts w:cs="Times New Roman"/>
                <w:sz w:val="20"/>
                <w:szCs w:val="20"/>
                <w:lang w:val="en-US"/>
              </w:rPr>
              <w:t>4</w:t>
            </w:r>
          </w:p>
        </w:tc>
        <w:tc>
          <w:tcPr>
            <w:tcW w:w="3944" w:type="dxa"/>
          </w:tcPr>
          <w:p w14:paraId="1AE762E3" w14:textId="188616A6" w:rsidR="002B2FB7" w:rsidRPr="008B6BC5" w:rsidRDefault="002B2FB7" w:rsidP="002B2FB7">
            <w:pPr>
              <w:pStyle w:val="NoSpacing"/>
              <w:rPr>
                <w:rFonts w:cs="Times New Roman"/>
                <w:sz w:val="20"/>
                <w:szCs w:val="20"/>
                <w:lang w:val="en-US"/>
              </w:rPr>
            </w:pPr>
            <w:r w:rsidRPr="008B6BC5">
              <w:rPr>
                <w:rFonts w:cs="Times New Roman"/>
                <w:sz w:val="20"/>
                <w:szCs w:val="20"/>
                <w:lang w:val="en-US"/>
              </w:rPr>
              <w:t>No inaccuracies identified.</w:t>
            </w:r>
          </w:p>
        </w:tc>
      </w:tr>
      <w:tr w:rsidR="002B2FB7" w:rsidRPr="008B6BC5" w14:paraId="3AF8BBE0" w14:textId="77777777" w:rsidTr="00760C26">
        <w:tc>
          <w:tcPr>
            <w:tcW w:w="1560" w:type="dxa"/>
          </w:tcPr>
          <w:p w14:paraId="07E94176" w14:textId="4EBF532C" w:rsidR="002B2FB7" w:rsidRPr="008B6BC5" w:rsidRDefault="000938FF" w:rsidP="002B2FB7">
            <w:pPr>
              <w:pStyle w:val="NoSpacing"/>
              <w:rPr>
                <w:rFonts w:cs="Times New Roman"/>
                <w:sz w:val="20"/>
                <w:szCs w:val="20"/>
                <w:lang w:val="en-US"/>
              </w:rPr>
            </w:pPr>
            <w:r w:rsidRPr="008B6BC5">
              <w:rPr>
                <w:rFonts w:cs="Times New Roman"/>
                <w:sz w:val="20"/>
                <w:szCs w:val="20"/>
                <w:lang w:val="en-US"/>
              </w:rPr>
              <w:t>9</w:t>
            </w:r>
          </w:p>
        </w:tc>
        <w:tc>
          <w:tcPr>
            <w:tcW w:w="6048" w:type="dxa"/>
          </w:tcPr>
          <w:p w14:paraId="1A810172" w14:textId="18BE3594" w:rsidR="002B2FB7" w:rsidRPr="008B6BC5" w:rsidRDefault="002B2FB7" w:rsidP="002B2FB7">
            <w:pPr>
              <w:pStyle w:val="NoSpacing"/>
              <w:rPr>
                <w:rFonts w:cs="Times New Roman"/>
                <w:sz w:val="20"/>
                <w:szCs w:val="20"/>
                <w:lang w:val="en-US"/>
              </w:rPr>
            </w:pPr>
            <w:r w:rsidRPr="008B6BC5">
              <w:rPr>
                <w:rFonts w:cs="Times New Roman"/>
                <w:sz w:val="20"/>
                <w:szCs w:val="20"/>
                <w:lang w:val="en-US"/>
              </w:rPr>
              <w:t>Guidi et al. (2021) focused specifically on sequential models in which psychotherapy was introduced after response to acute pharmacotherapy in adults with MDD. Across 17 RCTs (N = 2,283 remitted patients), sequential psychotherapy reduced the risk of relapse/recurrence compared with pharmacotherapy alone (RR = 0.84, 95% CI 0.74–0.94), suggesting that adding psychotherapy may allow safer antidepressant discontinuation while preserving long-term stability (Guidi et al., 2021)</w:t>
            </w:r>
          </w:p>
        </w:tc>
        <w:tc>
          <w:tcPr>
            <w:tcW w:w="4202" w:type="dxa"/>
          </w:tcPr>
          <w:p w14:paraId="62212105" w14:textId="7202BBE0" w:rsidR="002B2FB7" w:rsidRPr="008B6BC5" w:rsidRDefault="002B2FB7" w:rsidP="002B2FB7">
            <w:pPr>
              <w:pStyle w:val="NoSpacing"/>
              <w:rPr>
                <w:rFonts w:cs="Times New Roman"/>
                <w:sz w:val="20"/>
                <w:szCs w:val="20"/>
                <w:lang w:val="en-US"/>
              </w:rPr>
            </w:pPr>
            <w:r w:rsidRPr="008B6BC5">
              <w:rPr>
                <w:rFonts w:cs="Times New Roman"/>
                <w:sz w:val="20"/>
                <w:szCs w:val="20"/>
              </w:rPr>
              <w:t>doi:10.1001/jamapsychiatry.2020.3650</w:t>
            </w:r>
          </w:p>
        </w:tc>
        <w:tc>
          <w:tcPr>
            <w:tcW w:w="690" w:type="dxa"/>
          </w:tcPr>
          <w:p w14:paraId="2BFC95E8" w14:textId="63B13F00" w:rsidR="002B2FB7" w:rsidRPr="008B6BC5" w:rsidRDefault="00527D18" w:rsidP="002B2FB7">
            <w:pPr>
              <w:pStyle w:val="NoSpacing"/>
              <w:rPr>
                <w:rFonts w:cs="Times New Roman"/>
                <w:sz w:val="20"/>
                <w:szCs w:val="20"/>
                <w:lang w:val="en-US"/>
              </w:rPr>
            </w:pPr>
            <w:r w:rsidRPr="008B6BC5">
              <w:rPr>
                <w:rFonts w:cs="Times New Roman"/>
                <w:sz w:val="20"/>
                <w:szCs w:val="20"/>
                <w:lang w:val="en-US"/>
              </w:rPr>
              <w:t>3</w:t>
            </w:r>
          </w:p>
        </w:tc>
        <w:tc>
          <w:tcPr>
            <w:tcW w:w="3944" w:type="dxa"/>
          </w:tcPr>
          <w:p w14:paraId="140FBE00" w14:textId="417D7AC7" w:rsidR="002B2FB7" w:rsidRPr="008B6BC5" w:rsidRDefault="00527D18" w:rsidP="002B2FB7">
            <w:pPr>
              <w:pStyle w:val="NoSpacing"/>
              <w:rPr>
                <w:rFonts w:cs="Times New Roman"/>
                <w:sz w:val="20"/>
                <w:szCs w:val="20"/>
                <w:lang w:val="en-US"/>
              </w:rPr>
            </w:pPr>
            <w:r w:rsidRPr="008B6BC5">
              <w:rPr>
                <w:rFonts w:cs="Times New Roman"/>
                <w:sz w:val="20"/>
                <w:szCs w:val="20"/>
                <w:lang w:val="en-US"/>
              </w:rPr>
              <w:t xml:space="preserve">The control arms were not only pharmacotherapy, but also comprised TAU, psychoeducation, and </w:t>
            </w:r>
            <w:r w:rsidR="007F69BA" w:rsidRPr="008B6BC5">
              <w:rPr>
                <w:rFonts w:cs="Times New Roman"/>
                <w:sz w:val="20"/>
                <w:szCs w:val="20"/>
                <w:lang w:val="en-US"/>
              </w:rPr>
              <w:t xml:space="preserve">clinical management. </w:t>
            </w:r>
          </w:p>
        </w:tc>
      </w:tr>
      <w:tr w:rsidR="002B2FB7" w:rsidRPr="008B6BC5" w14:paraId="39A2A2C0" w14:textId="77777777" w:rsidTr="00760C26">
        <w:tc>
          <w:tcPr>
            <w:tcW w:w="1560" w:type="dxa"/>
          </w:tcPr>
          <w:p w14:paraId="261C9370" w14:textId="588405AA" w:rsidR="002B2FB7" w:rsidRPr="008B6BC5" w:rsidRDefault="000938FF" w:rsidP="002B2FB7">
            <w:pPr>
              <w:pStyle w:val="NoSpacing"/>
              <w:rPr>
                <w:rFonts w:cs="Times New Roman"/>
                <w:sz w:val="20"/>
                <w:szCs w:val="20"/>
                <w:lang w:val="en-US"/>
              </w:rPr>
            </w:pPr>
            <w:r w:rsidRPr="008B6BC5">
              <w:rPr>
                <w:rFonts w:cs="Times New Roman"/>
                <w:sz w:val="20"/>
                <w:szCs w:val="20"/>
                <w:lang w:val="en-US"/>
              </w:rPr>
              <w:t>10</w:t>
            </w:r>
          </w:p>
        </w:tc>
        <w:tc>
          <w:tcPr>
            <w:tcW w:w="6048" w:type="dxa"/>
          </w:tcPr>
          <w:p w14:paraId="3150F42C" w14:textId="25C03DEE" w:rsidR="002B2FB7" w:rsidRPr="008B6BC5" w:rsidRDefault="002B2FB7" w:rsidP="002B2FB7">
            <w:pPr>
              <w:pStyle w:val="NoSpacing"/>
              <w:rPr>
                <w:rFonts w:cs="Times New Roman"/>
                <w:sz w:val="20"/>
                <w:szCs w:val="20"/>
                <w:lang w:val="en-US"/>
              </w:rPr>
            </w:pPr>
            <w:r w:rsidRPr="008B6BC5">
              <w:rPr>
                <w:rFonts w:cs="Times New Roman"/>
                <w:sz w:val="20"/>
                <w:szCs w:val="20"/>
                <w:lang w:val="en-US"/>
              </w:rPr>
              <w:t>A BMJ network meta-analysis of 43 RCTs (Amick et al., 2015) found no significant differences in acute symptom reduction between second-generation antidepressants and CBT for adult depression, either when delivered as monotherapies or in combination; effect size differences clustered near zero, indicating comparable efficacy (Amick et al., 2015).</w:t>
            </w:r>
          </w:p>
        </w:tc>
        <w:tc>
          <w:tcPr>
            <w:tcW w:w="4202" w:type="dxa"/>
          </w:tcPr>
          <w:p w14:paraId="09B41694" w14:textId="4AA4BFFB" w:rsidR="002B2FB7" w:rsidRPr="008B6BC5" w:rsidRDefault="002B2FB7" w:rsidP="002B2FB7">
            <w:pPr>
              <w:pStyle w:val="NoSpacing"/>
              <w:rPr>
                <w:rFonts w:cs="Times New Roman"/>
                <w:sz w:val="20"/>
                <w:szCs w:val="20"/>
                <w:lang w:val="en-US"/>
              </w:rPr>
            </w:pPr>
            <w:r w:rsidRPr="008B6BC5">
              <w:rPr>
                <w:rFonts w:cs="Times New Roman"/>
                <w:sz w:val="20"/>
                <w:szCs w:val="20"/>
                <w:lang w:val="en-US"/>
              </w:rPr>
              <w:t>http://dx.doi. org/10.1136/bmj.h6019</w:t>
            </w:r>
          </w:p>
        </w:tc>
        <w:tc>
          <w:tcPr>
            <w:tcW w:w="690" w:type="dxa"/>
          </w:tcPr>
          <w:p w14:paraId="5CD2D008" w14:textId="5ED5620B" w:rsidR="002B2FB7" w:rsidRPr="008B6BC5" w:rsidRDefault="008D549D" w:rsidP="002B2FB7">
            <w:pPr>
              <w:pStyle w:val="NoSpacing"/>
              <w:rPr>
                <w:rFonts w:cs="Times New Roman"/>
                <w:sz w:val="20"/>
                <w:szCs w:val="20"/>
                <w:lang w:val="en-US"/>
              </w:rPr>
            </w:pPr>
            <w:r w:rsidRPr="008B6BC5">
              <w:rPr>
                <w:rFonts w:cs="Times New Roman"/>
                <w:sz w:val="20"/>
                <w:szCs w:val="20"/>
                <w:lang w:val="en-US"/>
              </w:rPr>
              <w:t>2</w:t>
            </w:r>
          </w:p>
        </w:tc>
        <w:tc>
          <w:tcPr>
            <w:tcW w:w="3944" w:type="dxa"/>
          </w:tcPr>
          <w:p w14:paraId="1E839973" w14:textId="71DDA51D" w:rsidR="002B2FB7" w:rsidRPr="008B6BC5" w:rsidRDefault="008D549D" w:rsidP="002B2FB7">
            <w:pPr>
              <w:pStyle w:val="NoSpacing"/>
              <w:rPr>
                <w:rFonts w:cs="Times New Roman"/>
                <w:sz w:val="20"/>
                <w:szCs w:val="20"/>
                <w:lang w:val="en-US"/>
              </w:rPr>
            </w:pPr>
            <w:r w:rsidRPr="008B6BC5">
              <w:rPr>
                <w:rFonts w:cs="Times New Roman"/>
                <w:sz w:val="20"/>
                <w:szCs w:val="20"/>
                <w:lang w:val="en-US"/>
              </w:rPr>
              <w:t>Was not a network meta-analysis; 11 not 43 trials were analyzed</w:t>
            </w:r>
            <w:r w:rsidR="00F13893" w:rsidRPr="008B6BC5">
              <w:rPr>
                <w:rFonts w:cs="Times New Roman"/>
                <w:sz w:val="20"/>
                <w:szCs w:val="20"/>
                <w:lang w:val="en-US"/>
              </w:rPr>
              <w:t xml:space="preserve">. </w:t>
            </w:r>
          </w:p>
        </w:tc>
      </w:tr>
      <w:tr w:rsidR="00F13893" w:rsidRPr="008B6BC5" w14:paraId="59E02EB0" w14:textId="77777777" w:rsidTr="00760C26">
        <w:tc>
          <w:tcPr>
            <w:tcW w:w="1560" w:type="dxa"/>
          </w:tcPr>
          <w:p w14:paraId="6590009D" w14:textId="5BE00610" w:rsidR="00F13893" w:rsidRPr="008B6BC5" w:rsidRDefault="000938FF" w:rsidP="00F13893">
            <w:pPr>
              <w:pStyle w:val="NoSpacing"/>
              <w:rPr>
                <w:rFonts w:cs="Times New Roman"/>
                <w:sz w:val="20"/>
                <w:szCs w:val="20"/>
                <w:lang w:val="en-US"/>
              </w:rPr>
            </w:pPr>
            <w:r w:rsidRPr="008B6BC5">
              <w:rPr>
                <w:rFonts w:cs="Times New Roman"/>
                <w:sz w:val="20"/>
                <w:szCs w:val="20"/>
                <w:lang w:val="en-US"/>
              </w:rPr>
              <w:t>11</w:t>
            </w:r>
          </w:p>
        </w:tc>
        <w:tc>
          <w:tcPr>
            <w:tcW w:w="6048" w:type="dxa"/>
          </w:tcPr>
          <w:p w14:paraId="69B3E9B7" w14:textId="77777777" w:rsidR="00F13893" w:rsidRPr="008B6BC5" w:rsidRDefault="00F13893" w:rsidP="00F13893">
            <w:pPr>
              <w:pStyle w:val="NoSpacing"/>
              <w:rPr>
                <w:rFonts w:cs="Times New Roman"/>
                <w:sz w:val="20"/>
                <w:szCs w:val="20"/>
                <w:lang w:val="en-US"/>
              </w:rPr>
            </w:pPr>
            <w:r w:rsidRPr="008B6BC5">
              <w:rPr>
                <w:rFonts w:cs="Times New Roman"/>
                <w:sz w:val="20"/>
                <w:szCs w:val="20"/>
                <w:lang w:val="en-US"/>
              </w:rPr>
              <w:t xml:space="preserve">Exercise has also been evaluated against pharmacotherapy. In a classic RCT of older adults (≥50 years) with MDD, Blumenthal et al. (1999) </w:t>
            </w:r>
            <w:proofErr w:type="spellStart"/>
            <w:r w:rsidRPr="008B6BC5">
              <w:rPr>
                <w:rFonts w:cs="Times New Roman"/>
                <w:sz w:val="20"/>
                <w:szCs w:val="20"/>
                <w:lang w:val="en-US"/>
              </w:rPr>
              <w:t>randomised</w:t>
            </w:r>
            <w:proofErr w:type="spellEnd"/>
            <w:r w:rsidRPr="008B6BC5">
              <w:rPr>
                <w:rFonts w:cs="Times New Roman"/>
                <w:sz w:val="20"/>
                <w:szCs w:val="20"/>
                <w:lang w:val="en-US"/>
              </w:rPr>
              <w:t xml:space="preserve"> participants to supervised exercise, sertraline, or their combination for 16 weeks. Remission rates did not differ significantly across groups, indicating that aerobic exercise was as effective as sertraline in this population (Blumenthal et al., 1999).</w:t>
            </w:r>
          </w:p>
          <w:p w14:paraId="60748104" w14:textId="77777777" w:rsidR="00F13893" w:rsidRPr="008B6BC5" w:rsidRDefault="00F13893" w:rsidP="00F13893">
            <w:pPr>
              <w:pStyle w:val="NoSpacing"/>
              <w:rPr>
                <w:rFonts w:cs="Times New Roman"/>
                <w:sz w:val="20"/>
                <w:szCs w:val="20"/>
                <w:lang w:val="en-US"/>
              </w:rPr>
            </w:pPr>
          </w:p>
        </w:tc>
        <w:tc>
          <w:tcPr>
            <w:tcW w:w="4202" w:type="dxa"/>
          </w:tcPr>
          <w:p w14:paraId="70866B90" w14:textId="4E9092BA" w:rsidR="00F13893" w:rsidRPr="008B6BC5" w:rsidRDefault="00F13893" w:rsidP="00F13893">
            <w:pPr>
              <w:pStyle w:val="NoSpacing"/>
              <w:rPr>
                <w:rFonts w:cs="Times New Roman"/>
                <w:sz w:val="20"/>
                <w:szCs w:val="20"/>
                <w:lang w:val="en-US"/>
              </w:rPr>
            </w:pPr>
            <w:r w:rsidRPr="008B6BC5">
              <w:rPr>
                <w:rFonts w:cs="Times New Roman"/>
                <w:sz w:val="20"/>
                <w:szCs w:val="20"/>
                <w:lang w:val="en-US"/>
              </w:rPr>
              <w:t>DOI: 10.1001/archinte.159.19.2349</w:t>
            </w:r>
          </w:p>
        </w:tc>
        <w:tc>
          <w:tcPr>
            <w:tcW w:w="690" w:type="dxa"/>
          </w:tcPr>
          <w:p w14:paraId="6FD96FD7" w14:textId="435EA8FB" w:rsidR="00F13893" w:rsidRPr="008B6BC5" w:rsidRDefault="00F13893" w:rsidP="00F13893">
            <w:pPr>
              <w:pStyle w:val="NoSpacing"/>
              <w:rPr>
                <w:rFonts w:cs="Times New Roman"/>
                <w:sz w:val="20"/>
                <w:szCs w:val="20"/>
                <w:lang w:val="en-US"/>
              </w:rPr>
            </w:pPr>
            <w:r w:rsidRPr="008B6BC5">
              <w:rPr>
                <w:rFonts w:cs="Times New Roman"/>
                <w:sz w:val="20"/>
                <w:szCs w:val="20"/>
                <w:lang w:val="en-US"/>
              </w:rPr>
              <w:t>4</w:t>
            </w:r>
          </w:p>
        </w:tc>
        <w:tc>
          <w:tcPr>
            <w:tcW w:w="3944" w:type="dxa"/>
          </w:tcPr>
          <w:p w14:paraId="03A4871E" w14:textId="218573C9" w:rsidR="00F13893" w:rsidRPr="008B6BC5" w:rsidRDefault="00F13893" w:rsidP="00F13893">
            <w:pPr>
              <w:pStyle w:val="NoSpacing"/>
              <w:rPr>
                <w:rFonts w:cs="Times New Roman"/>
                <w:sz w:val="20"/>
                <w:szCs w:val="20"/>
                <w:lang w:val="en-US"/>
              </w:rPr>
            </w:pPr>
            <w:r w:rsidRPr="008B6BC5">
              <w:rPr>
                <w:rFonts w:cs="Times New Roman"/>
                <w:sz w:val="20"/>
                <w:szCs w:val="20"/>
                <w:lang w:val="en-US"/>
              </w:rPr>
              <w:t>No inaccuracies identified.</w:t>
            </w:r>
          </w:p>
        </w:tc>
      </w:tr>
      <w:tr w:rsidR="00FC1626" w:rsidRPr="008B6BC5" w14:paraId="06B35487" w14:textId="77777777" w:rsidTr="00760C26">
        <w:tc>
          <w:tcPr>
            <w:tcW w:w="1560" w:type="dxa"/>
          </w:tcPr>
          <w:p w14:paraId="49336B18" w14:textId="348A6F46" w:rsidR="00FC1626" w:rsidRPr="008B6BC5" w:rsidRDefault="000938FF" w:rsidP="00FC1626">
            <w:pPr>
              <w:pStyle w:val="NoSpacing"/>
              <w:rPr>
                <w:rFonts w:cs="Times New Roman"/>
                <w:sz w:val="20"/>
                <w:szCs w:val="20"/>
                <w:lang w:val="en-US"/>
              </w:rPr>
            </w:pPr>
            <w:r w:rsidRPr="008B6BC5">
              <w:rPr>
                <w:rFonts w:cs="Times New Roman"/>
                <w:sz w:val="20"/>
                <w:szCs w:val="20"/>
                <w:lang w:val="en-US"/>
              </w:rPr>
              <w:t>12</w:t>
            </w:r>
          </w:p>
        </w:tc>
        <w:tc>
          <w:tcPr>
            <w:tcW w:w="6048" w:type="dxa"/>
          </w:tcPr>
          <w:p w14:paraId="54A04737" w14:textId="4BDE4E10" w:rsidR="00FC1626" w:rsidRPr="008B6BC5" w:rsidRDefault="00FC1626" w:rsidP="00FC1626">
            <w:pPr>
              <w:pStyle w:val="NoSpacing"/>
              <w:rPr>
                <w:rFonts w:cs="Times New Roman"/>
                <w:sz w:val="20"/>
                <w:szCs w:val="20"/>
                <w:lang w:val="en-US"/>
              </w:rPr>
            </w:pPr>
            <w:r w:rsidRPr="008B6BC5">
              <w:rPr>
                <w:rFonts w:cs="Times New Roman"/>
                <w:sz w:val="20"/>
                <w:szCs w:val="20"/>
                <w:lang w:val="en-US"/>
              </w:rPr>
              <w:t xml:space="preserve">A more recent meta-analysis by Recchia et al. (2022) </w:t>
            </w:r>
            <w:proofErr w:type="spellStart"/>
            <w:r w:rsidRPr="008B6BC5">
              <w:rPr>
                <w:rFonts w:cs="Times New Roman"/>
                <w:sz w:val="20"/>
                <w:szCs w:val="20"/>
                <w:lang w:val="en-US"/>
              </w:rPr>
              <w:t>synthesised</w:t>
            </w:r>
            <w:proofErr w:type="spellEnd"/>
            <w:r w:rsidRPr="008B6BC5">
              <w:rPr>
                <w:rFonts w:cs="Times New Roman"/>
                <w:sz w:val="20"/>
                <w:szCs w:val="20"/>
                <w:lang w:val="en-US"/>
              </w:rPr>
              <w:t xml:space="preserve"> trials directly comparing structured exercise interventions with antidepressants in depressive disorders and concluded that exercise produced similar improvements in depressive symptoms to pharmacotherapy, with no consistent advantage for either modality (Recchia et al., 2022)</w:t>
            </w:r>
          </w:p>
        </w:tc>
        <w:tc>
          <w:tcPr>
            <w:tcW w:w="4202" w:type="dxa"/>
          </w:tcPr>
          <w:p w14:paraId="23D8FE78" w14:textId="726F84BB" w:rsidR="00FC1626" w:rsidRPr="008B6BC5" w:rsidRDefault="00FC1626" w:rsidP="00FC1626">
            <w:pPr>
              <w:pStyle w:val="NoSpacing"/>
              <w:jc w:val="left"/>
              <w:rPr>
                <w:rFonts w:cs="Times New Roman"/>
                <w:sz w:val="20"/>
                <w:szCs w:val="20"/>
                <w:lang w:val="en-US"/>
              </w:rPr>
            </w:pPr>
            <w:r w:rsidRPr="008B6BC5">
              <w:rPr>
                <w:rFonts w:cs="Times New Roman"/>
                <w:sz w:val="20"/>
                <w:szCs w:val="20"/>
                <w:lang w:val="en-US"/>
              </w:rPr>
              <w:t xml:space="preserve">http:// dx. </w:t>
            </w:r>
            <w:proofErr w:type="spellStart"/>
            <w:r w:rsidRPr="008B6BC5">
              <w:rPr>
                <w:rFonts w:cs="Times New Roman"/>
                <w:sz w:val="20"/>
                <w:szCs w:val="20"/>
                <w:lang w:val="en-US"/>
              </w:rPr>
              <w:t>doi</w:t>
            </w:r>
            <w:proofErr w:type="spellEnd"/>
            <w:r w:rsidRPr="008B6BC5">
              <w:rPr>
                <w:rFonts w:cs="Times New Roman"/>
                <w:sz w:val="20"/>
                <w:szCs w:val="20"/>
                <w:lang w:val="en-US"/>
              </w:rPr>
              <w:t xml:space="preserve">. org/ 10. 1136/ </w:t>
            </w:r>
            <w:proofErr w:type="spellStart"/>
            <w:r w:rsidRPr="008B6BC5">
              <w:rPr>
                <w:rFonts w:cs="Times New Roman"/>
                <w:sz w:val="20"/>
                <w:szCs w:val="20"/>
                <w:lang w:val="en-US"/>
              </w:rPr>
              <w:t>bjsports</w:t>
            </w:r>
            <w:proofErr w:type="spellEnd"/>
            <w:r w:rsidRPr="008B6BC5">
              <w:rPr>
                <w:rFonts w:cs="Times New Roman"/>
                <w:sz w:val="20"/>
                <w:szCs w:val="20"/>
                <w:lang w:val="en-US"/>
              </w:rPr>
              <w:t>- 2022105964</w:t>
            </w:r>
          </w:p>
        </w:tc>
        <w:tc>
          <w:tcPr>
            <w:tcW w:w="690" w:type="dxa"/>
          </w:tcPr>
          <w:p w14:paraId="56A7143D" w14:textId="21E87F8D" w:rsidR="00FC1626" w:rsidRPr="008B6BC5" w:rsidRDefault="00FC1626" w:rsidP="00FC1626">
            <w:pPr>
              <w:pStyle w:val="NoSpacing"/>
              <w:rPr>
                <w:rFonts w:cs="Times New Roman"/>
                <w:sz w:val="20"/>
                <w:szCs w:val="20"/>
                <w:lang w:val="en-US"/>
              </w:rPr>
            </w:pPr>
            <w:r w:rsidRPr="008B6BC5">
              <w:rPr>
                <w:rFonts w:cs="Times New Roman"/>
                <w:sz w:val="20"/>
                <w:szCs w:val="20"/>
                <w:lang w:val="en-US"/>
              </w:rPr>
              <w:t>4</w:t>
            </w:r>
          </w:p>
        </w:tc>
        <w:tc>
          <w:tcPr>
            <w:tcW w:w="3944" w:type="dxa"/>
          </w:tcPr>
          <w:p w14:paraId="62C04F69" w14:textId="6F72148B" w:rsidR="00FC1626" w:rsidRPr="008B6BC5" w:rsidRDefault="00FC1626" w:rsidP="00FC1626">
            <w:pPr>
              <w:pStyle w:val="NoSpacing"/>
              <w:rPr>
                <w:rFonts w:cs="Times New Roman"/>
                <w:sz w:val="20"/>
                <w:szCs w:val="20"/>
                <w:lang w:val="en-US"/>
              </w:rPr>
            </w:pPr>
            <w:r w:rsidRPr="008B6BC5">
              <w:rPr>
                <w:rFonts w:cs="Times New Roman"/>
                <w:sz w:val="20"/>
                <w:szCs w:val="20"/>
                <w:lang w:val="en-US"/>
              </w:rPr>
              <w:t>No inaccuracies identified.</w:t>
            </w:r>
          </w:p>
        </w:tc>
      </w:tr>
      <w:tr w:rsidR="00FC1626" w:rsidRPr="008B6BC5" w14:paraId="43F31B7A" w14:textId="77777777" w:rsidTr="00760C26">
        <w:tc>
          <w:tcPr>
            <w:tcW w:w="1560" w:type="dxa"/>
          </w:tcPr>
          <w:p w14:paraId="54EC0021" w14:textId="2AECDB1C" w:rsidR="00FC1626" w:rsidRPr="008B6BC5" w:rsidRDefault="000938FF" w:rsidP="00FC1626">
            <w:pPr>
              <w:pStyle w:val="NoSpacing"/>
              <w:rPr>
                <w:rFonts w:cs="Times New Roman"/>
                <w:sz w:val="20"/>
                <w:szCs w:val="20"/>
                <w:lang w:val="en-US"/>
              </w:rPr>
            </w:pPr>
            <w:r w:rsidRPr="008B6BC5">
              <w:rPr>
                <w:rFonts w:cs="Times New Roman"/>
                <w:sz w:val="20"/>
                <w:szCs w:val="20"/>
                <w:lang w:val="en-US"/>
              </w:rPr>
              <w:t>13</w:t>
            </w:r>
          </w:p>
        </w:tc>
        <w:tc>
          <w:tcPr>
            <w:tcW w:w="6048" w:type="dxa"/>
          </w:tcPr>
          <w:p w14:paraId="7CCDDF28" w14:textId="77085763" w:rsidR="00FC1626" w:rsidRPr="008B6BC5" w:rsidRDefault="00FC1626" w:rsidP="00FC1626">
            <w:pPr>
              <w:pStyle w:val="NoSpacing"/>
              <w:rPr>
                <w:rFonts w:cs="Times New Roman"/>
                <w:sz w:val="20"/>
                <w:szCs w:val="20"/>
                <w:lang w:val="en-US"/>
              </w:rPr>
            </w:pPr>
            <w:r w:rsidRPr="008B6BC5">
              <w:rPr>
                <w:rFonts w:cs="Times New Roman"/>
                <w:sz w:val="20"/>
                <w:szCs w:val="20"/>
                <w:lang w:val="en-US"/>
              </w:rPr>
              <w:t xml:space="preserve">In the phase 3 Mirai trial, Rothman et al. (2025) </w:t>
            </w:r>
            <w:proofErr w:type="spellStart"/>
            <w:r w:rsidRPr="008B6BC5">
              <w:rPr>
                <w:rFonts w:cs="Times New Roman"/>
                <w:sz w:val="20"/>
                <w:szCs w:val="20"/>
                <w:lang w:val="en-US"/>
              </w:rPr>
              <w:t>randomised</w:t>
            </w:r>
            <w:proofErr w:type="spellEnd"/>
            <w:r w:rsidRPr="008B6BC5">
              <w:rPr>
                <w:rFonts w:cs="Times New Roman"/>
                <w:sz w:val="20"/>
                <w:szCs w:val="20"/>
                <w:lang w:val="en-US"/>
              </w:rPr>
              <w:t xml:space="preserve"> 386 adults with MDD and inadequate response to antidepressant monotherapy to receive a smartphone-based prescription digital therapeutic (CT-152) or a sham app, in addition to ongoing antidepressants. At six weeks, the intent-to-treat analysis showed a statistically significant advantage for CT-152 on change in Montgomery–</w:t>
            </w:r>
            <w:proofErr w:type="spellStart"/>
            <w:r w:rsidRPr="008B6BC5">
              <w:rPr>
                <w:rFonts w:cs="Times New Roman"/>
                <w:sz w:val="20"/>
                <w:szCs w:val="20"/>
                <w:lang w:val="en-US"/>
              </w:rPr>
              <w:t>Åsberg</w:t>
            </w:r>
            <w:proofErr w:type="spellEnd"/>
            <w:r w:rsidRPr="008B6BC5">
              <w:rPr>
                <w:rFonts w:cs="Times New Roman"/>
                <w:sz w:val="20"/>
                <w:szCs w:val="20"/>
                <w:lang w:val="en-US"/>
              </w:rPr>
              <w:t xml:space="preserve"> Depression Rating Scale scores (between-group difference = −2.12, p = .021), with convergent benefits on clinician- and self-reported measures.</w:t>
            </w:r>
          </w:p>
        </w:tc>
        <w:tc>
          <w:tcPr>
            <w:tcW w:w="4202" w:type="dxa"/>
          </w:tcPr>
          <w:p w14:paraId="00F6F453" w14:textId="1BEFF9F6" w:rsidR="00FC1626" w:rsidRPr="008B6BC5" w:rsidRDefault="00FC1626" w:rsidP="00FC1626">
            <w:pPr>
              <w:pStyle w:val="NoSpacing"/>
              <w:rPr>
                <w:rFonts w:cs="Times New Roman"/>
                <w:sz w:val="20"/>
                <w:szCs w:val="20"/>
                <w:lang w:val="en-US"/>
              </w:rPr>
            </w:pPr>
            <w:r w:rsidRPr="008B6BC5">
              <w:rPr>
                <w:rFonts w:cs="Times New Roman"/>
                <w:sz w:val="20"/>
                <w:szCs w:val="20"/>
                <w:lang w:val="en-US"/>
              </w:rPr>
              <w:t>https://doi.org/10.1016/j.jad.2025.119409</w:t>
            </w:r>
          </w:p>
        </w:tc>
        <w:tc>
          <w:tcPr>
            <w:tcW w:w="690" w:type="dxa"/>
          </w:tcPr>
          <w:p w14:paraId="1D07D21F" w14:textId="74C110CF" w:rsidR="00FC1626" w:rsidRPr="008B6BC5" w:rsidRDefault="00FC1626" w:rsidP="00FC1626">
            <w:pPr>
              <w:pStyle w:val="NoSpacing"/>
              <w:rPr>
                <w:rFonts w:cs="Times New Roman"/>
                <w:sz w:val="20"/>
                <w:szCs w:val="20"/>
                <w:lang w:val="en-US"/>
              </w:rPr>
            </w:pPr>
            <w:r w:rsidRPr="008B6BC5">
              <w:rPr>
                <w:rFonts w:cs="Times New Roman"/>
                <w:sz w:val="20"/>
                <w:szCs w:val="20"/>
                <w:lang w:val="en-US"/>
              </w:rPr>
              <w:t>4</w:t>
            </w:r>
          </w:p>
        </w:tc>
        <w:tc>
          <w:tcPr>
            <w:tcW w:w="3944" w:type="dxa"/>
          </w:tcPr>
          <w:p w14:paraId="5014AB0E" w14:textId="2DAEB974" w:rsidR="00FC1626" w:rsidRPr="008B6BC5" w:rsidRDefault="00FC1626" w:rsidP="00FC1626">
            <w:pPr>
              <w:pStyle w:val="NoSpacing"/>
              <w:rPr>
                <w:rFonts w:cs="Times New Roman"/>
                <w:sz w:val="20"/>
                <w:szCs w:val="20"/>
                <w:lang w:val="en-US"/>
              </w:rPr>
            </w:pPr>
            <w:r w:rsidRPr="008B6BC5">
              <w:rPr>
                <w:rFonts w:cs="Times New Roman"/>
                <w:sz w:val="20"/>
                <w:szCs w:val="20"/>
                <w:lang w:val="en-US"/>
              </w:rPr>
              <w:t>No inaccuracies identified.</w:t>
            </w:r>
          </w:p>
        </w:tc>
      </w:tr>
      <w:tr w:rsidR="00FC1626" w:rsidRPr="008B6BC5" w14:paraId="69F3B4FB" w14:textId="77777777" w:rsidTr="00760C26">
        <w:tc>
          <w:tcPr>
            <w:tcW w:w="1560" w:type="dxa"/>
          </w:tcPr>
          <w:p w14:paraId="31EC9BE9" w14:textId="69DF4B1C" w:rsidR="00FC1626" w:rsidRPr="008B6BC5" w:rsidRDefault="000938FF" w:rsidP="00FC1626">
            <w:pPr>
              <w:pStyle w:val="NoSpacing"/>
              <w:rPr>
                <w:rFonts w:cs="Times New Roman"/>
                <w:sz w:val="20"/>
                <w:szCs w:val="20"/>
                <w:lang w:val="en-US"/>
              </w:rPr>
            </w:pPr>
            <w:r w:rsidRPr="008B6BC5">
              <w:rPr>
                <w:rFonts w:cs="Times New Roman"/>
                <w:sz w:val="20"/>
                <w:szCs w:val="20"/>
                <w:lang w:val="en-US"/>
              </w:rPr>
              <w:lastRenderedPageBreak/>
              <w:t>14</w:t>
            </w:r>
          </w:p>
        </w:tc>
        <w:tc>
          <w:tcPr>
            <w:tcW w:w="6048" w:type="dxa"/>
          </w:tcPr>
          <w:p w14:paraId="5D260C97" w14:textId="71515245" w:rsidR="00FC1626" w:rsidRPr="008B6BC5" w:rsidRDefault="00FC1626" w:rsidP="00FC1626">
            <w:pPr>
              <w:pStyle w:val="NoSpacing"/>
              <w:rPr>
                <w:rFonts w:cs="Times New Roman"/>
                <w:sz w:val="20"/>
                <w:szCs w:val="20"/>
                <w:lang w:val="en-US"/>
              </w:rPr>
            </w:pPr>
            <w:r w:rsidRPr="008B6BC5">
              <w:rPr>
                <w:rFonts w:cs="Times New Roman"/>
                <w:sz w:val="20"/>
                <w:szCs w:val="20"/>
                <w:lang w:val="en-US"/>
              </w:rPr>
              <w:t>In Cipriani et al.’s (2018) network meta-analysis, all-cause treatment discontinuation over 6–12 weeks—a proxy for acceptability—varied modestly across drugs, but, overall, antidepressants were slightly less likely than placebo to be discontinued for any reason (OR ≈ 0.90), suggesting broadly acceptable tolerability in acute treatment among trial participants (Cipriani et al., 2018).</w:t>
            </w:r>
          </w:p>
        </w:tc>
        <w:tc>
          <w:tcPr>
            <w:tcW w:w="4202" w:type="dxa"/>
          </w:tcPr>
          <w:p w14:paraId="17BDD99F" w14:textId="423C71BA" w:rsidR="00FC1626" w:rsidRPr="008B6BC5" w:rsidRDefault="00FC1626" w:rsidP="00FC1626">
            <w:pPr>
              <w:pStyle w:val="NoSpacing"/>
              <w:rPr>
                <w:rFonts w:cs="Times New Roman"/>
                <w:sz w:val="20"/>
                <w:szCs w:val="20"/>
                <w:lang w:val="en-US"/>
              </w:rPr>
            </w:pPr>
            <w:r w:rsidRPr="008B6BC5">
              <w:rPr>
                <w:rFonts w:cs="Times New Roman"/>
                <w:sz w:val="20"/>
                <w:szCs w:val="20"/>
              </w:rPr>
              <w:t>doi:10.1016/S0140-6736(17)32802-7</w:t>
            </w:r>
          </w:p>
        </w:tc>
        <w:tc>
          <w:tcPr>
            <w:tcW w:w="690" w:type="dxa"/>
          </w:tcPr>
          <w:p w14:paraId="6952574A" w14:textId="73C5FBAC" w:rsidR="00FC1626" w:rsidRPr="008B6BC5" w:rsidRDefault="00FC1626" w:rsidP="00FC1626">
            <w:pPr>
              <w:pStyle w:val="NoSpacing"/>
              <w:rPr>
                <w:rFonts w:cs="Times New Roman"/>
                <w:sz w:val="20"/>
                <w:szCs w:val="20"/>
                <w:lang w:val="en-US"/>
              </w:rPr>
            </w:pPr>
            <w:r w:rsidRPr="008B6BC5">
              <w:rPr>
                <w:rFonts w:cs="Times New Roman"/>
                <w:sz w:val="20"/>
                <w:szCs w:val="20"/>
                <w:lang w:val="en-US"/>
              </w:rPr>
              <w:t>2</w:t>
            </w:r>
          </w:p>
        </w:tc>
        <w:tc>
          <w:tcPr>
            <w:tcW w:w="3944" w:type="dxa"/>
          </w:tcPr>
          <w:p w14:paraId="16EBAA5F" w14:textId="3F9E707A" w:rsidR="00FC1626" w:rsidRPr="008B6BC5" w:rsidRDefault="00437277" w:rsidP="00FC1626">
            <w:pPr>
              <w:pStyle w:val="NoSpacing"/>
              <w:rPr>
                <w:rFonts w:cs="Times New Roman"/>
                <w:sz w:val="20"/>
                <w:szCs w:val="20"/>
                <w:lang w:val="en-US"/>
              </w:rPr>
            </w:pPr>
            <w:r w:rsidRPr="008B6BC5">
              <w:rPr>
                <w:rFonts w:cs="Times New Roman"/>
                <w:sz w:val="20"/>
                <w:szCs w:val="20"/>
                <w:lang w:val="en-US"/>
              </w:rPr>
              <w:t xml:space="preserve">Only 2 of 21 antidepressant drugs were associated with </w:t>
            </w:r>
            <w:r w:rsidR="00D479CC" w:rsidRPr="008B6BC5">
              <w:rPr>
                <w:rFonts w:cs="Times New Roman"/>
                <w:sz w:val="20"/>
                <w:szCs w:val="20"/>
                <w:lang w:val="en-US"/>
              </w:rPr>
              <w:t xml:space="preserve">lower dropout than placebo. </w:t>
            </w:r>
          </w:p>
        </w:tc>
      </w:tr>
      <w:tr w:rsidR="00FC1626" w:rsidRPr="008B6BC5" w14:paraId="5C86D869" w14:textId="77777777" w:rsidTr="00760C26">
        <w:tc>
          <w:tcPr>
            <w:tcW w:w="1560" w:type="dxa"/>
          </w:tcPr>
          <w:p w14:paraId="7193BC4F" w14:textId="6D4383DF" w:rsidR="00FC1626" w:rsidRPr="008B6BC5" w:rsidRDefault="000938FF" w:rsidP="00FC1626">
            <w:pPr>
              <w:pStyle w:val="NoSpacing"/>
              <w:rPr>
                <w:rFonts w:cs="Times New Roman"/>
                <w:sz w:val="20"/>
                <w:szCs w:val="20"/>
                <w:lang w:val="en-US"/>
              </w:rPr>
            </w:pPr>
            <w:r w:rsidRPr="008B6BC5">
              <w:rPr>
                <w:rFonts w:cs="Times New Roman"/>
                <w:sz w:val="20"/>
                <w:szCs w:val="20"/>
                <w:lang w:val="en-US"/>
              </w:rPr>
              <w:t>15</w:t>
            </w:r>
          </w:p>
        </w:tc>
        <w:tc>
          <w:tcPr>
            <w:tcW w:w="6048" w:type="dxa"/>
          </w:tcPr>
          <w:p w14:paraId="4BAC0AED" w14:textId="7E4586CC" w:rsidR="00FC1626" w:rsidRPr="008B6BC5" w:rsidRDefault="00FC1626" w:rsidP="00FC1626">
            <w:pPr>
              <w:pStyle w:val="NoSpacing"/>
              <w:rPr>
                <w:rFonts w:cs="Times New Roman"/>
                <w:sz w:val="20"/>
                <w:szCs w:val="20"/>
                <w:lang w:val="en-US"/>
              </w:rPr>
            </w:pPr>
            <w:r w:rsidRPr="008B6BC5">
              <w:rPr>
                <w:rFonts w:cs="Times New Roman"/>
                <w:sz w:val="20"/>
                <w:szCs w:val="20"/>
                <w:lang w:val="en-US"/>
              </w:rPr>
              <w:t>However, Jakobsen et al. (2017) reported that SSRIs were associated with an increased risk of serious adverse events compared with placebo (OR ≈ 1.37), although event rates were low and reporting incomplete in many trials.</w:t>
            </w:r>
          </w:p>
        </w:tc>
        <w:tc>
          <w:tcPr>
            <w:tcW w:w="4202" w:type="dxa"/>
          </w:tcPr>
          <w:p w14:paraId="222BF30D" w14:textId="0DE917A3" w:rsidR="00FC1626" w:rsidRPr="008B6BC5" w:rsidRDefault="00FC1626" w:rsidP="00FC1626">
            <w:pPr>
              <w:pStyle w:val="NoSpacing"/>
              <w:rPr>
                <w:rFonts w:cs="Times New Roman"/>
                <w:sz w:val="20"/>
                <w:szCs w:val="20"/>
                <w:lang w:val="en-US"/>
              </w:rPr>
            </w:pPr>
            <w:r w:rsidRPr="008B6BC5">
              <w:rPr>
                <w:rFonts w:cs="Times New Roman"/>
                <w:sz w:val="20"/>
                <w:szCs w:val="20"/>
                <w:lang w:val="en-US"/>
              </w:rPr>
              <w:t>DOI 10.1186/s12888-016-1173-2</w:t>
            </w:r>
          </w:p>
        </w:tc>
        <w:tc>
          <w:tcPr>
            <w:tcW w:w="690" w:type="dxa"/>
          </w:tcPr>
          <w:p w14:paraId="0B18021B" w14:textId="3C4DC6B2" w:rsidR="00FC1626" w:rsidRPr="008B6BC5" w:rsidRDefault="00D479CC" w:rsidP="00FC1626">
            <w:pPr>
              <w:pStyle w:val="NoSpacing"/>
              <w:rPr>
                <w:rFonts w:cs="Times New Roman"/>
                <w:sz w:val="20"/>
                <w:szCs w:val="20"/>
                <w:lang w:val="en-US"/>
              </w:rPr>
            </w:pPr>
            <w:r w:rsidRPr="008B6BC5">
              <w:rPr>
                <w:rFonts w:cs="Times New Roman"/>
                <w:sz w:val="20"/>
                <w:szCs w:val="20"/>
                <w:lang w:val="en-US"/>
              </w:rPr>
              <w:t>4</w:t>
            </w:r>
          </w:p>
        </w:tc>
        <w:tc>
          <w:tcPr>
            <w:tcW w:w="3944" w:type="dxa"/>
          </w:tcPr>
          <w:p w14:paraId="33158B1E" w14:textId="7B116F60" w:rsidR="00FC1626" w:rsidRPr="008B6BC5" w:rsidRDefault="00D479CC" w:rsidP="00FC1626">
            <w:pPr>
              <w:pStyle w:val="NoSpacing"/>
              <w:rPr>
                <w:rFonts w:cs="Times New Roman"/>
                <w:sz w:val="20"/>
                <w:szCs w:val="20"/>
                <w:lang w:val="en-US"/>
              </w:rPr>
            </w:pPr>
            <w:r w:rsidRPr="008B6BC5">
              <w:rPr>
                <w:rFonts w:cs="Times New Roman"/>
                <w:sz w:val="20"/>
                <w:szCs w:val="20"/>
                <w:lang w:val="en-US"/>
              </w:rPr>
              <w:t>No inaccuracies identified.</w:t>
            </w:r>
          </w:p>
        </w:tc>
      </w:tr>
      <w:tr w:rsidR="00FC1626" w:rsidRPr="008B6BC5" w14:paraId="238FBE10" w14:textId="77777777" w:rsidTr="00760C26">
        <w:tc>
          <w:tcPr>
            <w:tcW w:w="1560" w:type="dxa"/>
          </w:tcPr>
          <w:p w14:paraId="6A4A2D89" w14:textId="3D19CEE7" w:rsidR="00FC1626" w:rsidRPr="008B6BC5" w:rsidRDefault="000938FF" w:rsidP="00FC1626">
            <w:pPr>
              <w:pStyle w:val="NoSpacing"/>
              <w:rPr>
                <w:rFonts w:cs="Times New Roman"/>
                <w:sz w:val="20"/>
                <w:szCs w:val="20"/>
                <w:lang w:val="en-US"/>
              </w:rPr>
            </w:pPr>
            <w:r w:rsidRPr="008B6BC5">
              <w:rPr>
                <w:rFonts w:cs="Times New Roman"/>
                <w:sz w:val="20"/>
                <w:szCs w:val="20"/>
                <w:lang w:val="en-US"/>
              </w:rPr>
              <w:t>16</w:t>
            </w:r>
          </w:p>
        </w:tc>
        <w:tc>
          <w:tcPr>
            <w:tcW w:w="6048" w:type="dxa"/>
          </w:tcPr>
          <w:p w14:paraId="3AC1C89F" w14:textId="78E423F4" w:rsidR="00FC1626" w:rsidRPr="008B6BC5" w:rsidRDefault="00FC1626" w:rsidP="00FC1626">
            <w:pPr>
              <w:pStyle w:val="NoSpacing"/>
              <w:rPr>
                <w:rFonts w:cs="Times New Roman"/>
                <w:sz w:val="20"/>
                <w:szCs w:val="20"/>
                <w:lang w:val="en-US"/>
              </w:rPr>
            </w:pPr>
            <w:r w:rsidRPr="008B6BC5">
              <w:rPr>
                <w:rFonts w:cs="Times New Roman"/>
                <w:sz w:val="20"/>
                <w:szCs w:val="20"/>
                <w:lang w:val="en-US"/>
              </w:rPr>
              <w:t>Hansen et al. (2008) found that, across continuation and maintenance trials, approximately 7% of participants on active second-generation antidepressants versus 5% on placebo discontinued due to adverse events, indicating a small absolute increase (Hansen et al., 2008).</w:t>
            </w:r>
          </w:p>
        </w:tc>
        <w:tc>
          <w:tcPr>
            <w:tcW w:w="4202" w:type="dxa"/>
          </w:tcPr>
          <w:p w14:paraId="6A3B4316" w14:textId="77777777" w:rsidR="00FC1626" w:rsidRPr="008B6BC5" w:rsidRDefault="00FC1626" w:rsidP="00FC1626">
            <w:pPr>
              <w:pStyle w:val="NoSpacing"/>
              <w:rPr>
                <w:rFonts w:cs="Times New Roman"/>
                <w:sz w:val="20"/>
                <w:szCs w:val="20"/>
              </w:rPr>
            </w:pPr>
            <w:r w:rsidRPr="008B6BC5">
              <w:rPr>
                <w:rFonts w:cs="Times New Roman"/>
                <w:sz w:val="20"/>
                <w:szCs w:val="20"/>
              </w:rPr>
              <w:t>DOI: </w:t>
            </w:r>
            <w:hyperlink r:id="rId26" w:tgtFrame="_blank" w:history="1">
              <w:r w:rsidRPr="008B6BC5">
                <w:rPr>
                  <w:rStyle w:val="Hyperlink"/>
                  <w:rFonts w:cs="Times New Roman"/>
                  <w:sz w:val="20"/>
                  <w:szCs w:val="20"/>
                </w:rPr>
                <w:t>10.1176/ps.2008.59.10.1121</w:t>
              </w:r>
            </w:hyperlink>
          </w:p>
          <w:p w14:paraId="373A4C29" w14:textId="77777777" w:rsidR="00FC1626" w:rsidRPr="008B6BC5" w:rsidRDefault="00FC1626" w:rsidP="00FC1626">
            <w:pPr>
              <w:pStyle w:val="NoSpacing"/>
              <w:rPr>
                <w:rFonts w:cs="Times New Roman"/>
                <w:sz w:val="20"/>
                <w:szCs w:val="20"/>
                <w:lang w:val="en-US"/>
              </w:rPr>
            </w:pPr>
          </w:p>
        </w:tc>
        <w:tc>
          <w:tcPr>
            <w:tcW w:w="690" w:type="dxa"/>
          </w:tcPr>
          <w:p w14:paraId="528896E9" w14:textId="0ECC745B" w:rsidR="00FC1626" w:rsidRPr="008B6BC5" w:rsidRDefault="00D479CC" w:rsidP="00FC1626">
            <w:pPr>
              <w:pStyle w:val="NoSpacing"/>
              <w:rPr>
                <w:rFonts w:cs="Times New Roman"/>
                <w:sz w:val="20"/>
                <w:szCs w:val="20"/>
                <w:lang w:val="en-US"/>
              </w:rPr>
            </w:pPr>
            <w:r w:rsidRPr="008B6BC5">
              <w:rPr>
                <w:rFonts w:cs="Times New Roman"/>
                <w:sz w:val="20"/>
                <w:szCs w:val="20"/>
                <w:lang w:val="en-US"/>
              </w:rPr>
              <w:t>4</w:t>
            </w:r>
          </w:p>
        </w:tc>
        <w:tc>
          <w:tcPr>
            <w:tcW w:w="3944" w:type="dxa"/>
          </w:tcPr>
          <w:p w14:paraId="5D125690" w14:textId="66EAA9B6" w:rsidR="00FC1626" w:rsidRPr="008B6BC5" w:rsidRDefault="00D479CC" w:rsidP="00FC1626">
            <w:pPr>
              <w:pStyle w:val="NoSpacing"/>
              <w:rPr>
                <w:rFonts w:cs="Times New Roman"/>
                <w:sz w:val="20"/>
                <w:szCs w:val="20"/>
                <w:lang w:val="en-US"/>
              </w:rPr>
            </w:pPr>
            <w:r w:rsidRPr="008B6BC5">
              <w:rPr>
                <w:rFonts w:cs="Times New Roman"/>
                <w:sz w:val="20"/>
                <w:szCs w:val="20"/>
                <w:lang w:val="en-US"/>
              </w:rPr>
              <w:t>No inaccuracies identified.</w:t>
            </w:r>
          </w:p>
        </w:tc>
      </w:tr>
      <w:tr w:rsidR="00FC1626" w:rsidRPr="008B6BC5" w14:paraId="540BF133" w14:textId="77777777" w:rsidTr="00760C26">
        <w:tc>
          <w:tcPr>
            <w:tcW w:w="1560" w:type="dxa"/>
          </w:tcPr>
          <w:p w14:paraId="7B587C40" w14:textId="3C5A2074" w:rsidR="00FC1626" w:rsidRPr="008B6BC5" w:rsidRDefault="000938FF" w:rsidP="00FC1626">
            <w:pPr>
              <w:pStyle w:val="NoSpacing"/>
              <w:rPr>
                <w:rFonts w:cs="Times New Roman"/>
                <w:sz w:val="20"/>
                <w:szCs w:val="20"/>
                <w:lang w:val="en-US"/>
              </w:rPr>
            </w:pPr>
            <w:r w:rsidRPr="008B6BC5">
              <w:rPr>
                <w:rFonts w:cs="Times New Roman"/>
                <w:sz w:val="20"/>
                <w:szCs w:val="20"/>
                <w:lang w:val="en-US"/>
              </w:rPr>
              <w:t>17</w:t>
            </w:r>
          </w:p>
        </w:tc>
        <w:tc>
          <w:tcPr>
            <w:tcW w:w="6048" w:type="dxa"/>
          </w:tcPr>
          <w:p w14:paraId="0CA39F1C" w14:textId="45A4D0BF" w:rsidR="00FC1626" w:rsidRPr="008B6BC5" w:rsidRDefault="00FC1626" w:rsidP="00FC1626">
            <w:pPr>
              <w:pStyle w:val="NoSpacing"/>
              <w:rPr>
                <w:rFonts w:cs="Times New Roman"/>
                <w:sz w:val="20"/>
                <w:szCs w:val="20"/>
                <w:lang w:val="en-US"/>
              </w:rPr>
            </w:pPr>
            <w:r w:rsidRPr="008B6BC5">
              <w:rPr>
                <w:rFonts w:cs="Times New Roman"/>
                <w:sz w:val="20"/>
                <w:szCs w:val="20"/>
                <w:lang w:val="en-US"/>
              </w:rPr>
              <w:t>In the Sim et al. (2016) meta-analysis, rates of discontinuation due to adverse events were higher in antidepressant arms than placebo but remained in the single-digit range, implying a tolerable, though non-trivial, side-effect burden over extended treatment periods (Sim et al., 2016).</w:t>
            </w:r>
          </w:p>
        </w:tc>
        <w:tc>
          <w:tcPr>
            <w:tcW w:w="4202" w:type="dxa"/>
          </w:tcPr>
          <w:p w14:paraId="7C1BB263" w14:textId="0FC7C245" w:rsidR="00FC1626" w:rsidRPr="008B6BC5" w:rsidRDefault="00FC1626" w:rsidP="00FC1626">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ijnp</w:t>
            </w:r>
            <w:proofErr w:type="spellEnd"/>
            <w:r w:rsidRPr="008B6BC5">
              <w:rPr>
                <w:rFonts w:cs="Times New Roman"/>
                <w:sz w:val="20"/>
                <w:szCs w:val="20"/>
                <w:lang w:val="en-US"/>
              </w:rPr>
              <w:t>/pyv076</w:t>
            </w:r>
          </w:p>
        </w:tc>
        <w:tc>
          <w:tcPr>
            <w:tcW w:w="690" w:type="dxa"/>
          </w:tcPr>
          <w:p w14:paraId="4D97692A" w14:textId="71C0DABA" w:rsidR="00FC1626" w:rsidRPr="008B6BC5" w:rsidRDefault="00FC2768" w:rsidP="00FC1626">
            <w:pPr>
              <w:pStyle w:val="NoSpacing"/>
              <w:rPr>
                <w:rFonts w:cs="Times New Roman"/>
                <w:sz w:val="20"/>
                <w:szCs w:val="20"/>
                <w:lang w:val="en-US"/>
              </w:rPr>
            </w:pPr>
            <w:r w:rsidRPr="008B6BC5">
              <w:rPr>
                <w:rFonts w:cs="Times New Roman"/>
                <w:sz w:val="20"/>
                <w:szCs w:val="20"/>
                <w:lang w:val="en-US"/>
              </w:rPr>
              <w:t>1</w:t>
            </w:r>
          </w:p>
        </w:tc>
        <w:tc>
          <w:tcPr>
            <w:tcW w:w="3944" w:type="dxa"/>
          </w:tcPr>
          <w:p w14:paraId="44AA4AFF" w14:textId="2FD49BAB" w:rsidR="00FC1626" w:rsidRPr="008B6BC5" w:rsidRDefault="00FC2768" w:rsidP="00FC1626">
            <w:pPr>
              <w:pStyle w:val="NoSpacing"/>
              <w:rPr>
                <w:rFonts w:cs="Times New Roman"/>
                <w:sz w:val="20"/>
                <w:szCs w:val="20"/>
                <w:lang w:val="en-US"/>
              </w:rPr>
            </w:pPr>
            <w:r w:rsidRPr="008B6BC5">
              <w:rPr>
                <w:rFonts w:cs="Times New Roman"/>
                <w:sz w:val="20"/>
                <w:szCs w:val="20"/>
                <w:lang w:val="en-US"/>
              </w:rPr>
              <w:t xml:space="preserve">No data on discontinuation rates due to AE were located in this meta-analysis. </w:t>
            </w:r>
          </w:p>
        </w:tc>
      </w:tr>
      <w:tr w:rsidR="00FC2768" w:rsidRPr="008B6BC5" w14:paraId="3E2FB33B" w14:textId="77777777" w:rsidTr="00760C26">
        <w:tc>
          <w:tcPr>
            <w:tcW w:w="1560" w:type="dxa"/>
          </w:tcPr>
          <w:p w14:paraId="136C546F" w14:textId="4021C909" w:rsidR="00FC2768" w:rsidRPr="008B6BC5" w:rsidRDefault="000938FF" w:rsidP="00FC2768">
            <w:pPr>
              <w:pStyle w:val="NoSpacing"/>
              <w:rPr>
                <w:rFonts w:cs="Times New Roman"/>
                <w:sz w:val="20"/>
                <w:szCs w:val="20"/>
                <w:lang w:val="en-US"/>
              </w:rPr>
            </w:pPr>
            <w:r w:rsidRPr="008B6BC5">
              <w:rPr>
                <w:rFonts w:cs="Times New Roman"/>
                <w:sz w:val="20"/>
                <w:szCs w:val="20"/>
                <w:lang w:val="en-US"/>
              </w:rPr>
              <w:t>18</w:t>
            </w:r>
          </w:p>
        </w:tc>
        <w:tc>
          <w:tcPr>
            <w:tcW w:w="6048" w:type="dxa"/>
          </w:tcPr>
          <w:p w14:paraId="3DEFE8DC" w14:textId="29356BAC" w:rsidR="00FC2768" w:rsidRPr="008B6BC5" w:rsidRDefault="00FC2768" w:rsidP="00FC2768">
            <w:pPr>
              <w:pStyle w:val="NoSpacing"/>
              <w:rPr>
                <w:rFonts w:cs="Times New Roman"/>
                <w:sz w:val="20"/>
                <w:szCs w:val="20"/>
                <w:lang w:val="en-US"/>
              </w:rPr>
            </w:pPr>
            <w:r w:rsidRPr="008B6BC5">
              <w:rPr>
                <w:rFonts w:cs="Times New Roman"/>
                <w:sz w:val="20"/>
                <w:szCs w:val="20"/>
                <w:lang w:val="en-US"/>
              </w:rPr>
              <w:t>Cuijpers et al. (2013) reported lower all-cause dropout rates in psychotherapy than in pharmacotherapy, suggesting that some patients may find non-pharmacological treatments more acceptable despite similar efficacy (Cuijpers et al., 2013)</w:t>
            </w:r>
          </w:p>
        </w:tc>
        <w:tc>
          <w:tcPr>
            <w:tcW w:w="4202" w:type="dxa"/>
          </w:tcPr>
          <w:p w14:paraId="37C52527" w14:textId="584D7552" w:rsidR="00FC2768" w:rsidRPr="008B6BC5" w:rsidRDefault="00FC2768" w:rsidP="00FC2768">
            <w:pPr>
              <w:pStyle w:val="NoSpacing"/>
              <w:rPr>
                <w:rFonts w:cs="Times New Roman"/>
                <w:sz w:val="20"/>
                <w:szCs w:val="20"/>
                <w:lang w:val="en-US"/>
              </w:rPr>
            </w:pPr>
            <w:r w:rsidRPr="008B6BC5">
              <w:rPr>
                <w:rFonts w:cs="Times New Roman"/>
                <w:sz w:val="20"/>
                <w:szCs w:val="20"/>
                <w:lang w:val="en-US"/>
              </w:rPr>
              <w:t>doi:10.1136/ bmjopen-2012-002542</w:t>
            </w:r>
          </w:p>
        </w:tc>
        <w:tc>
          <w:tcPr>
            <w:tcW w:w="690" w:type="dxa"/>
          </w:tcPr>
          <w:p w14:paraId="212F0BDB" w14:textId="74980A6B" w:rsidR="00FC2768" w:rsidRPr="008B6BC5" w:rsidRDefault="00FC2768" w:rsidP="00FC2768">
            <w:pPr>
              <w:pStyle w:val="NoSpacing"/>
              <w:rPr>
                <w:rFonts w:cs="Times New Roman"/>
                <w:sz w:val="20"/>
                <w:szCs w:val="20"/>
                <w:lang w:val="en-US"/>
              </w:rPr>
            </w:pPr>
            <w:r w:rsidRPr="008B6BC5">
              <w:rPr>
                <w:rFonts w:cs="Times New Roman"/>
                <w:sz w:val="20"/>
                <w:szCs w:val="20"/>
                <w:lang w:val="en-US"/>
              </w:rPr>
              <w:t>4</w:t>
            </w:r>
          </w:p>
        </w:tc>
        <w:tc>
          <w:tcPr>
            <w:tcW w:w="3944" w:type="dxa"/>
          </w:tcPr>
          <w:p w14:paraId="24E69D5D" w14:textId="07D49C3E" w:rsidR="00FC2768" w:rsidRPr="008B6BC5" w:rsidRDefault="00FC2768" w:rsidP="00FC2768">
            <w:pPr>
              <w:pStyle w:val="NoSpacing"/>
              <w:rPr>
                <w:rFonts w:cs="Times New Roman"/>
                <w:sz w:val="20"/>
                <w:szCs w:val="20"/>
                <w:lang w:val="en-US"/>
              </w:rPr>
            </w:pPr>
            <w:r w:rsidRPr="008B6BC5">
              <w:rPr>
                <w:rFonts w:cs="Times New Roman"/>
                <w:sz w:val="20"/>
                <w:szCs w:val="20"/>
                <w:lang w:val="en-US"/>
              </w:rPr>
              <w:t>No inaccuracies identified.</w:t>
            </w:r>
          </w:p>
        </w:tc>
      </w:tr>
      <w:tr w:rsidR="00FC2768" w:rsidRPr="008B6BC5" w14:paraId="4297FE7A" w14:textId="77777777" w:rsidTr="00760C26">
        <w:tc>
          <w:tcPr>
            <w:tcW w:w="1560" w:type="dxa"/>
          </w:tcPr>
          <w:p w14:paraId="524AD52B" w14:textId="4BF41026" w:rsidR="00FC2768" w:rsidRPr="008B6BC5" w:rsidRDefault="000938FF" w:rsidP="00FC2768">
            <w:pPr>
              <w:pStyle w:val="NoSpacing"/>
              <w:rPr>
                <w:rFonts w:cs="Times New Roman"/>
                <w:sz w:val="20"/>
                <w:szCs w:val="20"/>
                <w:lang w:val="en-US"/>
              </w:rPr>
            </w:pPr>
            <w:r w:rsidRPr="008B6BC5">
              <w:rPr>
                <w:rFonts w:cs="Times New Roman"/>
                <w:sz w:val="20"/>
                <w:szCs w:val="20"/>
                <w:lang w:val="en-US"/>
              </w:rPr>
              <w:t>19</w:t>
            </w:r>
          </w:p>
        </w:tc>
        <w:tc>
          <w:tcPr>
            <w:tcW w:w="6048" w:type="dxa"/>
          </w:tcPr>
          <w:p w14:paraId="1BE0A87E" w14:textId="2456AC92" w:rsidR="00FC2768" w:rsidRPr="008B6BC5" w:rsidRDefault="00FC2768" w:rsidP="00FC2768">
            <w:pPr>
              <w:pStyle w:val="NoSpacing"/>
              <w:rPr>
                <w:rFonts w:cs="Times New Roman"/>
                <w:sz w:val="20"/>
                <w:szCs w:val="20"/>
                <w:lang w:val="en-US"/>
              </w:rPr>
            </w:pPr>
            <w:r w:rsidRPr="008B6BC5">
              <w:rPr>
                <w:rFonts w:cs="Times New Roman"/>
                <w:sz w:val="20"/>
                <w:szCs w:val="20"/>
                <w:lang w:val="en-US"/>
              </w:rPr>
              <w:t>Amick et al. (2015) observed comparable symptom outcomes but slightly fewer adverse-event-related discontinuations in CBT compared with second-generation antidepressants.</w:t>
            </w:r>
          </w:p>
        </w:tc>
        <w:tc>
          <w:tcPr>
            <w:tcW w:w="4202" w:type="dxa"/>
          </w:tcPr>
          <w:p w14:paraId="14ACA365" w14:textId="050C7897" w:rsidR="00FC2768" w:rsidRPr="008B6BC5" w:rsidRDefault="00FC2768" w:rsidP="00FC2768">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10.1136/bmj.h6019</w:t>
            </w:r>
          </w:p>
        </w:tc>
        <w:tc>
          <w:tcPr>
            <w:tcW w:w="690" w:type="dxa"/>
          </w:tcPr>
          <w:p w14:paraId="3E052751" w14:textId="2B5E68ED" w:rsidR="00FC2768" w:rsidRPr="008B6BC5" w:rsidRDefault="00F35FF9" w:rsidP="00FC2768">
            <w:pPr>
              <w:pStyle w:val="NoSpacing"/>
              <w:rPr>
                <w:rFonts w:cs="Times New Roman"/>
                <w:sz w:val="20"/>
                <w:szCs w:val="20"/>
                <w:lang w:val="en-US"/>
              </w:rPr>
            </w:pPr>
            <w:r w:rsidRPr="008B6BC5">
              <w:rPr>
                <w:rFonts w:cs="Times New Roman"/>
                <w:sz w:val="20"/>
                <w:szCs w:val="20"/>
                <w:lang w:val="en-US"/>
              </w:rPr>
              <w:t>3</w:t>
            </w:r>
          </w:p>
        </w:tc>
        <w:tc>
          <w:tcPr>
            <w:tcW w:w="3944" w:type="dxa"/>
          </w:tcPr>
          <w:p w14:paraId="66C22F28" w14:textId="3A17718A" w:rsidR="00FC2768" w:rsidRPr="008B6BC5" w:rsidRDefault="00F35FF9" w:rsidP="00FC2768">
            <w:pPr>
              <w:pStyle w:val="NoSpacing"/>
              <w:rPr>
                <w:rFonts w:cs="Times New Roman"/>
                <w:sz w:val="20"/>
                <w:szCs w:val="20"/>
                <w:lang w:val="en-US"/>
              </w:rPr>
            </w:pPr>
            <w:r w:rsidRPr="008B6BC5">
              <w:rPr>
                <w:rFonts w:cs="Times New Roman"/>
                <w:sz w:val="20"/>
                <w:szCs w:val="20"/>
                <w:lang w:val="en-US"/>
              </w:rPr>
              <w:t>While there were slightly fewer</w:t>
            </w:r>
            <w:r w:rsidR="009865CF" w:rsidRPr="008B6BC5">
              <w:rPr>
                <w:rFonts w:cs="Times New Roman"/>
                <w:sz w:val="20"/>
                <w:szCs w:val="20"/>
                <w:lang w:val="en-US"/>
              </w:rPr>
              <w:t xml:space="preserve"> AE discontinuations in CBT comparted to antidepressants, consistent with the claim, the difference was not significant and could have been more clearly specified to obtain a score of 4. </w:t>
            </w:r>
          </w:p>
        </w:tc>
      </w:tr>
      <w:tr w:rsidR="00FC2768" w:rsidRPr="008B6BC5" w14:paraId="104B6ABA" w14:textId="77777777" w:rsidTr="00760C26">
        <w:tc>
          <w:tcPr>
            <w:tcW w:w="1560" w:type="dxa"/>
          </w:tcPr>
          <w:p w14:paraId="3AB61F22" w14:textId="731FE42E" w:rsidR="00FC2768" w:rsidRPr="008B6BC5" w:rsidRDefault="000938FF" w:rsidP="00FC2768">
            <w:pPr>
              <w:pStyle w:val="NoSpacing"/>
              <w:rPr>
                <w:rFonts w:cs="Times New Roman"/>
                <w:sz w:val="20"/>
                <w:szCs w:val="20"/>
                <w:lang w:val="en-US"/>
              </w:rPr>
            </w:pPr>
            <w:r w:rsidRPr="008B6BC5">
              <w:rPr>
                <w:rFonts w:cs="Times New Roman"/>
                <w:sz w:val="20"/>
                <w:szCs w:val="20"/>
                <w:lang w:val="en-US"/>
              </w:rPr>
              <w:t>20</w:t>
            </w:r>
          </w:p>
        </w:tc>
        <w:tc>
          <w:tcPr>
            <w:tcW w:w="6048" w:type="dxa"/>
          </w:tcPr>
          <w:p w14:paraId="77D53809" w14:textId="1FD8689F" w:rsidR="00FC2768" w:rsidRPr="008B6BC5" w:rsidRDefault="00FC2768" w:rsidP="00FC2768">
            <w:pPr>
              <w:pStyle w:val="NoSpacing"/>
              <w:rPr>
                <w:rFonts w:cs="Times New Roman"/>
                <w:sz w:val="20"/>
                <w:szCs w:val="20"/>
                <w:lang w:val="en-US"/>
              </w:rPr>
            </w:pPr>
            <w:r w:rsidRPr="008B6BC5">
              <w:rPr>
                <w:rFonts w:cs="Times New Roman"/>
                <w:sz w:val="20"/>
                <w:szCs w:val="20"/>
                <w:lang w:val="en-US"/>
              </w:rPr>
              <w:t>In the CT-152 Mirai trial, there were no serious adverse events or discontinuations judged related to the digital therapeutic, and no deaths, reinforcing that certain digital adjuncts can add benefit without appreciable incremental safety risks beyond those of ongoing antidepressants (Rothman et al., 2025).</w:t>
            </w:r>
          </w:p>
        </w:tc>
        <w:tc>
          <w:tcPr>
            <w:tcW w:w="4202" w:type="dxa"/>
          </w:tcPr>
          <w:p w14:paraId="49D3A58F" w14:textId="73AA7C08" w:rsidR="00FC2768" w:rsidRPr="008B6BC5" w:rsidRDefault="00FC2768" w:rsidP="00FC2768">
            <w:pPr>
              <w:pStyle w:val="NoSpacing"/>
              <w:rPr>
                <w:rFonts w:cs="Times New Roman"/>
                <w:sz w:val="20"/>
                <w:szCs w:val="20"/>
                <w:lang w:val="en-US"/>
              </w:rPr>
            </w:pPr>
            <w:r w:rsidRPr="008B6BC5">
              <w:rPr>
                <w:rFonts w:cs="Times New Roman"/>
                <w:sz w:val="20"/>
                <w:szCs w:val="20"/>
                <w:lang w:val="en-US"/>
              </w:rPr>
              <w:t>https://doi.org/10.1016/j.jad.2025.119409</w:t>
            </w:r>
          </w:p>
        </w:tc>
        <w:tc>
          <w:tcPr>
            <w:tcW w:w="690" w:type="dxa"/>
          </w:tcPr>
          <w:p w14:paraId="57833531" w14:textId="3422356A" w:rsidR="00FC2768" w:rsidRPr="008B6BC5" w:rsidRDefault="004158AD" w:rsidP="00FC2768">
            <w:pPr>
              <w:pStyle w:val="NoSpacing"/>
              <w:rPr>
                <w:rFonts w:cs="Times New Roman"/>
                <w:sz w:val="20"/>
                <w:szCs w:val="20"/>
                <w:lang w:val="en-US"/>
              </w:rPr>
            </w:pPr>
            <w:r w:rsidRPr="008B6BC5">
              <w:rPr>
                <w:rFonts w:cs="Times New Roman"/>
                <w:sz w:val="20"/>
                <w:szCs w:val="20"/>
                <w:lang w:val="en-US"/>
              </w:rPr>
              <w:t>4</w:t>
            </w:r>
          </w:p>
        </w:tc>
        <w:tc>
          <w:tcPr>
            <w:tcW w:w="3944" w:type="dxa"/>
          </w:tcPr>
          <w:p w14:paraId="5F9C7543" w14:textId="585DC920" w:rsidR="00FC2768" w:rsidRPr="008B6BC5" w:rsidRDefault="004158AD" w:rsidP="00FC2768">
            <w:pPr>
              <w:pStyle w:val="NoSpacing"/>
              <w:rPr>
                <w:rFonts w:cs="Times New Roman"/>
                <w:sz w:val="20"/>
                <w:szCs w:val="20"/>
                <w:lang w:val="en-US"/>
              </w:rPr>
            </w:pPr>
            <w:r w:rsidRPr="008B6BC5">
              <w:rPr>
                <w:rFonts w:cs="Times New Roman"/>
                <w:sz w:val="20"/>
                <w:szCs w:val="20"/>
                <w:lang w:val="en-US"/>
              </w:rPr>
              <w:t>No inaccuracies identified.</w:t>
            </w:r>
          </w:p>
        </w:tc>
      </w:tr>
      <w:tr w:rsidR="00FC2768" w:rsidRPr="008B6BC5" w14:paraId="639DB631" w14:textId="77777777" w:rsidTr="00760C26">
        <w:tc>
          <w:tcPr>
            <w:tcW w:w="1560" w:type="dxa"/>
          </w:tcPr>
          <w:p w14:paraId="4B93E859" w14:textId="7043BEE4" w:rsidR="00FC2768" w:rsidRPr="008B6BC5" w:rsidRDefault="000938FF" w:rsidP="00FC2768">
            <w:pPr>
              <w:pStyle w:val="NoSpacing"/>
              <w:rPr>
                <w:rFonts w:cs="Times New Roman"/>
                <w:sz w:val="20"/>
                <w:szCs w:val="20"/>
                <w:lang w:val="en-US"/>
              </w:rPr>
            </w:pPr>
            <w:r w:rsidRPr="008B6BC5">
              <w:rPr>
                <w:rFonts w:cs="Times New Roman"/>
                <w:sz w:val="20"/>
                <w:szCs w:val="20"/>
                <w:lang w:val="en-US"/>
              </w:rPr>
              <w:t>21</w:t>
            </w:r>
          </w:p>
        </w:tc>
        <w:tc>
          <w:tcPr>
            <w:tcW w:w="6048" w:type="dxa"/>
          </w:tcPr>
          <w:p w14:paraId="0445885C" w14:textId="6C05743E" w:rsidR="00FC2768" w:rsidRPr="008B6BC5" w:rsidRDefault="00FC2768" w:rsidP="00FC2768">
            <w:pPr>
              <w:pStyle w:val="NoSpacing"/>
              <w:rPr>
                <w:rFonts w:cs="Times New Roman"/>
                <w:sz w:val="20"/>
                <w:szCs w:val="20"/>
                <w:lang w:val="en-US"/>
              </w:rPr>
            </w:pPr>
            <w:r w:rsidRPr="008B6BC5">
              <w:rPr>
                <w:rFonts w:cs="Times New Roman"/>
                <w:sz w:val="20"/>
                <w:szCs w:val="20"/>
                <w:lang w:val="en-US"/>
              </w:rPr>
              <w:t xml:space="preserve">A re-analysis of randomized fluoxetine and venlafaxine trials by Gibbons et al. (2012) found that, among adults and older adults with MDD, active medication reduced suicidal thoughts and </w:t>
            </w:r>
            <w:proofErr w:type="spellStart"/>
            <w:r w:rsidRPr="008B6BC5">
              <w:rPr>
                <w:rFonts w:cs="Times New Roman"/>
                <w:sz w:val="20"/>
                <w:szCs w:val="20"/>
                <w:lang w:val="en-US"/>
              </w:rPr>
              <w:t>behaviours</w:t>
            </w:r>
            <w:proofErr w:type="spellEnd"/>
            <w:r w:rsidRPr="008B6BC5">
              <w:rPr>
                <w:rFonts w:cs="Times New Roman"/>
                <w:sz w:val="20"/>
                <w:szCs w:val="20"/>
                <w:lang w:val="en-US"/>
              </w:rPr>
              <w:t xml:space="preserve"> relative to placebo, mediated by symptom improvement; in youths, there was no significant </w:t>
            </w:r>
            <w:r w:rsidRPr="008B6BC5">
              <w:rPr>
                <w:rFonts w:cs="Times New Roman"/>
                <w:sz w:val="20"/>
                <w:szCs w:val="20"/>
                <w:lang w:val="en-US"/>
              </w:rPr>
              <w:lastRenderedPageBreak/>
              <w:t>effect on suicidality, but no increased risk compared with placebo (Gibbons et al., 2012)</w:t>
            </w:r>
          </w:p>
        </w:tc>
        <w:tc>
          <w:tcPr>
            <w:tcW w:w="4202" w:type="dxa"/>
          </w:tcPr>
          <w:p w14:paraId="7A8CE5B8" w14:textId="514F6749" w:rsidR="00FC2768" w:rsidRPr="008B6BC5" w:rsidRDefault="00FC2768" w:rsidP="00FC2768">
            <w:pPr>
              <w:pStyle w:val="NoSpacing"/>
              <w:rPr>
                <w:rFonts w:cs="Times New Roman"/>
                <w:sz w:val="20"/>
                <w:szCs w:val="20"/>
                <w:lang w:val="en-US"/>
              </w:rPr>
            </w:pPr>
            <w:r w:rsidRPr="008B6BC5">
              <w:rPr>
                <w:rFonts w:cs="Times New Roman"/>
                <w:sz w:val="20"/>
                <w:szCs w:val="20"/>
                <w:lang w:val="en-US"/>
              </w:rPr>
              <w:lastRenderedPageBreak/>
              <w:t>DOI: 10.1001/archgenpsychiatry.2011.2048</w:t>
            </w:r>
          </w:p>
        </w:tc>
        <w:tc>
          <w:tcPr>
            <w:tcW w:w="690" w:type="dxa"/>
          </w:tcPr>
          <w:p w14:paraId="0A55BBCF" w14:textId="1F67FE53" w:rsidR="00FC2768" w:rsidRPr="008B6BC5" w:rsidRDefault="004158AD" w:rsidP="00FC2768">
            <w:pPr>
              <w:pStyle w:val="NoSpacing"/>
              <w:rPr>
                <w:rFonts w:cs="Times New Roman"/>
                <w:sz w:val="20"/>
                <w:szCs w:val="20"/>
                <w:lang w:val="en-US"/>
              </w:rPr>
            </w:pPr>
            <w:r w:rsidRPr="008B6BC5">
              <w:rPr>
                <w:rFonts w:cs="Times New Roman"/>
                <w:sz w:val="20"/>
                <w:szCs w:val="20"/>
                <w:lang w:val="en-US"/>
              </w:rPr>
              <w:t>4</w:t>
            </w:r>
          </w:p>
        </w:tc>
        <w:tc>
          <w:tcPr>
            <w:tcW w:w="3944" w:type="dxa"/>
          </w:tcPr>
          <w:p w14:paraId="1612A056" w14:textId="20F9A2E6" w:rsidR="00FC2768" w:rsidRPr="008B6BC5" w:rsidRDefault="004158AD" w:rsidP="00FC2768">
            <w:pPr>
              <w:pStyle w:val="NoSpacing"/>
              <w:rPr>
                <w:rFonts w:cs="Times New Roman"/>
                <w:sz w:val="20"/>
                <w:szCs w:val="20"/>
                <w:lang w:val="en-US"/>
              </w:rPr>
            </w:pPr>
            <w:r w:rsidRPr="008B6BC5">
              <w:rPr>
                <w:rFonts w:cs="Times New Roman"/>
                <w:sz w:val="20"/>
                <w:szCs w:val="20"/>
                <w:lang w:val="en-US"/>
              </w:rPr>
              <w:t>No inaccuracies identified.</w:t>
            </w:r>
          </w:p>
        </w:tc>
      </w:tr>
      <w:tr w:rsidR="00FC2768" w:rsidRPr="008B6BC5" w14:paraId="21F8C5D7" w14:textId="77777777" w:rsidTr="00760C26">
        <w:tc>
          <w:tcPr>
            <w:tcW w:w="1560" w:type="dxa"/>
          </w:tcPr>
          <w:p w14:paraId="41B1B7D3" w14:textId="7DB42BA6" w:rsidR="00FC2768" w:rsidRPr="008B6BC5" w:rsidRDefault="000938FF" w:rsidP="00FC2768">
            <w:pPr>
              <w:pStyle w:val="NoSpacing"/>
              <w:rPr>
                <w:rFonts w:cs="Times New Roman"/>
                <w:sz w:val="20"/>
                <w:szCs w:val="20"/>
                <w:lang w:val="en-US"/>
              </w:rPr>
            </w:pPr>
            <w:r w:rsidRPr="008B6BC5">
              <w:rPr>
                <w:rFonts w:cs="Times New Roman"/>
                <w:sz w:val="20"/>
                <w:szCs w:val="20"/>
                <w:lang w:val="en-US"/>
              </w:rPr>
              <w:t>22</w:t>
            </w:r>
          </w:p>
        </w:tc>
        <w:tc>
          <w:tcPr>
            <w:tcW w:w="6048" w:type="dxa"/>
          </w:tcPr>
          <w:p w14:paraId="59E5E6C1" w14:textId="35A490F8" w:rsidR="00FC2768" w:rsidRPr="008B6BC5" w:rsidRDefault="00FC2768" w:rsidP="00FC2768">
            <w:pPr>
              <w:pStyle w:val="NoSpacing"/>
              <w:rPr>
                <w:rFonts w:cs="Times New Roman"/>
                <w:sz w:val="20"/>
                <w:szCs w:val="20"/>
                <w:lang w:val="en-US"/>
              </w:rPr>
            </w:pPr>
            <w:r w:rsidRPr="008B6BC5">
              <w:rPr>
                <w:rFonts w:cs="Times New Roman"/>
                <w:sz w:val="20"/>
                <w:szCs w:val="20"/>
                <w:lang w:val="en-US"/>
              </w:rPr>
              <w:t xml:space="preserve">In contrast, Stone et al. (2009) pooled data from 295 RCTs and concluded that suicidality risk with antidepressants is strongly age-dependent: in adults under 25, risk approximated that observed in children and adolescents, whereas in adults 25–64 the net effect was neutral on suicidal </w:t>
            </w:r>
            <w:proofErr w:type="spellStart"/>
            <w:r w:rsidRPr="008B6BC5">
              <w:rPr>
                <w:rFonts w:cs="Times New Roman"/>
                <w:sz w:val="20"/>
                <w:szCs w:val="20"/>
                <w:lang w:val="en-US"/>
              </w:rPr>
              <w:t>behaviour</w:t>
            </w:r>
            <w:proofErr w:type="spellEnd"/>
            <w:r w:rsidRPr="008B6BC5">
              <w:rPr>
                <w:rFonts w:cs="Times New Roman"/>
                <w:sz w:val="20"/>
                <w:szCs w:val="20"/>
                <w:lang w:val="en-US"/>
              </w:rPr>
              <w:t xml:space="preserve"> and possibly protective for suicidal ideation, and in adults ≥65 antidepressants reduced both suicidality and suicidal </w:t>
            </w:r>
            <w:proofErr w:type="spellStart"/>
            <w:r w:rsidRPr="008B6BC5">
              <w:rPr>
                <w:rFonts w:cs="Times New Roman"/>
                <w:sz w:val="20"/>
                <w:szCs w:val="20"/>
                <w:lang w:val="en-US"/>
              </w:rPr>
              <w:t>behaviour</w:t>
            </w:r>
            <w:proofErr w:type="spellEnd"/>
            <w:r w:rsidRPr="008B6BC5">
              <w:rPr>
                <w:rFonts w:cs="Times New Roman"/>
                <w:sz w:val="20"/>
                <w:szCs w:val="20"/>
                <w:lang w:val="en-US"/>
              </w:rPr>
              <w:t xml:space="preserve"> compared with placebo (Stone et al., 2009)</w:t>
            </w:r>
          </w:p>
        </w:tc>
        <w:tc>
          <w:tcPr>
            <w:tcW w:w="4202" w:type="dxa"/>
          </w:tcPr>
          <w:p w14:paraId="63D2506E" w14:textId="7A3F19FA" w:rsidR="00FC2768" w:rsidRPr="008B6BC5" w:rsidRDefault="00FC2768" w:rsidP="00FC2768">
            <w:pPr>
              <w:pStyle w:val="NoSpacing"/>
              <w:rPr>
                <w:rFonts w:cs="Times New Roman"/>
                <w:sz w:val="20"/>
                <w:szCs w:val="20"/>
                <w:lang w:val="en-US"/>
              </w:rPr>
            </w:pPr>
            <w:r w:rsidRPr="008B6BC5">
              <w:rPr>
                <w:rFonts w:cs="Times New Roman"/>
                <w:sz w:val="20"/>
                <w:szCs w:val="20"/>
                <w:lang w:val="en-US"/>
              </w:rPr>
              <w:t>doi:10.1136/bmj.b2880</w:t>
            </w:r>
          </w:p>
        </w:tc>
        <w:tc>
          <w:tcPr>
            <w:tcW w:w="690" w:type="dxa"/>
          </w:tcPr>
          <w:p w14:paraId="16646F65" w14:textId="73946F52" w:rsidR="00FC2768" w:rsidRPr="008B6BC5" w:rsidRDefault="004158AD" w:rsidP="00FC2768">
            <w:pPr>
              <w:pStyle w:val="NoSpacing"/>
              <w:rPr>
                <w:rFonts w:cs="Times New Roman"/>
                <w:sz w:val="20"/>
                <w:szCs w:val="20"/>
                <w:lang w:val="en-US"/>
              </w:rPr>
            </w:pPr>
            <w:r w:rsidRPr="008B6BC5">
              <w:rPr>
                <w:rFonts w:cs="Times New Roman"/>
                <w:sz w:val="20"/>
                <w:szCs w:val="20"/>
                <w:lang w:val="en-US"/>
              </w:rPr>
              <w:t>3</w:t>
            </w:r>
          </w:p>
        </w:tc>
        <w:tc>
          <w:tcPr>
            <w:tcW w:w="3944" w:type="dxa"/>
          </w:tcPr>
          <w:p w14:paraId="26122A98" w14:textId="118DC815" w:rsidR="00FC2768" w:rsidRPr="008B6BC5" w:rsidRDefault="004158AD" w:rsidP="00FC2768">
            <w:pPr>
              <w:pStyle w:val="NoSpacing"/>
              <w:rPr>
                <w:rFonts w:cs="Times New Roman"/>
                <w:sz w:val="20"/>
                <w:szCs w:val="20"/>
                <w:lang w:val="en-US"/>
              </w:rPr>
            </w:pPr>
            <w:r w:rsidRPr="008B6BC5">
              <w:rPr>
                <w:rFonts w:cs="Times New Roman"/>
                <w:sz w:val="20"/>
                <w:szCs w:val="20"/>
                <w:lang w:val="en-US"/>
              </w:rPr>
              <w:t>There were 372 not 295 trials.</w:t>
            </w:r>
          </w:p>
        </w:tc>
      </w:tr>
      <w:tr w:rsidR="00FC2768" w:rsidRPr="008B6BC5" w14:paraId="5ACD1D9A" w14:textId="77777777" w:rsidTr="00760C26">
        <w:tc>
          <w:tcPr>
            <w:tcW w:w="1560" w:type="dxa"/>
          </w:tcPr>
          <w:p w14:paraId="3B6EC193" w14:textId="6251B03B" w:rsidR="00FC2768" w:rsidRPr="008B6BC5" w:rsidRDefault="000938FF" w:rsidP="00FC2768">
            <w:pPr>
              <w:pStyle w:val="NoSpacing"/>
              <w:rPr>
                <w:rFonts w:cs="Times New Roman"/>
                <w:sz w:val="20"/>
                <w:szCs w:val="20"/>
                <w:lang w:val="en-US"/>
              </w:rPr>
            </w:pPr>
            <w:r w:rsidRPr="008B6BC5">
              <w:rPr>
                <w:rFonts w:cs="Times New Roman"/>
                <w:sz w:val="20"/>
                <w:szCs w:val="20"/>
                <w:lang w:val="en-US"/>
              </w:rPr>
              <w:t>23</w:t>
            </w:r>
          </w:p>
        </w:tc>
        <w:tc>
          <w:tcPr>
            <w:tcW w:w="6048" w:type="dxa"/>
          </w:tcPr>
          <w:p w14:paraId="2304ECA3" w14:textId="2E1200E1" w:rsidR="00FC2768" w:rsidRPr="008B6BC5" w:rsidRDefault="00FC2768" w:rsidP="00FC2768">
            <w:pPr>
              <w:pStyle w:val="NoSpacing"/>
              <w:rPr>
                <w:rFonts w:cs="Times New Roman"/>
                <w:sz w:val="20"/>
                <w:szCs w:val="20"/>
                <w:lang w:val="en-US"/>
              </w:rPr>
            </w:pPr>
            <w:r w:rsidRPr="008B6BC5">
              <w:rPr>
                <w:rFonts w:cs="Times New Roman"/>
                <w:sz w:val="20"/>
                <w:szCs w:val="20"/>
                <w:lang w:val="en-US"/>
              </w:rPr>
              <w:t>Observational syntheses add nuance: Li et al. (2022) found that antidepressant, particularly SSRI, exposure in children and adolescents was associated with increased risk of suicide attempts relative to no antidepressant use (pooled RR = 1.38, 95% CI 1.16–1.64).</w:t>
            </w:r>
          </w:p>
        </w:tc>
        <w:tc>
          <w:tcPr>
            <w:tcW w:w="4202" w:type="dxa"/>
          </w:tcPr>
          <w:p w14:paraId="0EF6E097" w14:textId="36951A64" w:rsidR="00FC2768" w:rsidRPr="008B6BC5" w:rsidRDefault="00FC2768" w:rsidP="00FC2768">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10.3389/fpsyt.2022.880496</w:t>
            </w:r>
          </w:p>
        </w:tc>
        <w:tc>
          <w:tcPr>
            <w:tcW w:w="690" w:type="dxa"/>
          </w:tcPr>
          <w:p w14:paraId="3012BD40" w14:textId="07418036" w:rsidR="00FC2768" w:rsidRPr="008B6BC5" w:rsidRDefault="004158AD" w:rsidP="00FC2768">
            <w:pPr>
              <w:pStyle w:val="NoSpacing"/>
              <w:rPr>
                <w:rFonts w:cs="Times New Roman"/>
                <w:sz w:val="20"/>
                <w:szCs w:val="20"/>
                <w:lang w:val="en-US"/>
              </w:rPr>
            </w:pPr>
            <w:r w:rsidRPr="008B6BC5">
              <w:rPr>
                <w:rFonts w:cs="Times New Roman"/>
                <w:sz w:val="20"/>
                <w:szCs w:val="20"/>
                <w:lang w:val="en-US"/>
              </w:rPr>
              <w:t>4</w:t>
            </w:r>
          </w:p>
        </w:tc>
        <w:tc>
          <w:tcPr>
            <w:tcW w:w="3944" w:type="dxa"/>
          </w:tcPr>
          <w:p w14:paraId="59F30329" w14:textId="2CFF16C5" w:rsidR="00FC2768" w:rsidRPr="008B6BC5" w:rsidRDefault="004158AD" w:rsidP="00FC2768">
            <w:pPr>
              <w:pStyle w:val="NoSpacing"/>
              <w:rPr>
                <w:rFonts w:cs="Times New Roman"/>
                <w:sz w:val="20"/>
                <w:szCs w:val="20"/>
                <w:lang w:val="en-US"/>
              </w:rPr>
            </w:pPr>
            <w:r w:rsidRPr="008B6BC5">
              <w:rPr>
                <w:rFonts w:cs="Times New Roman"/>
                <w:sz w:val="20"/>
                <w:szCs w:val="20"/>
                <w:lang w:val="en-US"/>
              </w:rPr>
              <w:t>No inaccuracies identified.</w:t>
            </w:r>
          </w:p>
        </w:tc>
      </w:tr>
      <w:tr w:rsidR="00FC2768" w:rsidRPr="008B6BC5" w14:paraId="3E9E48AC" w14:textId="77777777" w:rsidTr="00760C26">
        <w:tc>
          <w:tcPr>
            <w:tcW w:w="1560" w:type="dxa"/>
          </w:tcPr>
          <w:p w14:paraId="745FE117" w14:textId="7D88129F" w:rsidR="00FC2768" w:rsidRPr="008B6BC5" w:rsidRDefault="000938FF" w:rsidP="00FC2768">
            <w:pPr>
              <w:pStyle w:val="NoSpacing"/>
              <w:rPr>
                <w:rFonts w:cs="Times New Roman"/>
                <w:sz w:val="20"/>
                <w:szCs w:val="20"/>
                <w:lang w:val="en-US"/>
              </w:rPr>
            </w:pPr>
            <w:r w:rsidRPr="008B6BC5">
              <w:rPr>
                <w:rFonts w:cs="Times New Roman"/>
                <w:sz w:val="20"/>
                <w:szCs w:val="20"/>
                <w:lang w:val="en-US"/>
              </w:rPr>
              <w:t>24</w:t>
            </w:r>
          </w:p>
        </w:tc>
        <w:tc>
          <w:tcPr>
            <w:tcW w:w="6048" w:type="dxa"/>
          </w:tcPr>
          <w:p w14:paraId="1D4B2C1D" w14:textId="4E688F50" w:rsidR="00FC2768" w:rsidRPr="008B6BC5" w:rsidRDefault="00FC2768" w:rsidP="00FC2768">
            <w:pPr>
              <w:pStyle w:val="NoSpacing"/>
              <w:rPr>
                <w:rFonts w:cs="Times New Roman"/>
                <w:sz w:val="20"/>
                <w:szCs w:val="20"/>
                <w:lang w:val="en-US"/>
              </w:rPr>
            </w:pPr>
            <w:r w:rsidRPr="008B6BC5">
              <w:rPr>
                <w:rFonts w:cs="Times New Roman"/>
                <w:sz w:val="20"/>
                <w:szCs w:val="20"/>
                <w:lang w:val="en-US"/>
              </w:rPr>
              <w:t xml:space="preserve">…whereas a large cohort study by Lagerberg et al. (2023) reported that, after controlling for confounding by indication, SSRI treatment did not increase and may reduce suicidal </w:t>
            </w:r>
            <w:proofErr w:type="spellStart"/>
            <w:r w:rsidRPr="008B6BC5">
              <w:rPr>
                <w:rFonts w:cs="Times New Roman"/>
                <w:sz w:val="20"/>
                <w:szCs w:val="20"/>
                <w:lang w:val="en-US"/>
              </w:rPr>
              <w:t>behaviour</w:t>
            </w:r>
            <w:proofErr w:type="spellEnd"/>
            <w:r w:rsidRPr="008B6BC5">
              <w:rPr>
                <w:rFonts w:cs="Times New Roman"/>
                <w:sz w:val="20"/>
                <w:szCs w:val="20"/>
                <w:lang w:val="en-US"/>
              </w:rPr>
              <w:t xml:space="preserve"> risk in youths and adults (Lagerberg et al., 2023).</w:t>
            </w:r>
          </w:p>
        </w:tc>
        <w:tc>
          <w:tcPr>
            <w:tcW w:w="4202" w:type="dxa"/>
          </w:tcPr>
          <w:p w14:paraId="67E818A5" w14:textId="6A256C61" w:rsidR="00FC2768" w:rsidRPr="008B6BC5" w:rsidRDefault="00FC2768" w:rsidP="00FC2768">
            <w:pPr>
              <w:pStyle w:val="NoSpacing"/>
              <w:rPr>
                <w:rFonts w:cs="Times New Roman"/>
                <w:sz w:val="20"/>
                <w:szCs w:val="20"/>
                <w:lang w:val="en-US"/>
              </w:rPr>
            </w:pPr>
            <w:r w:rsidRPr="008B6BC5">
              <w:rPr>
                <w:rFonts w:cs="Times New Roman"/>
                <w:sz w:val="20"/>
                <w:szCs w:val="20"/>
                <w:lang w:val="en-US"/>
              </w:rPr>
              <w:t>https://doi.org/10.1038/s41386-023-01676-3</w:t>
            </w:r>
          </w:p>
        </w:tc>
        <w:tc>
          <w:tcPr>
            <w:tcW w:w="690" w:type="dxa"/>
          </w:tcPr>
          <w:p w14:paraId="4E06500D" w14:textId="3D6A123D" w:rsidR="00FC2768" w:rsidRPr="008B6BC5" w:rsidRDefault="0081673C" w:rsidP="00FC2768">
            <w:pPr>
              <w:pStyle w:val="NoSpacing"/>
              <w:rPr>
                <w:rFonts w:cs="Times New Roman"/>
                <w:sz w:val="20"/>
                <w:szCs w:val="20"/>
                <w:lang w:val="en-US"/>
              </w:rPr>
            </w:pPr>
            <w:r w:rsidRPr="008B6BC5">
              <w:rPr>
                <w:rFonts w:cs="Times New Roman"/>
                <w:sz w:val="20"/>
                <w:szCs w:val="20"/>
                <w:lang w:val="en-US"/>
              </w:rPr>
              <w:t>1</w:t>
            </w:r>
          </w:p>
        </w:tc>
        <w:tc>
          <w:tcPr>
            <w:tcW w:w="3944" w:type="dxa"/>
          </w:tcPr>
          <w:p w14:paraId="6339E1F4" w14:textId="0A069006" w:rsidR="00FC2768" w:rsidRPr="008B6BC5" w:rsidRDefault="0081673C" w:rsidP="00FC2768">
            <w:pPr>
              <w:pStyle w:val="NoSpacing"/>
              <w:rPr>
                <w:rFonts w:cs="Times New Roman"/>
                <w:sz w:val="20"/>
                <w:szCs w:val="20"/>
                <w:lang w:val="en-US"/>
              </w:rPr>
            </w:pPr>
            <w:r w:rsidRPr="008B6BC5">
              <w:rPr>
                <w:rFonts w:cs="Times New Roman"/>
                <w:sz w:val="20"/>
                <w:szCs w:val="20"/>
                <w:lang w:val="en-US"/>
              </w:rPr>
              <w:t xml:space="preserve">SSRIs significantly increased – not decreased – the risk for young people. </w:t>
            </w:r>
          </w:p>
        </w:tc>
      </w:tr>
      <w:tr w:rsidR="00FC2768" w:rsidRPr="008B6BC5" w14:paraId="1A1F0FED" w14:textId="77777777" w:rsidTr="00EA524D">
        <w:trPr>
          <w:trHeight w:val="63"/>
        </w:trPr>
        <w:tc>
          <w:tcPr>
            <w:tcW w:w="16444" w:type="dxa"/>
            <w:gridSpan w:val="5"/>
          </w:tcPr>
          <w:p w14:paraId="29C5EAEE" w14:textId="77777777" w:rsidR="00FC2768" w:rsidRPr="008B6BC5" w:rsidRDefault="00FC2768" w:rsidP="00FC2768">
            <w:pPr>
              <w:pStyle w:val="NoSpacing"/>
              <w:numPr>
                <w:ilvl w:val="0"/>
                <w:numId w:val="7"/>
              </w:numPr>
              <w:rPr>
                <w:rFonts w:cs="Times New Roman"/>
                <w:sz w:val="20"/>
                <w:szCs w:val="20"/>
                <w:lang w:val="en-US"/>
              </w:rPr>
            </w:pPr>
            <w:r w:rsidRPr="008B6BC5">
              <w:rPr>
                <w:rFonts w:cs="Times New Roman"/>
                <w:sz w:val="20"/>
                <w:szCs w:val="20"/>
                <w:lang w:val="en-US"/>
              </w:rPr>
              <w:t xml:space="preserve">ChatGPT cited “Johansson et al 2013” but this did not exist. Through a literature search, we suspected that ChatGPT was actually referring to Andersson et al. (2013). </w:t>
            </w:r>
          </w:p>
          <w:p w14:paraId="60A84073" w14:textId="7BA5F9C7" w:rsidR="00FC2768" w:rsidRPr="008B6BC5" w:rsidRDefault="00FC2768" w:rsidP="00FC2768">
            <w:pPr>
              <w:pStyle w:val="NoSpacing"/>
              <w:numPr>
                <w:ilvl w:val="0"/>
                <w:numId w:val="7"/>
              </w:numPr>
              <w:rPr>
                <w:rFonts w:cs="Times New Roman"/>
                <w:sz w:val="20"/>
                <w:szCs w:val="20"/>
                <w:lang w:val="en-US"/>
              </w:rPr>
            </w:pPr>
            <w:r w:rsidRPr="008B6BC5">
              <w:rPr>
                <w:rFonts w:cs="Times New Roman"/>
                <w:sz w:val="20"/>
                <w:szCs w:val="20"/>
                <w:lang w:val="en-US"/>
              </w:rPr>
              <w:t xml:space="preserve">ChatGPT cited “Rosso 2016” but this did not exist. Through a literature search, we suspected that ChatGPT was actually referring to Johannson et al., 2016. </w:t>
            </w:r>
          </w:p>
        </w:tc>
      </w:tr>
    </w:tbl>
    <w:p w14:paraId="667F701A" w14:textId="77777777" w:rsidR="00973709" w:rsidRPr="008B6BC5" w:rsidRDefault="00973709" w:rsidP="005C2C5C">
      <w:pPr>
        <w:pStyle w:val="NoSpacing"/>
        <w:spacing w:line="360" w:lineRule="auto"/>
        <w:rPr>
          <w:b/>
          <w:bCs/>
          <w:lang w:val="en-US"/>
        </w:rPr>
      </w:pPr>
    </w:p>
    <w:p w14:paraId="062C3D5A" w14:textId="77777777" w:rsidR="00255788" w:rsidRPr="008B6BC5" w:rsidRDefault="00255788" w:rsidP="005C2C5C">
      <w:pPr>
        <w:pStyle w:val="NoSpacing"/>
        <w:spacing w:line="360" w:lineRule="auto"/>
        <w:rPr>
          <w:b/>
          <w:bCs/>
          <w:lang w:val="en-US"/>
        </w:rPr>
      </w:pPr>
    </w:p>
    <w:p w14:paraId="58E97C45" w14:textId="77777777" w:rsidR="00255788" w:rsidRPr="008B6BC5" w:rsidRDefault="00255788" w:rsidP="005C2C5C">
      <w:pPr>
        <w:pStyle w:val="NoSpacing"/>
        <w:spacing w:line="360" w:lineRule="auto"/>
        <w:rPr>
          <w:b/>
          <w:bCs/>
          <w:lang w:val="en-US"/>
        </w:rPr>
      </w:pPr>
    </w:p>
    <w:p w14:paraId="1AFB9B07" w14:textId="77777777" w:rsidR="00255788" w:rsidRPr="008B6BC5" w:rsidRDefault="00255788" w:rsidP="005C2C5C">
      <w:pPr>
        <w:pStyle w:val="NoSpacing"/>
        <w:spacing w:line="360" w:lineRule="auto"/>
        <w:rPr>
          <w:b/>
          <w:bCs/>
          <w:lang w:val="en-US"/>
        </w:rPr>
      </w:pPr>
    </w:p>
    <w:p w14:paraId="134AF92B" w14:textId="77777777" w:rsidR="00255788" w:rsidRPr="008B6BC5" w:rsidRDefault="00255788" w:rsidP="005C2C5C">
      <w:pPr>
        <w:pStyle w:val="NoSpacing"/>
        <w:spacing w:line="360" w:lineRule="auto"/>
        <w:rPr>
          <w:b/>
          <w:bCs/>
          <w:lang w:val="en-US"/>
        </w:rPr>
      </w:pPr>
    </w:p>
    <w:p w14:paraId="0B758E61" w14:textId="77777777" w:rsidR="00255788" w:rsidRPr="008B6BC5" w:rsidRDefault="00255788" w:rsidP="005C2C5C">
      <w:pPr>
        <w:pStyle w:val="NoSpacing"/>
        <w:spacing w:line="360" w:lineRule="auto"/>
        <w:rPr>
          <w:b/>
          <w:bCs/>
          <w:lang w:val="en-US"/>
        </w:rPr>
      </w:pPr>
    </w:p>
    <w:p w14:paraId="3CA12AED" w14:textId="77777777" w:rsidR="00255788" w:rsidRPr="008B6BC5" w:rsidRDefault="00255788" w:rsidP="005C2C5C">
      <w:pPr>
        <w:pStyle w:val="NoSpacing"/>
        <w:spacing w:line="360" w:lineRule="auto"/>
        <w:rPr>
          <w:b/>
          <w:bCs/>
          <w:lang w:val="en-US"/>
        </w:rPr>
      </w:pPr>
    </w:p>
    <w:p w14:paraId="6107A9DB" w14:textId="77777777" w:rsidR="000938FF" w:rsidRPr="008B6BC5" w:rsidRDefault="000938FF" w:rsidP="005C2C5C">
      <w:pPr>
        <w:pStyle w:val="NoSpacing"/>
        <w:spacing w:line="360" w:lineRule="auto"/>
        <w:rPr>
          <w:b/>
          <w:bCs/>
          <w:lang w:val="en-US"/>
        </w:rPr>
      </w:pPr>
    </w:p>
    <w:p w14:paraId="3372E179" w14:textId="77777777" w:rsidR="000938FF" w:rsidRPr="008B6BC5" w:rsidRDefault="000938FF" w:rsidP="005C2C5C">
      <w:pPr>
        <w:pStyle w:val="NoSpacing"/>
        <w:spacing w:line="360" w:lineRule="auto"/>
        <w:rPr>
          <w:b/>
          <w:bCs/>
          <w:lang w:val="en-US"/>
        </w:rPr>
      </w:pPr>
    </w:p>
    <w:p w14:paraId="21660E26" w14:textId="77777777" w:rsidR="000938FF" w:rsidRPr="008B6BC5" w:rsidRDefault="000938FF" w:rsidP="005C2C5C">
      <w:pPr>
        <w:pStyle w:val="NoSpacing"/>
        <w:spacing w:line="360" w:lineRule="auto"/>
        <w:rPr>
          <w:b/>
          <w:bCs/>
          <w:lang w:val="en-US"/>
        </w:rPr>
      </w:pPr>
    </w:p>
    <w:p w14:paraId="309FBACB" w14:textId="2DE0179D" w:rsidR="00202DA2" w:rsidRPr="008B6BC5" w:rsidRDefault="00202DA2">
      <w:pPr>
        <w:spacing w:line="278" w:lineRule="auto"/>
        <w:jc w:val="left"/>
        <w:rPr>
          <w:b/>
          <w:bCs/>
          <w:lang w:val="en-US"/>
        </w:rPr>
      </w:pPr>
      <w:r w:rsidRPr="008B6BC5">
        <w:rPr>
          <w:b/>
          <w:bCs/>
          <w:lang w:val="en-US"/>
        </w:rPr>
        <w:br w:type="page"/>
      </w:r>
    </w:p>
    <w:p w14:paraId="08F6A21A" w14:textId="77777777" w:rsidR="000938FF" w:rsidRPr="008B6BC5" w:rsidRDefault="000938FF" w:rsidP="005C2C5C">
      <w:pPr>
        <w:pStyle w:val="NoSpacing"/>
        <w:spacing w:line="360" w:lineRule="auto"/>
        <w:rPr>
          <w:b/>
          <w:bCs/>
          <w:lang w:val="en-US"/>
        </w:rPr>
      </w:pPr>
    </w:p>
    <w:p w14:paraId="2166A89B" w14:textId="77777777" w:rsidR="000938FF" w:rsidRPr="008B6BC5" w:rsidRDefault="000938FF" w:rsidP="005C2C5C">
      <w:pPr>
        <w:pStyle w:val="NoSpacing"/>
        <w:spacing w:line="360" w:lineRule="auto"/>
        <w:rPr>
          <w:b/>
          <w:bCs/>
          <w:lang w:val="en-US"/>
        </w:rPr>
      </w:pPr>
    </w:p>
    <w:p w14:paraId="1F79187F" w14:textId="39D1CEF8" w:rsidR="00255788" w:rsidRPr="008B6BC5" w:rsidRDefault="00255788" w:rsidP="00255788">
      <w:pPr>
        <w:pStyle w:val="NoSpacing"/>
        <w:spacing w:line="360" w:lineRule="auto"/>
        <w:rPr>
          <w:b/>
          <w:bCs/>
          <w:lang w:val="en-US"/>
        </w:rPr>
      </w:pPr>
      <w:r w:rsidRPr="008B6BC5">
        <w:rPr>
          <w:b/>
          <w:bCs/>
          <w:lang w:val="en-US"/>
        </w:rPr>
        <w:t>Table S</w:t>
      </w:r>
      <w:r w:rsidR="00027F8C" w:rsidRPr="008B6BC5">
        <w:rPr>
          <w:b/>
          <w:bCs/>
          <w:lang w:val="en-US"/>
        </w:rPr>
        <w:t>2</w:t>
      </w:r>
      <w:r w:rsidRPr="008B6BC5">
        <w:rPr>
          <w:b/>
          <w:bCs/>
          <w:lang w:val="en-US"/>
        </w:rPr>
        <w:t xml:space="preserve">: Scores assigned to ChatGPT claims for reviews on Binge-Eating Disorder </w:t>
      </w:r>
    </w:p>
    <w:tbl>
      <w:tblPr>
        <w:tblStyle w:val="TableGrid"/>
        <w:tblW w:w="16444" w:type="dxa"/>
        <w:tblInd w:w="-1281" w:type="dxa"/>
        <w:tblLook w:val="04A0" w:firstRow="1" w:lastRow="0" w:firstColumn="1" w:lastColumn="0" w:noHBand="0" w:noVBand="1"/>
      </w:tblPr>
      <w:tblGrid>
        <w:gridCol w:w="1616"/>
        <w:gridCol w:w="5614"/>
        <w:gridCol w:w="4458"/>
        <w:gridCol w:w="690"/>
        <w:gridCol w:w="4066"/>
      </w:tblGrid>
      <w:tr w:rsidR="00255788" w:rsidRPr="008B6BC5" w14:paraId="27B8B681" w14:textId="77777777" w:rsidTr="00202DA2">
        <w:tc>
          <w:tcPr>
            <w:tcW w:w="1616" w:type="dxa"/>
          </w:tcPr>
          <w:p w14:paraId="03AD7D48" w14:textId="77777777" w:rsidR="00255788" w:rsidRPr="008B6BC5" w:rsidRDefault="00255788" w:rsidP="009074B7">
            <w:pPr>
              <w:pStyle w:val="NoSpacing"/>
              <w:jc w:val="left"/>
              <w:rPr>
                <w:b/>
                <w:bCs/>
                <w:sz w:val="20"/>
                <w:szCs w:val="20"/>
                <w:lang w:val="en-US"/>
              </w:rPr>
            </w:pPr>
            <w:r w:rsidRPr="008B6BC5">
              <w:rPr>
                <w:b/>
                <w:bCs/>
                <w:sz w:val="20"/>
                <w:szCs w:val="20"/>
                <w:lang w:val="en-US"/>
              </w:rPr>
              <w:t xml:space="preserve">Treatment </w:t>
            </w:r>
          </w:p>
        </w:tc>
        <w:tc>
          <w:tcPr>
            <w:tcW w:w="5614" w:type="dxa"/>
          </w:tcPr>
          <w:p w14:paraId="31ABEF06" w14:textId="77777777" w:rsidR="00255788" w:rsidRPr="008B6BC5" w:rsidRDefault="00255788" w:rsidP="009074B7">
            <w:pPr>
              <w:pStyle w:val="NoSpacing"/>
              <w:jc w:val="left"/>
              <w:rPr>
                <w:b/>
                <w:bCs/>
                <w:sz w:val="20"/>
                <w:szCs w:val="20"/>
                <w:lang w:val="en-US"/>
              </w:rPr>
            </w:pPr>
            <w:r w:rsidRPr="008B6BC5">
              <w:rPr>
                <w:b/>
                <w:bCs/>
                <w:sz w:val="20"/>
                <w:szCs w:val="20"/>
                <w:lang w:val="en-US"/>
              </w:rPr>
              <w:t xml:space="preserve">ChatGPT claim </w:t>
            </w:r>
          </w:p>
        </w:tc>
        <w:tc>
          <w:tcPr>
            <w:tcW w:w="4458" w:type="dxa"/>
          </w:tcPr>
          <w:p w14:paraId="2BFD980A" w14:textId="77777777" w:rsidR="00255788" w:rsidRPr="008B6BC5" w:rsidRDefault="00255788" w:rsidP="009074B7">
            <w:pPr>
              <w:pStyle w:val="NoSpacing"/>
              <w:jc w:val="left"/>
              <w:rPr>
                <w:b/>
                <w:bCs/>
                <w:sz w:val="20"/>
                <w:szCs w:val="20"/>
                <w:lang w:val="en-US"/>
              </w:rPr>
            </w:pPr>
            <w:r w:rsidRPr="008B6BC5">
              <w:rPr>
                <w:b/>
                <w:bCs/>
                <w:sz w:val="20"/>
                <w:szCs w:val="20"/>
                <w:lang w:val="en-US"/>
              </w:rPr>
              <w:t>Identified citation</w:t>
            </w:r>
          </w:p>
        </w:tc>
        <w:tc>
          <w:tcPr>
            <w:tcW w:w="690" w:type="dxa"/>
          </w:tcPr>
          <w:p w14:paraId="3ABE8FD3" w14:textId="77777777" w:rsidR="00255788" w:rsidRPr="008B6BC5" w:rsidRDefault="00255788" w:rsidP="009074B7">
            <w:pPr>
              <w:pStyle w:val="NoSpacing"/>
              <w:jc w:val="left"/>
              <w:rPr>
                <w:b/>
                <w:bCs/>
                <w:sz w:val="20"/>
                <w:szCs w:val="20"/>
                <w:lang w:val="en-US"/>
              </w:rPr>
            </w:pPr>
            <w:r w:rsidRPr="008B6BC5">
              <w:rPr>
                <w:b/>
                <w:bCs/>
                <w:sz w:val="20"/>
                <w:szCs w:val="20"/>
                <w:lang w:val="en-US"/>
              </w:rPr>
              <w:t xml:space="preserve">Score </w:t>
            </w:r>
          </w:p>
        </w:tc>
        <w:tc>
          <w:tcPr>
            <w:tcW w:w="4066" w:type="dxa"/>
          </w:tcPr>
          <w:p w14:paraId="13150049" w14:textId="13758CD2" w:rsidR="00255788" w:rsidRPr="008B6BC5" w:rsidRDefault="005853F6" w:rsidP="009074B7">
            <w:pPr>
              <w:pStyle w:val="NoSpacing"/>
              <w:jc w:val="left"/>
              <w:rPr>
                <w:b/>
                <w:bCs/>
                <w:sz w:val="20"/>
                <w:szCs w:val="20"/>
                <w:lang w:val="en-US"/>
              </w:rPr>
            </w:pPr>
            <w:r w:rsidRPr="008B6BC5">
              <w:rPr>
                <w:b/>
                <w:bCs/>
                <w:sz w:val="20"/>
                <w:szCs w:val="20"/>
                <w:lang w:val="en-US"/>
              </w:rPr>
              <w:t xml:space="preserve">Scoring justification </w:t>
            </w:r>
            <w:r>
              <w:rPr>
                <w:b/>
                <w:bCs/>
                <w:sz w:val="20"/>
                <w:szCs w:val="20"/>
                <w:lang w:val="en-US"/>
              </w:rPr>
              <w:t>(reason for lowest score received within the citation-claim</w:t>
            </w:r>
            <w:r w:rsidR="00255788" w:rsidRPr="008B6BC5">
              <w:rPr>
                <w:b/>
                <w:bCs/>
                <w:sz w:val="20"/>
                <w:szCs w:val="20"/>
                <w:lang w:val="en-US"/>
              </w:rPr>
              <w:t xml:space="preserve"> </w:t>
            </w:r>
          </w:p>
        </w:tc>
      </w:tr>
      <w:tr w:rsidR="000938FF" w:rsidRPr="008B6BC5" w14:paraId="16EA2888" w14:textId="77777777" w:rsidTr="00202DA2">
        <w:tc>
          <w:tcPr>
            <w:tcW w:w="1616" w:type="dxa"/>
          </w:tcPr>
          <w:p w14:paraId="2F97DE2E" w14:textId="46EA93B6" w:rsidR="000938FF" w:rsidRPr="008B6BC5" w:rsidRDefault="000938FF" w:rsidP="009074B7">
            <w:pPr>
              <w:pStyle w:val="NoSpacing"/>
              <w:jc w:val="left"/>
              <w:rPr>
                <w:b/>
                <w:bCs/>
                <w:sz w:val="20"/>
                <w:szCs w:val="20"/>
                <w:lang w:val="en-US"/>
              </w:rPr>
            </w:pPr>
            <w:r w:rsidRPr="008B6BC5">
              <w:rPr>
                <w:rFonts w:cs="Times New Roman"/>
                <w:sz w:val="20"/>
                <w:szCs w:val="20"/>
                <w:lang w:val="en-US"/>
              </w:rPr>
              <w:t>Digital mental health</w:t>
            </w:r>
          </w:p>
        </w:tc>
        <w:tc>
          <w:tcPr>
            <w:tcW w:w="5614" w:type="dxa"/>
          </w:tcPr>
          <w:p w14:paraId="703350D7" w14:textId="77777777" w:rsidR="000938FF" w:rsidRPr="008B6BC5" w:rsidRDefault="000938FF" w:rsidP="009074B7">
            <w:pPr>
              <w:pStyle w:val="NoSpacing"/>
              <w:jc w:val="left"/>
              <w:rPr>
                <w:b/>
                <w:bCs/>
                <w:sz w:val="20"/>
                <w:szCs w:val="20"/>
                <w:lang w:val="en-US"/>
              </w:rPr>
            </w:pPr>
          </w:p>
        </w:tc>
        <w:tc>
          <w:tcPr>
            <w:tcW w:w="4458" w:type="dxa"/>
          </w:tcPr>
          <w:p w14:paraId="7BB148E7" w14:textId="77777777" w:rsidR="000938FF" w:rsidRPr="008B6BC5" w:rsidRDefault="000938FF" w:rsidP="009074B7">
            <w:pPr>
              <w:pStyle w:val="NoSpacing"/>
              <w:jc w:val="left"/>
              <w:rPr>
                <w:b/>
                <w:bCs/>
                <w:sz w:val="20"/>
                <w:szCs w:val="20"/>
                <w:lang w:val="en-US"/>
              </w:rPr>
            </w:pPr>
          </w:p>
        </w:tc>
        <w:tc>
          <w:tcPr>
            <w:tcW w:w="690" w:type="dxa"/>
          </w:tcPr>
          <w:p w14:paraId="5B46CF69" w14:textId="77777777" w:rsidR="000938FF" w:rsidRPr="008B6BC5" w:rsidRDefault="000938FF" w:rsidP="009074B7">
            <w:pPr>
              <w:pStyle w:val="NoSpacing"/>
              <w:jc w:val="left"/>
              <w:rPr>
                <w:b/>
                <w:bCs/>
                <w:sz w:val="20"/>
                <w:szCs w:val="20"/>
                <w:lang w:val="en-US"/>
              </w:rPr>
            </w:pPr>
          </w:p>
        </w:tc>
        <w:tc>
          <w:tcPr>
            <w:tcW w:w="4066" w:type="dxa"/>
          </w:tcPr>
          <w:p w14:paraId="468FD4F9" w14:textId="77777777" w:rsidR="000938FF" w:rsidRPr="008B6BC5" w:rsidRDefault="000938FF" w:rsidP="009074B7">
            <w:pPr>
              <w:pStyle w:val="NoSpacing"/>
              <w:jc w:val="left"/>
              <w:rPr>
                <w:b/>
                <w:bCs/>
                <w:sz w:val="20"/>
                <w:szCs w:val="20"/>
                <w:lang w:val="en-US"/>
              </w:rPr>
            </w:pPr>
          </w:p>
        </w:tc>
      </w:tr>
      <w:tr w:rsidR="00255788" w:rsidRPr="008B6BC5" w14:paraId="3A9AA24D" w14:textId="77777777" w:rsidTr="00202DA2">
        <w:tc>
          <w:tcPr>
            <w:tcW w:w="1616" w:type="dxa"/>
          </w:tcPr>
          <w:p w14:paraId="743E3F5D" w14:textId="7A5F0E35" w:rsidR="00255788" w:rsidRPr="008B6BC5" w:rsidRDefault="000938FF" w:rsidP="009074B7">
            <w:pPr>
              <w:pStyle w:val="NoSpacing"/>
              <w:rPr>
                <w:rFonts w:cs="Times New Roman"/>
                <w:sz w:val="20"/>
                <w:szCs w:val="20"/>
                <w:lang w:val="en-US"/>
              </w:rPr>
            </w:pPr>
            <w:r w:rsidRPr="008B6BC5">
              <w:rPr>
                <w:rFonts w:cs="Times New Roman"/>
                <w:sz w:val="20"/>
                <w:szCs w:val="20"/>
                <w:lang w:val="en-US"/>
              </w:rPr>
              <w:t>1</w:t>
            </w:r>
          </w:p>
        </w:tc>
        <w:tc>
          <w:tcPr>
            <w:tcW w:w="5614" w:type="dxa"/>
          </w:tcPr>
          <w:p w14:paraId="787293C2" w14:textId="100B4C96" w:rsidR="0002765D" w:rsidRPr="008B6BC5" w:rsidRDefault="0002765D" w:rsidP="0002765D">
            <w:pPr>
              <w:pStyle w:val="NoSpacing"/>
              <w:rPr>
                <w:rFonts w:cs="Times New Roman"/>
                <w:sz w:val="20"/>
                <w:szCs w:val="20"/>
                <w:lang w:val="en-US"/>
              </w:rPr>
            </w:pPr>
            <w:r w:rsidRPr="008B6BC5">
              <w:rPr>
                <w:rFonts w:cs="Times New Roman"/>
                <w:sz w:val="20"/>
                <w:szCs w:val="20"/>
                <w:lang w:val="en-US"/>
              </w:rPr>
              <w:t xml:space="preserve">Moghimi and colleagues reviewed randomized controlled trials (RCTs) of eHealth interventions (primarily CBT-based web programs and mobile tools) for adults with BED and identified significant advantages over inactive controls (e.g., waitlist, minimal psychoeducation), with small-to-moderate pooled effects on binge-eating frequency and global eating-disorder psychopathology (Hedges’ g in the approximate 0.4–0.6 range) (Moghimi et al., 2021). </w:t>
            </w:r>
          </w:p>
          <w:p w14:paraId="1311BE16" w14:textId="037B11D2" w:rsidR="00255788" w:rsidRPr="008B6BC5" w:rsidRDefault="00255788" w:rsidP="0002765D">
            <w:pPr>
              <w:pStyle w:val="NoSpacing"/>
              <w:rPr>
                <w:rFonts w:cs="Times New Roman"/>
                <w:sz w:val="20"/>
                <w:szCs w:val="20"/>
                <w:lang w:val="en-US"/>
              </w:rPr>
            </w:pPr>
          </w:p>
        </w:tc>
        <w:tc>
          <w:tcPr>
            <w:tcW w:w="4458" w:type="dxa"/>
          </w:tcPr>
          <w:p w14:paraId="2AB609AA" w14:textId="146E901E" w:rsidR="00255788" w:rsidRPr="008B6BC5" w:rsidRDefault="00564D08" w:rsidP="009074B7">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10.2196/17874</w:t>
            </w:r>
          </w:p>
        </w:tc>
        <w:tc>
          <w:tcPr>
            <w:tcW w:w="690" w:type="dxa"/>
          </w:tcPr>
          <w:p w14:paraId="249D9706" w14:textId="79DC4C53" w:rsidR="00255788" w:rsidRPr="008B6BC5" w:rsidRDefault="00885C94" w:rsidP="009074B7">
            <w:pPr>
              <w:pStyle w:val="NoSpacing"/>
              <w:rPr>
                <w:rFonts w:cs="Times New Roman"/>
                <w:sz w:val="20"/>
                <w:szCs w:val="20"/>
                <w:lang w:val="en-US"/>
              </w:rPr>
            </w:pPr>
            <w:r w:rsidRPr="008B6BC5">
              <w:rPr>
                <w:rFonts w:cs="Times New Roman"/>
                <w:sz w:val="20"/>
                <w:szCs w:val="20"/>
                <w:lang w:val="en-US"/>
              </w:rPr>
              <w:t>3</w:t>
            </w:r>
          </w:p>
        </w:tc>
        <w:tc>
          <w:tcPr>
            <w:tcW w:w="4066" w:type="dxa"/>
          </w:tcPr>
          <w:p w14:paraId="4CB799F8" w14:textId="1DE2C22E" w:rsidR="00255788" w:rsidRPr="008B6BC5" w:rsidRDefault="001C6A1F" w:rsidP="009074B7">
            <w:pPr>
              <w:pStyle w:val="NoSpacing"/>
              <w:rPr>
                <w:rFonts w:cs="Times New Roman"/>
                <w:sz w:val="20"/>
                <w:szCs w:val="20"/>
                <w:lang w:val="en-US"/>
              </w:rPr>
            </w:pPr>
            <w:r w:rsidRPr="008B6BC5">
              <w:rPr>
                <w:rFonts w:cs="Times New Roman"/>
                <w:sz w:val="20"/>
                <w:szCs w:val="20"/>
                <w:lang w:val="en-US"/>
              </w:rPr>
              <w:t xml:space="preserve">Effect sizes exceeded the range provided in this statement (SMDs &gt; 0.70). </w:t>
            </w:r>
          </w:p>
        </w:tc>
      </w:tr>
      <w:tr w:rsidR="00255788" w:rsidRPr="008B6BC5" w14:paraId="027AFAE6" w14:textId="77777777" w:rsidTr="00202DA2">
        <w:tc>
          <w:tcPr>
            <w:tcW w:w="1616" w:type="dxa"/>
          </w:tcPr>
          <w:p w14:paraId="59512A54" w14:textId="2BB10788" w:rsidR="00255788" w:rsidRPr="008B6BC5" w:rsidRDefault="000938FF" w:rsidP="009074B7">
            <w:pPr>
              <w:pStyle w:val="NoSpacing"/>
              <w:rPr>
                <w:rFonts w:cs="Times New Roman"/>
                <w:sz w:val="20"/>
                <w:szCs w:val="20"/>
                <w:lang w:val="en-US"/>
              </w:rPr>
            </w:pPr>
            <w:r w:rsidRPr="008B6BC5">
              <w:rPr>
                <w:rFonts w:cs="Times New Roman"/>
                <w:sz w:val="20"/>
                <w:szCs w:val="20"/>
                <w:lang w:val="en-US"/>
              </w:rPr>
              <w:t>2</w:t>
            </w:r>
          </w:p>
        </w:tc>
        <w:tc>
          <w:tcPr>
            <w:tcW w:w="5614" w:type="dxa"/>
          </w:tcPr>
          <w:p w14:paraId="401BA689" w14:textId="77777777" w:rsidR="0002765D" w:rsidRPr="008B6BC5" w:rsidRDefault="0002765D" w:rsidP="0002765D">
            <w:pPr>
              <w:pStyle w:val="NoSpacing"/>
              <w:rPr>
                <w:rFonts w:cs="Times New Roman"/>
                <w:sz w:val="20"/>
                <w:szCs w:val="20"/>
                <w:lang w:val="en-US"/>
              </w:rPr>
            </w:pPr>
            <w:r w:rsidRPr="008B6BC5">
              <w:rPr>
                <w:rFonts w:cs="Times New Roman"/>
                <w:sz w:val="20"/>
                <w:szCs w:val="20"/>
                <w:lang w:val="en-US"/>
              </w:rPr>
              <w:t>Zhong et al. conducted a meta-analysis of internet-based CBT for binge-spectrum eating disorders, reporting moderate reductions in binge-eating frequency and shape/weight concerns relative to control conditions, again with effects generally in the moderate range (Hedges’ g around 0.6 for binge outcomes) (Zhong et al., 2024).</w:t>
            </w:r>
          </w:p>
          <w:p w14:paraId="19D1C7DD" w14:textId="47FCF654" w:rsidR="00255788" w:rsidRPr="008B6BC5" w:rsidRDefault="00255788" w:rsidP="009074B7">
            <w:pPr>
              <w:pStyle w:val="NoSpacing"/>
              <w:rPr>
                <w:rFonts w:cs="Times New Roman"/>
                <w:sz w:val="20"/>
                <w:szCs w:val="20"/>
                <w:lang w:val="en-US"/>
              </w:rPr>
            </w:pPr>
          </w:p>
        </w:tc>
        <w:tc>
          <w:tcPr>
            <w:tcW w:w="4458" w:type="dxa"/>
          </w:tcPr>
          <w:p w14:paraId="1FED199E" w14:textId="5613555B" w:rsidR="00255788" w:rsidRPr="008B6BC5" w:rsidRDefault="003B210B" w:rsidP="009074B7">
            <w:pPr>
              <w:pStyle w:val="NoSpacing"/>
              <w:rPr>
                <w:rFonts w:cs="Times New Roman"/>
                <w:sz w:val="20"/>
                <w:szCs w:val="20"/>
                <w:lang w:val="en-US"/>
              </w:rPr>
            </w:pPr>
            <w:r w:rsidRPr="008B6BC5">
              <w:rPr>
                <w:rFonts w:cs="Times New Roman"/>
                <w:sz w:val="20"/>
                <w:szCs w:val="20"/>
                <w:lang w:val="en-US"/>
              </w:rPr>
              <w:t>https://doi.org/10.1016/j.jad.2024.06.084</w:t>
            </w:r>
          </w:p>
        </w:tc>
        <w:tc>
          <w:tcPr>
            <w:tcW w:w="690" w:type="dxa"/>
          </w:tcPr>
          <w:p w14:paraId="65FC7BF1" w14:textId="1F401809" w:rsidR="00255788" w:rsidRPr="008B6BC5" w:rsidRDefault="001C6A1F" w:rsidP="009074B7">
            <w:pPr>
              <w:pStyle w:val="NoSpacing"/>
              <w:rPr>
                <w:rFonts w:cs="Times New Roman"/>
                <w:sz w:val="20"/>
                <w:szCs w:val="20"/>
                <w:lang w:val="en-US"/>
              </w:rPr>
            </w:pPr>
            <w:r w:rsidRPr="008B6BC5">
              <w:rPr>
                <w:rFonts w:cs="Times New Roman"/>
                <w:sz w:val="20"/>
                <w:szCs w:val="20"/>
                <w:lang w:val="en-US"/>
              </w:rPr>
              <w:t>4</w:t>
            </w:r>
          </w:p>
        </w:tc>
        <w:tc>
          <w:tcPr>
            <w:tcW w:w="4066" w:type="dxa"/>
          </w:tcPr>
          <w:p w14:paraId="222BB993" w14:textId="63045A17" w:rsidR="00255788" w:rsidRPr="008B6BC5" w:rsidRDefault="001C6A1F" w:rsidP="009074B7">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255788" w:rsidRPr="008B6BC5" w14:paraId="5A0ECA2C" w14:textId="77777777" w:rsidTr="00202DA2">
        <w:tc>
          <w:tcPr>
            <w:tcW w:w="1616" w:type="dxa"/>
          </w:tcPr>
          <w:p w14:paraId="42F7E966" w14:textId="417AC50C" w:rsidR="00255788" w:rsidRPr="008B6BC5" w:rsidRDefault="000938FF" w:rsidP="009074B7">
            <w:pPr>
              <w:pStyle w:val="NoSpacing"/>
              <w:rPr>
                <w:rFonts w:cs="Times New Roman"/>
                <w:sz w:val="20"/>
                <w:szCs w:val="20"/>
                <w:lang w:val="en-US"/>
              </w:rPr>
            </w:pPr>
            <w:r w:rsidRPr="008B6BC5">
              <w:rPr>
                <w:rFonts w:cs="Times New Roman"/>
                <w:sz w:val="20"/>
                <w:szCs w:val="20"/>
                <w:lang w:val="en-US"/>
              </w:rPr>
              <w:t>3</w:t>
            </w:r>
          </w:p>
        </w:tc>
        <w:tc>
          <w:tcPr>
            <w:tcW w:w="5614" w:type="dxa"/>
          </w:tcPr>
          <w:p w14:paraId="7FD23FFD" w14:textId="77777777" w:rsidR="0002765D" w:rsidRPr="008B6BC5" w:rsidRDefault="0002765D" w:rsidP="0002765D">
            <w:pPr>
              <w:pStyle w:val="NoSpacing"/>
              <w:rPr>
                <w:rFonts w:cs="Times New Roman"/>
                <w:sz w:val="20"/>
                <w:szCs w:val="20"/>
                <w:lang w:val="en-US"/>
              </w:rPr>
            </w:pPr>
            <w:r w:rsidRPr="008B6BC5">
              <w:rPr>
                <w:rFonts w:cs="Times New Roman"/>
                <w:sz w:val="20"/>
                <w:szCs w:val="20"/>
                <w:lang w:val="en-US"/>
              </w:rPr>
              <w:t xml:space="preserve">Tuncer and Tuncer examined eHealth-based guided self-help specifically for BED and found small-to-moderate standardized mean differences in favor of digital guided self-help over waitlist or minimal-intervention controls for both binge-eating abstinence and global eating-disorder psychopathology (SMDs ~0.5) </w:t>
            </w:r>
          </w:p>
          <w:p w14:paraId="3BC1CF77" w14:textId="0B4D2992" w:rsidR="00255788" w:rsidRPr="008B6BC5" w:rsidRDefault="00255788" w:rsidP="009074B7">
            <w:pPr>
              <w:pStyle w:val="NoSpacing"/>
              <w:rPr>
                <w:rFonts w:cs="Times New Roman"/>
                <w:sz w:val="20"/>
                <w:szCs w:val="20"/>
                <w:lang w:val="en-US"/>
              </w:rPr>
            </w:pPr>
          </w:p>
        </w:tc>
        <w:tc>
          <w:tcPr>
            <w:tcW w:w="4458" w:type="dxa"/>
          </w:tcPr>
          <w:p w14:paraId="1540D7CF" w14:textId="2660C704" w:rsidR="00255788" w:rsidRPr="008B6BC5" w:rsidRDefault="003B210B" w:rsidP="009074B7">
            <w:pPr>
              <w:pStyle w:val="NoSpacing"/>
              <w:rPr>
                <w:rFonts w:cs="Times New Roman"/>
                <w:sz w:val="20"/>
                <w:szCs w:val="20"/>
                <w:lang w:val="en-US"/>
              </w:rPr>
            </w:pPr>
            <w:hyperlink r:id="rId27" w:history="1">
              <w:r w:rsidRPr="008B6BC5">
                <w:rPr>
                  <w:rStyle w:val="Hyperlink"/>
                  <w:rFonts w:cs="Times New Roman"/>
                  <w:sz w:val="20"/>
                  <w:szCs w:val="20"/>
                  <w:lang w:val="en-US"/>
                </w:rPr>
                <w:t>https://doi.org/10.1080/10640266.2025.2498247</w:t>
              </w:r>
            </w:hyperlink>
            <w:r w:rsidRPr="008B6BC5">
              <w:rPr>
                <w:rFonts w:cs="Times New Roman"/>
                <w:sz w:val="20"/>
                <w:szCs w:val="20"/>
                <w:lang w:val="en-US"/>
              </w:rPr>
              <w:t xml:space="preserve"> </w:t>
            </w:r>
          </w:p>
        </w:tc>
        <w:tc>
          <w:tcPr>
            <w:tcW w:w="690" w:type="dxa"/>
          </w:tcPr>
          <w:p w14:paraId="73A3CFED" w14:textId="237B84B5" w:rsidR="00255788" w:rsidRPr="008B6BC5" w:rsidRDefault="00E5015B" w:rsidP="009074B7">
            <w:pPr>
              <w:pStyle w:val="NoSpacing"/>
              <w:rPr>
                <w:rFonts w:cs="Times New Roman"/>
                <w:sz w:val="20"/>
                <w:szCs w:val="20"/>
                <w:lang w:val="en-US"/>
              </w:rPr>
            </w:pPr>
            <w:r w:rsidRPr="008B6BC5">
              <w:rPr>
                <w:rFonts w:cs="Times New Roman"/>
                <w:sz w:val="20"/>
                <w:szCs w:val="20"/>
                <w:lang w:val="en-US"/>
              </w:rPr>
              <w:t>1</w:t>
            </w:r>
          </w:p>
        </w:tc>
        <w:tc>
          <w:tcPr>
            <w:tcW w:w="4066" w:type="dxa"/>
          </w:tcPr>
          <w:p w14:paraId="6E6CABFC" w14:textId="64348812" w:rsidR="00255788" w:rsidRPr="008B6BC5" w:rsidRDefault="00E5015B" w:rsidP="009074B7">
            <w:pPr>
              <w:pStyle w:val="NoSpacing"/>
              <w:rPr>
                <w:rFonts w:cs="Times New Roman"/>
                <w:sz w:val="20"/>
                <w:szCs w:val="20"/>
                <w:lang w:val="en-US"/>
              </w:rPr>
            </w:pPr>
            <w:r w:rsidRPr="008B6BC5">
              <w:rPr>
                <w:rFonts w:cs="Times New Roman"/>
                <w:sz w:val="20"/>
                <w:szCs w:val="20"/>
                <w:lang w:val="en-US"/>
              </w:rPr>
              <w:t>Binge eating abstinence was not an outcome in this meta-analysis</w:t>
            </w:r>
            <w:r w:rsidR="00513334" w:rsidRPr="008B6BC5">
              <w:rPr>
                <w:rFonts w:cs="Times New Roman"/>
                <w:sz w:val="20"/>
                <w:szCs w:val="20"/>
                <w:lang w:val="en-US"/>
              </w:rPr>
              <w:t xml:space="preserve">. </w:t>
            </w:r>
          </w:p>
        </w:tc>
      </w:tr>
      <w:tr w:rsidR="00513334" w:rsidRPr="008B6BC5" w14:paraId="73133D3D" w14:textId="77777777" w:rsidTr="00202DA2">
        <w:tc>
          <w:tcPr>
            <w:tcW w:w="1616" w:type="dxa"/>
          </w:tcPr>
          <w:p w14:paraId="046EDBEB" w14:textId="1DE632A1" w:rsidR="00513334" w:rsidRPr="008B6BC5" w:rsidRDefault="000938FF" w:rsidP="00513334">
            <w:pPr>
              <w:pStyle w:val="NoSpacing"/>
              <w:rPr>
                <w:rFonts w:cs="Times New Roman"/>
                <w:sz w:val="20"/>
                <w:szCs w:val="20"/>
                <w:lang w:val="en-US"/>
              </w:rPr>
            </w:pPr>
            <w:r w:rsidRPr="008B6BC5">
              <w:rPr>
                <w:rFonts w:cs="Times New Roman"/>
                <w:sz w:val="20"/>
                <w:szCs w:val="20"/>
                <w:lang w:val="en-US"/>
              </w:rPr>
              <w:t>4</w:t>
            </w:r>
          </w:p>
        </w:tc>
        <w:tc>
          <w:tcPr>
            <w:tcW w:w="5614" w:type="dxa"/>
          </w:tcPr>
          <w:p w14:paraId="57FD7FB5" w14:textId="77777777" w:rsidR="00513334" w:rsidRPr="008B6BC5" w:rsidRDefault="00513334" w:rsidP="00513334">
            <w:pPr>
              <w:pStyle w:val="NoSpacing"/>
              <w:rPr>
                <w:rFonts w:cs="Times New Roman"/>
                <w:sz w:val="20"/>
                <w:szCs w:val="20"/>
                <w:lang w:val="en-US"/>
              </w:rPr>
            </w:pPr>
            <w:r w:rsidRPr="008B6BC5">
              <w:rPr>
                <w:rFonts w:cs="Times New Roman"/>
                <w:sz w:val="20"/>
                <w:szCs w:val="20"/>
                <w:lang w:val="en-US"/>
              </w:rPr>
              <w:t xml:space="preserve">Cruz et al. similarly meta-analyzed smartphone app interventions for eating disorders and observed modest but significant improvements in binge-eating–related outcomes,  </w:t>
            </w:r>
          </w:p>
          <w:p w14:paraId="2BF7895C" w14:textId="06A22D35" w:rsidR="00513334" w:rsidRPr="008B6BC5" w:rsidRDefault="00513334" w:rsidP="00513334">
            <w:pPr>
              <w:pStyle w:val="NoSpacing"/>
              <w:rPr>
                <w:rFonts w:cs="Times New Roman"/>
                <w:sz w:val="20"/>
                <w:szCs w:val="20"/>
                <w:lang w:val="en-US"/>
              </w:rPr>
            </w:pPr>
          </w:p>
        </w:tc>
        <w:tc>
          <w:tcPr>
            <w:tcW w:w="4458" w:type="dxa"/>
          </w:tcPr>
          <w:p w14:paraId="525D50BC" w14:textId="0D3C0582" w:rsidR="00513334" w:rsidRPr="008B6BC5" w:rsidRDefault="00513334" w:rsidP="00513334">
            <w:pPr>
              <w:pStyle w:val="NoSpacing"/>
              <w:rPr>
                <w:rFonts w:cs="Times New Roman"/>
                <w:sz w:val="20"/>
                <w:szCs w:val="20"/>
                <w:lang w:val="en-US"/>
              </w:rPr>
            </w:pPr>
            <w:r w:rsidRPr="008B6BC5">
              <w:rPr>
                <w:rFonts w:cs="Times New Roman"/>
                <w:sz w:val="20"/>
                <w:szCs w:val="20"/>
                <w:lang w:val="en-US"/>
              </w:rPr>
              <w:t>https://doi.org/10.1002/eat.24488</w:t>
            </w:r>
          </w:p>
        </w:tc>
        <w:tc>
          <w:tcPr>
            <w:tcW w:w="690" w:type="dxa"/>
          </w:tcPr>
          <w:p w14:paraId="60EF0C9E" w14:textId="188A1D62" w:rsidR="00513334" w:rsidRPr="008B6BC5" w:rsidRDefault="00513334" w:rsidP="00513334">
            <w:pPr>
              <w:pStyle w:val="NoSpacing"/>
              <w:rPr>
                <w:rFonts w:cs="Times New Roman"/>
                <w:sz w:val="20"/>
                <w:szCs w:val="20"/>
                <w:lang w:val="en-US"/>
              </w:rPr>
            </w:pPr>
            <w:r w:rsidRPr="008B6BC5">
              <w:rPr>
                <w:rFonts w:cs="Times New Roman"/>
                <w:sz w:val="20"/>
                <w:szCs w:val="20"/>
                <w:lang w:val="en-US"/>
              </w:rPr>
              <w:t>4</w:t>
            </w:r>
          </w:p>
        </w:tc>
        <w:tc>
          <w:tcPr>
            <w:tcW w:w="4066" w:type="dxa"/>
          </w:tcPr>
          <w:p w14:paraId="4DC3FED0" w14:textId="0595EA95" w:rsidR="00513334" w:rsidRPr="008B6BC5" w:rsidRDefault="00513334" w:rsidP="00513334">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13334" w:rsidRPr="008B6BC5" w14:paraId="7ECB0F7A" w14:textId="77777777" w:rsidTr="00202DA2">
        <w:tc>
          <w:tcPr>
            <w:tcW w:w="1616" w:type="dxa"/>
          </w:tcPr>
          <w:p w14:paraId="44213888" w14:textId="23311917" w:rsidR="00513334" w:rsidRPr="008B6BC5" w:rsidRDefault="000938FF" w:rsidP="00513334">
            <w:pPr>
              <w:pStyle w:val="NoSpacing"/>
              <w:rPr>
                <w:rFonts w:cs="Times New Roman"/>
                <w:sz w:val="20"/>
                <w:szCs w:val="20"/>
                <w:lang w:val="en-US"/>
              </w:rPr>
            </w:pPr>
            <w:r w:rsidRPr="008B6BC5">
              <w:rPr>
                <w:rFonts w:cs="Times New Roman"/>
                <w:sz w:val="20"/>
                <w:szCs w:val="20"/>
                <w:lang w:val="en-US"/>
              </w:rPr>
              <w:t>5</w:t>
            </w:r>
          </w:p>
        </w:tc>
        <w:tc>
          <w:tcPr>
            <w:tcW w:w="5614" w:type="dxa"/>
          </w:tcPr>
          <w:p w14:paraId="46F14A2A" w14:textId="77777777" w:rsidR="00513334" w:rsidRPr="008B6BC5" w:rsidRDefault="00513334" w:rsidP="00513334">
            <w:pPr>
              <w:pStyle w:val="NoSpacing"/>
              <w:rPr>
                <w:rFonts w:cs="Times New Roman"/>
                <w:sz w:val="20"/>
                <w:szCs w:val="20"/>
                <w:lang w:val="en-US"/>
              </w:rPr>
            </w:pPr>
            <w:r w:rsidRPr="008B6BC5">
              <w:rPr>
                <w:rFonts w:cs="Times New Roman"/>
                <w:sz w:val="20"/>
                <w:szCs w:val="20"/>
                <w:lang w:val="en-US"/>
              </w:rPr>
              <w:t xml:space="preserve">Pruessner et al. tested a fully self-guided, web-based CBT program for adults with DSM-5 BED (N≈250) against a waitlist control over 12 weeks. The intervention produced large reductions in objective </w:t>
            </w:r>
            <w:r w:rsidRPr="008B6BC5">
              <w:rPr>
                <w:rFonts w:cs="Times New Roman"/>
                <w:sz w:val="20"/>
                <w:szCs w:val="20"/>
                <w:lang w:val="en-US"/>
              </w:rPr>
              <w:lastRenderedPageBreak/>
              <w:t xml:space="preserve">binge-eating episodes (Cohen’s d around 0.8 relative to control) and substantially higher rates of binge-eating remission (approximately one-third of participants vs. single-digit percentages in waitlist) (Pruessner et al., 2024). </w:t>
            </w:r>
          </w:p>
          <w:p w14:paraId="49829E7C" w14:textId="04722D6A" w:rsidR="00513334" w:rsidRPr="008B6BC5" w:rsidRDefault="00513334" w:rsidP="00513334">
            <w:pPr>
              <w:pStyle w:val="NoSpacing"/>
              <w:rPr>
                <w:rFonts w:cs="Times New Roman"/>
                <w:sz w:val="20"/>
                <w:szCs w:val="20"/>
                <w:lang w:val="en-US"/>
              </w:rPr>
            </w:pPr>
          </w:p>
        </w:tc>
        <w:tc>
          <w:tcPr>
            <w:tcW w:w="4458" w:type="dxa"/>
          </w:tcPr>
          <w:p w14:paraId="3306D629" w14:textId="1148C082" w:rsidR="00513334" w:rsidRPr="008B6BC5" w:rsidRDefault="00513334" w:rsidP="00513334">
            <w:pPr>
              <w:pStyle w:val="NoSpacing"/>
              <w:rPr>
                <w:rFonts w:cs="Times New Roman"/>
                <w:sz w:val="20"/>
                <w:szCs w:val="20"/>
                <w:lang w:val="en-US"/>
              </w:rPr>
            </w:pPr>
            <w:r w:rsidRPr="008B6BC5">
              <w:rPr>
                <w:rFonts w:cs="Times New Roman"/>
                <w:sz w:val="20"/>
                <w:szCs w:val="20"/>
                <w:lang w:val="en-US"/>
              </w:rPr>
              <w:lastRenderedPageBreak/>
              <w:t>doi:10.1001/jamanetworkopen.2024.11127</w:t>
            </w:r>
          </w:p>
        </w:tc>
        <w:tc>
          <w:tcPr>
            <w:tcW w:w="690" w:type="dxa"/>
          </w:tcPr>
          <w:p w14:paraId="2852B7F1" w14:textId="04872826" w:rsidR="00513334" w:rsidRPr="008B6BC5" w:rsidRDefault="00907CF8" w:rsidP="00513334">
            <w:pPr>
              <w:pStyle w:val="NoSpacing"/>
              <w:rPr>
                <w:rFonts w:cs="Times New Roman"/>
                <w:sz w:val="20"/>
                <w:szCs w:val="20"/>
                <w:lang w:val="en-US"/>
              </w:rPr>
            </w:pPr>
            <w:r w:rsidRPr="008B6BC5">
              <w:rPr>
                <w:rFonts w:cs="Times New Roman"/>
                <w:sz w:val="20"/>
                <w:szCs w:val="20"/>
                <w:lang w:val="en-US"/>
              </w:rPr>
              <w:t>1</w:t>
            </w:r>
          </w:p>
        </w:tc>
        <w:tc>
          <w:tcPr>
            <w:tcW w:w="4066" w:type="dxa"/>
          </w:tcPr>
          <w:p w14:paraId="08675240" w14:textId="06B15761" w:rsidR="00513334" w:rsidRPr="008B6BC5" w:rsidRDefault="00907CF8" w:rsidP="00513334">
            <w:pPr>
              <w:pStyle w:val="NoSpacing"/>
              <w:rPr>
                <w:rFonts w:cs="Times New Roman"/>
                <w:sz w:val="20"/>
                <w:szCs w:val="20"/>
                <w:lang w:val="en-US"/>
              </w:rPr>
            </w:pPr>
            <w:r w:rsidRPr="008B6BC5">
              <w:rPr>
                <w:rFonts w:cs="Times New Roman"/>
                <w:sz w:val="20"/>
                <w:szCs w:val="20"/>
                <w:lang w:val="en-US"/>
              </w:rPr>
              <w:t xml:space="preserve">Remission was not an outcome in this </w:t>
            </w:r>
            <w:r w:rsidR="00C64132" w:rsidRPr="008B6BC5">
              <w:rPr>
                <w:rFonts w:cs="Times New Roman"/>
                <w:sz w:val="20"/>
                <w:szCs w:val="20"/>
                <w:lang w:val="en-US"/>
              </w:rPr>
              <w:t>trial,</w:t>
            </w:r>
            <w:r w:rsidRPr="008B6BC5">
              <w:rPr>
                <w:rFonts w:cs="Times New Roman"/>
                <w:sz w:val="20"/>
                <w:szCs w:val="20"/>
                <w:lang w:val="en-US"/>
              </w:rPr>
              <w:t xml:space="preserve"> and the reported rates </w:t>
            </w:r>
            <w:r w:rsidR="00ED6D55" w:rsidRPr="008B6BC5">
              <w:rPr>
                <w:rFonts w:cs="Times New Roman"/>
                <w:sz w:val="20"/>
                <w:szCs w:val="20"/>
                <w:lang w:val="en-US"/>
              </w:rPr>
              <w:t xml:space="preserve">(one third vs single digit) </w:t>
            </w:r>
            <w:r w:rsidR="00C64132" w:rsidRPr="008B6BC5">
              <w:rPr>
                <w:rFonts w:cs="Times New Roman"/>
                <w:sz w:val="20"/>
                <w:szCs w:val="20"/>
                <w:lang w:val="en-US"/>
              </w:rPr>
              <w:t xml:space="preserve">are fabricated. </w:t>
            </w:r>
          </w:p>
        </w:tc>
      </w:tr>
      <w:tr w:rsidR="00C64132" w:rsidRPr="008B6BC5" w14:paraId="6374A399" w14:textId="77777777" w:rsidTr="00202DA2">
        <w:tc>
          <w:tcPr>
            <w:tcW w:w="1616" w:type="dxa"/>
          </w:tcPr>
          <w:p w14:paraId="4F1DBE4B" w14:textId="2D9C4F96" w:rsidR="00C64132" w:rsidRPr="008B6BC5" w:rsidRDefault="000938FF" w:rsidP="00C64132">
            <w:pPr>
              <w:pStyle w:val="NoSpacing"/>
              <w:rPr>
                <w:rFonts w:cs="Times New Roman"/>
                <w:sz w:val="20"/>
                <w:szCs w:val="20"/>
                <w:lang w:val="en-US"/>
              </w:rPr>
            </w:pPr>
            <w:r w:rsidRPr="008B6BC5">
              <w:rPr>
                <w:rFonts w:cs="Times New Roman"/>
                <w:sz w:val="20"/>
                <w:szCs w:val="20"/>
                <w:lang w:val="en-US"/>
              </w:rPr>
              <w:t>6</w:t>
            </w:r>
          </w:p>
        </w:tc>
        <w:tc>
          <w:tcPr>
            <w:tcW w:w="5614" w:type="dxa"/>
          </w:tcPr>
          <w:p w14:paraId="431A3091" w14:textId="231DBFEA" w:rsidR="00C64132" w:rsidRPr="008B6BC5" w:rsidRDefault="00C64132" w:rsidP="00C64132">
            <w:pPr>
              <w:pStyle w:val="NoSpacing"/>
              <w:rPr>
                <w:rFonts w:cs="Times New Roman"/>
                <w:sz w:val="20"/>
                <w:szCs w:val="20"/>
                <w:lang w:val="en-US"/>
              </w:rPr>
            </w:pPr>
            <w:r w:rsidRPr="008B6BC5">
              <w:rPr>
                <w:rFonts w:cs="Times New Roman"/>
                <w:sz w:val="20"/>
                <w:szCs w:val="20"/>
                <w:lang w:val="en-US"/>
              </w:rPr>
              <w:t>Melisse et al. evaluated a 12-week web-based guided self-help version of CBT-E in adults with BED or OSFED-BED, randomizing participants to immediate treatment versus delayed-treatment control (Melisse et al., 2023). The guided digital intervention yielded large effects on binge-eating frequency and global psychopathology (Cohen’s d around 1.0 at post-treatment) and much higher abstinence rates than control</w:t>
            </w:r>
          </w:p>
        </w:tc>
        <w:tc>
          <w:tcPr>
            <w:tcW w:w="4458" w:type="dxa"/>
          </w:tcPr>
          <w:p w14:paraId="5EC6050A" w14:textId="139021B6" w:rsidR="00C64132" w:rsidRPr="008B6BC5" w:rsidRDefault="00C64132" w:rsidP="00C64132">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10.2196/40472</w:t>
            </w:r>
          </w:p>
        </w:tc>
        <w:tc>
          <w:tcPr>
            <w:tcW w:w="690" w:type="dxa"/>
          </w:tcPr>
          <w:p w14:paraId="6DBC2CB8" w14:textId="2D568503" w:rsidR="00C64132" w:rsidRPr="008B6BC5" w:rsidRDefault="00C64132" w:rsidP="00C64132">
            <w:pPr>
              <w:pStyle w:val="NoSpacing"/>
              <w:rPr>
                <w:rFonts w:cs="Times New Roman"/>
                <w:sz w:val="20"/>
                <w:szCs w:val="20"/>
                <w:lang w:val="en-US"/>
              </w:rPr>
            </w:pPr>
            <w:r w:rsidRPr="008B6BC5">
              <w:rPr>
                <w:rFonts w:cs="Times New Roman"/>
                <w:sz w:val="20"/>
                <w:szCs w:val="20"/>
                <w:lang w:val="en-US"/>
              </w:rPr>
              <w:t>4</w:t>
            </w:r>
          </w:p>
        </w:tc>
        <w:tc>
          <w:tcPr>
            <w:tcW w:w="4066" w:type="dxa"/>
          </w:tcPr>
          <w:p w14:paraId="670C71BF" w14:textId="6B3999BB" w:rsidR="00C64132" w:rsidRPr="008B6BC5" w:rsidRDefault="00C64132" w:rsidP="00C64132">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64132" w:rsidRPr="008B6BC5" w14:paraId="7B2B8074" w14:textId="77777777" w:rsidTr="00202DA2">
        <w:tc>
          <w:tcPr>
            <w:tcW w:w="1616" w:type="dxa"/>
          </w:tcPr>
          <w:p w14:paraId="0CB4FE0D" w14:textId="60A60B3A" w:rsidR="00C64132" w:rsidRPr="008B6BC5" w:rsidRDefault="000938FF" w:rsidP="00C64132">
            <w:pPr>
              <w:pStyle w:val="NoSpacing"/>
              <w:rPr>
                <w:rFonts w:cs="Times New Roman"/>
                <w:sz w:val="20"/>
                <w:szCs w:val="20"/>
                <w:lang w:val="en-US"/>
              </w:rPr>
            </w:pPr>
            <w:r w:rsidRPr="008B6BC5">
              <w:rPr>
                <w:rFonts w:cs="Times New Roman"/>
                <w:sz w:val="20"/>
                <w:szCs w:val="20"/>
                <w:lang w:val="en-US"/>
              </w:rPr>
              <w:t>7</w:t>
            </w:r>
          </w:p>
        </w:tc>
        <w:tc>
          <w:tcPr>
            <w:tcW w:w="5614" w:type="dxa"/>
          </w:tcPr>
          <w:p w14:paraId="023118DA" w14:textId="77777777" w:rsidR="00C64132" w:rsidRPr="008B6BC5" w:rsidRDefault="00C64132" w:rsidP="00C64132">
            <w:pPr>
              <w:pStyle w:val="NoSpacing"/>
              <w:rPr>
                <w:rFonts w:cs="Times New Roman"/>
                <w:sz w:val="20"/>
                <w:szCs w:val="20"/>
                <w:lang w:val="en-US"/>
              </w:rPr>
            </w:pPr>
            <w:r w:rsidRPr="008B6BC5">
              <w:rPr>
                <w:rFonts w:cs="Times New Roman"/>
                <w:sz w:val="20"/>
                <w:szCs w:val="20"/>
                <w:lang w:val="en-US"/>
              </w:rPr>
              <w:t xml:space="preserve">Earlier work by </w:t>
            </w:r>
            <w:proofErr w:type="spellStart"/>
            <w:r w:rsidRPr="008B6BC5">
              <w:rPr>
                <w:rFonts w:cs="Times New Roman"/>
                <w:sz w:val="20"/>
                <w:szCs w:val="20"/>
                <w:lang w:val="en-US"/>
              </w:rPr>
              <w:t>Carrard</w:t>
            </w:r>
            <w:proofErr w:type="spellEnd"/>
            <w:r w:rsidRPr="008B6BC5">
              <w:rPr>
                <w:rFonts w:cs="Times New Roman"/>
                <w:sz w:val="20"/>
                <w:szCs w:val="20"/>
                <w:lang w:val="en-US"/>
              </w:rPr>
              <w:t xml:space="preserve"> et al. demonstrated that internet-based guided self-help in overweight adults with BED significantly reduced binge-eating and associated distress compared with a waitlist control, with medium-to-large effect sizes sustained at follow-up (</w:t>
            </w:r>
            <w:proofErr w:type="spellStart"/>
            <w:r w:rsidRPr="008B6BC5">
              <w:rPr>
                <w:rFonts w:cs="Times New Roman"/>
                <w:sz w:val="20"/>
                <w:szCs w:val="20"/>
                <w:lang w:val="en-US"/>
              </w:rPr>
              <w:t>Carrard</w:t>
            </w:r>
            <w:proofErr w:type="spellEnd"/>
            <w:r w:rsidRPr="008B6BC5">
              <w:rPr>
                <w:rFonts w:cs="Times New Roman"/>
                <w:sz w:val="20"/>
                <w:szCs w:val="20"/>
                <w:lang w:val="en-US"/>
              </w:rPr>
              <w:t xml:space="preserve"> et al., 2011). </w:t>
            </w:r>
          </w:p>
          <w:p w14:paraId="1682E78E" w14:textId="56664F63" w:rsidR="00C64132" w:rsidRPr="008B6BC5" w:rsidRDefault="00C64132" w:rsidP="00C64132">
            <w:pPr>
              <w:pStyle w:val="NoSpacing"/>
              <w:rPr>
                <w:rFonts w:cs="Times New Roman"/>
                <w:sz w:val="20"/>
                <w:szCs w:val="20"/>
                <w:lang w:val="en-US"/>
              </w:rPr>
            </w:pPr>
          </w:p>
        </w:tc>
        <w:tc>
          <w:tcPr>
            <w:tcW w:w="4458" w:type="dxa"/>
          </w:tcPr>
          <w:p w14:paraId="36F9FA38" w14:textId="282AFF60" w:rsidR="00C64132" w:rsidRPr="008B6BC5" w:rsidRDefault="00C64132" w:rsidP="00C64132">
            <w:pPr>
              <w:pStyle w:val="NoSpacing"/>
              <w:rPr>
                <w:rFonts w:cs="Times New Roman"/>
                <w:sz w:val="20"/>
                <w:szCs w:val="20"/>
                <w:lang w:val="en-US"/>
              </w:rPr>
            </w:pPr>
            <w:r w:rsidRPr="008B6BC5">
              <w:rPr>
                <w:rFonts w:cs="Times New Roman"/>
                <w:sz w:val="20"/>
                <w:szCs w:val="20"/>
                <w:lang w:val="en-US"/>
              </w:rPr>
              <w:t xml:space="preserve">doi:10.1016/j.brat.2011.05.004 </w:t>
            </w:r>
          </w:p>
        </w:tc>
        <w:tc>
          <w:tcPr>
            <w:tcW w:w="690" w:type="dxa"/>
          </w:tcPr>
          <w:p w14:paraId="2F0102B2" w14:textId="4E55113A" w:rsidR="00C64132" w:rsidRPr="008B6BC5" w:rsidRDefault="00E5015B" w:rsidP="00C64132">
            <w:pPr>
              <w:pStyle w:val="NoSpacing"/>
              <w:rPr>
                <w:rFonts w:cs="Times New Roman"/>
                <w:sz w:val="20"/>
                <w:szCs w:val="20"/>
                <w:lang w:val="en-US"/>
              </w:rPr>
            </w:pPr>
            <w:r w:rsidRPr="008B6BC5">
              <w:rPr>
                <w:rFonts w:cs="Times New Roman"/>
                <w:sz w:val="20"/>
                <w:szCs w:val="20"/>
                <w:lang w:val="en-US"/>
              </w:rPr>
              <w:t>2</w:t>
            </w:r>
          </w:p>
        </w:tc>
        <w:tc>
          <w:tcPr>
            <w:tcW w:w="4066" w:type="dxa"/>
          </w:tcPr>
          <w:p w14:paraId="54D14406" w14:textId="1CEBEF55" w:rsidR="00C64132" w:rsidRPr="008B6BC5" w:rsidRDefault="006838A3" w:rsidP="00C64132">
            <w:pPr>
              <w:pStyle w:val="NoSpacing"/>
              <w:rPr>
                <w:rFonts w:cs="Times New Roman"/>
                <w:sz w:val="20"/>
                <w:szCs w:val="20"/>
                <w:lang w:val="en-US"/>
              </w:rPr>
            </w:pPr>
            <w:r w:rsidRPr="008B6BC5">
              <w:rPr>
                <w:rFonts w:cs="Times New Roman"/>
                <w:sz w:val="20"/>
                <w:szCs w:val="20"/>
                <w:lang w:val="en-US"/>
              </w:rPr>
              <w:t xml:space="preserve">The measures of distress this statement is seemingly referring to </w:t>
            </w:r>
            <w:r w:rsidR="007D51C9" w:rsidRPr="008B6BC5">
              <w:rPr>
                <w:rFonts w:cs="Times New Roman"/>
                <w:sz w:val="20"/>
                <w:szCs w:val="20"/>
                <w:lang w:val="en-US"/>
              </w:rPr>
              <w:t xml:space="preserve">(measures of general psychopathology) </w:t>
            </w:r>
            <w:r w:rsidRPr="008B6BC5">
              <w:rPr>
                <w:rFonts w:cs="Times New Roman"/>
                <w:sz w:val="20"/>
                <w:szCs w:val="20"/>
                <w:lang w:val="en-US"/>
              </w:rPr>
              <w:t xml:space="preserve">were </w:t>
            </w:r>
            <w:r w:rsidR="007D51C9" w:rsidRPr="008B6BC5">
              <w:rPr>
                <w:rFonts w:cs="Times New Roman"/>
                <w:sz w:val="20"/>
                <w:szCs w:val="20"/>
                <w:lang w:val="en-US"/>
              </w:rPr>
              <w:t>not statistically significant in between-group analyses.</w:t>
            </w:r>
          </w:p>
        </w:tc>
      </w:tr>
      <w:tr w:rsidR="007D51C9" w:rsidRPr="008B6BC5" w14:paraId="13630660" w14:textId="77777777" w:rsidTr="00202DA2">
        <w:tc>
          <w:tcPr>
            <w:tcW w:w="1616" w:type="dxa"/>
          </w:tcPr>
          <w:p w14:paraId="4EEBE005" w14:textId="5D0992D3" w:rsidR="007D51C9" w:rsidRPr="008B6BC5" w:rsidRDefault="000938FF" w:rsidP="007D51C9">
            <w:pPr>
              <w:pStyle w:val="NoSpacing"/>
              <w:rPr>
                <w:rFonts w:cs="Times New Roman"/>
                <w:sz w:val="20"/>
                <w:szCs w:val="20"/>
                <w:lang w:val="en-US"/>
              </w:rPr>
            </w:pPr>
            <w:r w:rsidRPr="008B6BC5">
              <w:rPr>
                <w:rFonts w:cs="Times New Roman"/>
                <w:sz w:val="20"/>
                <w:szCs w:val="20"/>
                <w:lang w:val="en-US"/>
              </w:rPr>
              <w:t>8</w:t>
            </w:r>
          </w:p>
        </w:tc>
        <w:tc>
          <w:tcPr>
            <w:tcW w:w="5614" w:type="dxa"/>
          </w:tcPr>
          <w:p w14:paraId="3A278E05" w14:textId="30E179C2" w:rsidR="007D51C9" w:rsidRPr="008B6BC5" w:rsidRDefault="007D51C9" w:rsidP="007D51C9">
            <w:pPr>
              <w:pStyle w:val="NoSpacing"/>
              <w:rPr>
                <w:rFonts w:cs="Times New Roman"/>
                <w:sz w:val="20"/>
                <w:szCs w:val="20"/>
                <w:lang w:val="en-US"/>
              </w:rPr>
            </w:pPr>
            <w:r w:rsidRPr="008B6BC5">
              <w:rPr>
                <w:rFonts w:cs="Times New Roman"/>
                <w:sz w:val="20"/>
                <w:szCs w:val="20"/>
                <w:lang w:val="en-US"/>
              </w:rPr>
              <w:t>Hildebrandt et al. tested coach-delivered CBT-guided self-help plus the Noom Monitor smartphone app versus standard care (largely no specific BED treatment) in a large integrated health-care system sample of adults with DSM-5 BED or bulimia nervosa (N=225) (Hildebrandt et al., 2020). At 52 weeks, the smartphone-assisted telemedicine  condition showed marked reductions in binge-eating days (Cohen’s d≈-1.46), higher remission rates (56.7% vs. 30.0%; NNT≈3.7), and improved clinical impairment relative to standard care.</w:t>
            </w:r>
          </w:p>
          <w:p w14:paraId="49FDFFA6" w14:textId="61DDD35B" w:rsidR="007D51C9" w:rsidRPr="008B6BC5" w:rsidRDefault="007D51C9" w:rsidP="007D51C9">
            <w:pPr>
              <w:pStyle w:val="NoSpacing"/>
              <w:rPr>
                <w:rFonts w:cs="Times New Roman"/>
                <w:sz w:val="20"/>
                <w:szCs w:val="20"/>
                <w:lang w:val="en-US"/>
              </w:rPr>
            </w:pPr>
          </w:p>
        </w:tc>
        <w:tc>
          <w:tcPr>
            <w:tcW w:w="4458" w:type="dxa"/>
          </w:tcPr>
          <w:p w14:paraId="3045695C" w14:textId="2897B39F" w:rsidR="007D51C9" w:rsidRPr="008B6BC5" w:rsidRDefault="007D51C9" w:rsidP="007D51C9">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10.1176/appi.ajp.2019.19020184 </w:t>
            </w:r>
          </w:p>
        </w:tc>
        <w:tc>
          <w:tcPr>
            <w:tcW w:w="690" w:type="dxa"/>
          </w:tcPr>
          <w:p w14:paraId="71E7B108" w14:textId="7F2226ED" w:rsidR="007D51C9" w:rsidRPr="008B6BC5" w:rsidRDefault="007D51C9" w:rsidP="007D51C9">
            <w:pPr>
              <w:pStyle w:val="NoSpacing"/>
              <w:rPr>
                <w:rFonts w:cs="Times New Roman"/>
                <w:sz w:val="20"/>
                <w:szCs w:val="20"/>
                <w:lang w:val="en-US"/>
              </w:rPr>
            </w:pPr>
            <w:r w:rsidRPr="008B6BC5">
              <w:rPr>
                <w:rFonts w:cs="Times New Roman"/>
                <w:sz w:val="20"/>
                <w:szCs w:val="20"/>
                <w:lang w:val="en-US"/>
              </w:rPr>
              <w:t>4</w:t>
            </w:r>
          </w:p>
        </w:tc>
        <w:tc>
          <w:tcPr>
            <w:tcW w:w="4066" w:type="dxa"/>
          </w:tcPr>
          <w:p w14:paraId="607F6C1A" w14:textId="5C3C6122" w:rsidR="007D51C9" w:rsidRPr="008B6BC5" w:rsidRDefault="007D51C9" w:rsidP="007D51C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7D51C9" w:rsidRPr="008B6BC5" w14:paraId="5D97D91B" w14:textId="77777777" w:rsidTr="00202DA2">
        <w:tc>
          <w:tcPr>
            <w:tcW w:w="1616" w:type="dxa"/>
          </w:tcPr>
          <w:p w14:paraId="58F85E0D" w14:textId="535291ED" w:rsidR="007D51C9" w:rsidRPr="008B6BC5" w:rsidRDefault="000938FF" w:rsidP="007D51C9">
            <w:pPr>
              <w:pStyle w:val="NoSpacing"/>
              <w:rPr>
                <w:rFonts w:cs="Times New Roman"/>
                <w:sz w:val="20"/>
                <w:szCs w:val="20"/>
                <w:lang w:val="en-US"/>
              </w:rPr>
            </w:pPr>
            <w:r w:rsidRPr="008B6BC5">
              <w:rPr>
                <w:rFonts w:cs="Times New Roman"/>
                <w:sz w:val="20"/>
                <w:szCs w:val="20"/>
                <w:lang w:val="en-US"/>
              </w:rPr>
              <w:t>9</w:t>
            </w:r>
          </w:p>
        </w:tc>
        <w:tc>
          <w:tcPr>
            <w:tcW w:w="5614" w:type="dxa"/>
          </w:tcPr>
          <w:p w14:paraId="7899D9DE" w14:textId="77777777" w:rsidR="007D51C9" w:rsidRPr="008B6BC5" w:rsidRDefault="007D51C9" w:rsidP="007D51C9">
            <w:pPr>
              <w:pStyle w:val="NoSpacing"/>
              <w:rPr>
                <w:rFonts w:cs="Times New Roman"/>
                <w:sz w:val="20"/>
                <w:szCs w:val="20"/>
                <w:lang w:val="en-US"/>
              </w:rPr>
            </w:pPr>
            <w:r w:rsidRPr="008B6BC5">
              <w:rPr>
                <w:rFonts w:cs="Times New Roman"/>
                <w:sz w:val="20"/>
                <w:szCs w:val="20"/>
                <w:lang w:val="en-US"/>
              </w:rPr>
              <w:t>In a smartphone app trial of a CBT-based transdiagnostic program targeting eating-disorder psychopathology, Linardon and colleagues found that adults with recurrent binge eating randomized to the app reported significantly greater reductions in binge-eating frequency and global ED psychopathology than a waitlist control, with effects in the moderate-to-large range and increased odds of achieving behavioral remission (Linardon et al., 2022).</w:t>
            </w:r>
          </w:p>
          <w:p w14:paraId="4B3CF602" w14:textId="6F862DEB" w:rsidR="007D51C9" w:rsidRPr="008B6BC5" w:rsidRDefault="007D51C9" w:rsidP="007D51C9">
            <w:pPr>
              <w:pStyle w:val="NoSpacing"/>
              <w:rPr>
                <w:rFonts w:cs="Times New Roman"/>
                <w:sz w:val="20"/>
                <w:szCs w:val="20"/>
                <w:lang w:val="en-US"/>
              </w:rPr>
            </w:pPr>
          </w:p>
        </w:tc>
        <w:tc>
          <w:tcPr>
            <w:tcW w:w="4458" w:type="dxa"/>
          </w:tcPr>
          <w:p w14:paraId="7CB68A08" w14:textId="1F963B09" w:rsidR="007D51C9" w:rsidRPr="008B6BC5" w:rsidRDefault="007D51C9" w:rsidP="007D51C9">
            <w:pPr>
              <w:pStyle w:val="NoSpacing"/>
              <w:rPr>
                <w:rFonts w:cs="Times New Roman"/>
                <w:sz w:val="20"/>
                <w:szCs w:val="20"/>
                <w:lang w:val="en-US"/>
              </w:rPr>
            </w:pPr>
            <w:hyperlink r:id="rId28" w:history="1">
              <w:r w:rsidRPr="008B6BC5">
                <w:rPr>
                  <w:rStyle w:val="Hyperlink"/>
                  <w:rFonts w:cs="Times New Roman"/>
                  <w:sz w:val="20"/>
                  <w:szCs w:val="20"/>
                  <w:lang w:val="en-US"/>
                </w:rPr>
                <w:t>https://doi.org/10.1017/S0033291720003426</w:t>
              </w:r>
            </w:hyperlink>
            <w:r w:rsidRPr="008B6BC5">
              <w:rPr>
                <w:rFonts w:cs="Times New Roman"/>
                <w:sz w:val="20"/>
                <w:szCs w:val="20"/>
                <w:lang w:val="en-US"/>
              </w:rPr>
              <w:t xml:space="preserve"> </w:t>
            </w:r>
          </w:p>
        </w:tc>
        <w:tc>
          <w:tcPr>
            <w:tcW w:w="690" w:type="dxa"/>
          </w:tcPr>
          <w:p w14:paraId="01DA56E9" w14:textId="2601B087" w:rsidR="007D51C9" w:rsidRPr="008B6BC5" w:rsidRDefault="009F2037" w:rsidP="007D51C9">
            <w:pPr>
              <w:pStyle w:val="NoSpacing"/>
              <w:rPr>
                <w:rFonts w:cs="Times New Roman"/>
                <w:sz w:val="20"/>
                <w:szCs w:val="20"/>
                <w:lang w:val="en-US"/>
              </w:rPr>
            </w:pPr>
            <w:r w:rsidRPr="008B6BC5">
              <w:rPr>
                <w:rFonts w:cs="Times New Roman"/>
                <w:sz w:val="20"/>
                <w:szCs w:val="20"/>
                <w:lang w:val="en-US"/>
              </w:rPr>
              <w:t>1</w:t>
            </w:r>
          </w:p>
        </w:tc>
        <w:tc>
          <w:tcPr>
            <w:tcW w:w="4066" w:type="dxa"/>
          </w:tcPr>
          <w:p w14:paraId="3044E1D1" w14:textId="311FF6B9" w:rsidR="007D51C9" w:rsidRPr="008B6BC5" w:rsidRDefault="009F2037" w:rsidP="007D51C9">
            <w:pPr>
              <w:pStyle w:val="NoSpacing"/>
              <w:rPr>
                <w:rFonts w:cs="Times New Roman"/>
                <w:sz w:val="20"/>
                <w:szCs w:val="20"/>
                <w:lang w:val="en-US"/>
              </w:rPr>
            </w:pPr>
            <w:r w:rsidRPr="008B6BC5">
              <w:rPr>
                <w:rFonts w:cs="Times New Roman"/>
                <w:sz w:val="20"/>
                <w:szCs w:val="20"/>
                <w:lang w:val="en-US"/>
              </w:rPr>
              <w:t xml:space="preserve">Behavioral remission was not an outcome in this trial. </w:t>
            </w:r>
          </w:p>
        </w:tc>
      </w:tr>
      <w:tr w:rsidR="009F2037" w:rsidRPr="008B6BC5" w14:paraId="0DDD130A" w14:textId="77777777" w:rsidTr="00202DA2">
        <w:tc>
          <w:tcPr>
            <w:tcW w:w="1616" w:type="dxa"/>
          </w:tcPr>
          <w:p w14:paraId="2570CAE9" w14:textId="3A9F3D48" w:rsidR="009F2037" w:rsidRPr="008B6BC5" w:rsidRDefault="000938FF" w:rsidP="009F2037">
            <w:pPr>
              <w:pStyle w:val="NoSpacing"/>
              <w:rPr>
                <w:rFonts w:cs="Times New Roman"/>
                <w:sz w:val="20"/>
                <w:szCs w:val="20"/>
                <w:lang w:val="en-US"/>
              </w:rPr>
            </w:pPr>
            <w:r w:rsidRPr="008B6BC5">
              <w:rPr>
                <w:rFonts w:cs="Times New Roman"/>
                <w:sz w:val="20"/>
                <w:szCs w:val="20"/>
                <w:lang w:val="en-US"/>
              </w:rPr>
              <w:t>10</w:t>
            </w:r>
          </w:p>
        </w:tc>
        <w:tc>
          <w:tcPr>
            <w:tcW w:w="5614" w:type="dxa"/>
          </w:tcPr>
          <w:p w14:paraId="0BC87BA2" w14:textId="77777777" w:rsidR="009F2037" w:rsidRPr="008B6BC5" w:rsidRDefault="009F2037" w:rsidP="009F2037">
            <w:pPr>
              <w:pStyle w:val="NoSpacing"/>
              <w:rPr>
                <w:rFonts w:cs="Times New Roman"/>
                <w:sz w:val="20"/>
                <w:szCs w:val="20"/>
                <w:lang w:val="en-US"/>
              </w:rPr>
            </w:pPr>
            <w:r w:rsidRPr="008B6BC5">
              <w:rPr>
                <w:rFonts w:cs="Times New Roman"/>
                <w:sz w:val="20"/>
                <w:szCs w:val="20"/>
                <w:lang w:val="en-US"/>
              </w:rPr>
              <w:t>The INTERBED trial randomized overweight or obese adults with full or subsyndromal BED (N≈170) to internet-based guided self-</w:t>
            </w:r>
            <w:r w:rsidRPr="008B6BC5">
              <w:rPr>
                <w:rFonts w:cs="Times New Roman"/>
                <w:sz w:val="20"/>
                <w:szCs w:val="20"/>
                <w:lang w:val="en-US"/>
              </w:rPr>
              <w:lastRenderedPageBreak/>
              <w:t>help versus individual face-to-face CBT across multiple German centers (de Zwaan et al., 2017).  This noninferiority trial found no clinically meaningful differences between arms in days with binge-eating episodes or remission rates at post-treatment and up to 1.5-year follow-up. Both treatments produced large within-group effect sizes on binge-eating and associated psychopathology, supporting web-based guided self-help as an effective, lower-intensity alternative to full individual CBT.</w:t>
            </w:r>
          </w:p>
          <w:p w14:paraId="732507E9" w14:textId="51CB7E1E" w:rsidR="009F2037" w:rsidRPr="008B6BC5" w:rsidRDefault="009F2037" w:rsidP="009F2037">
            <w:pPr>
              <w:pStyle w:val="NoSpacing"/>
              <w:rPr>
                <w:rFonts w:cs="Times New Roman"/>
                <w:sz w:val="20"/>
                <w:szCs w:val="20"/>
                <w:lang w:val="en-US"/>
              </w:rPr>
            </w:pPr>
          </w:p>
        </w:tc>
        <w:tc>
          <w:tcPr>
            <w:tcW w:w="4458" w:type="dxa"/>
          </w:tcPr>
          <w:p w14:paraId="6EAD697B" w14:textId="155BD7FE" w:rsidR="009F2037" w:rsidRPr="008B6BC5" w:rsidRDefault="009F2037" w:rsidP="009F2037">
            <w:pPr>
              <w:pStyle w:val="NoSpacing"/>
              <w:rPr>
                <w:rFonts w:cs="Times New Roman"/>
                <w:sz w:val="20"/>
                <w:szCs w:val="20"/>
                <w:lang w:val="en-US"/>
              </w:rPr>
            </w:pPr>
            <w:r w:rsidRPr="008B6BC5">
              <w:rPr>
                <w:rFonts w:cs="Times New Roman"/>
                <w:sz w:val="20"/>
                <w:szCs w:val="20"/>
                <w:lang w:val="en-US"/>
              </w:rPr>
              <w:lastRenderedPageBreak/>
              <w:t>doi:10.1001/jamapsychiatry.2017.2150</w:t>
            </w:r>
          </w:p>
        </w:tc>
        <w:tc>
          <w:tcPr>
            <w:tcW w:w="690" w:type="dxa"/>
          </w:tcPr>
          <w:p w14:paraId="0DB48CFF" w14:textId="26149A1D" w:rsidR="009F2037" w:rsidRPr="008B6BC5" w:rsidRDefault="009F2037" w:rsidP="009F2037">
            <w:pPr>
              <w:pStyle w:val="NoSpacing"/>
              <w:rPr>
                <w:rFonts w:cs="Times New Roman"/>
                <w:sz w:val="20"/>
                <w:szCs w:val="20"/>
                <w:lang w:val="en-US"/>
              </w:rPr>
            </w:pPr>
            <w:r w:rsidRPr="008B6BC5">
              <w:rPr>
                <w:rFonts w:cs="Times New Roman"/>
                <w:sz w:val="20"/>
                <w:szCs w:val="20"/>
                <w:lang w:val="en-US"/>
              </w:rPr>
              <w:t>4</w:t>
            </w:r>
          </w:p>
        </w:tc>
        <w:tc>
          <w:tcPr>
            <w:tcW w:w="4066" w:type="dxa"/>
          </w:tcPr>
          <w:p w14:paraId="6291C91C" w14:textId="7F6908A6" w:rsidR="009F2037" w:rsidRPr="008B6BC5" w:rsidRDefault="009F2037" w:rsidP="009F2037">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F2037" w:rsidRPr="008B6BC5" w14:paraId="59FB65B5" w14:textId="77777777" w:rsidTr="00202DA2">
        <w:tc>
          <w:tcPr>
            <w:tcW w:w="1616" w:type="dxa"/>
          </w:tcPr>
          <w:p w14:paraId="75300E44" w14:textId="0D5ED795" w:rsidR="009F2037" w:rsidRPr="008B6BC5" w:rsidRDefault="000938FF" w:rsidP="009F2037">
            <w:pPr>
              <w:pStyle w:val="NoSpacing"/>
              <w:rPr>
                <w:rFonts w:cs="Times New Roman"/>
                <w:sz w:val="20"/>
                <w:szCs w:val="20"/>
                <w:lang w:val="en-US"/>
              </w:rPr>
            </w:pPr>
            <w:r w:rsidRPr="008B6BC5">
              <w:rPr>
                <w:rFonts w:cs="Times New Roman"/>
                <w:sz w:val="20"/>
                <w:szCs w:val="20"/>
                <w:lang w:val="en-US"/>
              </w:rPr>
              <w:t>11</w:t>
            </w:r>
          </w:p>
        </w:tc>
        <w:tc>
          <w:tcPr>
            <w:tcW w:w="5614" w:type="dxa"/>
          </w:tcPr>
          <w:p w14:paraId="174CBAC0" w14:textId="77777777" w:rsidR="009F2037" w:rsidRPr="008B6BC5" w:rsidRDefault="009F2037" w:rsidP="009F2037">
            <w:pPr>
              <w:pStyle w:val="NoSpacing"/>
              <w:rPr>
                <w:rFonts w:cs="Times New Roman"/>
                <w:sz w:val="20"/>
                <w:szCs w:val="20"/>
                <w:lang w:val="en-US"/>
              </w:rPr>
            </w:pPr>
            <w:r w:rsidRPr="008B6BC5">
              <w:rPr>
                <w:rFonts w:cs="Times New Roman"/>
                <w:sz w:val="20"/>
                <w:szCs w:val="20"/>
                <w:lang w:val="en-US"/>
              </w:rPr>
              <w:t>More recently, van Beers et al. conducted a noninferiority RCT in a specialist eating-disorder center, randomizing adults with DSM-5 BED to 12 weeks of web-based guided self-help CBT-E or 20 weeks of treatment-as-usual, primarily face-to-face CBT-E (van Beers et al., 2025). With a noninferiority margin of one additional binge episode, web-based guided self-help was noninferior to standard CBT-E in reducing binge-eating episodes at end of treatment and 20-week follow-up; estimates slightly favored the digital condition (contrast estimates around −0.6 to −0.8 binge episodes). Remission rates and improvements in clinical impairment were comparable, and the digital arm had shorter treatment duration and lower resource use.</w:t>
            </w:r>
          </w:p>
          <w:p w14:paraId="4FA04A47" w14:textId="7BF89751" w:rsidR="009F2037" w:rsidRPr="008B6BC5" w:rsidRDefault="009F2037" w:rsidP="009F2037">
            <w:pPr>
              <w:pStyle w:val="NoSpacing"/>
              <w:rPr>
                <w:rFonts w:cs="Times New Roman"/>
                <w:sz w:val="20"/>
                <w:szCs w:val="20"/>
                <w:lang w:val="en-US"/>
              </w:rPr>
            </w:pPr>
          </w:p>
        </w:tc>
        <w:tc>
          <w:tcPr>
            <w:tcW w:w="4458" w:type="dxa"/>
          </w:tcPr>
          <w:p w14:paraId="534E5E22" w14:textId="1A18BE77" w:rsidR="009F2037" w:rsidRPr="008B6BC5" w:rsidRDefault="009F2037" w:rsidP="009F2037">
            <w:pPr>
              <w:pStyle w:val="NoSpacing"/>
              <w:rPr>
                <w:rFonts w:cs="Times New Roman"/>
                <w:sz w:val="20"/>
                <w:szCs w:val="20"/>
                <w:lang w:val="en-US"/>
              </w:rPr>
            </w:pPr>
            <w:r w:rsidRPr="008B6BC5">
              <w:rPr>
                <w:rFonts w:cs="Times New Roman"/>
                <w:sz w:val="20"/>
                <w:szCs w:val="20"/>
                <w:lang w:val="en-US"/>
              </w:rPr>
              <w:t>doi:10.1001/jamanetworkopen.2025.36644</w:t>
            </w:r>
          </w:p>
        </w:tc>
        <w:tc>
          <w:tcPr>
            <w:tcW w:w="690" w:type="dxa"/>
          </w:tcPr>
          <w:p w14:paraId="007E1E1D" w14:textId="43F73108" w:rsidR="009F2037" w:rsidRPr="008B6BC5" w:rsidRDefault="009954BB" w:rsidP="009F2037">
            <w:pPr>
              <w:pStyle w:val="NoSpacing"/>
              <w:rPr>
                <w:rFonts w:cs="Times New Roman"/>
                <w:sz w:val="20"/>
                <w:szCs w:val="20"/>
                <w:lang w:val="en-US"/>
              </w:rPr>
            </w:pPr>
            <w:r w:rsidRPr="008B6BC5">
              <w:rPr>
                <w:rFonts w:cs="Times New Roman"/>
                <w:sz w:val="20"/>
                <w:szCs w:val="20"/>
                <w:lang w:val="en-US"/>
              </w:rPr>
              <w:t>3</w:t>
            </w:r>
          </w:p>
        </w:tc>
        <w:tc>
          <w:tcPr>
            <w:tcW w:w="4066" w:type="dxa"/>
          </w:tcPr>
          <w:p w14:paraId="0155F743" w14:textId="67BA4EE9" w:rsidR="009F2037" w:rsidRPr="008B6BC5" w:rsidRDefault="009954BB" w:rsidP="009F2037">
            <w:pPr>
              <w:pStyle w:val="NoSpacing"/>
              <w:rPr>
                <w:rFonts w:cs="Times New Roman"/>
                <w:sz w:val="20"/>
                <w:szCs w:val="20"/>
                <w:lang w:val="en-US"/>
              </w:rPr>
            </w:pPr>
            <w:r w:rsidRPr="008B6BC5">
              <w:rPr>
                <w:rFonts w:cs="Times New Roman"/>
                <w:sz w:val="20"/>
                <w:szCs w:val="20"/>
                <w:lang w:val="en-US"/>
              </w:rPr>
              <w:t xml:space="preserve">While clinical impairment levels were comparable between the groups at post-test, a significant difference was observed at 20 weeks. </w:t>
            </w:r>
            <w:r w:rsidR="00C51FB4" w:rsidRPr="008B6BC5">
              <w:rPr>
                <w:rFonts w:cs="Times New Roman"/>
                <w:sz w:val="20"/>
                <w:szCs w:val="20"/>
                <w:lang w:val="en-US"/>
              </w:rPr>
              <w:t>Reporting of 20 weeks early in th</w:t>
            </w:r>
            <w:r w:rsidR="00D53B26" w:rsidRPr="008B6BC5">
              <w:rPr>
                <w:rFonts w:cs="Times New Roman"/>
                <w:sz w:val="20"/>
                <w:szCs w:val="20"/>
                <w:lang w:val="en-US"/>
              </w:rPr>
              <w:t>is</w:t>
            </w:r>
            <w:r w:rsidR="00200A34" w:rsidRPr="008B6BC5">
              <w:rPr>
                <w:rFonts w:cs="Times New Roman"/>
                <w:sz w:val="20"/>
                <w:szCs w:val="20"/>
                <w:lang w:val="en-US"/>
              </w:rPr>
              <w:t xml:space="preserve"> claim</w:t>
            </w:r>
            <w:r w:rsidR="00C51FB4" w:rsidRPr="008B6BC5">
              <w:rPr>
                <w:rFonts w:cs="Times New Roman"/>
                <w:sz w:val="20"/>
                <w:szCs w:val="20"/>
                <w:lang w:val="en-US"/>
              </w:rPr>
              <w:t>, in addition to post-treatment implies that it is not fully accurate and requires elaboration.</w:t>
            </w:r>
          </w:p>
        </w:tc>
      </w:tr>
      <w:tr w:rsidR="009F2037" w:rsidRPr="008B6BC5" w14:paraId="783480CF" w14:textId="77777777" w:rsidTr="00202DA2">
        <w:tc>
          <w:tcPr>
            <w:tcW w:w="1616" w:type="dxa"/>
          </w:tcPr>
          <w:p w14:paraId="1C79C814" w14:textId="1710C65F" w:rsidR="009F2037" w:rsidRPr="008B6BC5" w:rsidRDefault="000938FF" w:rsidP="009F2037">
            <w:pPr>
              <w:pStyle w:val="NoSpacing"/>
              <w:rPr>
                <w:rFonts w:cs="Times New Roman"/>
                <w:sz w:val="20"/>
                <w:szCs w:val="20"/>
                <w:lang w:val="en-US"/>
              </w:rPr>
            </w:pPr>
            <w:r w:rsidRPr="008B6BC5">
              <w:rPr>
                <w:rFonts w:cs="Times New Roman"/>
                <w:sz w:val="20"/>
                <w:szCs w:val="20"/>
                <w:lang w:val="en-US"/>
              </w:rPr>
              <w:t>12</w:t>
            </w:r>
          </w:p>
        </w:tc>
        <w:tc>
          <w:tcPr>
            <w:tcW w:w="5614" w:type="dxa"/>
          </w:tcPr>
          <w:p w14:paraId="06FD610A" w14:textId="1D1CBA64" w:rsidR="009F2037" w:rsidRPr="008B6BC5" w:rsidRDefault="009F2037" w:rsidP="009F2037">
            <w:pPr>
              <w:pStyle w:val="NoSpacing"/>
              <w:rPr>
                <w:rFonts w:cs="Times New Roman"/>
                <w:sz w:val="20"/>
                <w:szCs w:val="20"/>
                <w:lang w:val="en-US"/>
              </w:rPr>
            </w:pPr>
            <w:r w:rsidRPr="008B6BC5">
              <w:rPr>
                <w:rFonts w:cs="Times New Roman"/>
                <w:sz w:val="20"/>
                <w:szCs w:val="20"/>
                <w:lang w:val="en-US"/>
              </w:rPr>
              <w:t>Hildebrandt et al. previously compared smartphone-assisted guided self-help against traditional (paper-based) guided self-help in adults with binge-eating presentations (Hildebrandt et al., 2017).  Both arms received CBT-based self-help plus brief therapist support; the smartphone-assisted group used an app for real-time self-monitoring. Outcomes on binge-eating frequency and ED psychopathology did not differ significantly between conditions, although preliminary evidence suggested better adherence and satisfaction with smartphone-assisted monitoring.</w:t>
            </w:r>
          </w:p>
        </w:tc>
        <w:tc>
          <w:tcPr>
            <w:tcW w:w="4458" w:type="dxa"/>
          </w:tcPr>
          <w:p w14:paraId="418071D5" w14:textId="518C5384" w:rsidR="009F2037" w:rsidRPr="008B6BC5" w:rsidRDefault="009F2037" w:rsidP="009F2037">
            <w:pPr>
              <w:pStyle w:val="NoSpacing"/>
              <w:rPr>
                <w:rFonts w:cs="Times New Roman"/>
                <w:sz w:val="20"/>
                <w:szCs w:val="20"/>
                <w:lang w:val="en-US"/>
              </w:rPr>
            </w:pPr>
            <w:r w:rsidRPr="008B6BC5">
              <w:rPr>
                <w:rFonts w:cs="Times New Roman"/>
                <w:sz w:val="20"/>
                <w:szCs w:val="20"/>
                <w:lang w:val="en-US"/>
              </w:rPr>
              <w:t>doi:10.1002/eat.22781</w:t>
            </w:r>
          </w:p>
        </w:tc>
        <w:tc>
          <w:tcPr>
            <w:tcW w:w="690" w:type="dxa"/>
          </w:tcPr>
          <w:p w14:paraId="779BD0DE" w14:textId="712322F8" w:rsidR="009F2037" w:rsidRPr="008B6BC5" w:rsidRDefault="00B856EC" w:rsidP="009F2037">
            <w:pPr>
              <w:pStyle w:val="NoSpacing"/>
              <w:rPr>
                <w:rFonts w:cs="Times New Roman"/>
                <w:sz w:val="20"/>
                <w:szCs w:val="20"/>
                <w:lang w:val="en-US"/>
              </w:rPr>
            </w:pPr>
            <w:r w:rsidRPr="008B6BC5">
              <w:rPr>
                <w:rFonts w:cs="Times New Roman"/>
                <w:sz w:val="20"/>
                <w:szCs w:val="20"/>
                <w:lang w:val="en-US"/>
              </w:rPr>
              <w:t>2</w:t>
            </w:r>
          </w:p>
        </w:tc>
        <w:tc>
          <w:tcPr>
            <w:tcW w:w="4066" w:type="dxa"/>
          </w:tcPr>
          <w:p w14:paraId="2FA8C258" w14:textId="09463B22" w:rsidR="009F2037" w:rsidRPr="008B6BC5" w:rsidRDefault="00B856EC" w:rsidP="009F2037">
            <w:pPr>
              <w:pStyle w:val="NoSpacing"/>
              <w:rPr>
                <w:rFonts w:cs="Times New Roman"/>
                <w:sz w:val="20"/>
                <w:szCs w:val="20"/>
                <w:lang w:val="en-US"/>
              </w:rPr>
            </w:pPr>
            <w:r w:rsidRPr="008B6BC5">
              <w:rPr>
                <w:rFonts w:cs="Times New Roman"/>
                <w:sz w:val="20"/>
                <w:szCs w:val="20"/>
                <w:lang w:val="en-US"/>
              </w:rPr>
              <w:t xml:space="preserve">Binge eating frequency </w:t>
            </w:r>
            <w:r w:rsidR="007163EB" w:rsidRPr="008B6BC5">
              <w:rPr>
                <w:rFonts w:cs="Times New Roman"/>
                <w:sz w:val="20"/>
                <w:szCs w:val="20"/>
                <w:lang w:val="en-US"/>
              </w:rPr>
              <w:t>reductions</w:t>
            </w:r>
            <w:r w:rsidRPr="008B6BC5">
              <w:rPr>
                <w:rFonts w:cs="Times New Roman"/>
                <w:sz w:val="20"/>
                <w:szCs w:val="20"/>
                <w:lang w:val="en-US"/>
              </w:rPr>
              <w:t xml:space="preserve"> did significantly differ at post-test, </w:t>
            </w:r>
            <w:r w:rsidR="00BB0A94" w:rsidRPr="008B6BC5">
              <w:rPr>
                <w:rFonts w:cs="Times New Roman"/>
                <w:sz w:val="20"/>
                <w:szCs w:val="20"/>
                <w:lang w:val="en-US"/>
              </w:rPr>
              <w:t>favoring</w:t>
            </w:r>
            <w:r w:rsidRPr="008B6BC5">
              <w:rPr>
                <w:rFonts w:cs="Times New Roman"/>
                <w:sz w:val="20"/>
                <w:szCs w:val="20"/>
                <w:lang w:val="en-US"/>
              </w:rPr>
              <w:t xml:space="preserve"> the </w:t>
            </w:r>
            <w:r w:rsidR="00BB0A94" w:rsidRPr="008B6BC5">
              <w:rPr>
                <w:rFonts w:cs="Times New Roman"/>
                <w:sz w:val="20"/>
                <w:szCs w:val="20"/>
                <w:lang w:val="en-US"/>
              </w:rPr>
              <w:t xml:space="preserve">smartphone-assisted group. </w:t>
            </w:r>
          </w:p>
        </w:tc>
      </w:tr>
      <w:tr w:rsidR="007163EB" w:rsidRPr="008B6BC5" w14:paraId="549AC005" w14:textId="77777777" w:rsidTr="00202DA2">
        <w:tc>
          <w:tcPr>
            <w:tcW w:w="1616" w:type="dxa"/>
          </w:tcPr>
          <w:p w14:paraId="113E730C" w14:textId="2D981005" w:rsidR="007163EB" w:rsidRPr="008B6BC5" w:rsidRDefault="000938FF" w:rsidP="007163EB">
            <w:pPr>
              <w:pStyle w:val="NoSpacing"/>
              <w:rPr>
                <w:rFonts w:cs="Times New Roman"/>
                <w:sz w:val="20"/>
                <w:szCs w:val="20"/>
                <w:lang w:val="en-US"/>
              </w:rPr>
            </w:pPr>
            <w:r w:rsidRPr="008B6BC5">
              <w:rPr>
                <w:rFonts w:cs="Times New Roman"/>
                <w:sz w:val="20"/>
                <w:szCs w:val="20"/>
                <w:lang w:val="en-US"/>
              </w:rPr>
              <w:t>13</w:t>
            </w:r>
          </w:p>
        </w:tc>
        <w:tc>
          <w:tcPr>
            <w:tcW w:w="5614" w:type="dxa"/>
          </w:tcPr>
          <w:p w14:paraId="23D051ED" w14:textId="0CC80A84" w:rsidR="007163EB" w:rsidRPr="008B6BC5" w:rsidRDefault="007163EB" w:rsidP="007163EB">
            <w:pPr>
              <w:pStyle w:val="NoSpacing"/>
              <w:rPr>
                <w:rFonts w:cs="Times New Roman"/>
                <w:sz w:val="20"/>
                <w:szCs w:val="20"/>
                <w:lang w:val="en-US"/>
              </w:rPr>
            </w:pPr>
            <w:r w:rsidRPr="008B6BC5">
              <w:rPr>
                <w:rFonts w:cs="Times New Roman"/>
                <w:sz w:val="20"/>
                <w:szCs w:val="20"/>
                <w:lang w:val="en-US"/>
              </w:rPr>
              <w:t xml:space="preserve">Fitzsimmons-Craft et al. conducted a large cluster-randomized trial in 690 college women with threshold or subthreshold binge-purge eating disorders, comparing a coached digital CBT program to referral to usual campus care (Fitzsimmons-Craft et al., 2020).  The digital CBT intervention produced greater reductions in global ED psychopathology, compensatory behaviors, and depressive symptoms through 2-year follow-up, with standardized mean </w:t>
            </w:r>
            <w:r w:rsidRPr="008B6BC5">
              <w:rPr>
                <w:rFonts w:cs="Times New Roman"/>
                <w:sz w:val="20"/>
                <w:szCs w:val="20"/>
                <w:lang w:val="en-US"/>
              </w:rPr>
              <w:lastRenderedPageBreak/>
              <w:t>differences generally in the small-to-moderate range relative to referral-only control.</w:t>
            </w:r>
          </w:p>
        </w:tc>
        <w:tc>
          <w:tcPr>
            <w:tcW w:w="4458" w:type="dxa"/>
          </w:tcPr>
          <w:p w14:paraId="09E3BE47" w14:textId="2FF101D8" w:rsidR="007163EB" w:rsidRPr="008B6BC5" w:rsidRDefault="007163EB" w:rsidP="007163EB">
            <w:pPr>
              <w:pStyle w:val="NoSpacing"/>
              <w:rPr>
                <w:rFonts w:cs="Times New Roman"/>
                <w:sz w:val="20"/>
                <w:szCs w:val="20"/>
                <w:lang w:val="en-US"/>
              </w:rPr>
            </w:pPr>
            <w:r w:rsidRPr="008B6BC5">
              <w:rPr>
                <w:rFonts w:cs="Times New Roman"/>
                <w:sz w:val="20"/>
                <w:szCs w:val="20"/>
                <w:lang w:val="en-US"/>
              </w:rPr>
              <w:lastRenderedPageBreak/>
              <w:t xml:space="preserve">doi:10.1001/jamanetworkopen.2020.15633 </w:t>
            </w:r>
          </w:p>
        </w:tc>
        <w:tc>
          <w:tcPr>
            <w:tcW w:w="690" w:type="dxa"/>
          </w:tcPr>
          <w:p w14:paraId="010760B8" w14:textId="67F1D4F1" w:rsidR="007163EB" w:rsidRPr="008B6BC5" w:rsidRDefault="007163EB" w:rsidP="007163EB">
            <w:pPr>
              <w:pStyle w:val="NoSpacing"/>
              <w:rPr>
                <w:rFonts w:cs="Times New Roman"/>
                <w:sz w:val="20"/>
                <w:szCs w:val="20"/>
                <w:lang w:val="en-US"/>
              </w:rPr>
            </w:pPr>
            <w:r w:rsidRPr="008B6BC5">
              <w:rPr>
                <w:rFonts w:cs="Times New Roman"/>
                <w:sz w:val="20"/>
                <w:szCs w:val="20"/>
                <w:lang w:val="en-US"/>
              </w:rPr>
              <w:t>4</w:t>
            </w:r>
          </w:p>
        </w:tc>
        <w:tc>
          <w:tcPr>
            <w:tcW w:w="4066" w:type="dxa"/>
          </w:tcPr>
          <w:p w14:paraId="13162BCB" w14:textId="4382FEB0" w:rsidR="007163EB" w:rsidRPr="008B6BC5" w:rsidRDefault="007163EB" w:rsidP="007163E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7163EB" w:rsidRPr="008B6BC5" w14:paraId="590DA1F9" w14:textId="77777777" w:rsidTr="00202DA2">
        <w:tc>
          <w:tcPr>
            <w:tcW w:w="1616" w:type="dxa"/>
          </w:tcPr>
          <w:p w14:paraId="4FC56AC7" w14:textId="737CE9A6" w:rsidR="007163EB" w:rsidRPr="008B6BC5" w:rsidRDefault="000938FF" w:rsidP="007163EB">
            <w:pPr>
              <w:pStyle w:val="NoSpacing"/>
              <w:rPr>
                <w:rFonts w:cs="Times New Roman"/>
                <w:sz w:val="20"/>
                <w:szCs w:val="20"/>
                <w:lang w:val="en-US"/>
              </w:rPr>
            </w:pPr>
            <w:r w:rsidRPr="008B6BC5">
              <w:rPr>
                <w:rFonts w:cs="Times New Roman"/>
                <w:sz w:val="20"/>
                <w:szCs w:val="20"/>
                <w:lang w:val="en-US"/>
              </w:rPr>
              <w:t>14</w:t>
            </w:r>
          </w:p>
        </w:tc>
        <w:tc>
          <w:tcPr>
            <w:tcW w:w="5614" w:type="dxa"/>
          </w:tcPr>
          <w:p w14:paraId="3E68C8CD" w14:textId="77777777" w:rsidR="007163EB" w:rsidRPr="008B6BC5" w:rsidRDefault="007163EB" w:rsidP="007163EB">
            <w:pPr>
              <w:pStyle w:val="NoSpacing"/>
              <w:rPr>
                <w:rFonts w:cs="Times New Roman"/>
                <w:sz w:val="20"/>
                <w:szCs w:val="20"/>
                <w:lang w:val="en-US"/>
              </w:rPr>
            </w:pPr>
            <w:r w:rsidRPr="008B6BC5">
              <w:rPr>
                <w:rFonts w:cs="Times New Roman"/>
                <w:sz w:val="20"/>
                <w:szCs w:val="20"/>
                <w:lang w:val="en-US"/>
              </w:rPr>
              <w:t>Samara et al. meta-analyzed RCTs comparing remote (internet, telemedicine, or blended formats) with face-to-face interventions for bulimia nervosa and BED (Samara et al., 2024). Across trials, remote interventions (including internet-based guided self-help and therapist-delivered CBT via videoconference) were not significantly different from face-to-face treatments in terms of abstinence from binge-eating or global symptom severity, suggesting equivalence in efficacy when similar CBT content is delivered digitally.</w:t>
            </w:r>
          </w:p>
          <w:p w14:paraId="639E261D" w14:textId="1B8C317B" w:rsidR="007163EB" w:rsidRPr="008B6BC5" w:rsidRDefault="007163EB" w:rsidP="007163EB">
            <w:pPr>
              <w:pStyle w:val="NoSpacing"/>
              <w:rPr>
                <w:rFonts w:cs="Times New Roman"/>
                <w:sz w:val="20"/>
                <w:szCs w:val="20"/>
                <w:lang w:val="en-US"/>
              </w:rPr>
            </w:pPr>
          </w:p>
        </w:tc>
        <w:tc>
          <w:tcPr>
            <w:tcW w:w="4458" w:type="dxa"/>
          </w:tcPr>
          <w:p w14:paraId="45290DDC" w14:textId="41880816" w:rsidR="007163EB" w:rsidRPr="008B6BC5" w:rsidRDefault="007163EB" w:rsidP="007163EB">
            <w:pPr>
              <w:pStyle w:val="NoSpacing"/>
              <w:rPr>
                <w:rFonts w:cs="Times New Roman"/>
                <w:sz w:val="20"/>
                <w:szCs w:val="20"/>
                <w:lang w:val="en-US"/>
              </w:rPr>
            </w:pPr>
            <w:r w:rsidRPr="008B6BC5">
              <w:rPr>
                <w:rFonts w:cs="Times New Roman"/>
                <w:sz w:val="20"/>
                <w:szCs w:val="20"/>
                <w:lang w:val="en-US"/>
              </w:rPr>
              <w:t>https://doi.org/10.1007/s41347-023-00345-y</w:t>
            </w:r>
          </w:p>
        </w:tc>
        <w:tc>
          <w:tcPr>
            <w:tcW w:w="690" w:type="dxa"/>
          </w:tcPr>
          <w:p w14:paraId="53059D44" w14:textId="4E7C7B8A" w:rsidR="007163EB" w:rsidRPr="008B6BC5" w:rsidRDefault="007163EB" w:rsidP="007163EB">
            <w:pPr>
              <w:pStyle w:val="NoSpacing"/>
              <w:rPr>
                <w:rFonts w:cs="Times New Roman"/>
                <w:sz w:val="20"/>
                <w:szCs w:val="20"/>
                <w:lang w:val="en-US"/>
              </w:rPr>
            </w:pPr>
            <w:r w:rsidRPr="008B6BC5">
              <w:rPr>
                <w:rFonts w:cs="Times New Roman"/>
                <w:sz w:val="20"/>
                <w:szCs w:val="20"/>
                <w:lang w:val="en-US"/>
              </w:rPr>
              <w:t>2</w:t>
            </w:r>
          </w:p>
        </w:tc>
        <w:tc>
          <w:tcPr>
            <w:tcW w:w="4066" w:type="dxa"/>
          </w:tcPr>
          <w:p w14:paraId="196F2C92" w14:textId="65DDA686" w:rsidR="007163EB" w:rsidRPr="008B6BC5" w:rsidRDefault="006770F8" w:rsidP="007163EB">
            <w:pPr>
              <w:pStyle w:val="NoSpacing"/>
              <w:rPr>
                <w:rFonts w:cs="Times New Roman"/>
                <w:sz w:val="20"/>
                <w:szCs w:val="20"/>
                <w:lang w:val="en-US"/>
              </w:rPr>
            </w:pPr>
            <w:r w:rsidRPr="008B6BC5">
              <w:rPr>
                <w:rFonts w:cs="Times New Roman"/>
                <w:sz w:val="20"/>
                <w:szCs w:val="20"/>
                <w:lang w:val="en-US"/>
              </w:rPr>
              <w:t xml:space="preserve">Face-to-face interventions were significantly more effective than remote interventions for producing abstinence </w:t>
            </w:r>
            <w:r w:rsidR="00931C43" w:rsidRPr="008B6BC5">
              <w:rPr>
                <w:rFonts w:cs="Times New Roman"/>
                <w:sz w:val="20"/>
                <w:szCs w:val="20"/>
                <w:lang w:val="en-US"/>
              </w:rPr>
              <w:t xml:space="preserve">in this meta-analysis. </w:t>
            </w:r>
          </w:p>
        </w:tc>
      </w:tr>
      <w:tr w:rsidR="007163EB" w:rsidRPr="008B6BC5" w14:paraId="34A6A946" w14:textId="77777777" w:rsidTr="00202DA2">
        <w:tc>
          <w:tcPr>
            <w:tcW w:w="1616" w:type="dxa"/>
          </w:tcPr>
          <w:p w14:paraId="7B0BAB7D" w14:textId="52D322A1" w:rsidR="007163EB" w:rsidRPr="008B6BC5" w:rsidRDefault="000938FF" w:rsidP="007163EB">
            <w:pPr>
              <w:pStyle w:val="NoSpacing"/>
              <w:rPr>
                <w:rFonts w:cs="Times New Roman"/>
                <w:sz w:val="20"/>
                <w:szCs w:val="20"/>
                <w:lang w:val="en-US"/>
              </w:rPr>
            </w:pPr>
            <w:r w:rsidRPr="008B6BC5">
              <w:rPr>
                <w:rFonts w:cs="Times New Roman"/>
                <w:sz w:val="20"/>
                <w:szCs w:val="20"/>
                <w:lang w:val="en-US"/>
              </w:rPr>
              <w:t>15</w:t>
            </w:r>
          </w:p>
        </w:tc>
        <w:tc>
          <w:tcPr>
            <w:tcW w:w="5614" w:type="dxa"/>
          </w:tcPr>
          <w:p w14:paraId="0A3C8C27" w14:textId="77777777" w:rsidR="007163EB" w:rsidRPr="008B6BC5" w:rsidRDefault="007163EB" w:rsidP="007163EB">
            <w:pPr>
              <w:pStyle w:val="NoSpacing"/>
              <w:rPr>
                <w:rFonts w:cs="Times New Roman"/>
                <w:sz w:val="20"/>
                <w:szCs w:val="20"/>
                <w:lang w:val="en-US"/>
              </w:rPr>
            </w:pPr>
            <w:r w:rsidRPr="008B6BC5">
              <w:rPr>
                <w:rFonts w:cs="Times New Roman"/>
                <w:sz w:val="20"/>
                <w:szCs w:val="20"/>
                <w:lang w:val="en-US"/>
              </w:rPr>
              <w:t xml:space="preserve">In their review of RCTs for e-health eating-disorder interventions, </w:t>
            </w:r>
            <w:proofErr w:type="spellStart"/>
            <w:r w:rsidRPr="008B6BC5">
              <w:rPr>
                <w:rFonts w:cs="Times New Roman"/>
                <w:sz w:val="20"/>
                <w:szCs w:val="20"/>
                <w:lang w:val="en-US"/>
              </w:rPr>
              <w:t>Ahmadiankalati</w:t>
            </w:r>
            <w:proofErr w:type="spellEnd"/>
            <w:r w:rsidRPr="008B6BC5">
              <w:rPr>
                <w:rFonts w:cs="Times New Roman"/>
                <w:sz w:val="20"/>
                <w:szCs w:val="20"/>
                <w:lang w:val="en-US"/>
              </w:rPr>
              <w:t xml:space="preserve"> et al. reported overall attrition rates in the 20–30% range, with no systematic differences between digital and comparator arms; however, they also noted that adverse event reporting was sparse (</w:t>
            </w:r>
            <w:proofErr w:type="spellStart"/>
            <w:r w:rsidRPr="008B6BC5">
              <w:rPr>
                <w:rFonts w:cs="Times New Roman"/>
                <w:sz w:val="20"/>
                <w:szCs w:val="20"/>
                <w:lang w:val="en-US"/>
              </w:rPr>
              <w:t>Ahmadiankalati</w:t>
            </w:r>
            <w:proofErr w:type="spellEnd"/>
            <w:r w:rsidRPr="008B6BC5">
              <w:rPr>
                <w:rFonts w:cs="Times New Roman"/>
                <w:sz w:val="20"/>
                <w:szCs w:val="20"/>
                <w:lang w:val="en-US"/>
              </w:rPr>
              <w:t xml:space="preserve"> et al., 2020). </w:t>
            </w:r>
          </w:p>
          <w:p w14:paraId="09BED90B" w14:textId="44B9490D" w:rsidR="007163EB" w:rsidRPr="008B6BC5" w:rsidRDefault="007163EB" w:rsidP="007163EB">
            <w:pPr>
              <w:pStyle w:val="NoSpacing"/>
              <w:rPr>
                <w:rFonts w:cs="Times New Roman"/>
                <w:sz w:val="20"/>
                <w:szCs w:val="20"/>
                <w:lang w:val="en-US"/>
              </w:rPr>
            </w:pPr>
          </w:p>
        </w:tc>
        <w:tc>
          <w:tcPr>
            <w:tcW w:w="4458" w:type="dxa"/>
          </w:tcPr>
          <w:p w14:paraId="79992D92" w14:textId="63D56E48" w:rsidR="007163EB" w:rsidRPr="008B6BC5" w:rsidRDefault="007163EB" w:rsidP="007163EB">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10.3389/fpsyt.2020.00568</w:t>
            </w:r>
          </w:p>
        </w:tc>
        <w:tc>
          <w:tcPr>
            <w:tcW w:w="690" w:type="dxa"/>
          </w:tcPr>
          <w:p w14:paraId="04762B2F" w14:textId="034A6030" w:rsidR="007163EB" w:rsidRPr="008B6BC5" w:rsidRDefault="00931C43" w:rsidP="007163EB">
            <w:pPr>
              <w:pStyle w:val="NoSpacing"/>
              <w:rPr>
                <w:rFonts w:cs="Times New Roman"/>
                <w:sz w:val="20"/>
                <w:szCs w:val="20"/>
                <w:lang w:val="en-US"/>
              </w:rPr>
            </w:pPr>
            <w:r w:rsidRPr="008B6BC5">
              <w:rPr>
                <w:rFonts w:cs="Times New Roman"/>
                <w:sz w:val="20"/>
                <w:szCs w:val="20"/>
                <w:lang w:val="en-US"/>
              </w:rPr>
              <w:t>1</w:t>
            </w:r>
          </w:p>
        </w:tc>
        <w:tc>
          <w:tcPr>
            <w:tcW w:w="4066" w:type="dxa"/>
          </w:tcPr>
          <w:p w14:paraId="44636857" w14:textId="0D391ABA" w:rsidR="007163EB" w:rsidRPr="008B6BC5" w:rsidRDefault="00931C43" w:rsidP="007163EB">
            <w:pPr>
              <w:pStyle w:val="NoSpacing"/>
              <w:rPr>
                <w:rFonts w:cs="Times New Roman"/>
                <w:sz w:val="20"/>
                <w:szCs w:val="20"/>
                <w:lang w:val="en-US"/>
              </w:rPr>
            </w:pPr>
            <w:r w:rsidRPr="008B6BC5">
              <w:rPr>
                <w:rFonts w:cs="Times New Roman"/>
                <w:sz w:val="20"/>
                <w:szCs w:val="20"/>
                <w:lang w:val="en-US"/>
              </w:rPr>
              <w:t xml:space="preserve">Attrition rates and AEs were not reported, </w:t>
            </w:r>
            <w:proofErr w:type="spellStart"/>
            <w:r w:rsidRPr="008B6BC5">
              <w:rPr>
                <w:rFonts w:cs="Times New Roman"/>
                <w:sz w:val="20"/>
                <w:szCs w:val="20"/>
                <w:lang w:val="en-US"/>
              </w:rPr>
              <w:t>analysed</w:t>
            </w:r>
            <w:proofErr w:type="spellEnd"/>
            <w:r w:rsidRPr="008B6BC5">
              <w:rPr>
                <w:rFonts w:cs="Times New Roman"/>
                <w:sz w:val="20"/>
                <w:szCs w:val="20"/>
                <w:lang w:val="en-US"/>
              </w:rPr>
              <w:t xml:space="preserve">, or assessed in this review. </w:t>
            </w:r>
          </w:p>
        </w:tc>
      </w:tr>
      <w:tr w:rsidR="007163EB" w:rsidRPr="008B6BC5" w14:paraId="3446A1E6" w14:textId="77777777" w:rsidTr="00202DA2">
        <w:tc>
          <w:tcPr>
            <w:tcW w:w="1616" w:type="dxa"/>
          </w:tcPr>
          <w:p w14:paraId="78B8A9D5" w14:textId="3ABA89BB" w:rsidR="007163EB" w:rsidRPr="008B6BC5" w:rsidRDefault="000938FF" w:rsidP="007163EB">
            <w:pPr>
              <w:pStyle w:val="NoSpacing"/>
              <w:rPr>
                <w:rFonts w:cs="Times New Roman"/>
                <w:sz w:val="20"/>
                <w:szCs w:val="20"/>
                <w:lang w:val="en-US"/>
              </w:rPr>
            </w:pPr>
            <w:r w:rsidRPr="008B6BC5">
              <w:rPr>
                <w:rFonts w:cs="Times New Roman"/>
                <w:sz w:val="20"/>
                <w:szCs w:val="20"/>
                <w:lang w:val="en-US"/>
              </w:rPr>
              <w:t>16</w:t>
            </w:r>
          </w:p>
        </w:tc>
        <w:tc>
          <w:tcPr>
            <w:tcW w:w="5614" w:type="dxa"/>
          </w:tcPr>
          <w:p w14:paraId="5F58548D" w14:textId="60936CCF" w:rsidR="007163EB" w:rsidRPr="008B6BC5" w:rsidRDefault="007163EB" w:rsidP="007163EB">
            <w:pPr>
              <w:pStyle w:val="NoSpacing"/>
              <w:rPr>
                <w:rFonts w:cs="Times New Roman"/>
                <w:sz w:val="20"/>
                <w:szCs w:val="20"/>
                <w:lang w:val="en-US"/>
              </w:rPr>
            </w:pPr>
            <w:r w:rsidRPr="008B6BC5">
              <w:rPr>
                <w:rFonts w:cs="Times New Roman"/>
                <w:sz w:val="20"/>
                <w:szCs w:val="20"/>
                <w:lang w:val="en-US"/>
              </w:rPr>
              <w:t>Tuncer and Tuncer’s meta-analysis of eHealth guided self-help for BED similarly found pooled attrition around one-quarter of participants, with no consistent excess dropout in digital arms compared with waitlist or face-to-face comparators (Tuncer &amp; Tuncer, 2025)</w:t>
            </w:r>
          </w:p>
        </w:tc>
        <w:tc>
          <w:tcPr>
            <w:tcW w:w="4458" w:type="dxa"/>
          </w:tcPr>
          <w:p w14:paraId="5AB08EF2" w14:textId="2D8A066F" w:rsidR="007163EB" w:rsidRPr="008B6BC5" w:rsidRDefault="007163EB" w:rsidP="007163EB">
            <w:pPr>
              <w:pStyle w:val="NoSpacing"/>
              <w:rPr>
                <w:rFonts w:cs="Times New Roman"/>
                <w:sz w:val="20"/>
                <w:szCs w:val="20"/>
                <w:lang w:val="en-US"/>
              </w:rPr>
            </w:pPr>
            <w:r w:rsidRPr="008B6BC5">
              <w:rPr>
                <w:rFonts w:cs="Times New Roman"/>
                <w:sz w:val="20"/>
                <w:szCs w:val="20"/>
                <w:lang w:val="en-US"/>
              </w:rPr>
              <w:t>https://doi.org/10.1080/10640266.2025.2498247</w:t>
            </w:r>
          </w:p>
        </w:tc>
        <w:tc>
          <w:tcPr>
            <w:tcW w:w="690" w:type="dxa"/>
          </w:tcPr>
          <w:p w14:paraId="4268BF11" w14:textId="11441272" w:rsidR="007163EB" w:rsidRPr="008B6BC5" w:rsidRDefault="00447060" w:rsidP="007163EB">
            <w:pPr>
              <w:pStyle w:val="NoSpacing"/>
              <w:rPr>
                <w:rFonts w:cs="Times New Roman"/>
                <w:sz w:val="20"/>
                <w:szCs w:val="20"/>
                <w:lang w:val="en-US"/>
              </w:rPr>
            </w:pPr>
            <w:r w:rsidRPr="008B6BC5">
              <w:rPr>
                <w:rFonts w:cs="Times New Roman"/>
                <w:sz w:val="20"/>
                <w:szCs w:val="20"/>
                <w:lang w:val="en-US"/>
              </w:rPr>
              <w:t>1</w:t>
            </w:r>
          </w:p>
        </w:tc>
        <w:tc>
          <w:tcPr>
            <w:tcW w:w="4066" w:type="dxa"/>
          </w:tcPr>
          <w:p w14:paraId="4776D142" w14:textId="7B84622C" w:rsidR="007163EB" w:rsidRPr="008B6BC5" w:rsidRDefault="00447060" w:rsidP="007163EB">
            <w:pPr>
              <w:pStyle w:val="NoSpacing"/>
              <w:rPr>
                <w:rFonts w:cs="Times New Roman"/>
                <w:sz w:val="20"/>
                <w:szCs w:val="20"/>
                <w:lang w:val="en-US"/>
              </w:rPr>
            </w:pPr>
            <w:r w:rsidRPr="008B6BC5">
              <w:rPr>
                <w:rFonts w:cs="Times New Roman"/>
                <w:sz w:val="20"/>
                <w:szCs w:val="20"/>
                <w:lang w:val="en-US"/>
              </w:rPr>
              <w:t xml:space="preserve">Attrition rates were not reported, </w:t>
            </w:r>
            <w:proofErr w:type="spellStart"/>
            <w:r w:rsidRPr="008B6BC5">
              <w:rPr>
                <w:rFonts w:cs="Times New Roman"/>
                <w:sz w:val="20"/>
                <w:szCs w:val="20"/>
                <w:lang w:val="en-US"/>
              </w:rPr>
              <w:t>analysed</w:t>
            </w:r>
            <w:proofErr w:type="spellEnd"/>
            <w:r w:rsidRPr="008B6BC5">
              <w:rPr>
                <w:rFonts w:cs="Times New Roman"/>
                <w:sz w:val="20"/>
                <w:szCs w:val="20"/>
                <w:lang w:val="en-US"/>
              </w:rPr>
              <w:t>, or assessed in this review.</w:t>
            </w:r>
          </w:p>
        </w:tc>
      </w:tr>
      <w:tr w:rsidR="00CD662A" w:rsidRPr="008B6BC5" w14:paraId="45733447" w14:textId="77777777" w:rsidTr="00202DA2">
        <w:tc>
          <w:tcPr>
            <w:tcW w:w="1616" w:type="dxa"/>
          </w:tcPr>
          <w:p w14:paraId="14BDD4FE" w14:textId="146A7519" w:rsidR="00CD662A" w:rsidRPr="008B6BC5" w:rsidRDefault="000938FF" w:rsidP="00CD662A">
            <w:pPr>
              <w:pStyle w:val="NoSpacing"/>
              <w:rPr>
                <w:rFonts w:cs="Times New Roman"/>
                <w:sz w:val="20"/>
                <w:szCs w:val="20"/>
                <w:lang w:val="en-US"/>
              </w:rPr>
            </w:pPr>
            <w:r w:rsidRPr="008B6BC5">
              <w:rPr>
                <w:rFonts w:cs="Times New Roman"/>
                <w:sz w:val="20"/>
                <w:szCs w:val="20"/>
                <w:lang w:val="en-US"/>
              </w:rPr>
              <w:t>17</w:t>
            </w:r>
          </w:p>
        </w:tc>
        <w:tc>
          <w:tcPr>
            <w:tcW w:w="5614" w:type="dxa"/>
          </w:tcPr>
          <w:p w14:paraId="7B4C9B04" w14:textId="77777777"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Samara et al. observed comparable dropout rates between remote and in-person interventions for bulimia nervosa and BED, reinforcing the conclusion that remote delivery does not inherently reduce tolerability (Samara et al., 2024). </w:t>
            </w:r>
          </w:p>
          <w:p w14:paraId="51A0BEFB" w14:textId="2CD525FF" w:rsidR="00CD662A" w:rsidRPr="008B6BC5" w:rsidRDefault="00CD662A" w:rsidP="00CD662A">
            <w:pPr>
              <w:pStyle w:val="NoSpacing"/>
              <w:rPr>
                <w:rFonts w:cs="Times New Roman"/>
                <w:sz w:val="20"/>
                <w:szCs w:val="20"/>
                <w:lang w:val="en-US"/>
              </w:rPr>
            </w:pPr>
          </w:p>
        </w:tc>
        <w:tc>
          <w:tcPr>
            <w:tcW w:w="4458" w:type="dxa"/>
          </w:tcPr>
          <w:p w14:paraId="1ECB918E" w14:textId="2C789047" w:rsidR="00CD662A" w:rsidRPr="008B6BC5" w:rsidRDefault="00CD662A" w:rsidP="00CD662A">
            <w:pPr>
              <w:pStyle w:val="NoSpacing"/>
              <w:rPr>
                <w:rFonts w:cs="Times New Roman"/>
                <w:sz w:val="20"/>
                <w:szCs w:val="20"/>
                <w:lang w:val="en-US"/>
              </w:rPr>
            </w:pPr>
            <w:r w:rsidRPr="008B6BC5">
              <w:rPr>
                <w:rFonts w:cs="Times New Roman"/>
                <w:sz w:val="20"/>
                <w:szCs w:val="20"/>
                <w:lang w:val="en-US"/>
              </w:rPr>
              <w:t>https://doi.org/10.1007/s41347-023-00345-y</w:t>
            </w:r>
          </w:p>
        </w:tc>
        <w:tc>
          <w:tcPr>
            <w:tcW w:w="690" w:type="dxa"/>
          </w:tcPr>
          <w:p w14:paraId="029BBD6C" w14:textId="470FD17D" w:rsidR="00CD662A" w:rsidRPr="008B6BC5" w:rsidRDefault="00CD662A" w:rsidP="00CD662A">
            <w:pPr>
              <w:pStyle w:val="NoSpacing"/>
              <w:rPr>
                <w:rFonts w:cs="Times New Roman"/>
                <w:sz w:val="20"/>
                <w:szCs w:val="20"/>
                <w:lang w:val="en-US"/>
              </w:rPr>
            </w:pPr>
            <w:r w:rsidRPr="008B6BC5">
              <w:rPr>
                <w:rFonts w:cs="Times New Roman"/>
                <w:sz w:val="20"/>
                <w:szCs w:val="20"/>
                <w:lang w:val="en-US"/>
              </w:rPr>
              <w:t>4</w:t>
            </w:r>
          </w:p>
        </w:tc>
        <w:tc>
          <w:tcPr>
            <w:tcW w:w="4066" w:type="dxa"/>
          </w:tcPr>
          <w:p w14:paraId="2BBE7AA1" w14:textId="0BB0B695"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447060" w:rsidRPr="008B6BC5" w14:paraId="3AA7576C" w14:textId="77777777" w:rsidTr="00202DA2">
        <w:tc>
          <w:tcPr>
            <w:tcW w:w="1616" w:type="dxa"/>
          </w:tcPr>
          <w:p w14:paraId="6FA964B4" w14:textId="4B5AADFE" w:rsidR="00447060" w:rsidRPr="008B6BC5" w:rsidRDefault="000938FF" w:rsidP="00447060">
            <w:pPr>
              <w:pStyle w:val="NoSpacing"/>
              <w:rPr>
                <w:rFonts w:cs="Times New Roman"/>
                <w:sz w:val="20"/>
                <w:szCs w:val="20"/>
                <w:lang w:val="en-US"/>
              </w:rPr>
            </w:pPr>
            <w:r w:rsidRPr="008B6BC5">
              <w:rPr>
                <w:rFonts w:cs="Times New Roman"/>
                <w:sz w:val="20"/>
                <w:szCs w:val="20"/>
                <w:lang w:val="en-US"/>
              </w:rPr>
              <w:t>18</w:t>
            </w:r>
          </w:p>
        </w:tc>
        <w:tc>
          <w:tcPr>
            <w:tcW w:w="5614" w:type="dxa"/>
          </w:tcPr>
          <w:p w14:paraId="3F3EF6C5" w14:textId="77777777" w:rsidR="00447060" w:rsidRPr="008B6BC5" w:rsidRDefault="00447060" w:rsidP="00447060">
            <w:pPr>
              <w:pStyle w:val="NoSpacing"/>
              <w:rPr>
                <w:rFonts w:cs="Times New Roman"/>
                <w:sz w:val="20"/>
                <w:szCs w:val="20"/>
                <w:lang w:val="en-US"/>
              </w:rPr>
            </w:pPr>
            <w:r w:rsidRPr="008B6BC5">
              <w:rPr>
                <w:rFonts w:cs="Times New Roman"/>
                <w:sz w:val="20"/>
                <w:szCs w:val="20"/>
                <w:lang w:val="en-US"/>
              </w:rPr>
              <w:t>Pruessner et al. reported that approximately 80% of adults with BED completed the primary endpoint in their unguided web-based CBT trial, with no treatment-emergent serious adverse events attributable to the program; transient increases in distress during early exposure tasks were noted but resolved without sequelae (Pruessner et al., 2024</w:t>
            </w:r>
          </w:p>
          <w:p w14:paraId="50893038" w14:textId="3716AC46" w:rsidR="00447060" w:rsidRPr="008B6BC5" w:rsidRDefault="00447060" w:rsidP="00447060">
            <w:pPr>
              <w:pStyle w:val="NoSpacing"/>
              <w:rPr>
                <w:rFonts w:cs="Times New Roman"/>
                <w:sz w:val="20"/>
                <w:szCs w:val="20"/>
                <w:lang w:val="en-US"/>
              </w:rPr>
            </w:pPr>
          </w:p>
        </w:tc>
        <w:tc>
          <w:tcPr>
            <w:tcW w:w="4458" w:type="dxa"/>
          </w:tcPr>
          <w:p w14:paraId="3A0BC4A9" w14:textId="6812F908" w:rsidR="00447060" w:rsidRPr="008B6BC5" w:rsidRDefault="00447060" w:rsidP="00447060">
            <w:pPr>
              <w:pStyle w:val="NoSpacing"/>
              <w:rPr>
                <w:rFonts w:cs="Times New Roman"/>
                <w:sz w:val="20"/>
                <w:szCs w:val="20"/>
                <w:lang w:val="en-US"/>
              </w:rPr>
            </w:pPr>
            <w:r w:rsidRPr="008B6BC5">
              <w:rPr>
                <w:rFonts w:cs="Times New Roman"/>
                <w:sz w:val="20"/>
                <w:szCs w:val="20"/>
                <w:lang w:val="en-US"/>
              </w:rPr>
              <w:t>doi:10.1001/jamanetworkopen.2024.11127</w:t>
            </w:r>
          </w:p>
        </w:tc>
        <w:tc>
          <w:tcPr>
            <w:tcW w:w="690" w:type="dxa"/>
          </w:tcPr>
          <w:p w14:paraId="70846BF2" w14:textId="72151C05" w:rsidR="00447060" w:rsidRPr="008B6BC5" w:rsidRDefault="00447060" w:rsidP="00447060">
            <w:pPr>
              <w:pStyle w:val="NoSpacing"/>
              <w:rPr>
                <w:rFonts w:cs="Times New Roman"/>
                <w:sz w:val="20"/>
                <w:szCs w:val="20"/>
                <w:lang w:val="en-US"/>
              </w:rPr>
            </w:pPr>
            <w:r w:rsidRPr="008B6BC5">
              <w:rPr>
                <w:rFonts w:cs="Times New Roman"/>
                <w:sz w:val="20"/>
                <w:szCs w:val="20"/>
                <w:lang w:val="en-US"/>
              </w:rPr>
              <w:t>1</w:t>
            </w:r>
          </w:p>
        </w:tc>
        <w:tc>
          <w:tcPr>
            <w:tcW w:w="4066" w:type="dxa"/>
          </w:tcPr>
          <w:p w14:paraId="232E19FA" w14:textId="60256B3B" w:rsidR="00447060" w:rsidRPr="008B6BC5" w:rsidRDefault="00CD662A" w:rsidP="00447060">
            <w:pPr>
              <w:pStyle w:val="NoSpacing"/>
              <w:rPr>
                <w:rFonts w:cs="Times New Roman"/>
                <w:sz w:val="20"/>
                <w:szCs w:val="20"/>
                <w:lang w:val="en-US"/>
              </w:rPr>
            </w:pPr>
            <w:r w:rsidRPr="008B6BC5">
              <w:rPr>
                <w:rFonts w:cs="Times New Roman"/>
                <w:sz w:val="20"/>
                <w:szCs w:val="20"/>
                <w:lang w:val="en-US"/>
              </w:rPr>
              <w:t xml:space="preserve">There was no mention in this trial that exposure tasks led to transient increases in distress. </w:t>
            </w:r>
          </w:p>
        </w:tc>
      </w:tr>
      <w:tr w:rsidR="00CD662A" w:rsidRPr="008B6BC5" w14:paraId="0C2BA868" w14:textId="77777777" w:rsidTr="00202DA2">
        <w:tc>
          <w:tcPr>
            <w:tcW w:w="1616" w:type="dxa"/>
          </w:tcPr>
          <w:p w14:paraId="40D1AEA3" w14:textId="3ADAD9D6" w:rsidR="00CD662A" w:rsidRPr="008B6BC5" w:rsidRDefault="000938FF" w:rsidP="00CD662A">
            <w:pPr>
              <w:pStyle w:val="NoSpacing"/>
              <w:rPr>
                <w:rFonts w:cs="Times New Roman"/>
                <w:sz w:val="20"/>
                <w:szCs w:val="20"/>
                <w:lang w:val="en-US"/>
              </w:rPr>
            </w:pPr>
            <w:r w:rsidRPr="008B6BC5">
              <w:rPr>
                <w:rFonts w:cs="Times New Roman"/>
                <w:sz w:val="20"/>
                <w:szCs w:val="20"/>
                <w:lang w:val="en-US"/>
              </w:rPr>
              <w:t>19</w:t>
            </w:r>
          </w:p>
        </w:tc>
        <w:tc>
          <w:tcPr>
            <w:tcW w:w="5614" w:type="dxa"/>
          </w:tcPr>
          <w:p w14:paraId="1C57154C" w14:textId="77777777"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The guided self-help CBT-E trial by Melisse et al. had dropout rates of roughly 20% in both immediate-treatment and delayed-treatment groups, and no serious adverse events were reported (Melisse et al., 2023). </w:t>
            </w:r>
          </w:p>
          <w:p w14:paraId="47258C57" w14:textId="3CAEFF72" w:rsidR="00CD662A" w:rsidRPr="008B6BC5" w:rsidRDefault="00CD662A" w:rsidP="00CD662A">
            <w:pPr>
              <w:pStyle w:val="NoSpacing"/>
              <w:rPr>
                <w:rFonts w:cs="Times New Roman"/>
                <w:sz w:val="20"/>
                <w:szCs w:val="20"/>
                <w:lang w:val="en-US"/>
              </w:rPr>
            </w:pPr>
          </w:p>
        </w:tc>
        <w:tc>
          <w:tcPr>
            <w:tcW w:w="4458" w:type="dxa"/>
          </w:tcPr>
          <w:p w14:paraId="0685B961" w14:textId="1B438DA5" w:rsidR="00CD662A" w:rsidRPr="008B6BC5" w:rsidRDefault="00CD662A" w:rsidP="00CD662A">
            <w:pPr>
              <w:pStyle w:val="NoSpacing"/>
              <w:rPr>
                <w:rFonts w:cs="Times New Roman"/>
                <w:sz w:val="20"/>
                <w:szCs w:val="20"/>
                <w:lang w:val="en-US"/>
              </w:rPr>
            </w:pPr>
            <w:proofErr w:type="spellStart"/>
            <w:r w:rsidRPr="008B6BC5">
              <w:rPr>
                <w:rFonts w:cs="Times New Roman"/>
                <w:sz w:val="20"/>
                <w:szCs w:val="20"/>
                <w:lang w:val="en-US"/>
              </w:rPr>
              <w:lastRenderedPageBreak/>
              <w:t>doi</w:t>
            </w:r>
            <w:proofErr w:type="spellEnd"/>
            <w:r w:rsidRPr="008B6BC5">
              <w:rPr>
                <w:rFonts w:cs="Times New Roman"/>
                <w:sz w:val="20"/>
                <w:szCs w:val="20"/>
                <w:lang w:val="en-US"/>
              </w:rPr>
              <w:t>: 10.2196/40472</w:t>
            </w:r>
          </w:p>
        </w:tc>
        <w:tc>
          <w:tcPr>
            <w:tcW w:w="690" w:type="dxa"/>
          </w:tcPr>
          <w:p w14:paraId="5325748F" w14:textId="03593F6E" w:rsidR="00CD662A" w:rsidRPr="008B6BC5" w:rsidRDefault="00CD662A" w:rsidP="00CD662A">
            <w:pPr>
              <w:pStyle w:val="NoSpacing"/>
              <w:rPr>
                <w:rFonts w:cs="Times New Roman"/>
                <w:sz w:val="20"/>
                <w:szCs w:val="20"/>
                <w:lang w:val="en-US"/>
              </w:rPr>
            </w:pPr>
            <w:r w:rsidRPr="008B6BC5">
              <w:rPr>
                <w:rFonts w:cs="Times New Roman"/>
                <w:sz w:val="20"/>
                <w:szCs w:val="20"/>
                <w:lang w:val="en-US"/>
              </w:rPr>
              <w:t>4</w:t>
            </w:r>
          </w:p>
        </w:tc>
        <w:tc>
          <w:tcPr>
            <w:tcW w:w="4066" w:type="dxa"/>
          </w:tcPr>
          <w:p w14:paraId="5EF5863D" w14:textId="11E308D9"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D662A" w:rsidRPr="008B6BC5" w14:paraId="5E63C944" w14:textId="77777777" w:rsidTr="00202DA2">
        <w:tc>
          <w:tcPr>
            <w:tcW w:w="1616" w:type="dxa"/>
          </w:tcPr>
          <w:p w14:paraId="01E853E2" w14:textId="539C6E98" w:rsidR="00CD662A" w:rsidRPr="008B6BC5" w:rsidRDefault="000938FF" w:rsidP="00CD662A">
            <w:pPr>
              <w:pStyle w:val="NoSpacing"/>
              <w:rPr>
                <w:rFonts w:cs="Times New Roman"/>
                <w:sz w:val="20"/>
                <w:szCs w:val="20"/>
                <w:lang w:val="en-US"/>
              </w:rPr>
            </w:pPr>
            <w:r w:rsidRPr="008B6BC5">
              <w:rPr>
                <w:rFonts w:cs="Times New Roman"/>
                <w:sz w:val="20"/>
                <w:szCs w:val="20"/>
                <w:lang w:val="en-US"/>
              </w:rPr>
              <w:t>20</w:t>
            </w:r>
          </w:p>
        </w:tc>
        <w:tc>
          <w:tcPr>
            <w:tcW w:w="5614" w:type="dxa"/>
          </w:tcPr>
          <w:p w14:paraId="130E16AB" w14:textId="12620C06" w:rsidR="00CD662A" w:rsidRPr="008B6BC5" w:rsidRDefault="00CD662A" w:rsidP="00CD662A">
            <w:pPr>
              <w:pStyle w:val="NoSpacing"/>
              <w:rPr>
                <w:rFonts w:cs="Times New Roman"/>
                <w:sz w:val="20"/>
                <w:szCs w:val="20"/>
                <w:lang w:val="en-US"/>
              </w:rPr>
            </w:pPr>
            <w:r w:rsidRPr="008B6BC5">
              <w:rPr>
                <w:rFonts w:cs="Times New Roman"/>
                <w:sz w:val="20"/>
                <w:szCs w:val="20"/>
                <w:lang w:val="en-US"/>
              </w:rPr>
              <w:t>In INTERBED, de Zwaan et al. found similar dropout across internet-based guided self-help and face-to-face CBT and no indication of increased risk of symptom exacerbation or self-harm in the digital arm (de Zwaan et al., 2017)</w:t>
            </w:r>
          </w:p>
          <w:p w14:paraId="48E6BE1F" w14:textId="7BF4BD7E" w:rsidR="00CD662A" w:rsidRPr="008B6BC5" w:rsidRDefault="00CD662A" w:rsidP="00CD662A">
            <w:pPr>
              <w:pStyle w:val="NoSpacing"/>
              <w:rPr>
                <w:rFonts w:cs="Times New Roman"/>
                <w:sz w:val="20"/>
                <w:szCs w:val="20"/>
                <w:lang w:val="en-US"/>
              </w:rPr>
            </w:pPr>
          </w:p>
        </w:tc>
        <w:tc>
          <w:tcPr>
            <w:tcW w:w="4458" w:type="dxa"/>
          </w:tcPr>
          <w:p w14:paraId="57188DDE" w14:textId="765B66CF" w:rsidR="00CD662A" w:rsidRPr="008B6BC5" w:rsidRDefault="00CD662A" w:rsidP="00CD662A">
            <w:pPr>
              <w:pStyle w:val="NoSpacing"/>
              <w:rPr>
                <w:rFonts w:cs="Times New Roman"/>
                <w:sz w:val="20"/>
                <w:szCs w:val="20"/>
                <w:lang w:val="en-US"/>
              </w:rPr>
            </w:pPr>
            <w:r w:rsidRPr="008B6BC5">
              <w:rPr>
                <w:rFonts w:cs="Times New Roman"/>
                <w:sz w:val="20"/>
                <w:szCs w:val="20"/>
                <w:lang w:val="en-US"/>
              </w:rPr>
              <w:t>doi:10.1001/jamapsychiatry.2017.2150</w:t>
            </w:r>
          </w:p>
        </w:tc>
        <w:tc>
          <w:tcPr>
            <w:tcW w:w="690" w:type="dxa"/>
          </w:tcPr>
          <w:p w14:paraId="64076FFD" w14:textId="60266858" w:rsidR="00CD662A" w:rsidRPr="008B6BC5" w:rsidRDefault="00CD662A" w:rsidP="00CD662A">
            <w:pPr>
              <w:pStyle w:val="NoSpacing"/>
              <w:rPr>
                <w:rFonts w:cs="Times New Roman"/>
                <w:sz w:val="20"/>
                <w:szCs w:val="20"/>
                <w:lang w:val="en-US"/>
              </w:rPr>
            </w:pPr>
            <w:r w:rsidRPr="008B6BC5">
              <w:rPr>
                <w:rFonts w:cs="Times New Roman"/>
                <w:sz w:val="20"/>
                <w:szCs w:val="20"/>
                <w:lang w:val="en-US"/>
              </w:rPr>
              <w:t>3</w:t>
            </w:r>
          </w:p>
        </w:tc>
        <w:tc>
          <w:tcPr>
            <w:tcW w:w="4066" w:type="dxa"/>
          </w:tcPr>
          <w:p w14:paraId="0C601DCC" w14:textId="6531A15A" w:rsidR="00CD662A" w:rsidRPr="008B6BC5" w:rsidRDefault="00B47CE1" w:rsidP="00CD662A">
            <w:pPr>
              <w:pStyle w:val="NoSpacing"/>
              <w:rPr>
                <w:rFonts w:cs="Times New Roman"/>
                <w:sz w:val="20"/>
                <w:szCs w:val="20"/>
                <w:lang w:val="en-US"/>
              </w:rPr>
            </w:pPr>
            <w:r w:rsidRPr="008B6BC5">
              <w:rPr>
                <w:rFonts w:cs="Times New Roman"/>
                <w:sz w:val="20"/>
                <w:szCs w:val="20"/>
                <w:lang w:val="en-US"/>
              </w:rPr>
              <w:t xml:space="preserve">While no group differences were found on various measures of dropout (e.g., </w:t>
            </w:r>
            <w:r w:rsidR="00486417" w:rsidRPr="008B6BC5">
              <w:rPr>
                <w:rFonts w:cs="Times New Roman"/>
                <w:sz w:val="20"/>
                <w:szCs w:val="20"/>
                <w:lang w:val="en-US"/>
              </w:rPr>
              <w:t xml:space="preserve">number with insufficient treatment dose, number excluded from per-protocol analysis), the authors did find a significant difference in attrition </w:t>
            </w:r>
            <w:r w:rsidR="007B762A" w:rsidRPr="008B6BC5">
              <w:rPr>
                <w:rFonts w:cs="Times New Roman"/>
                <w:sz w:val="20"/>
                <w:szCs w:val="20"/>
                <w:lang w:val="en-US"/>
              </w:rPr>
              <w:t xml:space="preserve">between groups. Full points </w:t>
            </w:r>
            <w:r w:rsidR="00200A34" w:rsidRPr="008B6BC5">
              <w:rPr>
                <w:rFonts w:cs="Times New Roman"/>
                <w:sz w:val="20"/>
                <w:szCs w:val="20"/>
                <w:lang w:val="en-US"/>
              </w:rPr>
              <w:t xml:space="preserve">provided </w:t>
            </w:r>
            <w:r w:rsidR="007B762A" w:rsidRPr="008B6BC5">
              <w:rPr>
                <w:rFonts w:cs="Times New Roman"/>
                <w:sz w:val="20"/>
                <w:szCs w:val="20"/>
                <w:lang w:val="en-US"/>
              </w:rPr>
              <w:t>if this was specified</w:t>
            </w:r>
            <w:r w:rsidR="00D53B26" w:rsidRPr="008B6BC5">
              <w:rPr>
                <w:rFonts w:cs="Times New Roman"/>
                <w:sz w:val="20"/>
                <w:szCs w:val="20"/>
                <w:lang w:val="en-US"/>
              </w:rPr>
              <w:t xml:space="preserve"> because it was difficult to judge which outcome was being referred to.</w:t>
            </w:r>
            <w:r w:rsidR="007B762A" w:rsidRPr="008B6BC5">
              <w:rPr>
                <w:rFonts w:cs="Times New Roman"/>
                <w:sz w:val="20"/>
                <w:szCs w:val="20"/>
                <w:lang w:val="en-US"/>
              </w:rPr>
              <w:t xml:space="preserve"> </w:t>
            </w:r>
          </w:p>
        </w:tc>
      </w:tr>
      <w:tr w:rsidR="00CD662A" w:rsidRPr="008B6BC5" w14:paraId="3498C9EE" w14:textId="77777777" w:rsidTr="00202DA2">
        <w:tc>
          <w:tcPr>
            <w:tcW w:w="1616" w:type="dxa"/>
          </w:tcPr>
          <w:p w14:paraId="4375F590" w14:textId="77777777" w:rsidR="00CD662A" w:rsidRPr="008B6BC5" w:rsidRDefault="000938FF" w:rsidP="00CD662A">
            <w:pPr>
              <w:pStyle w:val="NoSpacing"/>
              <w:rPr>
                <w:rFonts w:cs="Times New Roman"/>
                <w:sz w:val="20"/>
                <w:szCs w:val="20"/>
                <w:lang w:val="en-US"/>
              </w:rPr>
            </w:pPr>
            <w:r w:rsidRPr="008B6BC5">
              <w:rPr>
                <w:rFonts w:cs="Times New Roman"/>
                <w:sz w:val="20"/>
                <w:szCs w:val="20"/>
                <w:lang w:val="en-US"/>
              </w:rPr>
              <w:t>21.1</w:t>
            </w:r>
          </w:p>
          <w:p w14:paraId="352D0B59" w14:textId="0133276C" w:rsidR="000938FF" w:rsidRPr="008B6BC5" w:rsidRDefault="000938FF" w:rsidP="00CD662A">
            <w:pPr>
              <w:pStyle w:val="NoSpacing"/>
              <w:rPr>
                <w:rFonts w:cs="Times New Roman"/>
                <w:sz w:val="20"/>
                <w:szCs w:val="20"/>
                <w:lang w:val="en-US"/>
              </w:rPr>
            </w:pPr>
            <w:r w:rsidRPr="008B6BC5">
              <w:rPr>
                <w:rFonts w:cs="Times New Roman"/>
                <w:sz w:val="20"/>
                <w:szCs w:val="20"/>
                <w:lang w:val="en-US"/>
              </w:rPr>
              <w:t>21.2</w:t>
            </w:r>
          </w:p>
        </w:tc>
        <w:tc>
          <w:tcPr>
            <w:tcW w:w="5614" w:type="dxa"/>
          </w:tcPr>
          <w:p w14:paraId="0ED1C0F7" w14:textId="67FA4A53"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In Hildebrandt et al.’s smartphone-assisted CBT-guided self-help trials, retention to 52 weeks was slightly higher in smartphone-assisted arms than in standard care or traditional guided self-help, and no treatment-related serious adverse events were reported (Hildebrandt et al., 2017; Hildebrandt et al., 2020). </w:t>
            </w:r>
          </w:p>
          <w:p w14:paraId="1C19206A" w14:textId="3740262C" w:rsidR="00CD662A" w:rsidRPr="008B6BC5" w:rsidRDefault="00CD662A" w:rsidP="00CD662A">
            <w:pPr>
              <w:pStyle w:val="NoSpacing"/>
              <w:rPr>
                <w:rFonts w:cs="Times New Roman"/>
                <w:sz w:val="20"/>
                <w:szCs w:val="20"/>
                <w:lang w:val="en-US"/>
              </w:rPr>
            </w:pPr>
          </w:p>
        </w:tc>
        <w:tc>
          <w:tcPr>
            <w:tcW w:w="4458" w:type="dxa"/>
          </w:tcPr>
          <w:p w14:paraId="174243DC" w14:textId="4728693E" w:rsidR="00CD662A" w:rsidRPr="008B6BC5" w:rsidRDefault="00CD662A" w:rsidP="00CD662A">
            <w:pPr>
              <w:pStyle w:val="NoSpacing"/>
              <w:rPr>
                <w:rFonts w:cs="Times New Roman"/>
                <w:sz w:val="20"/>
                <w:szCs w:val="20"/>
                <w:lang w:val="en-US"/>
              </w:rPr>
            </w:pPr>
            <w:r w:rsidRPr="008B6BC5">
              <w:rPr>
                <w:rFonts w:cs="Times New Roman"/>
                <w:sz w:val="20"/>
                <w:szCs w:val="20"/>
                <w:lang w:val="en-US"/>
              </w:rPr>
              <w:t>doi:10.1002/eat.22781</w:t>
            </w:r>
          </w:p>
          <w:p w14:paraId="0AFD3623" w14:textId="22D9C409" w:rsidR="00CD662A" w:rsidRPr="008B6BC5" w:rsidRDefault="00CD662A" w:rsidP="00CD662A">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10.1176/appi.ajp.2019.19020184</w:t>
            </w:r>
          </w:p>
        </w:tc>
        <w:tc>
          <w:tcPr>
            <w:tcW w:w="690" w:type="dxa"/>
          </w:tcPr>
          <w:p w14:paraId="35B2B43E" w14:textId="77777777" w:rsidR="00CD662A" w:rsidRPr="008B6BC5" w:rsidRDefault="007B762A" w:rsidP="00CD662A">
            <w:pPr>
              <w:pStyle w:val="NoSpacing"/>
              <w:rPr>
                <w:rFonts w:cs="Times New Roman"/>
                <w:sz w:val="20"/>
                <w:szCs w:val="20"/>
                <w:lang w:val="en-US"/>
              </w:rPr>
            </w:pPr>
            <w:r w:rsidRPr="008B6BC5">
              <w:rPr>
                <w:rFonts w:cs="Times New Roman"/>
                <w:sz w:val="20"/>
                <w:szCs w:val="20"/>
                <w:lang w:val="en-US"/>
              </w:rPr>
              <w:t>4</w:t>
            </w:r>
          </w:p>
          <w:p w14:paraId="2F1295F6" w14:textId="23B97495" w:rsidR="007B762A" w:rsidRPr="008B6BC5" w:rsidRDefault="007B762A" w:rsidP="00CD662A">
            <w:pPr>
              <w:pStyle w:val="NoSpacing"/>
              <w:rPr>
                <w:rFonts w:cs="Times New Roman"/>
                <w:sz w:val="20"/>
                <w:szCs w:val="20"/>
                <w:lang w:val="en-US"/>
              </w:rPr>
            </w:pPr>
            <w:r w:rsidRPr="008B6BC5">
              <w:rPr>
                <w:rFonts w:cs="Times New Roman"/>
                <w:sz w:val="20"/>
                <w:szCs w:val="20"/>
                <w:lang w:val="en-US"/>
              </w:rPr>
              <w:t>1</w:t>
            </w:r>
          </w:p>
        </w:tc>
        <w:tc>
          <w:tcPr>
            <w:tcW w:w="4066" w:type="dxa"/>
          </w:tcPr>
          <w:p w14:paraId="77A2A1F0" w14:textId="77777777" w:rsidR="00CD662A" w:rsidRPr="008B6BC5" w:rsidRDefault="007B762A" w:rsidP="00CD662A">
            <w:pPr>
              <w:pStyle w:val="NoSpacing"/>
              <w:rPr>
                <w:rFonts w:cs="Times New Roman"/>
                <w:sz w:val="20"/>
                <w:szCs w:val="20"/>
                <w:lang w:val="en-US"/>
              </w:rPr>
            </w:pPr>
            <w:r w:rsidRPr="008B6BC5">
              <w:rPr>
                <w:rFonts w:cs="Times New Roman"/>
                <w:sz w:val="20"/>
                <w:szCs w:val="20"/>
                <w:lang w:val="en-US"/>
              </w:rPr>
              <w:t xml:space="preserve">No inaccuracies identified for Hildebrandt et al (2017). </w:t>
            </w:r>
          </w:p>
          <w:p w14:paraId="5D31681D" w14:textId="77777777" w:rsidR="007B762A" w:rsidRPr="008B6BC5" w:rsidRDefault="007B762A" w:rsidP="00CD662A">
            <w:pPr>
              <w:pStyle w:val="NoSpacing"/>
              <w:rPr>
                <w:rFonts w:cs="Times New Roman"/>
                <w:sz w:val="20"/>
                <w:szCs w:val="20"/>
                <w:lang w:val="en-US"/>
              </w:rPr>
            </w:pPr>
          </w:p>
          <w:p w14:paraId="770FCF83" w14:textId="5407D0A7" w:rsidR="007B762A" w:rsidRPr="008B6BC5" w:rsidRDefault="00EE3D41" w:rsidP="00CD662A">
            <w:pPr>
              <w:pStyle w:val="NoSpacing"/>
              <w:rPr>
                <w:rFonts w:cs="Times New Roman"/>
                <w:sz w:val="20"/>
                <w:szCs w:val="20"/>
                <w:lang w:val="en-US"/>
              </w:rPr>
            </w:pPr>
            <w:r w:rsidRPr="008B6BC5">
              <w:rPr>
                <w:rFonts w:cs="Times New Roman"/>
                <w:sz w:val="20"/>
                <w:szCs w:val="20"/>
                <w:lang w:val="en-US"/>
              </w:rPr>
              <w:t>Retention was higher – not lower –  in the standard care group</w:t>
            </w:r>
            <w:r w:rsidR="00526056" w:rsidRPr="008B6BC5">
              <w:rPr>
                <w:rFonts w:cs="Times New Roman"/>
                <w:sz w:val="20"/>
                <w:szCs w:val="20"/>
                <w:lang w:val="en-US"/>
              </w:rPr>
              <w:t xml:space="preserve"> and Hildebrandt et al (2020) made no reference to or reported AEs.</w:t>
            </w:r>
          </w:p>
        </w:tc>
      </w:tr>
      <w:tr w:rsidR="00CD662A" w:rsidRPr="008B6BC5" w14:paraId="4EC81141" w14:textId="77777777" w:rsidTr="00202DA2">
        <w:tc>
          <w:tcPr>
            <w:tcW w:w="1616" w:type="dxa"/>
          </w:tcPr>
          <w:p w14:paraId="2451F020" w14:textId="0EC57D74" w:rsidR="00CD662A" w:rsidRPr="008B6BC5" w:rsidRDefault="000938FF" w:rsidP="00CD662A">
            <w:pPr>
              <w:pStyle w:val="NoSpacing"/>
              <w:rPr>
                <w:rFonts w:cs="Times New Roman"/>
                <w:sz w:val="20"/>
                <w:szCs w:val="20"/>
                <w:lang w:val="en-US"/>
              </w:rPr>
            </w:pPr>
            <w:r w:rsidRPr="008B6BC5">
              <w:rPr>
                <w:rFonts w:cs="Times New Roman"/>
                <w:sz w:val="20"/>
                <w:szCs w:val="20"/>
                <w:lang w:val="en-US"/>
              </w:rPr>
              <w:t>22.1</w:t>
            </w:r>
          </w:p>
          <w:p w14:paraId="64877451" w14:textId="496A9060" w:rsidR="000938FF" w:rsidRPr="008B6BC5" w:rsidRDefault="000938FF" w:rsidP="00CD662A">
            <w:pPr>
              <w:pStyle w:val="NoSpacing"/>
              <w:rPr>
                <w:rFonts w:cs="Times New Roman"/>
                <w:sz w:val="20"/>
                <w:szCs w:val="20"/>
                <w:lang w:val="en-US"/>
              </w:rPr>
            </w:pPr>
            <w:r w:rsidRPr="008B6BC5">
              <w:rPr>
                <w:rFonts w:cs="Times New Roman"/>
                <w:sz w:val="20"/>
                <w:szCs w:val="20"/>
                <w:lang w:val="en-US"/>
              </w:rPr>
              <w:t>22.2</w:t>
            </w:r>
          </w:p>
        </w:tc>
        <w:tc>
          <w:tcPr>
            <w:tcW w:w="5614" w:type="dxa"/>
          </w:tcPr>
          <w:p w14:paraId="3B8644DB" w14:textId="1C70F175" w:rsidR="00CD662A" w:rsidRPr="008B6BC5" w:rsidRDefault="00CD662A" w:rsidP="00CD662A">
            <w:pPr>
              <w:pStyle w:val="NoSpacing"/>
              <w:rPr>
                <w:rFonts w:cs="Times New Roman"/>
                <w:sz w:val="20"/>
                <w:szCs w:val="20"/>
                <w:lang w:val="en-US"/>
              </w:rPr>
            </w:pPr>
            <w:r w:rsidRPr="008B6BC5">
              <w:rPr>
                <w:rFonts w:cs="Times New Roman"/>
                <w:sz w:val="20"/>
                <w:szCs w:val="20"/>
                <w:lang w:val="en-US"/>
              </w:rPr>
              <w:t>Tregarthen et al. randomized app users with eating-disorder symptoms (including binge-eating presentations) to a tailored CBT-informed app versus a standard self-monitoring app; both conditions showed high app engagement initially and low rates of adverse events, with satisfaction generally favorable and early engagement predicting better symptom outcomes (Tregarthen et al., 2019; Kim et al., 2022)</w:t>
            </w:r>
          </w:p>
        </w:tc>
        <w:tc>
          <w:tcPr>
            <w:tcW w:w="4458" w:type="dxa"/>
          </w:tcPr>
          <w:p w14:paraId="5B499A56" w14:textId="77777777" w:rsidR="00CD662A" w:rsidRPr="008B6BC5" w:rsidRDefault="00CD662A" w:rsidP="00CD662A">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xml:space="preserve">: 10.2196/14972 </w:t>
            </w:r>
          </w:p>
          <w:p w14:paraId="036DD23F" w14:textId="622AD221"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DOI: 10.1002/eat.23652 </w:t>
            </w:r>
          </w:p>
        </w:tc>
        <w:tc>
          <w:tcPr>
            <w:tcW w:w="690" w:type="dxa"/>
          </w:tcPr>
          <w:p w14:paraId="59987125" w14:textId="77777777" w:rsidR="00CD662A" w:rsidRPr="008B6BC5" w:rsidRDefault="00526056" w:rsidP="00CD662A">
            <w:pPr>
              <w:pStyle w:val="NoSpacing"/>
              <w:rPr>
                <w:rFonts w:cs="Times New Roman"/>
                <w:sz w:val="20"/>
                <w:szCs w:val="20"/>
                <w:lang w:val="en-US"/>
              </w:rPr>
            </w:pPr>
            <w:r w:rsidRPr="008B6BC5">
              <w:rPr>
                <w:rFonts w:cs="Times New Roman"/>
                <w:sz w:val="20"/>
                <w:szCs w:val="20"/>
                <w:lang w:val="en-US"/>
              </w:rPr>
              <w:t>1</w:t>
            </w:r>
          </w:p>
          <w:p w14:paraId="27276F7D" w14:textId="483990B3" w:rsidR="00DD6E28" w:rsidRPr="008B6BC5" w:rsidRDefault="00DD6E28" w:rsidP="00CD662A">
            <w:pPr>
              <w:pStyle w:val="NoSpacing"/>
              <w:rPr>
                <w:rFonts w:cs="Times New Roman"/>
                <w:sz w:val="20"/>
                <w:szCs w:val="20"/>
                <w:lang w:val="en-US"/>
              </w:rPr>
            </w:pPr>
            <w:r w:rsidRPr="008B6BC5">
              <w:rPr>
                <w:rFonts w:cs="Times New Roman"/>
                <w:sz w:val="20"/>
                <w:szCs w:val="20"/>
                <w:lang w:val="en-US"/>
              </w:rPr>
              <w:t>4</w:t>
            </w:r>
          </w:p>
        </w:tc>
        <w:tc>
          <w:tcPr>
            <w:tcW w:w="4066" w:type="dxa"/>
          </w:tcPr>
          <w:p w14:paraId="03B25F05" w14:textId="77777777" w:rsidR="00CD662A" w:rsidRPr="008B6BC5" w:rsidRDefault="00526056" w:rsidP="00CD662A">
            <w:pPr>
              <w:pStyle w:val="NoSpacing"/>
              <w:rPr>
                <w:rFonts w:cs="Times New Roman"/>
                <w:sz w:val="20"/>
                <w:szCs w:val="20"/>
                <w:lang w:val="en-US"/>
              </w:rPr>
            </w:pPr>
            <w:r w:rsidRPr="008B6BC5">
              <w:rPr>
                <w:rFonts w:cs="Times New Roman"/>
                <w:sz w:val="20"/>
                <w:szCs w:val="20"/>
                <w:lang w:val="en-US"/>
              </w:rPr>
              <w:t xml:space="preserve">Tregarthen et al (2019) did not sample </w:t>
            </w:r>
            <w:r w:rsidR="00DD6E28" w:rsidRPr="008B6BC5">
              <w:rPr>
                <w:rFonts w:cs="Times New Roman"/>
                <w:sz w:val="20"/>
                <w:szCs w:val="20"/>
                <w:lang w:val="en-US"/>
              </w:rPr>
              <w:t xml:space="preserve">participants with eating disorder symptoms (it was an unselected sample), they did not report engagement metrics, and satisfaction ratings were not assessed. </w:t>
            </w:r>
          </w:p>
          <w:p w14:paraId="644B234A" w14:textId="77777777" w:rsidR="00DD6E28" w:rsidRPr="008B6BC5" w:rsidRDefault="00DD6E28" w:rsidP="00CD662A">
            <w:pPr>
              <w:pStyle w:val="NoSpacing"/>
              <w:rPr>
                <w:rFonts w:cs="Times New Roman"/>
                <w:sz w:val="20"/>
                <w:szCs w:val="20"/>
                <w:lang w:val="en-US"/>
              </w:rPr>
            </w:pPr>
          </w:p>
          <w:p w14:paraId="2EECD585" w14:textId="7D6F789B" w:rsidR="00DD6E28" w:rsidRPr="008B6BC5" w:rsidRDefault="00DD6E28" w:rsidP="00CD662A">
            <w:pPr>
              <w:pStyle w:val="NoSpacing"/>
              <w:rPr>
                <w:rFonts w:cs="Times New Roman"/>
                <w:sz w:val="20"/>
                <w:szCs w:val="20"/>
                <w:lang w:val="en-US"/>
              </w:rPr>
            </w:pPr>
            <w:r w:rsidRPr="008B6BC5">
              <w:rPr>
                <w:rFonts w:cs="Times New Roman"/>
                <w:sz w:val="20"/>
                <w:szCs w:val="20"/>
                <w:lang w:val="en-US"/>
              </w:rPr>
              <w:t>No inaccuracies identified for Kim et al (2022)</w:t>
            </w:r>
          </w:p>
        </w:tc>
      </w:tr>
      <w:tr w:rsidR="00CD662A" w:rsidRPr="008B6BC5" w14:paraId="685A7C06" w14:textId="77777777" w:rsidTr="00202DA2">
        <w:tc>
          <w:tcPr>
            <w:tcW w:w="1616" w:type="dxa"/>
          </w:tcPr>
          <w:p w14:paraId="6C4ABE75" w14:textId="3EFEA504" w:rsidR="00CD662A" w:rsidRPr="008B6BC5" w:rsidRDefault="000938FF" w:rsidP="00CD662A">
            <w:pPr>
              <w:pStyle w:val="NoSpacing"/>
              <w:rPr>
                <w:rFonts w:cs="Times New Roman"/>
                <w:sz w:val="20"/>
                <w:szCs w:val="20"/>
                <w:lang w:val="en-US"/>
              </w:rPr>
            </w:pPr>
            <w:r w:rsidRPr="008B6BC5">
              <w:rPr>
                <w:rFonts w:cs="Times New Roman"/>
                <w:sz w:val="20"/>
                <w:szCs w:val="20"/>
                <w:lang w:val="en-US"/>
              </w:rPr>
              <w:t>23</w:t>
            </w:r>
          </w:p>
        </w:tc>
        <w:tc>
          <w:tcPr>
            <w:tcW w:w="5614" w:type="dxa"/>
          </w:tcPr>
          <w:p w14:paraId="0A79722A" w14:textId="307C6607" w:rsidR="00CD662A" w:rsidRPr="008B6BC5" w:rsidRDefault="00CD662A" w:rsidP="00CD662A">
            <w:pPr>
              <w:pStyle w:val="NoSpacing"/>
              <w:rPr>
                <w:rFonts w:cs="Times New Roman"/>
                <w:sz w:val="20"/>
                <w:szCs w:val="20"/>
                <w:lang w:val="en-US"/>
              </w:rPr>
            </w:pPr>
            <w:r w:rsidRPr="008B6BC5">
              <w:rPr>
                <w:rFonts w:cs="Times New Roman"/>
                <w:sz w:val="20"/>
                <w:szCs w:val="20"/>
                <w:lang w:val="en-US"/>
              </w:rPr>
              <w:t>Anastasiadou et al. reported similar conclusions in a multicenter mHealth trial (</w:t>
            </w:r>
            <w:proofErr w:type="spellStart"/>
            <w:r w:rsidRPr="008B6BC5">
              <w:rPr>
                <w:rFonts w:cs="Times New Roman"/>
                <w:sz w:val="20"/>
                <w:szCs w:val="20"/>
                <w:lang w:val="en-US"/>
              </w:rPr>
              <w:t>TCApp</w:t>
            </w:r>
            <w:proofErr w:type="spellEnd"/>
            <w:r w:rsidRPr="008B6BC5">
              <w:rPr>
                <w:rFonts w:cs="Times New Roman"/>
                <w:sz w:val="20"/>
                <w:szCs w:val="20"/>
                <w:lang w:val="en-US"/>
              </w:rPr>
              <w:t xml:space="preserve">) where a CBT-based app adjunct to face-to-face treatment improved outcomes without compromising safety or increasing dropout relative to CBT alone </w:t>
            </w:r>
          </w:p>
        </w:tc>
        <w:tc>
          <w:tcPr>
            <w:tcW w:w="4458" w:type="dxa"/>
          </w:tcPr>
          <w:p w14:paraId="701D58D9" w14:textId="15B7C4F8" w:rsidR="00CD662A" w:rsidRPr="008B6BC5" w:rsidRDefault="00CD662A" w:rsidP="00CD662A">
            <w:pPr>
              <w:pStyle w:val="NoSpacing"/>
              <w:rPr>
                <w:rFonts w:cs="Times New Roman"/>
                <w:sz w:val="20"/>
                <w:szCs w:val="20"/>
                <w:lang w:val="en-US"/>
              </w:rPr>
            </w:pPr>
            <w:r w:rsidRPr="008B6BC5">
              <w:rPr>
                <w:rFonts w:cs="Times New Roman"/>
                <w:sz w:val="20"/>
                <w:szCs w:val="20"/>
                <w:lang w:val="en-US"/>
              </w:rPr>
              <w:t>DOI: 10.1002/eat.23286</w:t>
            </w:r>
          </w:p>
        </w:tc>
        <w:tc>
          <w:tcPr>
            <w:tcW w:w="690" w:type="dxa"/>
          </w:tcPr>
          <w:p w14:paraId="30E66163" w14:textId="78D7899C" w:rsidR="00CD662A" w:rsidRPr="008B6BC5" w:rsidRDefault="006D46F2" w:rsidP="00CD662A">
            <w:pPr>
              <w:pStyle w:val="NoSpacing"/>
              <w:rPr>
                <w:rFonts w:cs="Times New Roman"/>
                <w:sz w:val="20"/>
                <w:szCs w:val="20"/>
                <w:lang w:val="en-US"/>
              </w:rPr>
            </w:pPr>
            <w:r w:rsidRPr="008B6BC5">
              <w:rPr>
                <w:rFonts w:cs="Times New Roman"/>
                <w:sz w:val="20"/>
                <w:szCs w:val="20"/>
                <w:lang w:val="en-US"/>
              </w:rPr>
              <w:t>1</w:t>
            </w:r>
          </w:p>
        </w:tc>
        <w:tc>
          <w:tcPr>
            <w:tcW w:w="4066" w:type="dxa"/>
          </w:tcPr>
          <w:p w14:paraId="1132E3D1" w14:textId="2EB0960C" w:rsidR="00CD662A" w:rsidRPr="008B6BC5" w:rsidRDefault="006D46F2" w:rsidP="00CD662A">
            <w:pPr>
              <w:pStyle w:val="NoSpacing"/>
              <w:rPr>
                <w:rFonts w:cs="Times New Roman"/>
                <w:sz w:val="20"/>
                <w:szCs w:val="20"/>
                <w:lang w:val="en-US"/>
              </w:rPr>
            </w:pPr>
            <w:r w:rsidRPr="008B6BC5">
              <w:rPr>
                <w:rFonts w:cs="Times New Roman"/>
                <w:sz w:val="20"/>
                <w:szCs w:val="20"/>
                <w:lang w:val="en-US"/>
              </w:rPr>
              <w:t xml:space="preserve">Not only </w:t>
            </w:r>
            <w:r w:rsidR="00F73B01" w:rsidRPr="008B6BC5">
              <w:rPr>
                <w:rFonts w:cs="Times New Roman"/>
                <w:sz w:val="20"/>
                <w:szCs w:val="20"/>
                <w:lang w:val="en-US"/>
              </w:rPr>
              <w:t xml:space="preserve">were outcomes not improved with the adjunctive app, but safety data were never captured or reported. </w:t>
            </w:r>
          </w:p>
        </w:tc>
      </w:tr>
      <w:tr w:rsidR="000938FF" w:rsidRPr="008B6BC5" w14:paraId="0794E6B8" w14:textId="77777777" w:rsidTr="00202DA2">
        <w:tc>
          <w:tcPr>
            <w:tcW w:w="1616" w:type="dxa"/>
          </w:tcPr>
          <w:p w14:paraId="09F0F878" w14:textId="22ACD756" w:rsidR="000938FF" w:rsidRPr="008B6BC5" w:rsidRDefault="000938FF" w:rsidP="00CD662A">
            <w:pPr>
              <w:pStyle w:val="NoSpacing"/>
              <w:rPr>
                <w:rFonts w:cs="Times New Roman"/>
                <w:sz w:val="20"/>
                <w:szCs w:val="20"/>
                <w:lang w:val="en-US"/>
              </w:rPr>
            </w:pPr>
            <w:r w:rsidRPr="008B6BC5">
              <w:rPr>
                <w:rFonts w:cs="Times New Roman"/>
                <w:sz w:val="20"/>
                <w:szCs w:val="20"/>
                <w:lang w:val="en-US"/>
              </w:rPr>
              <w:t>Psychotherapy</w:t>
            </w:r>
          </w:p>
        </w:tc>
        <w:tc>
          <w:tcPr>
            <w:tcW w:w="5614" w:type="dxa"/>
          </w:tcPr>
          <w:p w14:paraId="7C78D5FA" w14:textId="77777777" w:rsidR="000938FF" w:rsidRPr="008B6BC5" w:rsidRDefault="000938FF" w:rsidP="00CD662A">
            <w:pPr>
              <w:pStyle w:val="NoSpacing"/>
              <w:rPr>
                <w:rFonts w:cs="Times New Roman"/>
                <w:sz w:val="20"/>
                <w:szCs w:val="20"/>
                <w:lang w:val="en-US"/>
              </w:rPr>
            </w:pPr>
          </w:p>
        </w:tc>
        <w:tc>
          <w:tcPr>
            <w:tcW w:w="4458" w:type="dxa"/>
          </w:tcPr>
          <w:p w14:paraId="42B5D57A" w14:textId="77777777" w:rsidR="000938FF" w:rsidRPr="008B6BC5" w:rsidRDefault="000938FF" w:rsidP="00CD662A">
            <w:pPr>
              <w:pStyle w:val="NoSpacing"/>
              <w:rPr>
                <w:rFonts w:cs="Times New Roman"/>
                <w:sz w:val="20"/>
                <w:szCs w:val="20"/>
                <w:lang w:val="en-US"/>
              </w:rPr>
            </w:pPr>
          </w:p>
        </w:tc>
        <w:tc>
          <w:tcPr>
            <w:tcW w:w="690" w:type="dxa"/>
          </w:tcPr>
          <w:p w14:paraId="54CB7453" w14:textId="77777777" w:rsidR="000938FF" w:rsidRPr="008B6BC5" w:rsidRDefault="000938FF" w:rsidP="00CD662A">
            <w:pPr>
              <w:pStyle w:val="NoSpacing"/>
              <w:rPr>
                <w:rFonts w:cs="Times New Roman"/>
                <w:sz w:val="20"/>
                <w:szCs w:val="20"/>
                <w:lang w:val="en-US"/>
              </w:rPr>
            </w:pPr>
          </w:p>
        </w:tc>
        <w:tc>
          <w:tcPr>
            <w:tcW w:w="4066" w:type="dxa"/>
          </w:tcPr>
          <w:p w14:paraId="1C3A672D" w14:textId="77777777" w:rsidR="000938FF" w:rsidRPr="008B6BC5" w:rsidRDefault="000938FF" w:rsidP="00CD662A">
            <w:pPr>
              <w:pStyle w:val="NoSpacing"/>
              <w:rPr>
                <w:rFonts w:cs="Times New Roman"/>
                <w:sz w:val="20"/>
                <w:szCs w:val="20"/>
                <w:lang w:val="en-US"/>
              </w:rPr>
            </w:pPr>
          </w:p>
        </w:tc>
      </w:tr>
      <w:tr w:rsidR="00CD662A" w:rsidRPr="008B6BC5" w14:paraId="564705BE" w14:textId="77777777" w:rsidTr="00202DA2">
        <w:tc>
          <w:tcPr>
            <w:tcW w:w="1616" w:type="dxa"/>
          </w:tcPr>
          <w:p w14:paraId="4547AAFD" w14:textId="04586343"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 </w:t>
            </w:r>
            <w:r w:rsidR="003A4A1A" w:rsidRPr="008B6BC5">
              <w:rPr>
                <w:rFonts w:cs="Times New Roman"/>
                <w:sz w:val="20"/>
                <w:szCs w:val="20"/>
                <w:lang w:val="en-US"/>
              </w:rPr>
              <w:t>1</w:t>
            </w:r>
          </w:p>
        </w:tc>
        <w:tc>
          <w:tcPr>
            <w:tcW w:w="5614" w:type="dxa"/>
          </w:tcPr>
          <w:p w14:paraId="697789DE" w14:textId="4B516EA5" w:rsidR="00CD662A" w:rsidRPr="008B6BC5" w:rsidRDefault="00CD662A" w:rsidP="00CD662A">
            <w:pPr>
              <w:pStyle w:val="NoSpacing"/>
              <w:rPr>
                <w:rFonts w:cs="Times New Roman"/>
                <w:sz w:val="20"/>
                <w:szCs w:val="20"/>
                <w:lang w:val="en-US"/>
              </w:rPr>
            </w:pPr>
            <w:r w:rsidRPr="008B6BC5">
              <w:rPr>
                <w:rFonts w:cs="Times New Roman"/>
                <w:sz w:val="20"/>
                <w:szCs w:val="20"/>
                <w:lang w:val="en-US"/>
              </w:rPr>
              <w:t>A seminal quantitative synthesis by Vocks et al. (2010) pooled RCTs of adults with BED (predominantly women with overweight/obesity) and found large effect sizes for CBT compared with waitlist controls on binge-eating frequency and global eating pathology (Hedges’ g typically in the large range), with smaller effects on weight outcomes and depressive symptoms (Vocks et al., 2010)</w:t>
            </w:r>
          </w:p>
        </w:tc>
        <w:tc>
          <w:tcPr>
            <w:tcW w:w="4458" w:type="dxa"/>
          </w:tcPr>
          <w:p w14:paraId="29F10150" w14:textId="600824EE" w:rsidR="00CD662A" w:rsidRPr="008B6BC5" w:rsidRDefault="00CD662A" w:rsidP="00CD662A">
            <w:pPr>
              <w:pStyle w:val="NoSpacing"/>
              <w:rPr>
                <w:rFonts w:cs="Times New Roman"/>
                <w:sz w:val="20"/>
                <w:szCs w:val="20"/>
                <w:lang w:val="en-US"/>
              </w:rPr>
            </w:pPr>
            <w:r w:rsidRPr="008B6BC5">
              <w:rPr>
                <w:rFonts w:cs="Times New Roman"/>
                <w:sz w:val="20"/>
                <w:szCs w:val="20"/>
                <w:lang w:val="en-US"/>
              </w:rPr>
              <w:t>DOI: 10.1002/eat.20696</w:t>
            </w:r>
          </w:p>
        </w:tc>
        <w:tc>
          <w:tcPr>
            <w:tcW w:w="690" w:type="dxa"/>
          </w:tcPr>
          <w:p w14:paraId="1DCC109D" w14:textId="70D66C1F" w:rsidR="00CD662A" w:rsidRPr="008B6BC5" w:rsidRDefault="001E74C4" w:rsidP="00CD662A">
            <w:pPr>
              <w:pStyle w:val="NoSpacing"/>
              <w:rPr>
                <w:rFonts w:cs="Times New Roman"/>
                <w:sz w:val="20"/>
                <w:szCs w:val="20"/>
                <w:lang w:val="en-US"/>
              </w:rPr>
            </w:pPr>
            <w:r w:rsidRPr="008B6BC5">
              <w:rPr>
                <w:rFonts w:cs="Times New Roman"/>
                <w:sz w:val="20"/>
                <w:szCs w:val="20"/>
                <w:lang w:val="en-US"/>
              </w:rPr>
              <w:t>3</w:t>
            </w:r>
          </w:p>
        </w:tc>
        <w:tc>
          <w:tcPr>
            <w:tcW w:w="4066" w:type="dxa"/>
          </w:tcPr>
          <w:p w14:paraId="38A61381" w14:textId="29B3C43E" w:rsidR="00CD662A" w:rsidRPr="008B6BC5" w:rsidRDefault="004A042C" w:rsidP="00CD662A">
            <w:pPr>
              <w:pStyle w:val="NoSpacing"/>
              <w:rPr>
                <w:rFonts w:cs="Times New Roman"/>
                <w:sz w:val="20"/>
                <w:szCs w:val="20"/>
                <w:lang w:val="en-US"/>
              </w:rPr>
            </w:pPr>
            <w:r w:rsidRPr="008B6BC5">
              <w:rPr>
                <w:rFonts w:cs="Times New Roman"/>
                <w:sz w:val="20"/>
                <w:szCs w:val="20"/>
                <w:lang w:val="en-US"/>
              </w:rPr>
              <w:t xml:space="preserve">Control groups comprised more than just waitlists; psychotherapy comprised more than just CBT; and </w:t>
            </w:r>
            <w:r w:rsidR="00AD6EC3" w:rsidRPr="008B6BC5">
              <w:rPr>
                <w:rFonts w:cs="Times New Roman"/>
                <w:sz w:val="20"/>
                <w:szCs w:val="20"/>
                <w:lang w:val="en-US"/>
              </w:rPr>
              <w:t xml:space="preserve">some of the effect sizes for these outcomes were not large. </w:t>
            </w:r>
          </w:p>
        </w:tc>
      </w:tr>
      <w:tr w:rsidR="00CD662A" w:rsidRPr="008B6BC5" w14:paraId="28A685ED" w14:textId="77777777" w:rsidTr="00202DA2">
        <w:tc>
          <w:tcPr>
            <w:tcW w:w="1616" w:type="dxa"/>
          </w:tcPr>
          <w:p w14:paraId="7DB4279B" w14:textId="4DE4B1BE" w:rsidR="00CD662A" w:rsidRPr="008B6BC5" w:rsidRDefault="003A4A1A" w:rsidP="00CD662A">
            <w:pPr>
              <w:pStyle w:val="NoSpacing"/>
              <w:rPr>
                <w:rFonts w:cs="Times New Roman"/>
                <w:sz w:val="20"/>
                <w:szCs w:val="20"/>
                <w:lang w:val="en-US"/>
              </w:rPr>
            </w:pPr>
            <w:r w:rsidRPr="008B6BC5">
              <w:rPr>
                <w:rFonts w:cs="Times New Roman"/>
                <w:sz w:val="20"/>
                <w:szCs w:val="20"/>
                <w:lang w:val="en-US"/>
              </w:rPr>
              <w:t>2</w:t>
            </w:r>
          </w:p>
        </w:tc>
        <w:tc>
          <w:tcPr>
            <w:tcW w:w="5614" w:type="dxa"/>
          </w:tcPr>
          <w:p w14:paraId="0360607F" w14:textId="324CAD8C"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A larger and more recent meta-analysis by Hilbert et al. (2019), including 81 RCTs and 7,515 participants with BED or bulimic symptomatology, reported that in-person psychological treatments produced substantially higher post-treatment abstinence from binge </w:t>
            </w:r>
            <w:r w:rsidRPr="008B6BC5">
              <w:rPr>
                <w:rFonts w:cs="Times New Roman"/>
                <w:sz w:val="20"/>
                <w:szCs w:val="20"/>
                <w:lang w:val="en-US"/>
              </w:rPr>
              <w:lastRenderedPageBreak/>
              <w:t>eating than inactive comparators (53% vs. ~20–25%; pooled risk ratio &gt; 2.0), with large standardized mean differences for binge frequency and eating-disorder psychopathology (Hilbert et al., 2019). Psychotherapy effects on BMI were small and inconsistent.</w:t>
            </w:r>
          </w:p>
        </w:tc>
        <w:tc>
          <w:tcPr>
            <w:tcW w:w="4458" w:type="dxa"/>
          </w:tcPr>
          <w:p w14:paraId="23628CEE" w14:textId="3F07B39C" w:rsidR="00CD662A" w:rsidRPr="008B6BC5" w:rsidRDefault="00CD662A" w:rsidP="00CD662A">
            <w:pPr>
              <w:pStyle w:val="NoSpacing"/>
              <w:rPr>
                <w:rFonts w:cs="Times New Roman"/>
                <w:sz w:val="20"/>
                <w:szCs w:val="20"/>
                <w:lang w:val="en-US"/>
              </w:rPr>
            </w:pPr>
            <w:r w:rsidRPr="008B6BC5">
              <w:rPr>
                <w:rFonts w:cs="Times New Roman"/>
                <w:sz w:val="20"/>
                <w:szCs w:val="20"/>
                <w:lang w:val="en-US"/>
              </w:rPr>
              <w:lastRenderedPageBreak/>
              <w:t>http://dx.doi.org/10.1037/ccp0000358</w:t>
            </w:r>
          </w:p>
        </w:tc>
        <w:tc>
          <w:tcPr>
            <w:tcW w:w="690" w:type="dxa"/>
          </w:tcPr>
          <w:p w14:paraId="16C5410F" w14:textId="707C35AB" w:rsidR="00CD662A" w:rsidRPr="008B6BC5" w:rsidRDefault="00AD6EC3" w:rsidP="00CD662A">
            <w:pPr>
              <w:pStyle w:val="NoSpacing"/>
              <w:rPr>
                <w:rFonts w:cs="Times New Roman"/>
                <w:sz w:val="20"/>
                <w:szCs w:val="20"/>
                <w:lang w:val="en-US"/>
              </w:rPr>
            </w:pPr>
            <w:r w:rsidRPr="008B6BC5">
              <w:rPr>
                <w:rFonts w:cs="Times New Roman"/>
                <w:sz w:val="20"/>
                <w:szCs w:val="20"/>
                <w:lang w:val="en-US"/>
              </w:rPr>
              <w:t>3</w:t>
            </w:r>
          </w:p>
        </w:tc>
        <w:tc>
          <w:tcPr>
            <w:tcW w:w="4066" w:type="dxa"/>
          </w:tcPr>
          <w:p w14:paraId="285D9193" w14:textId="2C6DFD1B" w:rsidR="00CD662A" w:rsidRPr="008B6BC5" w:rsidRDefault="00152422" w:rsidP="00CD662A">
            <w:pPr>
              <w:pStyle w:val="NoSpacing"/>
              <w:rPr>
                <w:rFonts w:cs="Times New Roman"/>
                <w:sz w:val="20"/>
                <w:szCs w:val="20"/>
                <w:lang w:val="en-US"/>
              </w:rPr>
            </w:pPr>
            <w:r w:rsidRPr="008B6BC5">
              <w:rPr>
                <w:rFonts w:cs="Times New Roman"/>
                <w:sz w:val="20"/>
                <w:szCs w:val="20"/>
                <w:lang w:val="en-US"/>
              </w:rPr>
              <w:t>Authors reported odds ratios, not risk ratios; a large – not medium – effect was found for binge eating frequency.</w:t>
            </w:r>
          </w:p>
        </w:tc>
      </w:tr>
      <w:tr w:rsidR="00CD662A" w:rsidRPr="008B6BC5" w14:paraId="67DFFB27" w14:textId="77777777" w:rsidTr="00202DA2">
        <w:tc>
          <w:tcPr>
            <w:tcW w:w="1616" w:type="dxa"/>
          </w:tcPr>
          <w:p w14:paraId="176CA08E" w14:textId="5983ACE6" w:rsidR="00CD662A" w:rsidRPr="008B6BC5" w:rsidRDefault="003A4A1A" w:rsidP="00CD662A">
            <w:pPr>
              <w:pStyle w:val="NoSpacing"/>
              <w:rPr>
                <w:rFonts w:cs="Times New Roman"/>
                <w:sz w:val="20"/>
                <w:szCs w:val="20"/>
                <w:lang w:val="en-US"/>
              </w:rPr>
            </w:pPr>
            <w:r w:rsidRPr="008B6BC5">
              <w:rPr>
                <w:rFonts w:cs="Times New Roman"/>
                <w:sz w:val="20"/>
                <w:szCs w:val="20"/>
                <w:lang w:val="en-US"/>
              </w:rPr>
              <w:t>3</w:t>
            </w:r>
          </w:p>
        </w:tc>
        <w:tc>
          <w:tcPr>
            <w:tcW w:w="5614" w:type="dxa"/>
          </w:tcPr>
          <w:p w14:paraId="183128BA" w14:textId="77777777"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Brownley et al. (2016) conducted a systematic review and meta-analysis of adults with BED, showing that therapist-led CBT, delivered in individual or group format, markedly increased binge-eating abstinence relative to waitlist (pooled risk ratio = 4.95, 95% CI [3.06, 8.00]) and reduced weekly binge episodes by about 2.3 episodes more than controls (Brownley et al., 2016). Similar patterns were found for partially therapist-led and guided self-help CBT, although effect sizes were somewhat smaller and the strength of evidence lower due to smaller sample sizes </w:t>
            </w:r>
          </w:p>
          <w:p w14:paraId="3D5817B1" w14:textId="16EF467C" w:rsidR="00CD662A" w:rsidRPr="008B6BC5" w:rsidRDefault="00CD662A" w:rsidP="00CD662A">
            <w:pPr>
              <w:pStyle w:val="NoSpacing"/>
              <w:rPr>
                <w:rFonts w:cs="Times New Roman"/>
                <w:sz w:val="20"/>
                <w:szCs w:val="20"/>
                <w:lang w:val="en-US"/>
              </w:rPr>
            </w:pPr>
          </w:p>
        </w:tc>
        <w:tc>
          <w:tcPr>
            <w:tcW w:w="4458" w:type="dxa"/>
          </w:tcPr>
          <w:p w14:paraId="7791AC4D" w14:textId="6A834C2C" w:rsidR="00CD662A" w:rsidRPr="008B6BC5" w:rsidRDefault="00CD662A" w:rsidP="00CD662A">
            <w:pPr>
              <w:pStyle w:val="NoSpacing"/>
              <w:rPr>
                <w:rFonts w:cs="Times New Roman"/>
                <w:sz w:val="20"/>
                <w:szCs w:val="20"/>
                <w:lang w:val="en-US"/>
              </w:rPr>
            </w:pPr>
            <w:r w:rsidRPr="008B6BC5">
              <w:rPr>
                <w:rFonts w:cs="Times New Roman"/>
                <w:sz w:val="20"/>
                <w:szCs w:val="20"/>
                <w:lang w:val="en-US"/>
              </w:rPr>
              <w:t>doi:10.7326/M15-2455</w:t>
            </w:r>
          </w:p>
        </w:tc>
        <w:tc>
          <w:tcPr>
            <w:tcW w:w="690" w:type="dxa"/>
          </w:tcPr>
          <w:p w14:paraId="2A8BFF5C" w14:textId="2F6976BC" w:rsidR="00CD662A" w:rsidRPr="008B6BC5" w:rsidRDefault="00A507B1" w:rsidP="00CD662A">
            <w:pPr>
              <w:pStyle w:val="NoSpacing"/>
              <w:rPr>
                <w:rFonts w:cs="Times New Roman"/>
                <w:sz w:val="20"/>
                <w:szCs w:val="20"/>
                <w:lang w:val="en-US"/>
              </w:rPr>
            </w:pPr>
            <w:r w:rsidRPr="008B6BC5">
              <w:rPr>
                <w:rFonts w:cs="Times New Roman"/>
                <w:sz w:val="20"/>
                <w:szCs w:val="20"/>
                <w:lang w:val="en-US"/>
              </w:rPr>
              <w:t>3</w:t>
            </w:r>
          </w:p>
        </w:tc>
        <w:tc>
          <w:tcPr>
            <w:tcW w:w="4066" w:type="dxa"/>
          </w:tcPr>
          <w:p w14:paraId="57D029C9" w14:textId="38D60314" w:rsidR="00CD662A" w:rsidRPr="008B6BC5" w:rsidRDefault="00A507B1" w:rsidP="00CD662A">
            <w:pPr>
              <w:pStyle w:val="NoSpacing"/>
              <w:rPr>
                <w:rFonts w:cs="Times New Roman"/>
                <w:sz w:val="20"/>
                <w:szCs w:val="20"/>
                <w:lang w:val="en-US"/>
              </w:rPr>
            </w:pPr>
            <w:r w:rsidRPr="008B6BC5">
              <w:rPr>
                <w:rFonts w:cs="Times New Roman"/>
                <w:sz w:val="20"/>
                <w:szCs w:val="20"/>
                <w:lang w:val="en-US"/>
              </w:rPr>
              <w:t>Authors did not conduct meta-analyses for partially therapist-led and guided self-help CBT</w:t>
            </w:r>
            <w:r w:rsidR="00F542D1" w:rsidRPr="008B6BC5">
              <w:rPr>
                <w:rFonts w:cs="Times New Roman"/>
                <w:sz w:val="20"/>
                <w:szCs w:val="20"/>
                <w:lang w:val="en-US"/>
              </w:rPr>
              <w:t xml:space="preserve"> as implied in this statement</w:t>
            </w:r>
            <w:r w:rsidRPr="008B6BC5">
              <w:rPr>
                <w:rFonts w:cs="Times New Roman"/>
                <w:sz w:val="20"/>
                <w:szCs w:val="20"/>
                <w:lang w:val="en-US"/>
              </w:rPr>
              <w:t xml:space="preserve">, but a qualitative description of studies do find </w:t>
            </w:r>
            <w:r w:rsidR="00F542D1" w:rsidRPr="008B6BC5">
              <w:rPr>
                <w:rFonts w:cs="Times New Roman"/>
                <w:sz w:val="20"/>
                <w:szCs w:val="20"/>
                <w:lang w:val="en-US"/>
              </w:rPr>
              <w:t xml:space="preserve">effects on binge eating outcomes. </w:t>
            </w:r>
          </w:p>
        </w:tc>
      </w:tr>
      <w:tr w:rsidR="00CD662A" w:rsidRPr="008B6BC5" w14:paraId="333938E3" w14:textId="77777777" w:rsidTr="00202DA2">
        <w:tc>
          <w:tcPr>
            <w:tcW w:w="1616" w:type="dxa"/>
          </w:tcPr>
          <w:p w14:paraId="16B30008" w14:textId="2B8CDC75" w:rsidR="00CD662A" w:rsidRPr="008B6BC5" w:rsidRDefault="003A4A1A" w:rsidP="00CD662A">
            <w:pPr>
              <w:pStyle w:val="NoSpacing"/>
              <w:rPr>
                <w:rFonts w:cs="Times New Roman"/>
                <w:sz w:val="20"/>
                <w:szCs w:val="20"/>
                <w:lang w:val="en-US"/>
              </w:rPr>
            </w:pPr>
            <w:r w:rsidRPr="008B6BC5">
              <w:rPr>
                <w:rFonts w:cs="Times New Roman"/>
                <w:sz w:val="20"/>
                <w:szCs w:val="20"/>
                <w:lang w:val="en-US"/>
              </w:rPr>
              <w:t>4</w:t>
            </w:r>
          </w:p>
        </w:tc>
        <w:tc>
          <w:tcPr>
            <w:tcW w:w="5614" w:type="dxa"/>
          </w:tcPr>
          <w:p w14:paraId="6C14E5DB" w14:textId="0A6EF11D" w:rsidR="00CD662A" w:rsidRPr="008B6BC5" w:rsidRDefault="00CD662A" w:rsidP="00CD662A">
            <w:pPr>
              <w:pStyle w:val="NoSpacing"/>
              <w:rPr>
                <w:rFonts w:cs="Times New Roman"/>
                <w:sz w:val="20"/>
                <w:szCs w:val="20"/>
                <w:lang w:val="en-US"/>
              </w:rPr>
            </w:pPr>
            <w:r w:rsidRPr="008B6BC5">
              <w:rPr>
                <w:rFonts w:cs="Times New Roman"/>
                <w:sz w:val="20"/>
                <w:szCs w:val="20"/>
                <w:lang w:val="en-US"/>
              </w:rPr>
              <w:t>Meta-analytic work focusing on overweight or obese individuals with BED or bulimia nervosa indicates that psychological therapies (largely CBT-based) yield medium-to-large reductions in binge-eating frequency and global eating pathology relative to control conditions, but only small, often non-significant, effects on weight (</w:t>
            </w:r>
            <w:proofErr w:type="spellStart"/>
            <w:r w:rsidRPr="008B6BC5">
              <w:rPr>
                <w:rFonts w:cs="Times New Roman"/>
                <w:sz w:val="20"/>
                <w:szCs w:val="20"/>
                <w:lang w:val="en-US"/>
              </w:rPr>
              <w:t>Palavras</w:t>
            </w:r>
            <w:proofErr w:type="spellEnd"/>
            <w:r w:rsidRPr="008B6BC5">
              <w:rPr>
                <w:rFonts w:cs="Times New Roman"/>
                <w:sz w:val="20"/>
                <w:szCs w:val="20"/>
                <w:lang w:val="en-US"/>
              </w:rPr>
              <w:t>, Hay, Santos Filho, &amp; Claudino, 2017).</w:t>
            </w:r>
          </w:p>
        </w:tc>
        <w:tc>
          <w:tcPr>
            <w:tcW w:w="4458" w:type="dxa"/>
          </w:tcPr>
          <w:p w14:paraId="78C2F02D" w14:textId="766DFDB3" w:rsidR="00CD662A" w:rsidRPr="008B6BC5" w:rsidRDefault="00CD662A" w:rsidP="00CD662A">
            <w:pPr>
              <w:pStyle w:val="NoSpacing"/>
              <w:rPr>
                <w:rFonts w:cs="Times New Roman"/>
                <w:sz w:val="20"/>
                <w:szCs w:val="20"/>
                <w:lang w:val="en-US"/>
              </w:rPr>
            </w:pPr>
            <w:r w:rsidRPr="008B6BC5">
              <w:rPr>
                <w:rFonts w:cs="Times New Roman"/>
                <w:sz w:val="20"/>
                <w:szCs w:val="20"/>
                <w:lang w:val="en-US"/>
              </w:rPr>
              <w:t>doi:10.3390/nu9030299</w:t>
            </w:r>
          </w:p>
        </w:tc>
        <w:tc>
          <w:tcPr>
            <w:tcW w:w="690" w:type="dxa"/>
          </w:tcPr>
          <w:p w14:paraId="6984E4A8" w14:textId="0540DE5A" w:rsidR="00CD662A" w:rsidRPr="008B6BC5" w:rsidRDefault="00F542D1" w:rsidP="00CD662A">
            <w:pPr>
              <w:pStyle w:val="NoSpacing"/>
              <w:rPr>
                <w:rFonts w:cs="Times New Roman"/>
                <w:sz w:val="20"/>
                <w:szCs w:val="20"/>
                <w:lang w:val="en-US"/>
              </w:rPr>
            </w:pPr>
            <w:r w:rsidRPr="008B6BC5">
              <w:rPr>
                <w:rFonts w:cs="Times New Roman"/>
                <w:sz w:val="20"/>
                <w:szCs w:val="20"/>
                <w:lang w:val="en-US"/>
              </w:rPr>
              <w:t>1</w:t>
            </w:r>
          </w:p>
        </w:tc>
        <w:tc>
          <w:tcPr>
            <w:tcW w:w="4066" w:type="dxa"/>
          </w:tcPr>
          <w:p w14:paraId="2A44FA0B" w14:textId="2EF07B50" w:rsidR="00CD662A" w:rsidRPr="008B6BC5" w:rsidRDefault="00F542D1" w:rsidP="00CD662A">
            <w:pPr>
              <w:pStyle w:val="NoSpacing"/>
              <w:rPr>
                <w:rFonts w:cs="Times New Roman"/>
                <w:sz w:val="20"/>
                <w:szCs w:val="20"/>
                <w:lang w:val="en-US"/>
              </w:rPr>
            </w:pPr>
            <w:r w:rsidRPr="008B6BC5">
              <w:rPr>
                <w:rFonts w:cs="Times New Roman"/>
                <w:sz w:val="20"/>
                <w:szCs w:val="20"/>
                <w:lang w:val="en-US"/>
              </w:rPr>
              <w:t xml:space="preserve">Global eating pathology was not an outcome in this meta-analysis and there was no control group (the meta-analysis compared CBT to behavioral weight loss). </w:t>
            </w:r>
          </w:p>
        </w:tc>
      </w:tr>
      <w:tr w:rsidR="00CD662A" w:rsidRPr="008B6BC5" w14:paraId="3119F2B6" w14:textId="77777777" w:rsidTr="00202DA2">
        <w:tc>
          <w:tcPr>
            <w:tcW w:w="1616" w:type="dxa"/>
          </w:tcPr>
          <w:p w14:paraId="35481B7B" w14:textId="55F2335E" w:rsidR="00CD662A" w:rsidRPr="008B6BC5" w:rsidRDefault="003A4A1A" w:rsidP="00CD662A">
            <w:pPr>
              <w:pStyle w:val="NoSpacing"/>
              <w:rPr>
                <w:rFonts w:cs="Times New Roman"/>
                <w:sz w:val="20"/>
                <w:szCs w:val="20"/>
                <w:lang w:val="en-US"/>
              </w:rPr>
            </w:pPr>
            <w:r w:rsidRPr="008B6BC5">
              <w:rPr>
                <w:rFonts w:cs="Times New Roman"/>
                <w:sz w:val="20"/>
                <w:szCs w:val="20"/>
                <w:lang w:val="en-US"/>
              </w:rPr>
              <w:t>5</w:t>
            </w:r>
          </w:p>
        </w:tc>
        <w:tc>
          <w:tcPr>
            <w:tcW w:w="5614" w:type="dxa"/>
          </w:tcPr>
          <w:p w14:paraId="2A530E4F" w14:textId="62AF303E" w:rsidR="00CD662A" w:rsidRPr="008B6BC5" w:rsidRDefault="00CD662A" w:rsidP="00CD662A">
            <w:pPr>
              <w:pStyle w:val="NoSpacing"/>
              <w:rPr>
                <w:rFonts w:cs="Times New Roman"/>
                <w:sz w:val="20"/>
                <w:szCs w:val="20"/>
                <w:lang w:val="en-US"/>
              </w:rPr>
            </w:pPr>
            <w:r w:rsidRPr="008B6BC5">
              <w:rPr>
                <w:rFonts w:cs="Times New Roman"/>
                <w:sz w:val="20"/>
                <w:szCs w:val="20"/>
                <w:lang w:val="en-US"/>
              </w:rPr>
              <w:t xml:space="preserve">In a large RCT of group CBT versus waitlist in overweight adults with BED, therapist-led CBT produced significantly greater reductions in binge eating and eating-disorder psychopathology, with between-group effect sizes commonly in the medium-to-large range, while BMI remained largely unchanged (Wilfley et al., 2002). </w:t>
            </w:r>
          </w:p>
        </w:tc>
        <w:tc>
          <w:tcPr>
            <w:tcW w:w="4458" w:type="dxa"/>
          </w:tcPr>
          <w:p w14:paraId="4F58B142" w14:textId="490E35CB" w:rsidR="00CD662A" w:rsidRPr="008B6BC5" w:rsidRDefault="00CD662A" w:rsidP="00CD662A">
            <w:pPr>
              <w:pStyle w:val="NoSpacing"/>
              <w:rPr>
                <w:rFonts w:cs="Times New Roman"/>
                <w:sz w:val="20"/>
                <w:szCs w:val="20"/>
                <w:lang w:val="en-US"/>
              </w:rPr>
            </w:pPr>
            <w:r w:rsidRPr="008B6BC5">
              <w:rPr>
                <w:rFonts w:cs="Times New Roman"/>
                <w:sz w:val="20"/>
                <w:szCs w:val="20"/>
                <w:lang w:val="en-US"/>
              </w:rPr>
              <w:t>doi:10.1001/archpsyc.59.8.713</w:t>
            </w:r>
          </w:p>
        </w:tc>
        <w:tc>
          <w:tcPr>
            <w:tcW w:w="690" w:type="dxa"/>
          </w:tcPr>
          <w:p w14:paraId="18951289" w14:textId="541F7F17" w:rsidR="00CD662A" w:rsidRPr="008B6BC5" w:rsidRDefault="00AF5504" w:rsidP="00CD662A">
            <w:pPr>
              <w:pStyle w:val="NoSpacing"/>
              <w:rPr>
                <w:rFonts w:cs="Times New Roman"/>
                <w:sz w:val="20"/>
                <w:szCs w:val="20"/>
                <w:lang w:val="en-US"/>
              </w:rPr>
            </w:pPr>
            <w:r w:rsidRPr="008B6BC5">
              <w:rPr>
                <w:rFonts w:cs="Times New Roman"/>
                <w:sz w:val="20"/>
                <w:szCs w:val="20"/>
                <w:lang w:val="en-US"/>
              </w:rPr>
              <w:t>2</w:t>
            </w:r>
          </w:p>
        </w:tc>
        <w:tc>
          <w:tcPr>
            <w:tcW w:w="4066" w:type="dxa"/>
          </w:tcPr>
          <w:p w14:paraId="29F4D847" w14:textId="32742F04" w:rsidR="00CD662A" w:rsidRPr="008B6BC5" w:rsidRDefault="00AF5504" w:rsidP="00CD662A">
            <w:pPr>
              <w:pStyle w:val="NoSpacing"/>
              <w:rPr>
                <w:rFonts w:cs="Times New Roman"/>
                <w:sz w:val="20"/>
                <w:szCs w:val="20"/>
                <w:lang w:val="en-US"/>
              </w:rPr>
            </w:pPr>
            <w:r w:rsidRPr="008B6BC5">
              <w:rPr>
                <w:rFonts w:cs="Times New Roman"/>
                <w:sz w:val="20"/>
                <w:szCs w:val="20"/>
                <w:lang w:val="en-US"/>
              </w:rPr>
              <w:t xml:space="preserve">The comparison group is IPT, not a waitlist, and no outcome differences emerged. </w:t>
            </w:r>
          </w:p>
        </w:tc>
      </w:tr>
      <w:tr w:rsidR="00B60779" w:rsidRPr="008B6BC5" w14:paraId="03CFACF0" w14:textId="77777777" w:rsidTr="00202DA2">
        <w:tc>
          <w:tcPr>
            <w:tcW w:w="1616" w:type="dxa"/>
          </w:tcPr>
          <w:p w14:paraId="4B80FE91" w14:textId="47A98633" w:rsidR="00B60779" w:rsidRPr="008B6BC5" w:rsidRDefault="003A4A1A" w:rsidP="00B60779">
            <w:pPr>
              <w:pStyle w:val="NoSpacing"/>
              <w:rPr>
                <w:rFonts w:cs="Times New Roman"/>
                <w:sz w:val="20"/>
                <w:szCs w:val="20"/>
                <w:lang w:val="en-US"/>
              </w:rPr>
            </w:pPr>
            <w:r w:rsidRPr="008B6BC5">
              <w:rPr>
                <w:rFonts w:cs="Times New Roman"/>
                <w:sz w:val="20"/>
                <w:szCs w:val="20"/>
                <w:lang w:val="en-US"/>
              </w:rPr>
              <w:t>6</w:t>
            </w:r>
          </w:p>
        </w:tc>
        <w:tc>
          <w:tcPr>
            <w:tcW w:w="5614" w:type="dxa"/>
          </w:tcPr>
          <w:p w14:paraId="2EB2E156" w14:textId="1EE78290"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More recent digital interventions extend these findings to scalable formats. </w:t>
            </w:r>
            <w:proofErr w:type="spellStart"/>
            <w:r w:rsidRPr="008B6BC5">
              <w:rPr>
                <w:rFonts w:cs="Times New Roman"/>
                <w:sz w:val="20"/>
                <w:szCs w:val="20"/>
                <w:lang w:val="en-US"/>
              </w:rPr>
              <w:t>Wyssen</w:t>
            </w:r>
            <w:proofErr w:type="spellEnd"/>
            <w:r w:rsidRPr="008B6BC5">
              <w:rPr>
                <w:rFonts w:cs="Times New Roman"/>
                <w:sz w:val="20"/>
                <w:szCs w:val="20"/>
                <w:lang w:val="en-US"/>
              </w:rPr>
              <w:t xml:space="preserve"> et al. (2021) evaluated an 8-session internet-based guided self-help CBT program (with booster sessions) in 63 adults with BED, randomized to immediate treatment or waitlist; the intervention halved weekly binge episodes (3.4 to 1.7) relative to waitlist and improved depression and functioning, with high satisfaction ratings despite a 27% treatment-phase dropout</w:t>
            </w:r>
          </w:p>
        </w:tc>
        <w:tc>
          <w:tcPr>
            <w:tcW w:w="4458" w:type="dxa"/>
          </w:tcPr>
          <w:p w14:paraId="714F22A1" w14:textId="62535B5E" w:rsidR="00B60779" w:rsidRPr="008B6BC5" w:rsidRDefault="00B60779" w:rsidP="00B60779">
            <w:pPr>
              <w:pStyle w:val="NoSpacing"/>
              <w:rPr>
                <w:rFonts w:cs="Times New Roman"/>
                <w:sz w:val="20"/>
                <w:szCs w:val="20"/>
                <w:lang w:val="en-US"/>
              </w:rPr>
            </w:pPr>
            <w:r w:rsidRPr="008B6BC5">
              <w:rPr>
                <w:rFonts w:cs="Times New Roman"/>
                <w:sz w:val="20"/>
                <w:szCs w:val="20"/>
                <w:lang w:val="en-US"/>
              </w:rPr>
              <w:t>DOI: 10.1002/erv.2856</w:t>
            </w:r>
          </w:p>
        </w:tc>
        <w:tc>
          <w:tcPr>
            <w:tcW w:w="690" w:type="dxa"/>
          </w:tcPr>
          <w:p w14:paraId="03F05F0C" w14:textId="48F90152" w:rsidR="00B60779" w:rsidRPr="008B6BC5" w:rsidRDefault="00B60779" w:rsidP="00B60779">
            <w:pPr>
              <w:pStyle w:val="NoSpacing"/>
              <w:rPr>
                <w:rFonts w:cs="Times New Roman"/>
                <w:sz w:val="20"/>
                <w:szCs w:val="20"/>
                <w:lang w:val="en-US"/>
              </w:rPr>
            </w:pPr>
            <w:r w:rsidRPr="008B6BC5">
              <w:rPr>
                <w:rFonts w:cs="Times New Roman"/>
                <w:sz w:val="20"/>
                <w:szCs w:val="20"/>
                <w:lang w:val="en-US"/>
              </w:rPr>
              <w:t>4</w:t>
            </w:r>
          </w:p>
        </w:tc>
        <w:tc>
          <w:tcPr>
            <w:tcW w:w="4066" w:type="dxa"/>
          </w:tcPr>
          <w:p w14:paraId="377AF9D8" w14:textId="13B47312"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60779" w:rsidRPr="008B6BC5" w14:paraId="5E8E6430" w14:textId="77777777" w:rsidTr="00202DA2">
        <w:tc>
          <w:tcPr>
            <w:tcW w:w="1616" w:type="dxa"/>
          </w:tcPr>
          <w:p w14:paraId="512A2204" w14:textId="4D8E1F54" w:rsidR="00B60779" w:rsidRPr="008B6BC5" w:rsidRDefault="003A4A1A" w:rsidP="00B60779">
            <w:pPr>
              <w:pStyle w:val="NoSpacing"/>
              <w:rPr>
                <w:rFonts w:cs="Times New Roman"/>
                <w:sz w:val="20"/>
                <w:szCs w:val="20"/>
                <w:lang w:val="en-US"/>
              </w:rPr>
            </w:pPr>
            <w:r w:rsidRPr="008B6BC5">
              <w:rPr>
                <w:rFonts w:cs="Times New Roman"/>
                <w:sz w:val="20"/>
                <w:szCs w:val="20"/>
                <w:lang w:val="en-US"/>
              </w:rPr>
              <w:t>7</w:t>
            </w:r>
          </w:p>
        </w:tc>
        <w:tc>
          <w:tcPr>
            <w:tcW w:w="5614" w:type="dxa"/>
          </w:tcPr>
          <w:p w14:paraId="19C89F1C" w14:textId="77777777"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Pruessner et al. (2024) randomized 154 adults with DSM-5 BED to a 12-week web-based CBT self-help program or waitlist and found significant between-group differences </w:t>
            </w:r>
            <w:proofErr w:type="spellStart"/>
            <w:r w:rsidRPr="008B6BC5">
              <w:rPr>
                <w:rFonts w:cs="Times New Roman"/>
                <w:sz w:val="20"/>
                <w:szCs w:val="20"/>
                <w:lang w:val="en-US"/>
              </w:rPr>
              <w:t>favouring</w:t>
            </w:r>
            <w:proofErr w:type="spellEnd"/>
            <w:r w:rsidRPr="008B6BC5">
              <w:rPr>
                <w:rFonts w:cs="Times New Roman"/>
                <w:sz w:val="20"/>
                <w:szCs w:val="20"/>
                <w:lang w:val="en-US"/>
              </w:rPr>
              <w:t xml:space="preserve"> the intervention on objective binge-eating episodes (Cohen’s d ≈ 0.6–0.7), eating-disorder psychopathology, depression, and emotion-regulation outcomes, with abstinence rates around 40–50% at post-treatment </w:t>
            </w:r>
          </w:p>
          <w:p w14:paraId="5867E172" w14:textId="39712075" w:rsidR="00B60779" w:rsidRPr="008B6BC5" w:rsidRDefault="00B60779" w:rsidP="00B60779">
            <w:pPr>
              <w:pStyle w:val="NoSpacing"/>
              <w:rPr>
                <w:rFonts w:cs="Times New Roman"/>
                <w:sz w:val="20"/>
                <w:szCs w:val="20"/>
                <w:lang w:val="en-US"/>
              </w:rPr>
            </w:pPr>
          </w:p>
        </w:tc>
        <w:tc>
          <w:tcPr>
            <w:tcW w:w="4458" w:type="dxa"/>
          </w:tcPr>
          <w:p w14:paraId="2440C522" w14:textId="57EFA0DD" w:rsidR="00B60779" w:rsidRPr="008B6BC5" w:rsidRDefault="00B60779" w:rsidP="00B60779">
            <w:pPr>
              <w:pStyle w:val="NoSpacing"/>
              <w:rPr>
                <w:rFonts w:cs="Times New Roman"/>
                <w:sz w:val="20"/>
                <w:szCs w:val="20"/>
                <w:lang w:val="en-US"/>
              </w:rPr>
            </w:pPr>
            <w:r w:rsidRPr="008B6BC5">
              <w:rPr>
                <w:rFonts w:cs="Times New Roman"/>
                <w:sz w:val="20"/>
                <w:szCs w:val="20"/>
                <w:lang w:val="en-US"/>
              </w:rPr>
              <w:lastRenderedPageBreak/>
              <w:t>doi:10.1001/jamanetworkopen.2024.11127 (Re</w:t>
            </w:r>
          </w:p>
        </w:tc>
        <w:tc>
          <w:tcPr>
            <w:tcW w:w="690" w:type="dxa"/>
          </w:tcPr>
          <w:p w14:paraId="63D76059" w14:textId="11ED01F1" w:rsidR="00B60779" w:rsidRPr="008B6BC5" w:rsidRDefault="00B60779" w:rsidP="00B60779">
            <w:pPr>
              <w:pStyle w:val="NoSpacing"/>
              <w:rPr>
                <w:rFonts w:cs="Times New Roman"/>
                <w:sz w:val="20"/>
                <w:szCs w:val="20"/>
                <w:lang w:val="en-US"/>
              </w:rPr>
            </w:pPr>
            <w:r w:rsidRPr="008B6BC5">
              <w:rPr>
                <w:rFonts w:cs="Times New Roman"/>
                <w:sz w:val="20"/>
                <w:szCs w:val="20"/>
                <w:lang w:val="en-US"/>
              </w:rPr>
              <w:t>1</w:t>
            </w:r>
          </w:p>
        </w:tc>
        <w:tc>
          <w:tcPr>
            <w:tcW w:w="4066" w:type="dxa"/>
          </w:tcPr>
          <w:p w14:paraId="58981C9C" w14:textId="449F0693"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Abstinence rates were not an outcome in this trial. </w:t>
            </w:r>
          </w:p>
        </w:tc>
      </w:tr>
      <w:tr w:rsidR="00B60779" w:rsidRPr="008B6BC5" w14:paraId="59913640" w14:textId="77777777" w:rsidTr="00202DA2">
        <w:tc>
          <w:tcPr>
            <w:tcW w:w="1616" w:type="dxa"/>
          </w:tcPr>
          <w:p w14:paraId="17A66546" w14:textId="6054BA52" w:rsidR="00B60779" w:rsidRPr="008B6BC5" w:rsidRDefault="003A4A1A" w:rsidP="00B60779">
            <w:pPr>
              <w:pStyle w:val="NoSpacing"/>
              <w:rPr>
                <w:rFonts w:cs="Times New Roman"/>
                <w:sz w:val="20"/>
                <w:szCs w:val="20"/>
                <w:lang w:val="en-US"/>
              </w:rPr>
            </w:pPr>
            <w:r w:rsidRPr="008B6BC5">
              <w:rPr>
                <w:rFonts w:cs="Times New Roman"/>
                <w:sz w:val="20"/>
                <w:szCs w:val="20"/>
                <w:lang w:val="en-US"/>
              </w:rPr>
              <w:t>8</w:t>
            </w:r>
          </w:p>
        </w:tc>
        <w:tc>
          <w:tcPr>
            <w:tcW w:w="5614" w:type="dxa"/>
          </w:tcPr>
          <w:p w14:paraId="6587EE1E" w14:textId="2E5149FE" w:rsidR="00B60779" w:rsidRPr="008B6BC5" w:rsidRDefault="00B60779" w:rsidP="00B60779">
            <w:pPr>
              <w:pStyle w:val="NoSpacing"/>
              <w:rPr>
                <w:rFonts w:cs="Times New Roman"/>
                <w:sz w:val="20"/>
                <w:szCs w:val="20"/>
                <w:lang w:val="en-US"/>
              </w:rPr>
            </w:pPr>
            <w:r w:rsidRPr="008B6BC5">
              <w:rPr>
                <w:rFonts w:cs="Times New Roman"/>
                <w:sz w:val="20"/>
                <w:szCs w:val="20"/>
                <w:lang w:val="en-US"/>
              </w:rPr>
              <w:t>Guided self-help CBT-E delivered via web platforms has similarly demonstrated clinically meaningful reductions in binge episodes and global psychopathology versus waitlist controls (Melisse et al., 2023).</w:t>
            </w:r>
          </w:p>
        </w:tc>
        <w:tc>
          <w:tcPr>
            <w:tcW w:w="4458" w:type="dxa"/>
          </w:tcPr>
          <w:p w14:paraId="2AC6DDE0" w14:textId="6A52D581" w:rsidR="00B60779" w:rsidRPr="008B6BC5" w:rsidRDefault="00B60779" w:rsidP="00B60779">
            <w:pPr>
              <w:pStyle w:val="NoSpacing"/>
              <w:rPr>
                <w:rFonts w:cs="Times New Roman"/>
                <w:sz w:val="20"/>
                <w:szCs w:val="20"/>
                <w:lang w:val="en-US"/>
              </w:rPr>
            </w:pPr>
            <w:r w:rsidRPr="008B6BC5">
              <w:rPr>
                <w:rFonts w:cs="Times New Roman"/>
                <w:sz w:val="20"/>
                <w:szCs w:val="20"/>
                <w:lang w:val="en-US"/>
              </w:rPr>
              <w:t>https://www.jmir.org/2023/1/e40472</w:t>
            </w:r>
          </w:p>
        </w:tc>
        <w:tc>
          <w:tcPr>
            <w:tcW w:w="690" w:type="dxa"/>
          </w:tcPr>
          <w:p w14:paraId="2A3AA036" w14:textId="48A5E7E1" w:rsidR="00B60779" w:rsidRPr="008B6BC5" w:rsidRDefault="00B60779" w:rsidP="00B60779">
            <w:pPr>
              <w:pStyle w:val="NoSpacing"/>
              <w:rPr>
                <w:rFonts w:cs="Times New Roman"/>
                <w:sz w:val="20"/>
                <w:szCs w:val="20"/>
                <w:lang w:val="en-US"/>
              </w:rPr>
            </w:pPr>
            <w:r w:rsidRPr="008B6BC5">
              <w:rPr>
                <w:rFonts w:cs="Times New Roman"/>
                <w:sz w:val="20"/>
                <w:szCs w:val="20"/>
                <w:lang w:val="en-US"/>
              </w:rPr>
              <w:t>4</w:t>
            </w:r>
          </w:p>
        </w:tc>
        <w:tc>
          <w:tcPr>
            <w:tcW w:w="4066" w:type="dxa"/>
          </w:tcPr>
          <w:p w14:paraId="2620F62F" w14:textId="1FBD71A4"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60779" w:rsidRPr="008B6BC5" w14:paraId="6C3FD6FE" w14:textId="77777777" w:rsidTr="00202DA2">
        <w:tc>
          <w:tcPr>
            <w:tcW w:w="1616" w:type="dxa"/>
          </w:tcPr>
          <w:p w14:paraId="32DB1289" w14:textId="2D7CCFB4" w:rsidR="00B60779" w:rsidRPr="008B6BC5" w:rsidRDefault="003A4A1A" w:rsidP="00B60779">
            <w:pPr>
              <w:pStyle w:val="NoSpacing"/>
              <w:rPr>
                <w:rFonts w:cs="Times New Roman"/>
                <w:sz w:val="20"/>
                <w:szCs w:val="20"/>
                <w:lang w:val="en-US"/>
              </w:rPr>
            </w:pPr>
            <w:r w:rsidRPr="008B6BC5">
              <w:rPr>
                <w:rFonts w:cs="Times New Roman"/>
                <w:sz w:val="20"/>
                <w:szCs w:val="20"/>
                <w:lang w:val="en-US"/>
              </w:rPr>
              <w:t>9</w:t>
            </w:r>
          </w:p>
        </w:tc>
        <w:tc>
          <w:tcPr>
            <w:tcW w:w="5614" w:type="dxa"/>
          </w:tcPr>
          <w:p w14:paraId="1962F115" w14:textId="1898094A"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In an influential trial, Wilfley et al. (2002) randomized overweight adults with BED to group CBT, group interpersonal psychotherapy (IPT), or a </w:t>
            </w:r>
            <w:proofErr w:type="spellStart"/>
            <w:r w:rsidRPr="008B6BC5">
              <w:rPr>
                <w:rFonts w:cs="Times New Roman"/>
                <w:sz w:val="20"/>
                <w:szCs w:val="20"/>
                <w:lang w:val="en-US"/>
              </w:rPr>
              <w:t>behavioural</w:t>
            </w:r>
            <w:proofErr w:type="spellEnd"/>
            <w:r w:rsidRPr="008B6BC5">
              <w:rPr>
                <w:rFonts w:cs="Times New Roman"/>
                <w:sz w:val="20"/>
                <w:szCs w:val="20"/>
                <w:lang w:val="en-US"/>
              </w:rPr>
              <w:t xml:space="preserve"> weight-loss (BWL) intervention. Both CBT and IPT produced similar rates of binge-eating abstinence at post-treatment (~50%) and follow-up, and both were superior to BWL for reducing binge frequency and global eating-disorder psychopathology, although BWL produced somewhat greater short-term weight loss (Wilfley et al., 2002) </w:t>
            </w:r>
            <w:r w:rsidRPr="008B6BC5">
              <w:rPr>
                <w:rFonts w:cs="Times New Roman"/>
                <w:sz w:val="20"/>
                <w:szCs w:val="20"/>
                <w:vertAlign w:val="superscript"/>
                <w:lang w:val="en-US"/>
              </w:rPr>
              <w:t>1</w:t>
            </w:r>
          </w:p>
        </w:tc>
        <w:tc>
          <w:tcPr>
            <w:tcW w:w="4458" w:type="dxa"/>
          </w:tcPr>
          <w:p w14:paraId="03C767E8" w14:textId="13B21882" w:rsidR="00B60779" w:rsidRPr="008B6BC5" w:rsidRDefault="00B60779" w:rsidP="00B60779">
            <w:pPr>
              <w:pStyle w:val="NoSpacing"/>
              <w:rPr>
                <w:rFonts w:cs="Times New Roman"/>
                <w:sz w:val="20"/>
                <w:szCs w:val="20"/>
                <w:lang w:val="en-US"/>
              </w:rPr>
            </w:pPr>
            <w:r w:rsidRPr="008B6BC5">
              <w:rPr>
                <w:rFonts w:cs="Times New Roman"/>
                <w:sz w:val="20"/>
                <w:szCs w:val="20"/>
                <w:lang w:val="en-US"/>
              </w:rPr>
              <w:t>doi:10.1001/archgenpsychiatry.2009.170</w:t>
            </w:r>
          </w:p>
        </w:tc>
        <w:tc>
          <w:tcPr>
            <w:tcW w:w="690" w:type="dxa"/>
          </w:tcPr>
          <w:p w14:paraId="13E9E861" w14:textId="5B1545B9" w:rsidR="00B60779" w:rsidRPr="008B6BC5" w:rsidRDefault="000860D7" w:rsidP="00B60779">
            <w:pPr>
              <w:pStyle w:val="NoSpacing"/>
              <w:rPr>
                <w:rFonts w:cs="Times New Roman"/>
                <w:sz w:val="20"/>
                <w:szCs w:val="20"/>
                <w:lang w:val="en-US"/>
              </w:rPr>
            </w:pPr>
            <w:r w:rsidRPr="008B6BC5">
              <w:rPr>
                <w:rFonts w:cs="Times New Roman"/>
                <w:sz w:val="20"/>
                <w:szCs w:val="20"/>
                <w:lang w:val="en-US"/>
              </w:rPr>
              <w:t>2</w:t>
            </w:r>
          </w:p>
        </w:tc>
        <w:tc>
          <w:tcPr>
            <w:tcW w:w="4066" w:type="dxa"/>
          </w:tcPr>
          <w:p w14:paraId="0F849474" w14:textId="61892D36" w:rsidR="00B60779" w:rsidRPr="008B6BC5" w:rsidRDefault="000860D7" w:rsidP="00B60779">
            <w:pPr>
              <w:pStyle w:val="NoSpacing"/>
              <w:rPr>
                <w:rFonts w:cs="Times New Roman"/>
                <w:sz w:val="20"/>
                <w:szCs w:val="20"/>
                <w:lang w:val="en-US"/>
              </w:rPr>
            </w:pPr>
            <w:r w:rsidRPr="008B6BC5">
              <w:rPr>
                <w:rFonts w:cs="Times New Roman"/>
                <w:sz w:val="20"/>
                <w:szCs w:val="20"/>
                <w:lang w:val="en-US"/>
              </w:rPr>
              <w:t xml:space="preserve">There </w:t>
            </w:r>
            <w:r w:rsidR="00A435D7" w:rsidRPr="008B6BC5">
              <w:rPr>
                <w:rFonts w:cs="Times New Roman"/>
                <w:sz w:val="20"/>
                <w:szCs w:val="20"/>
                <w:lang w:val="en-US"/>
              </w:rPr>
              <w:t xml:space="preserve">were no significant differences between the three treatments on binge eating and global eating disorder psychopathology outcomes at post-treatment. </w:t>
            </w:r>
          </w:p>
        </w:tc>
      </w:tr>
      <w:tr w:rsidR="00B60779" w:rsidRPr="008B6BC5" w14:paraId="119667F8" w14:textId="77777777" w:rsidTr="00202DA2">
        <w:tc>
          <w:tcPr>
            <w:tcW w:w="1616" w:type="dxa"/>
          </w:tcPr>
          <w:p w14:paraId="6827B898" w14:textId="2EADF73C" w:rsidR="00B60779" w:rsidRPr="008B6BC5" w:rsidRDefault="003A4A1A" w:rsidP="00B60779">
            <w:pPr>
              <w:pStyle w:val="NoSpacing"/>
              <w:rPr>
                <w:rFonts w:cs="Times New Roman"/>
                <w:sz w:val="20"/>
                <w:szCs w:val="20"/>
                <w:lang w:val="en-US"/>
              </w:rPr>
            </w:pPr>
            <w:r w:rsidRPr="008B6BC5">
              <w:rPr>
                <w:rFonts w:cs="Times New Roman"/>
                <w:sz w:val="20"/>
                <w:szCs w:val="20"/>
                <w:lang w:val="en-US"/>
              </w:rPr>
              <w:t>10</w:t>
            </w:r>
          </w:p>
        </w:tc>
        <w:tc>
          <w:tcPr>
            <w:tcW w:w="5614" w:type="dxa"/>
          </w:tcPr>
          <w:p w14:paraId="56E195D4" w14:textId="359F8080" w:rsidR="00B60779" w:rsidRPr="008B6BC5" w:rsidRDefault="00B60779" w:rsidP="00B60779">
            <w:pPr>
              <w:pStyle w:val="NoSpacing"/>
              <w:rPr>
                <w:rFonts w:cs="Times New Roman"/>
                <w:sz w:val="20"/>
                <w:szCs w:val="20"/>
                <w:lang w:val="en-US"/>
              </w:rPr>
            </w:pPr>
            <w:r w:rsidRPr="008B6BC5">
              <w:rPr>
                <w:rFonts w:cs="Times New Roman"/>
                <w:sz w:val="20"/>
                <w:szCs w:val="20"/>
                <w:lang w:val="en-US"/>
              </w:rPr>
              <w:t>Long-term follow-ups show that CBT and IPT maintain binge-eating improvements over several years, with modest relapse rates (Hilbert et al., 2012).</w:t>
            </w:r>
          </w:p>
        </w:tc>
        <w:tc>
          <w:tcPr>
            <w:tcW w:w="4458" w:type="dxa"/>
          </w:tcPr>
          <w:p w14:paraId="0A0C82AB" w14:textId="05D37386" w:rsidR="00B60779" w:rsidRPr="008B6BC5" w:rsidRDefault="00B60779" w:rsidP="00B60779">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10.1192/bjp.bp.110.089664</w:t>
            </w:r>
          </w:p>
        </w:tc>
        <w:tc>
          <w:tcPr>
            <w:tcW w:w="690" w:type="dxa"/>
          </w:tcPr>
          <w:p w14:paraId="1CFD9EC2" w14:textId="66985B3D" w:rsidR="00B60779" w:rsidRPr="008B6BC5" w:rsidRDefault="00A435D7" w:rsidP="00B60779">
            <w:pPr>
              <w:pStyle w:val="NoSpacing"/>
              <w:rPr>
                <w:rFonts w:cs="Times New Roman"/>
                <w:sz w:val="20"/>
                <w:szCs w:val="20"/>
                <w:lang w:val="en-US"/>
              </w:rPr>
            </w:pPr>
            <w:r w:rsidRPr="008B6BC5">
              <w:rPr>
                <w:rFonts w:cs="Times New Roman"/>
                <w:sz w:val="20"/>
                <w:szCs w:val="20"/>
                <w:lang w:val="en-US"/>
              </w:rPr>
              <w:t>1</w:t>
            </w:r>
          </w:p>
        </w:tc>
        <w:tc>
          <w:tcPr>
            <w:tcW w:w="4066" w:type="dxa"/>
          </w:tcPr>
          <w:p w14:paraId="48C03AA3" w14:textId="582E6795" w:rsidR="00B60779" w:rsidRPr="008B6BC5" w:rsidRDefault="008A1B92" w:rsidP="00B60779">
            <w:pPr>
              <w:pStyle w:val="NoSpacing"/>
              <w:rPr>
                <w:rFonts w:cs="Times New Roman"/>
                <w:sz w:val="20"/>
                <w:szCs w:val="20"/>
                <w:lang w:val="en-US"/>
              </w:rPr>
            </w:pPr>
            <w:r w:rsidRPr="008B6BC5">
              <w:rPr>
                <w:rFonts w:cs="Times New Roman"/>
                <w:sz w:val="20"/>
                <w:szCs w:val="20"/>
                <w:lang w:val="en-US"/>
              </w:rPr>
              <w:t xml:space="preserve">Binge eating worsened among – not stabilized or improved – among those who received CBT. </w:t>
            </w:r>
          </w:p>
        </w:tc>
      </w:tr>
      <w:tr w:rsidR="00B60779" w:rsidRPr="008B6BC5" w14:paraId="4EF03940" w14:textId="77777777" w:rsidTr="00202DA2">
        <w:tc>
          <w:tcPr>
            <w:tcW w:w="1616" w:type="dxa"/>
          </w:tcPr>
          <w:p w14:paraId="521F4605" w14:textId="0F7D228E" w:rsidR="00B60779" w:rsidRPr="008B6BC5" w:rsidRDefault="003A4A1A" w:rsidP="00B60779">
            <w:pPr>
              <w:pStyle w:val="NoSpacing"/>
              <w:rPr>
                <w:rFonts w:cs="Times New Roman"/>
                <w:sz w:val="20"/>
                <w:szCs w:val="20"/>
                <w:lang w:val="en-US"/>
              </w:rPr>
            </w:pPr>
            <w:r w:rsidRPr="008B6BC5">
              <w:rPr>
                <w:rFonts w:cs="Times New Roman"/>
                <w:sz w:val="20"/>
                <w:szCs w:val="20"/>
                <w:lang w:val="en-US"/>
              </w:rPr>
              <w:t>11</w:t>
            </w:r>
          </w:p>
        </w:tc>
        <w:tc>
          <w:tcPr>
            <w:tcW w:w="5614" w:type="dxa"/>
          </w:tcPr>
          <w:p w14:paraId="14CE1F1C" w14:textId="7361BAF6"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In an RCT of 101 adults with BED, Safer, Robinson, and Jo (2010) compared group DBT-BED with an active comparison group therapy (ACGT) matched for time and therapist contact. At post-treatment, DBT-BED produced higher rates of binge-eating abstinence (64% vs. 36%) and greater reductions in objective binge episodes (between-group effect sizes in the medium range), with advantages maintained at 3- and 6-month follow-up (Safer et al., 2010). </w:t>
            </w:r>
          </w:p>
        </w:tc>
        <w:tc>
          <w:tcPr>
            <w:tcW w:w="4458" w:type="dxa"/>
          </w:tcPr>
          <w:p w14:paraId="19AF0F8F" w14:textId="3C02FD9A" w:rsidR="00B60779" w:rsidRPr="008B6BC5" w:rsidRDefault="00B60779" w:rsidP="00B60779">
            <w:pPr>
              <w:pStyle w:val="NoSpacing"/>
              <w:rPr>
                <w:rFonts w:cs="Times New Roman"/>
                <w:sz w:val="20"/>
                <w:szCs w:val="20"/>
                <w:lang w:val="en-US"/>
              </w:rPr>
            </w:pPr>
            <w:r w:rsidRPr="008B6BC5">
              <w:rPr>
                <w:rFonts w:cs="Times New Roman"/>
                <w:sz w:val="20"/>
                <w:szCs w:val="20"/>
                <w:lang w:val="en-US"/>
              </w:rPr>
              <w:t>doi:10.1016/j.beth.2009.01.006.</w:t>
            </w:r>
          </w:p>
        </w:tc>
        <w:tc>
          <w:tcPr>
            <w:tcW w:w="690" w:type="dxa"/>
          </w:tcPr>
          <w:p w14:paraId="6BF4B158" w14:textId="49B3413D" w:rsidR="00B60779" w:rsidRPr="008B6BC5" w:rsidRDefault="006B0C5C" w:rsidP="00B60779">
            <w:pPr>
              <w:pStyle w:val="NoSpacing"/>
              <w:rPr>
                <w:rFonts w:cs="Times New Roman"/>
                <w:sz w:val="20"/>
                <w:szCs w:val="20"/>
                <w:lang w:val="en-US"/>
              </w:rPr>
            </w:pPr>
            <w:r w:rsidRPr="008B6BC5">
              <w:rPr>
                <w:rFonts w:cs="Times New Roman"/>
                <w:sz w:val="20"/>
                <w:szCs w:val="20"/>
                <w:lang w:val="en-US"/>
              </w:rPr>
              <w:t>2</w:t>
            </w:r>
          </w:p>
        </w:tc>
        <w:tc>
          <w:tcPr>
            <w:tcW w:w="4066" w:type="dxa"/>
          </w:tcPr>
          <w:p w14:paraId="2544795A" w14:textId="54345347" w:rsidR="00B60779" w:rsidRPr="008B6BC5" w:rsidRDefault="006B0C5C" w:rsidP="00B60779">
            <w:pPr>
              <w:pStyle w:val="NoSpacing"/>
              <w:rPr>
                <w:rFonts w:cs="Times New Roman"/>
                <w:sz w:val="20"/>
                <w:szCs w:val="20"/>
                <w:lang w:val="en-US"/>
              </w:rPr>
            </w:pPr>
            <w:r w:rsidRPr="008B6BC5">
              <w:rPr>
                <w:rFonts w:cs="Times New Roman"/>
                <w:sz w:val="20"/>
                <w:szCs w:val="20"/>
                <w:lang w:val="en-US"/>
              </w:rPr>
              <w:t xml:space="preserve">There were no significant between-group differences </w:t>
            </w:r>
            <w:r w:rsidR="0002711A" w:rsidRPr="008B6BC5">
              <w:rPr>
                <w:rFonts w:cs="Times New Roman"/>
                <w:sz w:val="20"/>
                <w:szCs w:val="20"/>
                <w:lang w:val="en-US"/>
              </w:rPr>
              <w:t>in</w:t>
            </w:r>
            <w:r w:rsidRPr="008B6BC5">
              <w:rPr>
                <w:rFonts w:cs="Times New Roman"/>
                <w:sz w:val="20"/>
                <w:szCs w:val="20"/>
                <w:lang w:val="en-US"/>
              </w:rPr>
              <w:t xml:space="preserve"> binge eating outcomes at any follow-up period. </w:t>
            </w:r>
          </w:p>
        </w:tc>
      </w:tr>
      <w:tr w:rsidR="00B60779" w:rsidRPr="008B6BC5" w14:paraId="3C5BE337" w14:textId="77777777" w:rsidTr="00202DA2">
        <w:tc>
          <w:tcPr>
            <w:tcW w:w="1616" w:type="dxa"/>
          </w:tcPr>
          <w:p w14:paraId="70D137FF" w14:textId="696DCAB8" w:rsidR="00B60779" w:rsidRPr="008B6BC5" w:rsidRDefault="003A4A1A" w:rsidP="00B60779">
            <w:pPr>
              <w:pStyle w:val="NoSpacing"/>
              <w:rPr>
                <w:rFonts w:cs="Times New Roman"/>
                <w:sz w:val="20"/>
                <w:szCs w:val="20"/>
                <w:lang w:val="en-US"/>
              </w:rPr>
            </w:pPr>
            <w:r w:rsidRPr="008B6BC5">
              <w:rPr>
                <w:rFonts w:cs="Times New Roman"/>
                <w:sz w:val="20"/>
                <w:szCs w:val="20"/>
                <w:lang w:val="en-US"/>
              </w:rPr>
              <w:t>12</w:t>
            </w:r>
          </w:p>
        </w:tc>
        <w:tc>
          <w:tcPr>
            <w:tcW w:w="5614" w:type="dxa"/>
          </w:tcPr>
          <w:p w14:paraId="255E131F" w14:textId="468E8BED"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A smaller RCT in Iran replicated significant benefits of DBT over waitlist in reducing binge-eating frequency and ED psychopathology in adults with BED (Rahmani, Gholami, &amp; Hasani, 2018). </w:t>
            </w:r>
          </w:p>
        </w:tc>
        <w:tc>
          <w:tcPr>
            <w:tcW w:w="4458" w:type="dxa"/>
          </w:tcPr>
          <w:p w14:paraId="25104BE1" w14:textId="094780B4" w:rsidR="00B60779" w:rsidRPr="008B6BC5" w:rsidRDefault="00B60779" w:rsidP="00B60779">
            <w:pPr>
              <w:pStyle w:val="NoSpacing"/>
              <w:rPr>
                <w:rFonts w:cs="Times New Roman"/>
                <w:sz w:val="20"/>
                <w:szCs w:val="20"/>
                <w:lang w:val="en-US"/>
              </w:rPr>
            </w:pPr>
            <w:r w:rsidRPr="008B6BC5">
              <w:rPr>
                <w:rFonts w:cs="Times New Roman"/>
                <w:sz w:val="20"/>
                <w:szCs w:val="20"/>
                <w:lang w:val="en-US"/>
              </w:rPr>
              <w:t>https://doi.org/10.1016/j.mhp.2017.11.002</w:t>
            </w:r>
          </w:p>
        </w:tc>
        <w:tc>
          <w:tcPr>
            <w:tcW w:w="690" w:type="dxa"/>
          </w:tcPr>
          <w:p w14:paraId="7D3BB261" w14:textId="56684E54" w:rsidR="00B60779" w:rsidRPr="008B6BC5" w:rsidRDefault="00113343" w:rsidP="00B60779">
            <w:pPr>
              <w:pStyle w:val="NoSpacing"/>
              <w:rPr>
                <w:rFonts w:cs="Times New Roman"/>
                <w:sz w:val="20"/>
                <w:szCs w:val="20"/>
                <w:lang w:val="en-US"/>
              </w:rPr>
            </w:pPr>
            <w:r w:rsidRPr="008B6BC5">
              <w:rPr>
                <w:rFonts w:cs="Times New Roman"/>
                <w:sz w:val="20"/>
                <w:szCs w:val="20"/>
                <w:lang w:val="en-US"/>
              </w:rPr>
              <w:t>3</w:t>
            </w:r>
          </w:p>
        </w:tc>
        <w:tc>
          <w:tcPr>
            <w:tcW w:w="4066" w:type="dxa"/>
          </w:tcPr>
          <w:p w14:paraId="7637238E" w14:textId="511A63C9" w:rsidR="00B60779" w:rsidRPr="008B6BC5" w:rsidRDefault="00113343" w:rsidP="00B60779">
            <w:pPr>
              <w:pStyle w:val="NoSpacing"/>
              <w:rPr>
                <w:rFonts w:cs="Times New Roman"/>
                <w:sz w:val="20"/>
                <w:szCs w:val="20"/>
                <w:lang w:val="en-US"/>
              </w:rPr>
            </w:pPr>
            <w:r w:rsidRPr="008B6BC5">
              <w:rPr>
                <w:rFonts w:cs="Times New Roman"/>
                <w:sz w:val="20"/>
                <w:szCs w:val="20"/>
                <w:lang w:val="en-US"/>
              </w:rPr>
              <w:t xml:space="preserve">Outcome constructs included binge eating severity and its subscales, which do not precisely reflect binge eating frequency and eating disorder psychopathology. </w:t>
            </w:r>
          </w:p>
        </w:tc>
      </w:tr>
      <w:tr w:rsidR="00B60779" w:rsidRPr="008B6BC5" w14:paraId="04A8966F" w14:textId="77777777" w:rsidTr="00202DA2">
        <w:tc>
          <w:tcPr>
            <w:tcW w:w="1616" w:type="dxa"/>
          </w:tcPr>
          <w:p w14:paraId="74F3D98F" w14:textId="77777777" w:rsidR="00B60779" w:rsidRPr="008B6BC5" w:rsidRDefault="003A4A1A" w:rsidP="00B60779">
            <w:pPr>
              <w:pStyle w:val="NoSpacing"/>
              <w:rPr>
                <w:rFonts w:cs="Times New Roman"/>
                <w:sz w:val="20"/>
                <w:szCs w:val="20"/>
                <w:lang w:val="en-US"/>
              </w:rPr>
            </w:pPr>
            <w:r w:rsidRPr="008B6BC5">
              <w:rPr>
                <w:rFonts w:cs="Times New Roman"/>
                <w:sz w:val="20"/>
                <w:szCs w:val="20"/>
                <w:lang w:val="en-US"/>
              </w:rPr>
              <w:t>13.1</w:t>
            </w:r>
          </w:p>
          <w:p w14:paraId="2C288CB9" w14:textId="02B918B7" w:rsidR="003A4A1A" w:rsidRPr="008B6BC5" w:rsidRDefault="003A4A1A" w:rsidP="00B60779">
            <w:pPr>
              <w:pStyle w:val="NoSpacing"/>
              <w:rPr>
                <w:rFonts w:cs="Times New Roman"/>
                <w:sz w:val="20"/>
                <w:szCs w:val="20"/>
                <w:lang w:val="en-US"/>
              </w:rPr>
            </w:pPr>
            <w:r w:rsidRPr="008B6BC5">
              <w:rPr>
                <w:rFonts w:cs="Times New Roman"/>
                <w:sz w:val="20"/>
                <w:szCs w:val="20"/>
                <w:lang w:val="en-US"/>
              </w:rPr>
              <w:t>13.2</w:t>
            </w:r>
          </w:p>
        </w:tc>
        <w:tc>
          <w:tcPr>
            <w:tcW w:w="5614" w:type="dxa"/>
          </w:tcPr>
          <w:p w14:paraId="2AAB6395" w14:textId="602DB649" w:rsidR="00B60779" w:rsidRPr="008B6BC5" w:rsidRDefault="00B60779" w:rsidP="00B60779">
            <w:pPr>
              <w:pStyle w:val="NoSpacing"/>
              <w:rPr>
                <w:rFonts w:cs="Times New Roman"/>
                <w:sz w:val="20"/>
                <w:szCs w:val="20"/>
                <w:lang w:val="en-US"/>
              </w:rPr>
            </w:pPr>
            <w:r w:rsidRPr="008B6BC5">
              <w:rPr>
                <w:rFonts w:cs="Times New Roman"/>
                <w:sz w:val="20"/>
                <w:szCs w:val="20"/>
                <w:lang w:val="en-US"/>
              </w:rPr>
              <w:t>More recent practice-based cohort data from specialized eating-disorder services suggest that DBT and CBT yield broadly comparable symptom improvements for BED (Lammers et al., 2022; Zompa et al., 2025).</w:t>
            </w:r>
          </w:p>
        </w:tc>
        <w:tc>
          <w:tcPr>
            <w:tcW w:w="4458" w:type="dxa"/>
          </w:tcPr>
          <w:p w14:paraId="2E1C8AB5" w14:textId="77777777" w:rsidR="00B60779" w:rsidRPr="008B6BC5" w:rsidRDefault="00B60779" w:rsidP="00B60779">
            <w:pPr>
              <w:pStyle w:val="NoSpacing"/>
              <w:rPr>
                <w:rFonts w:cs="Times New Roman"/>
                <w:sz w:val="20"/>
                <w:szCs w:val="20"/>
                <w:lang w:val="en-US"/>
              </w:rPr>
            </w:pPr>
            <w:r w:rsidRPr="008B6BC5">
              <w:rPr>
                <w:rFonts w:cs="Times New Roman"/>
                <w:sz w:val="20"/>
                <w:szCs w:val="20"/>
                <w:lang w:val="en-US"/>
              </w:rPr>
              <w:t>DOI: 10.1002/eat.23750</w:t>
            </w:r>
          </w:p>
          <w:p w14:paraId="15495007" w14:textId="1CD9BEBA" w:rsidR="00B60779" w:rsidRPr="008B6BC5" w:rsidRDefault="00B60779" w:rsidP="00B60779">
            <w:pPr>
              <w:pStyle w:val="NoSpacing"/>
              <w:rPr>
                <w:rFonts w:cs="Times New Roman"/>
                <w:sz w:val="20"/>
                <w:szCs w:val="20"/>
                <w:lang w:val="en-US"/>
              </w:rPr>
            </w:pPr>
            <w:r w:rsidRPr="008B6BC5">
              <w:rPr>
                <w:rFonts w:cs="Times New Roman"/>
                <w:sz w:val="20"/>
                <w:szCs w:val="20"/>
                <w:lang w:val="en-US"/>
              </w:rPr>
              <w:t>https:// doi.org/10.3390/nu17122003</w:t>
            </w:r>
          </w:p>
        </w:tc>
        <w:tc>
          <w:tcPr>
            <w:tcW w:w="690" w:type="dxa"/>
          </w:tcPr>
          <w:p w14:paraId="2BAE475C" w14:textId="77777777" w:rsidR="00B60779" w:rsidRPr="008B6BC5" w:rsidRDefault="00667E1B" w:rsidP="00B60779">
            <w:pPr>
              <w:pStyle w:val="NoSpacing"/>
              <w:rPr>
                <w:rFonts w:cs="Times New Roman"/>
                <w:sz w:val="20"/>
                <w:szCs w:val="20"/>
                <w:lang w:val="en-US"/>
              </w:rPr>
            </w:pPr>
            <w:r w:rsidRPr="008B6BC5">
              <w:rPr>
                <w:rFonts w:cs="Times New Roman"/>
                <w:sz w:val="20"/>
                <w:szCs w:val="20"/>
                <w:lang w:val="en-US"/>
              </w:rPr>
              <w:t>2</w:t>
            </w:r>
          </w:p>
          <w:p w14:paraId="388FD7D0" w14:textId="57F458D5" w:rsidR="00667E1B" w:rsidRPr="008B6BC5" w:rsidRDefault="00667E1B" w:rsidP="00B60779">
            <w:pPr>
              <w:pStyle w:val="NoSpacing"/>
              <w:rPr>
                <w:rFonts w:cs="Times New Roman"/>
                <w:sz w:val="20"/>
                <w:szCs w:val="20"/>
                <w:lang w:val="en-US"/>
              </w:rPr>
            </w:pPr>
            <w:r w:rsidRPr="008B6BC5">
              <w:rPr>
                <w:rFonts w:cs="Times New Roman"/>
                <w:sz w:val="20"/>
                <w:szCs w:val="20"/>
                <w:lang w:val="en-US"/>
              </w:rPr>
              <w:t>1</w:t>
            </w:r>
          </w:p>
        </w:tc>
        <w:tc>
          <w:tcPr>
            <w:tcW w:w="4066" w:type="dxa"/>
          </w:tcPr>
          <w:p w14:paraId="66A7A32A" w14:textId="77777777" w:rsidR="00B60779" w:rsidRPr="008B6BC5" w:rsidRDefault="00667E1B" w:rsidP="00B60779">
            <w:pPr>
              <w:pStyle w:val="NoSpacing"/>
              <w:rPr>
                <w:rFonts w:cs="Times New Roman"/>
                <w:sz w:val="20"/>
                <w:szCs w:val="20"/>
                <w:lang w:val="en-US"/>
              </w:rPr>
            </w:pPr>
            <w:r w:rsidRPr="008B6BC5">
              <w:rPr>
                <w:rFonts w:cs="Times New Roman"/>
                <w:sz w:val="20"/>
                <w:szCs w:val="20"/>
                <w:lang w:val="en-US"/>
              </w:rPr>
              <w:t>In Lammers et al (2022), CBT significantly outperformed DBT on primary symptom improvement</w:t>
            </w:r>
            <w:r w:rsidR="0002711A" w:rsidRPr="008B6BC5">
              <w:rPr>
                <w:rFonts w:cs="Times New Roman"/>
                <w:sz w:val="20"/>
                <w:szCs w:val="20"/>
                <w:lang w:val="en-US"/>
              </w:rPr>
              <w:t xml:space="preserve">. </w:t>
            </w:r>
          </w:p>
          <w:p w14:paraId="4624F277" w14:textId="77777777" w:rsidR="0002711A" w:rsidRPr="008B6BC5" w:rsidRDefault="0002711A" w:rsidP="00B60779">
            <w:pPr>
              <w:pStyle w:val="NoSpacing"/>
              <w:rPr>
                <w:rFonts w:cs="Times New Roman"/>
                <w:sz w:val="20"/>
                <w:szCs w:val="20"/>
                <w:lang w:val="en-US"/>
              </w:rPr>
            </w:pPr>
          </w:p>
          <w:p w14:paraId="0157140B" w14:textId="3E6D948E" w:rsidR="0002711A" w:rsidRPr="008B6BC5" w:rsidRDefault="0002711A" w:rsidP="00B60779">
            <w:pPr>
              <w:pStyle w:val="NoSpacing"/>
              <w:rPr>
                <w:rFonts w:cs="Times New Roman"/>
                <w:sz w:val="20"/>
                <w:szCs w:val="20"/>
                <w:lang w:val="en-US"/>
              </w:rPr>
            </w:pPr>
            <w:r w:rsidRPr="008B6BC5">
              <w:rPr>
                <w:rFonts w:cs="Times New Roman"/>
                <w:sz w:val="20"/>
                <w:szCs w:val="20"/>
                <w:lang w:val="en-US"/>
              </w:rPr>
              <w:t>Zompa et al (2025) did not include a CBT comparison.</w:t>
            </w:r>
          </w:p>
        </w:tc>
      </w:tr>
      <w:tr w:rsidR="00B60779" w:rsidRPr="008B6BC5" w14:paraId="7C8CF927" w14:textId="77777777" w:rsidTr="00202DA2">
        <w:tc>
          <w:tcPr>
            <w:tcW w:w="1616" w:type="dxa"/>
          </w:tcPr>
          <w:p w14:paraId="504B8E46" w14:textId="77777777" w:rsidR="00B60779" w:rsidRPr="008B6BC5" w:rsidRDefault="003A4A1A" w:rsidP="00B60779">
            <w:pPr>
              <w:pStyle w:val="NoSpacing"/>
              <w:rPr>
                <w:rFonts w:cs="Times New Roman"/>
                <w:sz w:val="20"/>
                <w:szCs w:val="20"/>
                <w:lang w:val="en-US"/>
              </w:rPr>
            </w:pPr>
            <w:r w:rsidRPr="008B6BC5">
              <w:rPr>
                <w:rFonts w:cs="Times New Roman"/>
                <w:sz w:val="20"/>
                <w:szCs w:val="20"/>
                <w:lang w:val="en-US"/>
              </w:rPr>
              <w:t>14.1</w:t>
            </w:r>
          </w:p>
          <w:p w14:paraId="529FC8C9" w14:textId="0F6727AF" w:rsidR="003A4A1A" w:rsidRPr="008B6BC5" w:rsidRDefault="003A4A1A" w:rsidP="00B60779">
            <w:pPr>
              <w:pStyle w:val="NoSpacing"/>
              <w:rPr>
                <w:rFonts w:cs="Times New Roman"/>
                <w:sz w:val="20"/>
                <w:szCs w:val="20"/>
                <w:lang w:val="en-US"/>
              </w:rPr>
            </w:pPr>
            <w:r w:rsidRPr="008B6BC5">
              <w:rPr>
                <w:rFonts w:cs="Times New Roman"/>
                <w:sz w:val="20"/>
                <w:szCs w:val="20"/>
                <w:lang w:val="en-US"/>
              </w:rPr>
              <w:t>14.2</w:t>
            </w:r>
          </w:p>
        </w:tc>
        <w:tc>
          <w:tcPr>
            <w:tcW w:w="5614" w:type="dxa"/>
          </w:tcPr>
          <w:p w14:paraId="56E6AFA7" w14:textId="08BD6692"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Meta-analyses indicate that pharmacotherapies such as </w:t>
            </w:r>
            <w:proofErr w:type="spellStart"/>
            <w:r w:rsidRPr="008B6BC5">
              <w:rPr>
                <w:rFonts w:cs="Times New Roman"/>
                <w:sz w:val="20"/>
                <w:szCs w:val="20"/>
                <w:lang w:val="en-US"/>
              </w:rPr>
              <w:t>lisdexamfetamine</w:t>
            </w:r>
            <w:proofErr w:type="spellEnd"/>
            <w:r w:rsidRPr="008B6BC5">
              <w:rPr>
                <w:rFonts w:cs="Times New Roman"/>
                <w:sz w:val="20"/>
                <w:szCs w:val="20"/>
                <w:lang w:val="en-US"/>
              </w:rPr>
              <w:t xml:space="preserve"> </w:t>
            </w:r>
            <w:proofErr w:type="spellStart"/>
            <w:r w:rsidRPr="008B6BC5">
              <w:rPr>
                <w:rFonts w:cs="Times New Roman"/>
                <w:sz w:val="20"/>
                <w:szCs w:val="20"/>
                <w:lang w:val="en-US"/>
              </w:rPr>
              <w:t>dimesylate</w:t>
            </w:r>
            <w:proofErr w:type="spellEnd"/>
            <w:r w:rsidRPr="008B6BC5">
              <w:rPr>
                <w:rFonts w:cs="Times New Roman"/>
                <w:sz w:val="20"/>
                <w:szCs w:val="20"/>
                <w:lang w:val="en-US"/>
              </w:rPr>
              <w:t xml:space="preserve"> (LDX) and certain anticonvulsants produce small-to-moderate short-term reductions in binge eating compared with placebo, but generally yield less durable change and </w:t>
            </w:r>
            <w:r w:rsidRPr="008B6BC5">
              <w:rPr>
                <w:rFonts w:cs="Times New Roman"/>
                <w:sz w:val="20"/>
                <w:szCs w:val="20"/>
                <w:lang w:val="en-US"/>
              </w:rPr>
              <w:lastRenderedPageBreak/>
              <w:t xml:space="preserve">more adverse events than psychotherapy  (Hilbert et al., 2019; Brownley et al., 2016). </w:t>
            </w:r>
          </w:p>
        </w:tc>
        <w:tc>
          <w:tcPr>
            <w:tcW w:w="4458" w:type="dxa"/>
          </w:tcPr>
          <w:p w14:paraId="20EB32DF" w14:textId="5908015F" w:rsidR="00B60779" w:rsidRPr="008B6BC5" w:rsidRDefault="00B60779" w:rsidP="00B60779">
            <w:pPr>
              <w:pStyle w:val="NoSpacing"/>
              <w:rPr>
                <w:rFonts w:cs="Times New Roman"/>
                <w:sz w:val="20"/>
                <w:szCs w:val="20"/>
                <w:lang w:val="en-US"/>
              </w:rPr>
            </w:pPr>
            <w:r w:rsidRPr="008B6BC5">
              <w:rPr>
                <w:rFonts w:cs="Times New Roman"/>
                <w:sz w:val="20"/>
                <w:szCs w:val="20"/>
                <w:lang w:val="en-US"/>
              </w:rPr>
              <w:lastRenderedPageBreak/>
              <w:t>http://dx.doi.org/10.1037/ccp0000358</w:t>
            </w:r>
          </w:p>
          <w:p w14:paraId="6AED7215" w14:textId="2F1A5993" w:rsidR="00B60779" w:rsidRPr="008B6BC5" w:rsidRDefault="00B60779" w:rsidP="00B60779">
            <w:pPr>
              <w:pStyle w:val="NoSpacing"/>
              <w:rPr>
                <w:rFonts w:cs="Times New Roman"/>
                <w:sz w:val="20"/>
                <w:szCs w:val="20"/>
                <w:lang w:val="en-US"/>
              </w:rPr>
            </w:pPr>
            <w:r w:rsidRPr="008B6BC5">
              <w:rPr>
                <w:rFonts w:cs="Times New Roman"/>
                <w:sz w:val="20"/>
                <w:szCs w:val="20"/>
                <w:lang w:val="en-US"/>
              </w:rPr>
              <w:t>doi:10.7326/M15-2455</w:t>
            </w:r>
          </w:p>
        </w:tc>
        <w:tc>
          <w:tcPr>
            <w:tcW w:w="690" w:type="dxa"/>
          </w:tcPr>
          <w:p w14:paraId="122BF525" w14:textId="77777777" w:rsidR="00B60779" w:rsidRPr="008B6BC5" w:rsidRDefault="0075613D" w:rsidP="00B60779">
            <w:pPr>
              <w:pStyle w:val="NoSpacing"/>
              <w:rPr>
                <w:rFonts w:cs="Times New Roman"/>
                <w:sz w:val="20"/>
                <w:szCs w:val="20"/>
                <w:lang w:val="en-US"/>
              </w:rPr>
            </w:pPr>
            <w:r w:rsidRPr="008B6BC5">
              <w:rPr>
                <w:rFonts w:cs="Times New Roman"/>
                <w:sz w:val="20"/>
                <w:szCs w:val="20"/>
                <w:lang w:val="en-US"/>
              </w:rPr>
              <w:t>4</w:t>
            </w:r>
          </w:p>
          <w:p w14:paraId="323E765B" w14:textId="65A6E823" w:rsidR="0075613D" w:rsidRPr="008B6BC5" w:rsidRDefault="0075613D" w:rsidP="00B60779">
            <w:pPr>
              <w:pStyle w:val="NoSpacing"/>
              <w:rPr>
                <w:rFonts w:cs="Times New Roman"/>
                <w:sz w:val="20"/>
                <w:szCs w:val="20"/>
                <w:lang w:val="en-US"/>
              </w:rPr>
            </w:pPr>
            <w:r w:rsidRPr="008B6BC5">
              <w:rPr>
                <w:rFonts w:cs="Times New Roman"/>
                <w:sz w:val="20"/>
                <w:szCs w:val="20"/>
                <w:lang w:val="en-US"/>
              </w:rPr>
              <w:t>1</w:t>
            </w:r>
          </w:p>
        </w:tc>
        <w:tc>
          <w:tcPr>
            <w:tcW w:w="4066" w:type="dxa"/>
          </w:tcPr>
          <w:p w14:paraId="021093BF" w14:textId="77777777" w:rsidR="00B60779" w:rsidRPr="008B6BC5" w:rsidRDefault="0075613D" w:rsidP="00B60779">
            <w:pPr>
              <w:pStyle w:val="NoSpacing"/>
              <w:rPr>
                <w:rFonts w:cs="Times New Roman"/>
                <w:sz w:val="20"/>
                <w:szCs w:val="20"/>
                <w:lang w:val="en-US"/>
              </w:rPr>
            </w:pPr>
            <w:r w:rsidRPr="008B6BC5">
              <w:rPr>
                <w:rFonts w:cs="Times New Roman"/>
                <w:sz w:val="20"/>
                <w:szCs w:val="20"/>
                <w:lang w:val="en-US"/>
              </w:rPr>
              <w:t>No inaccuracies identified for Hilbert et al (2019)</w:t>
            </w:r>
          </w:p>
          <w:p w14:paraId="253A55B3" w14:textId="77777777" w:rsidR="0075613D" w:rsidRPr="008B6BC5" w:rsidRDefault="0075613D" w:rsidP="00B60779">
            <w:pPr>
              <w:pStyle w:val="NoSpacing"/>
              <w:rPr>
                <w:rFonts w:cs="Times New Roman"/>
                <w:sz w:val="20"/>
                <w:szCs w:val="20"/>
                <w:lang w:val="en-US"/>
              </w:rPr>
            </w:pPr>
          </w:p>
          <w:p w14:paraId="45368F9D" w14:textId="42FDF962" w:rsidR="0075613D" w:rsidRPr="008B6BC5" w:rsidRDefault="0075613D" w:rsidP="00B60779">
            <w:pPr>
              <w:pStyle w:val="NoSpacing"/>
              <w:rPr>
                <w:rFonts w:cs="Times New Roman"/>
                <w:sz w:val="20"/>
                <w:szCs w:val="20"/>
                <w:lang w:val="en-US"/>
              </w:rPr>
            </w:pPr>
            <w:r w:rsidRPr="008B6BC5">
              <w:rPr>
                <w:rFonts w:cs="Times New Roman"/>
                <w:sz w:val="20"/>
                <w:szCs w:val="20"/>
                <w:lang w:val="en-US"/>
              </w:rPr>
              <w:lastRenderedPageBreak/>
              <w:t xml:space="preserve">Brownley et al (2016) did not assess outcomes at follow-up, so </w:t>
            </w:r>
            <w:r w:rsidR="0042539B" w:rsidRPr="008B6BC5">
              <w:rPr>
                <w:rFonts w:cs="Times New Roman"/>
                <w:sz w:val="20"/>
                <w:szCs w:val="20"/>
                <w:lang w:val="en-US"/>
              </w:rPr>
              <w:t xml:space="preserve">durability statements appear fabricated. </w:t>
            </w:r>
          </w:p>
          <w:p w14:paraId="214F5C19" w14:textId="0569C205" w:rsidR="0075613D" w:rsidRPr="008B6BC5" w:rsidRDefault="0075613D" w:rsidP="00B60779">
            <w:pPr>
              <w:pStyle w:val="NoSpacing"/>
              <w:rPr>
                <w:rFonts w:cs="Times New Roman"/>
                <w:sz w:val="20"/>
                <w:szCs w:val="20"/>
                <w:lang w:val="en-US"/>
              </w:rPr>
            </w:pPr>
          </w:p>
        </w:tc>
      </w:tr>
      <w:tr w:rsidR="00B60779" w:rsidRPr="008B6BC5" w14:paraId="131B426A" w14:textId="77777777" w:rsidTr="00202DA2">
        <w:tc>
          <w:tcPr>
            <w:tcW w:w="1616" w:type="dxa"/>
          </w:tcPr>
          <w:p w14:paraId="10AF8352" w14:textId="77777777" w:rsidR="00B60779" w:rsidRPr="008B6BC5" w:rsidRDefault="003A4A1A" w:rsidP="00B60779">
            <w:pPr>
              <w:pStyle w:val="NoSpacing"/>
              <w:rPr>
                <w:rFonts w:cs="Times New Roman"/>
                <w:sz w:val="20"/>
                <w:szCs w:val="20"/>
                <w:lang w:val="en-US"/>
              </w:rPr>
            </w:pPr>
            <w:r w:rsidRPr="008B6BC5">
              <w:rPr>
                <w:rFonts w:cs="Times New Roman"/>
                <w:sz w:val="20"/>
                <w:szCs w:val="20"/>
                <w:lang w:val="en-US"/>
              </w:rPr>
              <w:lastRenderedPageBreak/>
              <w:t>15.1</w:t>
            </w:r>
          </w:p>
          <w:p w14:paraId="473F57B6" w14:textId="5CDD96DD" w:rsidR="003A4A1A" w:rsidRPr="008B6BC5" w:rsidRDefault="003A4A1A" w:rsidP="00B60779">
            <w:pPr>
              <w:pStyle w:val="NoSpacing"/>
              <w:rPr>
                <w:rFonts w:cs="Times New Roman"/>
                <w:sz w:val="20"/>
                <w:szCs w:val="20"/>
                <w:lang w:val="en-US"/>
              </w:rPr>
            </w:pPr>
            <w:r w:rsidRPr="008B6BC5">
              <w:rPr>
                <w:rFonts w:cs="Times New Roman"/>
                <w:sz w:val="20"/>
                <w:szCs w:val="20"/>
                <w:lang w:val="en-US"/>
              </w:rPr>
              <w:t>15.2</w:t>
            </w:r>
          </w:p>
        </w:tc>
        <w:tc>
          <w:tcPr>
            <w:tcW w:w="5614" w:type="dxa"/>
          </w:tcPr>
          <w:p w14:paraId="6414B569" w14:textId="4E913305" w:rsidR="00B60779" w:rsidRPr="008B6BC5" w:rsidRDefault="00B60779" w:rsidP="00B60779">
            <w:pPr>
              <w:pStyle w:val="NoSpacing"/>
              <w:rPr>
                <w:rFonts w:cs="Times New Roman"/>
                <w:sz w:val="20"/>
                <w:szCs w:val="20"/>
                <w:lang w:val="en-US"/>
              </w:rPr>
            </w:pPr>
            <w:r w:rsidRPr="008B6BC5">
              <w:rPr>
                <w:rFonts w:cs="Times New Roman"/>
                <w:sz w:val="20"/>
                <w:szCs w:val="20"/>
                <w:lang w:val="en-US"/>
              </w:rPr>
              <w:t>RCTs of LDX in adults with moderate to severe BED (typically BMI 25–45 kg/m²) show larger reductions in binge-eating days versus placebo over 12 weeks (e.g., between-group differences of roughly 0.9 binge days/week; McElroy et al., 2015) and lower relapse rates with continuation treatment (Hudson et al., 2017)but with high rates of treatment-emergent adverse events (≥80%) and common discontinuation due to insomnia, increased heart rate, or anxiety (McElroy et al., 2015).</w:t>
            </w:r>
          </w:p>
        </w:tc>
        <w:tc>
          <w:tcPr>
            <w:tcW w:w="4458" w:type="dxa"/>
          </w:tcPr>
          <w:p w14:paraId="57A20782" w14:textId="77777777" w:rsidR="00B60779" w:rsidRPr="008B6BC5" w:rsidRDefault="00B60779" w:rsidP="00B60779">
            <w:pPr>
              <w:pStyle w:val="NoSpacing"/>
              <w:rPr>
                <w:rFonts w:cs="Times New Roman"/>
                <w:sz w:val="20"/>
                <w:szCs w:val="20"/>
                <w:lang w:val="en-US"/>
              </w:rPr>
            </w:pPr>
            <w:r w:rsidRPr="008B6BC5">
              <w:rPr>
                <w:rFonts w:cs="Times New Roman"/>
                <w:sz w:val="20"/>
                <w:szCs w:val="20"/>
                <w:lang w:val="en-US"/>
              </w:rPr>
              <w:t>doi:l0.1001/jamapsychiatry.2014.2162</w:t>
            </w:r>
          </w:p>
          <w:p w14:paraId="09806440" w14:textId="46B4CFF8" w:rsidR="000577C9" w:rsidRPr="008B6BC5" w:rsidRDefault="000577C9" w:rsidP="00B60779">
            <w:pPr>
              <w:pStyle w:val="NoSpacing"/>
              <w:rPr>
                <w:rFonts w:cs="Times New Roman"/>
                <w:sz w:val="20"/>
                <w:szCs w:val="20"/>
                <w:lang w:val="en-US"/>
              </w:rPr>
            </w:pPr>
            <w:r w:rsidRPr="008B6BC5">
              <w:rPr>
                <w:rFonts w:cs="Times New Roman"/>
                <w:sz w:val="20"/>
                <w:szCs w:val="20"/>
                <w:lang w:val="en-US"/>
              </w:rPr>
              <w:t>doi:10.1001/jamapsychiatry.2017.1889</w:t>
            </w:r>
          </w:p>
        </w:tc>
        <w:tc>
          <w:tcPr>
            <w:tcW w:w="690" w:type="dxa"/>
          </w:tcPr>
          <w:p w14:paraId="6EBE3623" w14:textId="77777777" w:rsidR="00B60779" w:rsidRPr="008B6BC5" w:rsidRDefault="0042539B" w:rsidP="00B60779">
            <w:pPr>
              <w:pStyle w:val="NoSpacing"/>
              <w:rPr>
                <w:rFonts w:cs="Times New Roman"/>
                <w:sz w:val="20"/>
                <w:szCs w:val="20"/>
                <w:lang w:val="en-US"/>
              </w:rPr>
            </w:pPr>
            <w:r w:rsidRPr="008B6BC5">
              <w:rPr>
                <w:rFonts w:cs="Times New Roman"/>
                <w:sz w:val="20"/>
                <w:szCs w:val="20"/>
                <w:lang w:val="en-US"/>
              </w:rPr>
              <w:t>4</w:t>
            </w:r>
          </w:p>
          <w:p w14:paraId="1D929C55" w14:textId="122FDDD2" w:rsidR="0042539B" w:rsidRPr="008B6BC5" w:rsidRDefault="0042539B" w:rsidP="00B60779">
            <w:pPr>
              <w:pStyle w:val="NoSpacing"/>
              <w:rPr>
                <w:rFonts w:cs="Times New Roman"/>
                <w:sz w:val="20"/>
                <w:szCs w:val="20"/>
                <w:lang w:val="en-US"/>
              </w:rPr>
            </w:pPr>
            <w:r w:rsidRPr="008B6BC5">
              <w:rPr>
                <w:rFonts w:cs="Times New Roman"/>
                <w:sz w:val="20"/>
                <w:szCs w:val="20"/>
                <w:lang w:val="en-US"/>
              </w:rPr>
              <w:t>4</w:t>
            </w:r>
          </w:p>
        </w:tc>
        <w:tc>
          <w:tcPr>
            <w:tcW w:w="4066" w:type="dxa"/>
          </w:tcPr>
          <w:p w14:paraId="1C841B62" w14:textId="2FA5972D" w:rsidR="00B60779" w:rsidRPr="008B6BC5" w:rsidRDefault="000577C9" w:rsidP="00B60779">
            <w:pPr>
              <w:pStyle w:val="NoSpacing"/>
              <w:rPr>
                <w:rFonts w:cs="Times New Roman"/>
                <w:sz w:val="20"/>
                <w:szCs w:val="20"/>
                <w:lang w:val="en-US"/>
              </w:rPr>
            </w:pPr>
            <w:r w:rsidRPr="008B6BC5">
              <w:rPr>
                <w:rFonts w:cs="Times New Roman"/>
                <w:sz w:val="20"/>
                <w:szCs w:val="20"/>
                <w:lang w:val="en-US"/>
              </w:rPr>
              <w:t>No inaccuracies identified for either citation.</w:t>
            </w:r>
          </w:p>
        </w:tc>
      </w:tr>
      <w:tr w:rsidR="00B60779" w:rsidRPr="008B6BC5" w14:paraId="663DADD0" w14:textId="77777777" w:rsidTr="00202DA2">
        <w:tc>
          <w:tcPr>
            <w:tcW w:w="1616" w:type="dxa"/>
          </w:tcPr>
          <w:p w14:paraId="17CF9EBF" w14:textId="3A89AD12" w:rsidR="00B60779" w:rsidRPr="008B6BC5" w:rsidRDefault="003A4A1A" w:rsidP="00B60779">
            <w:pPr>
              <w:pStyle w:val="NoSpacing"/>
              <w:rPr>
                <w:rFonts w:cs="Times New Roman"/>
                <w:sz w:val="20"/>
                <w:szCs w:val="20"/>
                <w:lang w:val="en-US"/>
              </w:rPr>
            </w:pPr>
            <w:r w:rsidRPr="008B6BC5">
              <w:rPr>
                <w:rFonts w:cs="Times New Roman"/>
                <w:sz w:val="20"/>
                <w:szCs w:val="20"/>
                <w:lang w:val="en-US"/>
              </w:rPr>
              <w:t>16</w:t>
            </w:r>
          </w:p>
        </w:tc>
        <w:tc>
          <w:tcPr>
            <w:tcW w:w="5614" w:type="dxa"/>
          </w:tcPr>
          <w:p w14:paraId="1309CEBF" w14:textId="69B939AC" w:rsidR="00B60779" w:rsidRPr="008B6BC5" w:rsidRDefault="00B60779" w:rsidP="00B60779">
            <w:pPr>
              <w:pStyle w:val="NoSpacing"/>
              <w:rPr>
                <w:rFonts w:cs="Times New Roman"/>
                <w:sz w:val="20"/>
                <w:szCs w:val="20"/>
                <w:lang w:val="en-US"/>
              </w:rPr>
            </w:pPr>
            <w:r w:rsidRPr="008B6BC5">
              <w:rPr>
                <w:rFonts w:cs="Times New Roman"/>
                <w:sz w:val="20"/>
                <w:szCs w:val="20"/>
                <w:lang w:val="en-US"/>
              </w:rPr>
              <w:t xml:space="preserve">Hilbert et al. (2019) directly compared effect sizes and concluded that in-person psychological treatments show large effects on binge outcomes, structured self-help psychotherapy medium-to-large effects, and pharmacotherapy small effects versus comparators. Notably, there is limited evidence that combining CBT with pharmacotherapy confers added benefit over CBT alone on binge abstinence, although data are still emerging. </w:t>
            </w:r>
          </w:p>
        </w:tc>
        <w:tc>
          <w:tcPr>
            <w:tcW w:w="4458" w:type="dxa"/>
          </w:tcPr>
          <w:p w14:paraId="7A4D2231" w14:textId="2329899B" w:rsidR="00B60779" w:rsidRPr="008B6BC5" w:rsidRDefault="00B60779" w:rsidP="00B60779">
            <w:pPr>
              <w:pStyle w:val="NoSpacing"/>
              <w:rPr>
                <w:rFonts w:cs="Times New Roman"/>
                <w:sz w:val="20"/>
                <w:szCs w:val="20"/>
                <w:lang w:val="en-US"/>
              </w:rPr>
            </w:pPr>
            <w:r w:rsidRPr="008B6BC5">
              <w:rPr>
                <w:rFonts w:cs="Times New Roman"/>
                <w:sz w:val="20"/>
                <w:szCs w:val="20"/>
                <w:lang w:val="en-US"/>
              </w:rPr>
              <w:t>http://dx.doi.org/10.1037/ccp0000358</w:t>
            </w:r>
          </w:p>
        </w:tc>
        <w:tc>
          <w:tcPr>
            <w:tcW w:w="690" w:type="dxa"/>
          </w:tcPr>
          <w:p w14:paraId="7C25A377" w14:textId="5BF57157" w:rsidR="00B60779" w:rsidRPr="008B6BC5" w:rsidRDefault="000C0240" w:rsidP="00B60779">
            <w:pPr>
              <w:pStyle w:val="NoSpacing"/>
              <w:rPr>
                <w:rFonts w:cs="Times New Roman"/>
                <w:sz w:val="20"/>
                <w:szCs w:val="20"/>
                <w:lang w:val="en-US"/>
              </w:rPr>
            </w:pPr>
            <w:r w:rsidRPr="008B6BC5">
              <w:rPr>
                <w:rFonts w:cs="Times New Roman"/>
                <w:sz w:val="20"/>
                <w:szCs w:val="20"/>
                <w:lang w:val="en-US"/>
              </w:rPr>
              <w:t>4</w:t>
            </w:r>
          </w:p>
        </w:tc>
        <w:tc>
          <w:tcPr>
            <w:tcW w:w="4066" w:type="dxa"/>
          </w:tcPr>
          <w:p w14:paraId="4AFCFB33" w14:textId="720A0532" w:rsidR="00B60779" w:rsidRPr="008B6BC5" w:rsidRDefault="000C0240" w:rsidP="00B60779">
            <w:pPr>
              <w:pStyle w:val="NoSpacing"/>
              <w:rPr>
                <w:rFonts w:cs="Times New Roman"/>
                <w:sz w:val="20"/>
                <w:szCs w:val="20"/>
                <w:lang w:val="en-US"/>
              </w:rPr>
            </w:pPr>
            <w:r w:rsidRPr="008B6BC5">
              <w:rPr>
                <w:rFonts w:cs="Times New Roman"/>
                <w:sz w:val="20"/>
                <w:szCs w:val="20"/>
                <w:lang w:val="en-US"/>
              </w:rPr>
              <w:t>No inaccuracies identified.</w:t>
            </w:r>
          </w:p>
        </w:tc>
      </w:tr>
      <w:tr w:rsidR="00B60779" w:rsidRPr="008B6BC5" w14:paraId="2107D75B" w14:textId="77777777" w:rsidTr="00202DA2">
        <w:tc>
          <w:tcPr>
            <w:tcW w:w="1616" w:type="dxa"/>
          </w:tcPr>
          <w:p w14:paraId="6742000B" w14:textId="6D580087" w:rsidR="00B60779" w:rsidRPr="008B6BC5" w:rsidRDefault="003A4A1A" w:rsidP="00B60779">
            <w:pPr>
              <w:pStyle w:val="NoSpacing"/>
              <w:rPr>
                <w:rFonts w:cs="Times New Roman"/>
                <w:sz w:val="20"/>
                <w:szCs w:val="20"/>
                <w:lang w:val="en-US"/>
              </w:rPr>
            </w:pPr>
            <w:r w:rsidRPr="008B6BC5">
              <w:rPr>
                <w:rFonts w:cs="Times New Roman"/>
                <w:sz w:val="20"/>
                <w:szCs w:val="20"/>
                <w:lang w:val="en-US"/>
              </w:rPr>
              <w:t>17</w:t>
            </w:r>
          </w:p>
        </w:tc>
        <w:tc>
          <w:tcPr>
            <w:tcW w:w="5614" w:type="dxa"/>
          </w:tcPr>
          <w:p w14:paraId="6A088D05" w14:textId="718FEF39" w:rsidR="00B60779" w:rsidRPr="008B6BC5" w:rsidRDefault="00B60779" w:rsidP="00B60779">
            <w:pPr>
              <w:pStyle w:val="NoSpacing"/>
              <w:rPr>
                <w:rFonts w:cs="Times New Roman"/>
                <w:sz w:val="20"/>
                <w:szCs w:val="20"/>
                <w:lang w:val="en-US"/>
              </w:rPr>
            </w:pPr>
            <w:proofErr w:type="spellStart"/>
            <w:r w:rsidRPr="008B6BC5">
              <w:rPr>
                <w:rFonts w:cs="Times New Roman"/>
                <w:sz w:val="20"/>
                <w:szCs w:val="20"/>
                <w:lang w:val="en-US"/>
              </w:rPr>
              <w:t>Palavras</w:t>
            </w:r>
            <w:proofErr w:type="spellEnd"/>
            <w:r w:rsidRPr="008B6BC5">
              <w:rPr>
                <w:rFonts w:cs="Times New Roman"/>
                <w:sz w:val="20"/>
                <w:szCs w:val="20"/>
                <w:lang w:val="en-US"/>
              </w:rPr>
              <w:t xml:space="preserve"> et al. (2017) reported in their meta-analysis that CBT-based interventions led to medium-to-large reductions in binge frequency among individuals with BED or bulimia nervosa who were overweight, but weight loss was modest</w:t>
            </w:r>
          </w:p>
        </w:tc>
        <w:tc>
          <w:tcPr>
            <w:tcW w:w="4458" w:type="dxa"/>
          </w:tcPr>
          <w:p w14:paraId="6516EFA7" w14:textId="474AA4D2" w:rsidR="00B60779" w:rsidRPr="008B6BC5" w:rsidRDefault="00B60779" w:rsidP="00B60779">
            <w:pPr>
              <w:pStyle w:val="NoSpacing"/>
              <w:rPr>
                <w:rFonts w:cs="Times New Roman"/>
                <w:sz w:val="20"/>
                <w:szCs w:val="20"/>
                <w:lang w:val="en-US"/>
              </w:rPr>
            </w:pPr>
            <w:r w:rsidRPr="008B6BC5">
              <w:rPr>
                <w:rFonts w:cs="Times New Roman"/>
                <w:sz w:val="20"/>
                <w:szCs w:val="20"/>
                <w:lang w:val="en-US"/>
              </w:rPr>
              <w:t>doi:10.3390/nu9030299</w:t>
            </w:r>
          </w:p>
        </w:tc>
        <w:tc>
          <w:tcPr>
            <w:tcW w:w="690" w:type="dxa"/>
          </w:tcPr>
          <w:p w14:paraId="3BF4B6A8" w14:textId="387E7923" w:rsidR="00B60779" w:rsidRPr="008B6BC5" w:rsidRDefault="00BC624F" w:rsidP="00B60779">
            <w:pPr>
              <w:pStyle w:val="NoSpacing"/>
              <w:rPr>
                <w:rFonts w:cs="Times New Roman"/>
                <w:sz w:val="20"/>
                <w:szCs w:val="20"/>
                <w:lang w:val="en-US"/>
              </w:rPr>
            </w:pPr>
            <w:r w:rsidRPr="008B6BC5">
              <w:rPr>
                <w:rFonts w:cs="Times New Roman"/>
                <w:sz w:val="20"/>
                <w:szCs w:val="20"/>
                <w:lang w:val="en-US"/>
              </w:rPr>
              <w:t>3</w:t>
            </w:r>
          </w:p>
        </w:tc>
        <w:tc>
          <w:tcPr>
            <w:tcW w:w="4066" w:type="dxa"/>
          </w:tcPr>
          <w:p w14:paraId="36100E78" w14:textId="136BAAD1" w:rsidR="00B60779" w:rsidRPr="008B6BC5" w:rsidRDefault="00BC624F" w:rsidP="00B60779">
            <w:pPr>
              <w:pStyle w:val="NoSpacing"/>
              <w:rPr>
                <w:rFonts w:cs="Times New Roman"/>
                <w:sz w:val="20"/>
                <w:szCs w:val="20"/>
                <w:lang w:val="en-US"/>
              </w:rPr>
            </w:pPr>
            <w:r w:rsidRPr="008B6BC5">
              <w:rPr>
                <w:rFonts w:cs="Times New Roman"/>
                <w:sz w:val="20"/>
                <w:szCs w:val="20"/>
                <w:lang w:val="en-US"/>
              </w:rPr>
              <w:t xml:space="preserve">The effect size was not medium-large as CBT was compared with an active therapy group. </w:t>
            </w:r>
            <w:r w:rsidR="00B9242F" w:rsidRPr="008B6BC5">
              <w:rPr>
                <w:rFonts w:cs="Times New Roman"/>
                <w:sz w:val="20"/>
                <w:szCs w:val="20"/>
                <w:lang w:val="en-US"/>
              </w:rPr>
              <w:t xml:space="preserve"> </w:t>
            </w:r>
            <w:r w:rsidR="00432C04" w:rsidRPr="008B6BC5">
              <w:rPr>
                <w:rFonts w:cs="Times New Roman"/>
                <w:sz w:val="20"/>
                <w:szCs w:val="20"/>
                <w:lang w:val="en-US"/>
              </w:rPr>
              <w:t xml:space="preserve"> </w:t>
            </w:r>
          </w:p>
        </w:tc>
      </w:tr>
      <w:tr w:rsidR="008B6709" w:rsidRPr="008B6BC5" w14:paraId="3FD7EC90" w14:textId="77777777" w:rsidTr="00202DA2">
        <w:tc>
          <w:tcPr>
            <w:tcW w:w="1616" w:type="dxa"/>
          </w:tcPr>
          <w:p w14:paraId="44DD75A8" w14:textId="3456906A" w:rsidR="008B6709" w:rsidRPr="008B6BC5" w:rsidRDefault="003A4A1A" w:rsidP="008B6709">
            <w:pPr>
              <w:pStyle w:val="NoSpacing"/>
              <w:rPr>
                <w:rFonts w:cs="Times New Roman"/>
                <w:sz w:val="20"/>
                <w:szCs w:val="20"/>
                <w:lang w:val="en-US"/>
              </w:rPr>
            </w:pPr>
            <w:r w:rsidRPr="008B6BC5">
              <w:rPr>
                <w:rFonts w:cs="Times New Roman"/>
                <w:sz w:val="20"/>
                <w:szCs w:val="20"/>
                <w:lang w:val="en-US"/>
              </w:rPr>
              <w:t>18</w:t>
            </w:r>
          </w:p>
        </w:tc>
        <w:tc>
          <w:tcPr>
            <w:tcW w:w="5614" w:type="dxa"/>
          </w:tcPr>
          <w:p w14:paraId="7EF77F53" w14:textId="34D913C4" w:rsidR="008B6709" w:rsidRPr="008B6BC5" w:rsidRDefault="008B6709" w:rsidP="008B6709">
            <w:pPr>
              <w:pStyle w:val="NoSpacing"/>
              <w:rPr>
                <w:rFonts w:cs="Times New Roman"/>
                <w:sz w:val="20"/>
                <w:szCs w:val="20"/>
                <w:lang w:val="en-US"/>
              </w:rPr>
            </w:pPr>
            <w:r w:rsidRPr="008B6BC5">
              <w:rPr>
                <w:rFonts w:cs="Times New Roman"/>
                <w:sz w:val="20"/>
                <w:szCs w:val="20"/>
                <w:lang w:val="en-US"/>
              </w:rPr>
              <w:t xml:space="preserve">Hay et al. (2022) randomized 98 adults with BN, BED, or OSFED and BMI ≥ 27 kg/m² to CBT-E alone or a multidisciplinary program integrating CBT-E with structured weight-management (HAPIFED). Both groups showed large reductions in binge-eating severity and global ED symptoms and maintained gains at 12-month follow-up, but there were no significant between-group differences in metabolic or psychological outcomes (Hay et al., 2022). </w:t>
            </w:r>
          </w:p>
        </w:tc>
        <w:tc>
          <w:tcPr>
            <w:tcW w:w="4458" w:type="dxa"/>
          </w:tcPr>
          <w:p w14:paraId="77DC966C" w14:textId="3511DCA5" w:rsidR="008B6709" w:rsidRPr="008B6BC5" w:rsidRDefault="008B6709" w:rsidP="008B6709">
            <w:pPr>
              <w:pStyle w:val="NoSpacing"/>
              <w:rPr>
                <w:rFonts w:cs="Times New Roman"/>
                <w:sz w:val="20"/>
                <w:szCs w:val="20"/>
                <w:lang w:val="en-US"/>
              </w:rPr>
            </w:pPr>
            <w:r w:rsidRPr="008B6BC5">
              <w:rPr>
                <w:rFonts w:cs="Times New Roman"/>
                <w:sz w:val="20"/>
                <w:szCs w:val="20"/>
                <w:lang w:val="en-US"/>
              </w:rPr>
              <w:t>https://doi.org/10.1186/s12888-022-04005-y</w:t>
            </w:r>
          </w:p>
        </w:tc>
        <w:tc>
          <w:tcPr>
            <w:tcW w:w="690" w:type="dxa"/>
          </w:tcPr>
          <w:p w14:paraId="6483B66D" w14:textId="62F29B89" w:rsidR="008B6709" w:rsidRPr="008B6BC5" w:rsidRDefault="008B6709" w:rsidP="008B6709">
            <w:pPr>
              <w:pStyle w:val="NoSpacing"/>
              <w:rPr>
                <w:rFonts w:cs="Times New Roman"/>
                <w:sz w:val="20"/>
                <w:szCs w:val="20"/>
                <w:lang w:val="en-US"/>
              </w:rPr>
            </w:pPr>
            <w:r w:rsidRPr="008B6BC5">
              <w:rPr>
                <w:rFonts w:cs="Times New Roman"/>
                <w:sz w:val="20"/>
                <w:szCs w:val="20"/>
                <w:lang w:val="en-US"/>
              </w:rPr>
              <w:t>4</w:t>
            </w:r>
          </w:p>
        </w:tc>
        <w:tc>
          <w:tcPr>
            <w:tcW w:w="4066" w:type="dxa"/>
          </w:tcPr>
          <w:p w14:paraId="2BFA63EB" w14:textId="1045BE06" w:rsidR="008B6709" w:rsidRPr="008B6BC5" w:rsidRDefault="008B6709" w:rsidP="008B6709">
            <w:pPr>
              <w:pStyle w:val="NoSpacing"/>
              <w:rPr>
                <w:rFonts w:cs="Times New Roman"/>
                <w:sz w:val="20"/>
                <w:szCs w:val="20"/>
                <w:lang w:val="en-US"/>
              </w:rPr>
            </w:pPr>
            <w:r w:rsidRPr="008B6BC5">
              <w:rPr>
                <w:rFonts w:cs="Times New Roman"/>
                <w:sz w:val="20"/>
                <w:szCs w:val="20"/>
                <w:lang w:val="en-US"/>
              </w:rPr>
              <w:t>No inaccuracies identified.</w:t>
            </w:r>
          </w:p>
        </w:tc>
      </w:tr>
      <w:tr w:rsidR="008B6709" w:rsidRPr="008B6BC5" w14:paraId="51BCBC86" w14:textId="77777777" w:rsidTr="00202DA2">
        <w:tc>
          <w:tcPr>
            <w:tcW w:w="1616" w:type="dxa"/>
          </w:tcPr>
          <w:p w14:paraId="599B2102" w14:textId="27357577" w:rsidR="008B6709" w:rsidRPr="008B6BC5" w:rsidRDefault="003A4A1A" w:rsidP="008B6709">
            <w:pPr>
              <w:pStyle w:val="NoSpacing"/>
              <w:rPr>
                <w:rFonts w:cs="Times New Roman"/>
                <w:sz w:val="20"/>
                <w:szCs w:val="20"/>
                <w:lang w:val="en-US"/>
              </w:rPr>
            </w:pPr>
            <w:r w:rsidRPr="008B6BC5">
              <w:rPr>
                <w:rFonts w:cs="Times New Roman"/>
                <w:sz w:val="20"/>
                <w:szCs w:val="20"/>
                <w:lang w:val="en-US"/>
              </w:rPr>
              <w:t>19</w:t>
            </w:r>
          </w:p>
        </w:tc>
        <w:tc>
          <w:tcPr>
            <w:tcW w:w="5614" w:type="dxa"/>
          </w:tcPr>
          <w:p w14:paraId="2F4E3B9E" w14:textId="3639B74D" w:rsidR="008B6709" w:rsidRPr="008B6BC5" w:rsidRDefault="008B6709" w:rsidP="008B6709">
            <w:pPr>
              <w:pStyle w:val="NoSpacing"/>
              <w:rPr>
                <w:rFonts w:cs="Times New Roman"/>
                <w:sz w:val="20"/>
                <w:szCs w:val="20"/>
                <w:lang w:val="en-US"/>
              </w:rPr>
            </w:pPr>
            <w:r w:rsidRPr="008B6BC5">
              <w:rPr>
                <w:rFonts w:cs="Times New Roman"/>
                <w:sz w:val="20"/>
                <w:szCs w:val="20"/>
                <w:lang w:val="en-US"/>
              </w:rPr>
              <w:t xml:space="preserve">In the INTERBED trial, de Zwaan et al. (2017) randomized overweight/obese adults with full or subsyndromal BED to individual CBT or a brief face-to-face orientation followed by email-based guided self-help CBT. At post-treatment, individual CBT produced somewhat larger reductions in binge-eating days, but by 18-month follow-up, differences were no longer significant; abstinence rates and psychopathology improvements were comparable (de Zwaan et al., 2017). </w:t>
            </w:r>
          </w:p>
        </w:tc>
        <w:tc>
          <w:tcPr>
            <w:tcW w:w="4458" w:type="dxa"/>
          </w:tcPr>
          <w:p w14:paraId="6751F9D5" w14:textId="5EE59651" w:rsidR="008B6709" w:rsidRPr="008B6BC5" w:rsidRDefault="008B6709" w:rsidP="008B6709">
            <w:pPr>
              <w:pStyle w:val="NoSpacing"/>
              <w:rPr>
                <w:rFonts w:cs="Times New Roman"/>
                <w:sz w:val="20"/>
                <w:szCs w:val="20"/>
                <w:lang w:val="en-US"/>
              </w:rPr>
            </w:pPr>
            <w:r w:rsidRPr="008B6BC5">
              <w:rPr>
                <w:rFonts w:cs="Times New Roman"/>
                <w:sz w:val="20"/>
                <w:szCs w:val="20"/>
                <w:lang w:val="en-US"/>
              </w:rPr>
              <w:t>doi:10.1001/jamapsychiatry.2017.2150</w:t>
            </w:r>
          </w:p>
        </w:tc>
        <w:tc>
          <w:tcPr>
            <w:tcW w:w="690" w:type="dxa"/>
          </w:tcPr>
          <w:p w14:paraId="4EEA4DA0" w14:textId="4561160F" w:rsidR="008B6709" w:rsidRPr="008B6BC5" w:rsidRDefault="008B6709" w:rsidP="008B6709">
            <w:pPr>
              <w:pStyle w:val="NoSpacing"/>
              <w:rPr>
                <w:rFonts w:cs="Times New Roman"/>
                <w:sz w:val="20"/>
                <w:szCs w:val="20"/>
                <w:lang w:val="en-US"/>
              </w:rPr>
            </w:pPr>
            <w:r w:rsidRPr="008B6BC5">
              <w:rPr>
                <w:rFonts w:cs="Times New Roman"/>
                <w:sz w:val="20"/>
                <w:szCs w:val="20"/>
                <w:lang w:val="en-US"/>
              </w:rPr>
              <w:t>2</w:t>
            </w:r>
          </w:p>
        </w:tc>
        <w:tc>
          <w:tcPr>
            <w:tcW w:w="4066" w:type="dxa"/>
          </w:tcPr>
          <w:p w14:paraId="0DB0C686" w14:textId="612C2EAF" w:rsidR="008B6709" w:rsidRPr="008B6BC5" w:rsidRDefault="008B6709" w:rsidP="008B6709">
            <w:pPr>
              <w:pStyle w:val="NoSpacing"/>
              <w:rPr>
                <w:rFonts w:cs="Times New Roman"/>
                <w:sz w:val="20"/>
                <w:szCs w:val="20"/>
                <w:lang w:val="en-US"/>
              </w:rPr>
            </w:pPr>
            <w:r w:rsidRPr="008B6BC5">
              <w:rPr>
                <w:rFonts w:cs="Times New Roman"/>
                <w:sz w:val="20"/>
                <w:szCs w:val="20"/>
                <w:lang w:val="en-US"/>
              </w:rPr>
              <w:t xml:space="preserve">Abstinence rates did significantly differ between the groups at post-test and follow-up, favoring traditional CBT. </w:t>
            </w:r>
          </w:p>
        </w:tc>
      </w:tr>
      <w:tr w:rsidR="00100A5C" w:rsidRPr="008B6BC5" w14:paraId="5BED1F47" w14:textId="77777777" w:rsidTr="00202DA2">
        <w:tc>
          <w:tcPr>
            <w:tcW w:w="1616" w:type="dxa"/>
          </w:tcPr>
          <w:p w14:paraId="50994336" w14:textId="0B9D95D7" w:rsidR="00100A5C" w:rsidRPr="008B6BC5" w:rsidRDefault="003A4A1A" w:rsidP="00100A5C">
            <w:pPr>
              <w:pStyle w:val="NoSpacing"/>
              <w:rPr>
                <w:rFonts w:cs="Times New Roman"/>
                <w:sz w:val="20"/>
                <w:szCs w:val="20"/>
                <w:lang w:val="en-US"/>
              </w:rPr>
            </w:pPr>
            <w:r w:rsidRPr="008B6BC5">
              <w:rPr>
                <w:rFonts w:cs="Times New Roman"/>
                <w:sz w:val="20"/>
                <w:szCs w:val="20"/>
                <w:lang w:val="en-US"/>
              </w:rPr>
              <w:lastRenderedPageBreak/>
              <w:t>20</w:t>
            </w:r>
          </w:p>
        </w:tc>
        <w:tc>
          <w:tcPr>
            <w:tcW w:w="5614" w:type="dxa"/>
          </w:tcPr>
          <w:p w14:paraId="22B442FD" w14:textId="73667B03" w:rsidR="00100A5C" w:rsidRPr="008B6BC5" w:rsidRDefault="00100A5C" w:rsidP="00100A5C">
            <w:pPr>
              <w:pStyle w:val="NoSpacing"/>
              <w:rPr>
                <w:rFonts w:cs="Times New Roman"/>
                <w:sz w:val="20"/>
                <w:szCs w:val="20"/>
                <w:lang w:val="en-US"/>
              </w:rPr>
            </w:pPr>
            <w:r w:rsidRPr="008B6BC5">
              <w:rPr>
                <w:rFonts w:cs="Times New Roman"/>
                <w:sz w:val="20"/>
                <w:szCs w:val="20"/>
                <w:lang w:val="en-US"/>
              </w:rPr>
              <w:t xml:space="preserve">More recently, a non-inferiority RCT of 187 adults with BED found that 12 weeks of web-based guided self-help CBT-E was non-inferior to 20 weeks of comprehensive treatment-as-usual at a specialized eating-disorder </w:t>
            </w:r>
            <w:proofErr w:type="spellStart"/>
            <w:r w:rsidRPr="008B6BC5">
              <w:rPr>
                <w:rFonts w:cs="Times New Roman"/>
                <w:sz w:val="20"/>
                <w:szCs w:val="20"/>
                <w:lang w:val="en-US"/>
              </w:rPr>
              <w:t>centre</w:t>
            </w:r>
            <w:proofErr w:type="spellEnd"/>
            <w:r w:rsidRPr="008B6BC5">
              <w:rPr>
                <w:rFonts w:cs="Times New Roman"/>
                <w:sz w:val="20"/>
                <w:szCs w:val="20"/>
                <w:lang w:val="en-US"/>
              </w:rPr>
              <w:t xml:space="preserve"> in reducing binge-eating episodes, with a slight advantage for web-based treatment on BMI reduction (van Beers et al., 2025). </w:t>
            </w:r>
          </w:p>
        </w:tc>
        <w:tc>
          <w:tcPr>
            <w:tcW w:w="4458" w:type="dxa"/>
          </w:tcPr>
          <w:p w14:paraId="787AAB9D" w14:textId="5529F38F" w:rsidR="00100A5C" w:rsidRPr="008B6BC5" w:rsidRDefault="00100A5C" w:rsidP="00100A5C">
            <w:pPr>
              <w:pStyle w:val="NoSpacing"/>
              <w:rPr>
                <w:rFonts w:cs="Times New Roman"/>
                <w:sz w:val="20"/>
                <w:szCs w:val="20"/>
                <w:lang w:val="en-US"/>
              </w:rPr>
            </w:pPr>
            <w:r w:rsidRPr="008B6BC5">
              <w:rPr>
                <w:rFonts w:cs="Times New Roman"/>
                <w:sz w:val="20"/>
                <w:szCs w:val="20"/>
                <w:lang w:val="en-US"/>
              </w:rPr>
              <w:t>doi:10.1001/jamanetworkopen.2025.36644</w:t>
            </w:r>
          </w:p>
        </w:tc>
        <w:tc>
          <w:tcPr>
            <w:tcW w:w="690" w:type="dxa"/>
          </w:tcPr>
          <w:p w14:paraId="15169FB9" w14:textId="45669962" w:rsidR="00100A5C" w:rsidRPr="008B6BC5" w:rsidRDefault="00100A5C" w:rsidP="00100A5C">
            <w:pPr>
              <w:pStyle w:val="NoSpacing"/>
              <w:rPr>
                <w:rFonts w:cs="Times New Roman"/>
                <w:sz w:val="20"/>
                <w:szCs w:val="20"/>
                <w:lang w:val="en-US"/>
              </w:rPr>
            </w:pPr>
            <w:r w:rsidRPr="008B6BC5">
              <w:rPr>
                <w:rFonts w:cs="Times New Roman"/>
                <w:sz w:val="20"/>
                <w:szCs w:val="20"/>
                <w:lang w:val="en-US"/>
              </w:rPr>
              <w:t>4</w:t>
            </w:r>
          </w:p>
        </w:tc>
        <w:tc>
          <w:tcPr>
            <w:tcW w:w="4066" w:type="dxa"/>
          </w:tcPr>
          <w:p w14:paraId="1FFA2F16" w14:textId="0C171514" w:rsidR="00100A5C" w:rsidRPr="008B6BC5" w:rsidRDefault="00100A5C" w:rsidP="00100A5C">
            <w:pPr>
              <w:pStyle w:val="NoSpacing"/>
              <w:rPr>
                <w:rFonts w:cs="Times New Roman"/>
                <w:sz w:val="20"/>
                <w:szCs w:val="20"/>
                <w:lang w:val="en-US"/>
              </w:rPr>
            </w:pPr>
            <w:r w:rsidRPr="008B6BC5">
              <w:rPr>
                <w:rFonts w:cs="Times New Roman"/>
                <w:sz w:val="20"/>
                <w:szCs w:val="20"/>
                <w:lang w:val="en-US"/>
              </w:rPr>
              <w:t>No inaccuracies identified.</w:t>
            </w:r>
          </w:p>
        </w:tc>
      </w:tr>
      <w:tr w:rsidR="00100A5C" w:rsidRPr="008B6BC5" w14:paraId="342FB061" w14:textId="77777777" w:rsidTr="00202DA2">
        <w:tc>
          <w:tcPr>
            <w:tcW w:w="1616" w:type="dxa"/>
          </w:tcPr>
          <w:p w14:paraId="5912D1DB" w14:textId="77777777" w:rsidR="00100A5C" w:rsidRPr="008B6BC5" w:rsidRDefault="003A4A1A" w:rsidP="00100A5C">
            <w:pPr>
              <w:pStyle w:val="NoSpacing"/>
              <w:rPr>
                <w:rFonts w:cs="Times New Roman"/>
                <w:sz w:val="20"/>
                <w:szCs w:val="20"/>
                <w:lang w:val="en-US"/>
              </w:rPr>
            </w:pPr>
            <w:r w:rsidRPr="008B6BC5">
              <w:rPr>
                <w:rFonts w:cs="Times New Roman"/>
                <w:sz w:val="20"/>
                <w:szCs w:val="20"/>
                <w:lang w:val="en-US"/>
              </w:rPr>
              <w:t>21.1</w:t>
            </w:r>
          </w:p>
          <w:p w14:paraId="32D5E127" w14:textId="034C6CB1" w:rsidR="003A4A1A" w:rsidRPr="008B6BC5" w:rsidRDefault="003A4A1A" w:rsidP="00100A5C">
            <w:pPr>
              <w:pStyle w:val="NoSpacing"/>
              <w:rPr>
                <w:rFonts w:cs="Times New Roman"/>
                <w:sz w:val="20"/>
                <w:szCs w:val="20"/>
                <w:lang w:val="en-US"/>
              </w:rPr>
            </w:pPr>
            <w:r w:rsidRPr="008B6BC5">
              <w:rPr>
                <w:rFonts w:cs="Times New Roman"/>
                <w:sz w:val="20"/>
                <w:szCs w:val="20"/>
                <w:lang w:val="en-US"/>
              </w:rPr>
              <w:t>21.2</w:t>
            </w:r>
          </w:p>
        </w:tc>
        <w:tc>
          <w:tcPr>
            <w:tcW w:w="5614" w:type="dxa"/>
          </w:tcPr>
          <w:p w14:paraId="0F4A3056" w14:textId="77777777" w:rsidR="00100A5C" w:rsidRPr="008B6BC5" w:rsidRDefault="00100A5C" w:rsidP="00100A5C">
            <w:pPr>
              <w:pStyle w:val="NoSpacing"/>
              <w:rPr>
                <w:rFonts w:cs="Times New Roman"/>
                <w:sz w:val="20"/>
                <w:szCs w:val="20"/>
                <w:lang w:val="en-US"/>
              </w:rPr>
            </w:pPr>
            <w:r w:rsidRPr="008B6BC5">
              <w:rPr>
                <w:rFonts w:cs="Times New Roman"/>
                <w:sz w:val="20"/>
                <w:szCs w:val="20"/>
                <w:lang w:val="en-US"/>
              </w:rPr>
              <w:t>Meta-analytic evidence indicates that in-person psychotherapies have lower dropout rates than self-help interventions and similar or lower dropout than pharmacotherapy (Hilbert et al., 2019; Brownley et al., 2016)</w:t>
            </w:r>
          </w:p>
          <w:p w14:paraId="522B6065" w14:textId="16DD9FFF" w:rsidR="00100A5C" w:rsidRPr="008B6BC5" w:rsidRDefault="00100A5C" w:rsidP="00100A5C">
            <w:pPr>
              <w:pStyle w:val="NoSpacing"/>
              <w:rPr>
                <w:rFonts w:cs="Times New Roman"/>
                <w:sz w:val="20"/>
                <w:szCs w:val="20"/>
                <w:lang w:val="en-US"/>
              </w:rPr>
            </w:pPr>
          </w:p>
        </w:tc>
        <w:tc>
          <w:tcPr>
            <w:tcW w:w="4458" w:type="dxa"/>
          </w:tcPr>
          <w:p w14:paraId="396D59E9" w14:textId="2C7E3638" w:rsidR="00100A5C" w:rsidRPr="008B6BC5" w:rsidRDefault="00100A5C" w:rsidP="00100A5C">
            <w:pPr>
              <w:pStyle w:val="NoSpacing"/>
              <w:rPr>
                <w:rFonts w:cs="Times New Roman"/>
                <w:sz w:val="20"/>
                <w:szCs w:val="20"/>
                <w:lang w:val="en-US"/>
              </w:rPr>
            </w:pPr>
            <w:hyperlink r:id="rId29" w:history="1">
              <w:r w:rsidRPr="008B6BC5">
                <w:rPr>
                  <w:rStyle w:val="Hyperlink"/>
                  <w:rFonts w:cs="Times New Roman"/>
                  <w:sz w:val="20"/>
                  <w:szCs w:val="20"/>
                  <w:lang w:val="en-US"/>
                </w:rPr>
                <w:t>http://dx.doi.org/10.1037/ccp0000358</w:t>
              </w:r>
            </w:hyperlink>
          </w:p>
          <w:p w14:paraId="651DEA9D" w14:textId="7C5DF221" w:rsidR="00100A5C" w:rsidRPr="008B6BC5" w:rsidRDefault="00100A5C" w:rsidP="00100A5C">
            <w:pPr>
              <w:pStyle w:val="NoSpacing"/>
              <w:rPr>
                <w:rFonts w:cs="Times New Roman"/>
                <w:sz w:val="20"/>
                <w:szCs w:val="20"/>
                <w:lang w:val="en-US"/>
              </w:rPr>
            </w:pPr>
            <w:r w:rsidRPr="008B6BC5">
              <w:rPr>
                <w:rFonts w:cs="Times New Roman"/>
                <w:sz w:val="20"/>
                <w:szCs w:val="20"/>
                <w:lang w:val="en-US"/>
              </w:rPr>
              <w:t>doi:10.7326/M15-2455</w:t>
            </w:r>
          </w:p>
        </w:tc>
        <w:tc>
          <w:tcPr>
            <w:tcW w:w="690" w:type="dxa"/>
          </w:tcPr>
          <w:p w14:paraId="3D467DD1" w14:textId="77777777" w:rsidR="00100A5C" w:rsidRPr="008B6BC5" w:rsidRDefault="00100A5C" w:rsidP="00100A5C">
            <w:pPr>
              <w:pStyle w:val="NoSpacing"/>
              <w:rPr>
                <w:rFonts w:cs="Times New Roman"/>
                <w:sz w:val="20"/>
                <w:szCs w:val="20"/>
                <w:lang w:val="en-US"/>
              </w:rPr>
            </w:pPr>
            <w:r w:rsidRPr="008B6BC5">
              <w:rPr>
                <w:rFonts w:cs="Times New Roman"/>
                <w:sz w:val="20"/>
                <w:szCs w:val="20"/>
                <w:lang w:val="en-US"/>
              </w:rPr>
              <w:t>4</w:t>
            </w:r>
          </w:p>
          <w:p w14:paraId="47BE86C4" w14:textId="545595D0" w:rsidR="00100A5C" w:rsidRPr="008B6BC5" w:rsidRDefault="00100A5C" w:rsidP="00100A5C">
            <w:pPr>
              <w:pStyle w:val="NoSpacing"/>
              <w:rPr>
                <w:rFonts w:cs="Times New Roman"/>
                <w:sz w:val="20"/>
                <w:szCs w:val="20"/>
                <w:lang w:val="en-US"/>
              </w:rPr>
            </w:pPr>
            <w:r w:rsidRPr="008B6BC5">
              <w:rPr>
                <w:rFonts w:cs="Times New Roman"/>
                <w:sz w:val="20"/>
                <w:szCs w:val="20"/>
                <w:lang w:val="en-US"/>
              </w:rPr>
              <w:t>1</w:t>
            </w:r>
          </w:p>
        </w:tc>
        <w:tc>
          <w:tcPr>
            <w:tcW w:w="4066" w:type="dxa"/>
          </w:tcPr>
          <w:p w14:paraId="2E176A2A" w14:textId="77777777" w:rsidR="00100A5C" w:rsidRPr="008B6BC5" w:rsidRDefault="00100A5C" w:rsidP="00100A5C">
            <w:pPr>
              <w:pStyle w:val="NoSpacing"/>
              <w:rPr>
                <w:rFonts w:cs="Times New Roman"/>
                <w:sz w:val="20"/>
                <w:szCs w:val="20"/>
                <w:lang w:val="en-US"/>
              </w:rPr>
            </w:pPr>
            <w:r w:rsidRPr="008B6BC5">
              <w:rPr>
                <w:rFonts w:cs="Times New Roman"/>
                <w:sz w:val="20"/>
                <w:szCs w:val="20"/>
                <w:lang w:val="en-US"/>
              </w:rPr>
              <w:t xml:space="preserve">No inaccuracies identified for Hilbert 2019. </w:t>
            </w:r>
          </w:p>
          <w:p w14:paraId="50A7E4CD" w14:textId="77777777" w:rsidR="00100A5C" w:rsidRPr="008B6BC5" w:rsidRDefault="00100A5C" w:rsidP="00100A5C">
            <w:pPr>
              <w:pStyle w:val="NoSpacing"/>
              <w:rPr>
                <w:rFonts w:cs="Times New Roman"/>
                <w:sz w:val="20"/>
                <w:szCs w:val="20"/>
                <w:lang w:val="en-US"/>
              </w:rPr>
            </w:pPr>
          </w:p>
          <w:p w14:paraId="7344DF19" w14:textId="44CEE805" w:rsidR="00100A5C" w:rsidRPr="008B6BC5" w:rsidRDefault="00100A5C" w:rsidP="00100A5C">
            <w:pPr>
              <w:pStyle w:val="NoSpacing"/>
              <w:rPr>
                <w:rFonts w:cs="Times New Roman"/>
                <w:sz w:val="20"/>
                <w:szCs w:val="20"/>
                <w:lang w:val="en-US"/>
              </w:rPr>
            </w:pPr>
            <w:r w:rsidRPr="008B6BC5">
              <w:rPr>
                <w:rFonts w:cs="Times New Roman"/>
                <w:sz w:val="20"/>
                <w:szCs w:val="20"/>
                <w:lang w:val="en-US"/>
              </w:rPr>
              <w:t xml:space="preserve">Brownley et al (2016) did not conduct any meta-analyses or report data on dropout. </w:t>
            </w:r>
          </w:p>
        </w:tc>
      </w:tr>
      <w:tr w:rsidR="00100A5C" w:rsidRPr="008B6BC5" w14:paraId="342C565A" w14:textId="77777777" w:rsidTr="00202DA2">
        <w:tc>
          <w:tcPr>
            <w:tcW w:w="1616" w:type="dxa"/>
          </w:tcPr>
          <w:p w14:paraId="248E3B1A" w14:textId="632F92DC" w:rsidR="00100A5C" w:rsidRPr="008B6BC5" w:rsidRDefault="003A4A1A" w:rsidP="00100A5C">
            <w:pPr>
              <w:pStyle w:val="NoSpacing"/>
              <w:rPr>
                <w:rFonts w:cs="Times New Roman"/>
                <w:sz w:val="20"/>
                <w:szCs w:val="20"/>
                <w:lang w:val="en-US"/>
              </w:rPr>
            </w:pPr>
            <w:r w:rsidRPr="008B6BC5">
              <w:rPr>
                <w:rFonts w:cs="Times New Roman"/>
                <w:sz w:val="20"/>
                <w:szCs w:val="20"/>
                <w:lang w:val="en-US"/>
              </w:rPr>
              <w:t>22</w:t>
            </w:r>
          </w:p>
        </w:tc>
        <w:tc>
          <w:tcPr>
            <w:tcW w:w="5614" w:type="dxa"/>
          </w:tcPr>
          <w:p w14:paraId="7F7E2151" w14:textId="44A2286B" w:rsidR="00100A5C" w:rsidRPr="008B6BC5" w:rsidRDefault="00100A5C" w:rsidP="00100A5C">
            <w:pPr>
              <w:pStyle w:val="NoSpacing"/>
              <w:rPr>
                <w:rFonts w:cs="Times New Roman"/>
                <w:sz w:val="20"/>
                <w:szCs w:val="20"/>
                <w:lang w:val="en-US"/>
              </w:rPr>
            </w:pPr>
            <w:r w:rsidRPr="008B6BC5">
              <w:rPr>
                <w:rFonts w:cs="Times New Roman"/>
                <w:sz w:val="20"/>
                <w:szCs w:val="20"/>
                <w:lang w:val="en-US"/>
              </w:rPr>
              <w:t xml:space="preserve">In Hilbert et al.’s (2019) meta-analysis, dropout heterogeneity across psychotherapy trials was low, and psychological treatments were associated with modest attrition (often 15–25%). </w:t>
            </w:r>
          </w:p>
        </w:tc>
        <w:tc>
          <w:tcPr>
            <w:tcW w:w="4458" w:type="dxa"/>
          </w:tcPr>
          <w:p w14:paraId="24D12E91" w14:textId="747AD12B" w:rsidR="00100A5C" w:rsidRPr="008B6BC5" w:rsidRDefault="00100A5C" w:rsidP="00100A5C">
            <w:pPr>
              <w:pStyle w:val="NoSpacing"/>
              <w:rPr>
                <w:rFonts w:cs="Times New Roman"/>
                <w:sz w:val="20"/>
                <w:szCs w:val="20"/>
                <w:lang w:val="en-US"/>
              </w:rPr>
            </w:pPr>
            <w:r w:rsidRPr="008B6BC5">
              <w:rPr>
                <w:rFonts w:cs="Times New Roman"/>
                <w:sz w:val="20"/>
                <w:szCs w:val="20"/>
                <w:lang w:val="en-US"/>
              </w:rPr>
              <w:t>http://dx.doi.org/10.1037/ccp0000358</w:t>
            </w:r>
          </w:p>
        </w:tc>
        <w:tc>
          <w:tcPr>
            <w:tcW w:w="690" w:type="dxa"/>
          </w:tcPr>
          <w:p w14:paraId="07F43A2F" w14:textId="79BD0C65" w:rsidR="00100A5C" w:rsidRPr="008B6BC5" w:rsidRDefault="00100A5C" w:rsidP="00100A5C">
            <w:pPr>
              <w:pStyle w:val="NoSpacing"/>
              <w:rPr>
                <w:rFonts w:cs="Times New Roman"/>
                <w:sz w:val="20"/>
                <w:szCs w:val="20"/>
                <w:lang w:val="en-US"/>
              </w:rPr>
            </w:pPr>
            <w:r w:rsidRPr="008B6BC5">
              <w:rPr>
                <w:rFonts w:cs="Times New Roman"/>
                <w:sz w:val="20"/>
                <w:szCs w:val="20"/>
                <w:lang w:val="en-US"/>
              </w:rPr>
              <w:t>3</w:t>
            </w:r>
          </w:p>
        </w:tc>
        <w:tc>
          <w:tcPr>
            <w:tcW w:w="4066" w:type="dxa"/>
          </w:tcPr>
          <w:p w14:paraId="3F68D7D2" w14:textId="7D4A3E96" w:rsidR="00100A5C" w:rsidRPr="008B6BC5" w:rsidRDefault="00130A74" w:rsidP="00100A5C">
            <w:pPr>
              <w:pStyle w:val="NoSpacing"/>
              <w:rPr>
                <w:rFonts w:cs="Times New Roman"/>
                <w:sz w:val="20"/>
                <w:szCs w:val="20"/>
                <w:lang w:val="en-US"/>
              </w:rPr>
            </w:pPr>
            <w:r w:rsidRPr="008B6BC5">
              <w:rPr>
                <w:rFonts w:cs="Times New Roman"/>
                <w:sz w:val="20"/>
                <w:szCs w:val="20"/>
                <w:lang w:val="en-US"/>
              </w:rPr>
              <w:t>The attrition ranges from 19-25%, not 15-25%</w:t>
            </w:r>
          </w:p>
        </w:tc>
      </w:tr>
      <w:tr w:rsidR="00100A5C" w:rsidRPr="008B6BC5" w14:paraId="0E24F77E" w14:textId="77777777" w:rsidTr="00202DA2">
        <w:tc>
          <w:tcPr>
            <w:tcW w:w="1616" w:type="dxa"/>
          </w:tcPr>
          <w:p w14:paraId="23F983FA" w14:textId="3820552C" w:rsidR="00100A5C" w:rsidRPr="008B6BC5" w:rsidRDefault="003A4A1A" w:rsidP="00100A5C">
            <w:pPr>
              <w:pStyle w:val="NoSpacing"/>
              <w:rPr>
                <w:rFonts w:cs="Times New Roman"/>
                <w:sz w:val="20"/>
                <w:szCs w:val="20"/>
                <w:lang w:val="en-US"/>
              </w:rPr>
            </w:pPr>
            <w:r w:rsidRPr="008B6BC5">
              <w:rPr>
                <w:rFonts w:cs="Times New Roman"/>
                <w:sz w:val="20"/>
                <w:szCs w:val="20"/>
                <w:lang w:val="en-US"/>
              </w:rPr>
              <w:t>23</w:t>
            </w:r>
          </w:p>
        </w:tc>
        <w:tc>
          <w:tcPr>
            <w:tcW w:w="5614" w:type="dxa"/>
          </w:tcPr>
          <w:p w14:paraId="4AD13432" w14:textId="77777777" w:rsidR="00100A5C" w:rsidRPr="008B6BC5" w:rsidRDefault="00100A5C" w:rsidP="00100A5C">
            <w:pPr>
              <w:pStyle w:val="NoSpacing"/>
              <w:rPr>
                <w:rFonts w:cs="Times New Roman"/>
                <w:sz w:val="20"/>
                <w:szCs w:val="20"/>
                <w:lang w:val="en-US"/>
              </w:rPr>
            </w:pPr>
            <w:r w:rsidRPr="008B6BC5">
              <w:rPr>
                <w:rFonts w:cs="Times New Roman"/>
                <w:sz w:val="20"/>
                <w:szCs w:val="20"/>
                <w:lang w:val="en-US"/>
              </w:rPr>
              <w:t>Brownley et al. (2016) reported comparable discontinuation rates between therapist-led CBT and waitlist across pooled BED trials, suggesting that increased treatment intensity does not compromise retention</w:t>
            </w:r>
          </w:p>
          <w:p w14:paraId="3648DA06" w14:textId="552687D9" w:rsidR="00100A5C" w:rsidRPr="008B6BC5" w:rsidRDefault="00100A5C" w:rsidP="00100A5C">
            <w:pPr>
              <w:pStyle w:val="NoSpacing"/>
              <w:rPr>
                <w:rFonts w:cs="Times New Roman"/>
                <w:sz w:val="20"/>
                <w:szCs w:val="20"/>
                <w:lang w:val="en-US"/>
              </w:rPr>
            </w:pPr>
          </w:p>
        </w:tc>
        <w:tc>
          <w:tcPr>
            <w:tcW w:w="4458" w:type="dxa"/>
          </w:tcPr>
          <w:p w14:paraId="0621ED78" w14:textId="519D8F18" w:rsidR="00100A5C" w:rsidRPr="008B6BC5" w:rsidRDefault="00100A5C" w:rsidP="00100A5C">
            <w:pPr>
              <w:pStyle w:val="NoSpacing"/>
              <w:rPr>
                <w:rFonts w:cs="Times New Roman"/>
                <w:sz w:val="20"/>
                <w:szCs w:val="20"/>
                <w:lang w:val="en-US"/>
              </w:rPr>
            </w:pPr>
            <w:r w:rsidRPr="008B6BC5">
              <w:rPr>
                <w:rFonts w:cs="Times New Roman"/>
                <w:sz w:val="20"/>
                <w:szCs w:val="20"/>
                <w:lang w:val="en-US"/>
              </w:rPr>
              <w:t>doi:10.7326/M15-2455</w:t>
            </w:r>
          </w:p>
        </w:tc>
        <w:tc>
          <w:tcPr>
            <w:tcW w:w="690" w:type="dxa"/>
          </w:tcPr>
          <w:p w14:paraId="5E9FC4FF" w14:textId="244FF263" w:rsidR="00100A5C" w:rsidRPr="008B6BC5" w:rsidRDefault="00130A74" w:rsidP="00100A5C">
            <w:pPr>
              <w:pStyle w:val="NoSpacing"/>
              <w:rPr>
                <w:rFonts w:cs="Times New Roman"/>
                <w:sz w:val="20"/>
                <w:szCs w:val="20"/>
                <w:lang w:val="en-US"/>
              </w:rPr>
            </w:pPr>
            <w:r w:rsidRPr="008B6BC5">
              <w:rPr>
                <w:rFonts w:cs="Times New Roman"/>
                <w:sz w:val="20"/>
                <w:szCs w:val="20"/>
                <w:lang w:val="en-US"/>
              </w:rPr>
              <w:t>1</w:t>
            </w:r>
          </w:p>
        </w:tc>
        <w:tc>
          <w:tcPr>
            <w:tcW w:w="4066" w:type="dxa"/>
          </w:tcPr>
          <w:p w14:paraId="32555184" w14:textId="2A12770A" w:rsidR="00100A5C" w:rsidRPr="008B6BC5" w:rsidRDefault="00130A74" w:rsidP="00100A5C">
            <w:pPr>
              <w:pStyle w:val="NoSpacing"/>
              <w:rPr>
                <w:rFonts w:cs="Times New Roman"/>
                <w:sz w:val="20"/>
                <w:szCs w:val="20"/>
                <w:lang w:val="en-US"/>
              </w:rPr>
            </w:pPr>
            <w:r w:rsidRPr="008B6BC5">
              <w:rPr>
                <w:rFonts w:cs="Times New Roman"/>
                <w:sz w:val="20"/>
                <w:szCs w:val="20"/>
                <w:lang w:val="en-US"/>
              </w:rPr>
              <w:t>Brownley et al (2016) did not conduct any meta-analyses or report data on dropout.</w:t>
            </w:r>
          </w:p>
        </w:tc>
      </w:tr>
      <w:tr w:rsidR="00130A74" w:rsidRPr="008B6BC5" w14:paraId="16B7FA09" w14:textId="77777777" w:rsidTr="00202DA2">
        <w:tc>
          <w:tcPr>
            <w:tcW w:w="1616" w:type="dxa"/>
          </w:tcPr>
          <w:p w14:paraId="3B375BA4" w14:textId="2E03E763" w:rsidR="00130A74" w:rsidRPr="008B6BC5" w:rsidRDefault="003A4A1A" w:rsidP="00130A74">
            <w:pPr>
              <w:pStyle w:val="NoSpacing"/>
              <w:rPr>
                <w:rFonts w:cs="Times New Roman"/>
                <w:sz w:val="20"/>
                <w:szCs w:val="20"/>
                <w:lang w:val="en-US"/>
              </w:rPr>
            </w:pPr>
            <w:r w:rsidRPr="008B6BC5">
              <w:rPr>
                <w:rFonts w:cs="Times New Roman"/>
                <w:sz w:val="20"/>
                <w:szCs w:val="20"/>
                <w:lang w:val="en-US"/>
              </w:rPr>
              <w:t>24</w:t>
            </w:r>
          </w:p>
        </w:tc>
        <w:tc>
          <w:tcPr>
            <w:tcW w:w="5614" w:type="dxa"/>
          </w:tcPr>
          <w:p w14:paraId="155B561B" w14:textId="08708CD8" w:rsidR="00130A74" w:rsidRPr="008B6BC5" w:rsidRDefault="00130A74" w:rsidP="00130A74">
            <w:pPr>
              <w:pStyle w:val="NoSpacing"/>
              <w:rPr>
                <w:rFonts w:cs="Times New Roman"/>
                <w:sz w:val="20"/>
                <w:szCs w:val="20"/>
                <w:lang w:val="en-US"/>
              </w:rPr>
            </w:pPr>
            <w:r w:rsidRPr="008B6BC5">
              <w:rPr>
                <w:rFonts w:cs="Times New Roman"/>
                <w:sz w:val="20"/>
                <w:szCs w:val="20"/>
                <w:lang w:val="en-US"/>
              </w:rPr>
              <w:t>Safer et al. (2010) found significantly lower dropout in DBT-BED (4%) than in the ACGT comparison (33%) in a 20-week group treatment, with participants reporting high satisfaction and perceived skills gains</w:t>
            </w:r>
          </w:p>
          <w:p w14:paraId="55C36543" w14:textId="405D90AB" w:rsidR="00130A74" w:rsidRPr="008B6BC5" w:rsidRDefault="00130A74" w:rsidP="00130A74">
            <w:pPr>
              <w:pStyle w:val="NoSpacing"/>
              <w:rPr>
                <w:rFonts w:cs="Times New Roman"/>
                <w:sz w:val="20"/>
                <w:szCs w:val="20"/>
                <w:lang w:val="en-US"/>
              </w:rPr>
            </w:pPr>
          </w:p>
        </w:tc>
        <w:tc>
          <w:tcPr>
            <w:tcW w:w="4458" w:type="dxa"/>
          </w:tcPr>
          <w:p w14:paraId="4410AE81" w14:textId="11CF514C" w:rsidR="00130A74" w:rsidRPr="008B6BC5" w:rsidRDefault="00130A74" w:rsidP="00130A74">
            <w:pPr>
              <w:pStyle w:val="NoSpacing"/>
              <w:rPr>
                <w:rFonts w:cs="Times New Roman"/>
                <w:sz w:val="20"/>
                <w:szCs w:val="20"/>
                <w:lang w:val="en-US"/>
              </w:rPr>
            </w:pPr>
            <w:r w:rsidRPr="008B6BC5">
              <w:rPr>
                <w:rFonts w:cs="Times New Roman"/>
                <w:sz w:val="20"/>
                <w:szCs w:val="20"/>
                <w:lang w:val="en-US"/>
              </w:rPr>
              <w:t>doi:10.1016/j.beth.2009.01.006</w:t>
            </w:r>
          </w:p>
        </w:tc>
        <w:tc>
          <w:tcPr>
            <w:tcW w:w="690" w:type="dxa"/>
          </w:tcPr>
          <w:p w14:paraId="4F036BAC" w14:textId="4B4F7409" w:rsidR="00130A74" w:rsidRPr="008B6BC5" w:rsidRDefault="00130A74" w:rsidP="00130A74">
            <w:pPr>
              <w:pStyle w:val="NoSpacing"/>
              <w:rPr>
                <w:rFonts w:cs="Times New Roman"/>
                <w:sz w:val="20"/>
                <w:szCs w:val="20"/>
                <w:lang w:val="en-US"/>
              </w:rPr>
            </w:pPr>
            <w:r w:rsidRPr="008B6BC5">
              <w:rPr>
                <w:rFonts w:cs="Times New Roman"/>
                <w:sz w:val="20"/>
                <w:szCs w:val="20"/>
                <w:lang w:val="en-US"/>
              </w:rPr>
              <w:t>4</w:t>
            </w:r>
          </w:p>
        </w:tc>
        <w:tc>
          <w:tcPr>
            <w:tcW w:w="4066" w:type="dxa"/>
          </w:tcPr>
          <w:p w14:paraId="51467309" w14:textId="422360A0" w:rsidR="00130A74" w:rsidRPr="008B6BC5" w:rsidRDefault="00130A74" w:rsidP="00130A74">
            <w:pPr>
              <w:pStyle w:val="NoSpacing"/>
              <w:rPr>
                <w:rFonts w:cs="Times New Roman"/>
                <w:sz w:val="20"/>
                <w:szCs w:val="20"/>
                <w:lang w:val="en-US"/>
              </w:rPr>
            </w:pPr>
            <w:r w:rsidRPr="008B6BC5">
              <w:rPr>
                <w:rFonts w:cs="Times New Roman"/>
                <w:sz w:val="20"/>
                <w:szCs w:val="20"/>
                <w:lang w:val="en-US"/>
              </w:rPr>
              <w:t>No inaccuracies identified.</w:t>
            </w:r>
          </w:p>
        </w:tc>
      </w:tr>
      <w:tr w:rsidR="00130A74" w:rsidRPr="008B6BC5" w14:paraId="295267F8" w14:textId="77777777" w:rsidTr="00202DA2">
        <w:tc>
          <w:tcPr>
            <w:tcW w:w="1616" w:type="dxa"/>
          </w:tcPr>
          <w:p w14:paraId="5174208F" w14:textId="6AE10D3D" w:rsidR="00130A74" w:rsidRPr="008B6BC5" w:rsidRDefault="003A4A1A" w:rsidP="00130A74">
            <w:pPr>
              <w:pStyle w:val="NoSpacing"/>
              <w:rPr>
                <w:rFonts w:cs="Times New Roman"/>
                <w:sz w:val="20"/>
                <w:szCs w:val="20"/>
                <w:lang w:val="en-US"/>
              </w:rPr>
            </w:pPr>
            <w:r w:rsidRPr="008B6BC5">
              <w:rPr>
                <w:rFonts w:cs="Times New Roman"/>
                <w:sz w:val="20"/>
                <w:szCs w:val="20"/>
                <w:lang w:val="en-US"/>
              </w:rPr>
              <w:t>25</w:t>
            </w:r>
          </w:p>
        </w:tc>
        <w:tc>
          <w:tcPr>
            <w:tcW w:w="5614" w:type="dxa"/>
          </w:tcPr>
          <w:p w14:paraId="6F11EEFB" w14:textId="0E02057D" w:rsidR="00130A74" w:rsidRPr="008B6BC5" w:rsidRDefault="00130A74" w:rsidP="00130A74">
            <w:pPr>
              <w:pStyle w:val="NoSpacing"/>
              <w:rPr>
                <w:rFonts w:cs="Times New Roman"/>
                <w:sz w:val="20"/>
                <w:szCs w:val="20"/>
                <w:lang w:val="en-US"/>
              </w:rPr>
            </w:pPr>
            <w:proofErr w:type="spellStart"/>
            <w:r w:rsidRPr="008B6BC5">
              <w:rPr>
                <w:rFonts w:cs="Times New Roman"/>
                <w:sz w:val="20"/>
                <w:szCs w:val="20"/>
                <w:lang w:val="en-US"/>
              </w:rPr>
              <w:t>Wyssen</w:t>
            </w:r>
            <w:proofErr w:type="spellEnd"/>
            <w:r w:rsidRPr="008B6BC5">
              <w:rPr>
                <w:rFonts w:cs="Times New Roman"/>
                <w:sz w:val="20"/>
                <w:szCs w:val="20"/>
                <w:lang w:val="en-US"/>
              </w:rPr>
              <w:t xml:space="preserve"> et al. (2021) observed higher attrition in the active internet-based guided self-help CBT arm (27% during treatment) than in waitlist, but acceptability ratings among completers were high, and no serious treatment-related adverse events were reported. </w:t>
            </w:r>
          </w:p>
        </w:tc>
        <w:tc>
          <w:tcPr>
            <w:tcW w:w="4458" w:type="dxa"/>
          </w:tcPr>
          <w:p w14:paraId="1E09F5A4" w14:textId="1C78477A" w:rsidR="00130A74" w:rsidRPr="008B6BC5" w:rsidRDefault="00130A74" w:rsidP="00130A74">
            <w:pPr>
              <w:pStyle w:val="NoSpacing"/>
              <w:rPr>
                <w:rFonts w:cs="Times New Roman"/>
                <w:sz w:val="20"/>
                <w:szCs w:val="20"/>
                <w:lang w:val="en-US"/>
              </w:rPr>
            </w:pPr>
            <w:r w:rsidRPr="008B6BC5">
              <w:rPr>
                <w:rFonts w:cs="Times New Roman"/>
                <w:sz w:val="20"/>
                <w:szCs w:val="20"/>
                <w:lang w:val="en-US"/>
              </w:rPr>
              <w:t>DOI: 10.1002/erv.2856</w:t>
            </w:r>
          </w:p>
        </w:tc>
        <w:tc>
          <w:tcPr>
            <w:tcW w:w="690" w:type="dxa"/>
          </w:tcPr>
          <w:p w14:paraId="7F216220" w14:textId="157C1440" w:rsidR="00130A74" w:rsidRPr="008B6BC5" w:rsidRDefault="00130A74" w:rsidP="00130A74">
            <w:pPr>
              <w:pStyle w:val="NoSpacing"/>
              <w:rPr>
                <w:rFonts w:cs="Times New Roman"/>
                <w:sz w:val="20"/>
                <w:szCs w:val="20"/>
                <w:lang w:val="en-US"/>
              </w:rPr>
            </w:pPr>
            <w:r w:rsidRPr="008B6BC5">
              <w:rPr>
                <w:rFonts w:cs="Times New Roman"/>
                <w:sz w:val="20"/>
                <w:szCs w:val="20"/>
                <w:lang w:val="en-US"/>
              </w:rPr>
              <w:t>4</w:t>
            </w:r>
          </w:p>
        </w:tc>
        <w:tc>
          <w:tcPr>
            <w:tcW w:w="4066" w:type="dxa"/>
          </w:tcPr>
          <w:p w14:paraId="3EBE65C1" w14:textId="7488E9D2" w:rsidR="00130A74" w:rsidRPr="008B6BC5" w:rsidRDefault="00714D01" w:rsidP="00130A74">
            <w:pPr>
              <w:pStyle w:val="NoSpacing"/>
              <w:rPr>
                <w:rFonts w:cs="Times New Roman"/>
                <w:sz w:val="20"/>
                <w:szCs w:val="20"/>
                <w:lang w:val="en-US"/>
              </w:rPr>
            </w:pPr>
            <w:r w:rsidRPr="008B6BC5">
              <w:rPr>
                <w:rFonts w:cs="Times New Roman"/>
                <w:sz w:val="20"/>
                <w:szCs w:val="20"/>
                <w:lang w:val="en-US"/>
              </w:rPr>
              <w:t>No inaccuracies identified.</w:t>
            </w:r>
          </w:p>
        </w:tc>
      </w:tr>
      <w:tr w:rsidR="00130A74" w:rsidRPr="008B6BC5" w14:paraId="5ED68BFB" w14:textId="77777777" w:rsidTr="00202DA2">
        <w:tc>
          <w:tcPr>
            <w:tcW w:w="1616" w:type="dxa"/>
          </w:tcPr>
          <w:p w14:paraId="78EF7277" w14:textId="7F3D30F1" w:rsidR="00130A74" w:rsidRPr="008B6BC5" w:rsidRDefault="003A4A1A" w:rsidP="00130A74">
            <w:pPr>
              <w:pStyle w:val="NoSpacing"/>
              <w:rPr>
                <w:rFonts w:cs="Times New Roman"/>
                <w:sz w:val="20"/>
                <w:szCs w:val="20"/>
                <w:lang w:val="en-US"/>
              </w:rPr>
            </w:pPr>
            <w:r w:rsidRPr="008B6BC5">
              <w:rPr>
                <w:rFonts w:cs="Times New Roman"/>
                <w:sz w:val="20"/>
                <w:szCs w:val="20"/>
                <w:lang w:val="en-US"/>
              </w:rPr>
              <w:t>26</w:t>
            </w:r>
          </w:p>
        </w:tc>
        <w:tc>
          <w:tcPr>
            <w:tcW w:w="5614" w:type="dxa"/>
          </w:tcPr>
          <w:p w14:paraId="1507359F" w14:textId="7B209296" w:rsidR="00130A74" w:rsidRPr="008B6BC5" w:rsidRDefault="00130A74" w:rsidP="00130A74">
            <w:pPr>
              <w:pStyle w:val="NoSpacing"/>
              <w:rPr>
                <w:rFonts w:cs="Times New Roman"/>
                <w:sz w:val="20"/>
                <w:szCs w:val="20"/>
                <w:lang w:val="en-US"/>
              </w:rPr>
            </w:pPr>
            <w:r w:rsidRPr="008B6BC5">
              <w:rPr>
                <w:rFonts w:cs="Times New Roman"/>
                <w:sz w:val="20"/>
                <w:szCs w:val="20"/>
                <w:lang w:val="en-US"/>
              </w:rPr>
              <w:t>In Pruessner et al.’s (2024) web-based CBT trial, dropout was moderate and similar to other digital mental-health interventions, and qualitative feedback highlighted perceived increases in autonomy and accessibility.</w:t>
            </w:r>
          </w:p>
        </w:tc>
        <w:tc>
          <w:tcPr>
            <w:tcW w:w="4458" w:type="dxa"/>
          </w:tcPr>
          <w:p w14:paraId="50A0C7F0" w14:textId="2BD83368" w:rsidR="00130A74" w:rsidRPr="008B6BC5" w:rsidRDefault="00130A74" w:rsidP="00130A74">
            <w:pPr>
              <w:pStyle w:val="NoSpacing"/>
              <w:rPr>
                <w:rFonts w:cs="Times New Roman"/>
                <w:sz w:val="20"/>
                <w:szCs w:val="20"/>
                <w:lang w:val="en-US"/>
              </w:rPr>
            </w:pPr>
            <w:r w:rsidRPr="008B6BC5">
              <w:rPr>
                <w:rFonts w:cs="Times New Roman"/>
                <w:sz w:val="20"/>
                <w:szCs w:val="20"/>
                <w:lang w:val="en-US"/>
              </w:rPr>
              <w:t>doi:10.1001/jamanetworkopen.2024.11127 (Re</w:t>
            </w:r>
          </w:p>
        </w:tc>
        <w:tc>
          <w:tcPr>
            <w:tcW w:w="690" w:type="dxa"/>
          </w:tcPr>
          <w:p w14:paraId="43231E59" w14:textId="6FB8AB49" w:rsidR="00130A74" w:rsidRPr="008B6BC5" w:rsidRDefault="00130A74" w:rsidP="00130A74">
            <w:pPr>
              <w:pStyle w:val="NoSpacing"/>
              <w:rPr>
                <w:rFonts w:cs="Times New Roman"/>
                <w:sz w:val="20"/>
                <w:szCs w:val="20"/>
                <w:lang w:val="en-US"/>
              </w:rPr>
            </w:pPr>
            <w:r w:rsidRPr="008B6BC5">
              <w:rPr>
                <w:rFonts w:cs="Times New Roman"/>
                <w:sz w:val="20"/>
                <w:szCs w:val="20"/>
                <w:lang w:val="en-US"/>
              </w:rPr>
              <w:t>1</w:t>
            </w:r>
          </w:p>
        </w:tc>
        <w:tc>
          <w:tcPr>
            <w:tcW w:w="4066" w:type="dxa"/>
          </w:tcPr>
          <w:p w14:paraId="35502635" w14:textId="0AFF868C" w:rsidR="00130A74" w:rsidRPr="008B6BC5" w:rsidRDefault="00130A74" w:rsidP="00130A74">
            <w:pPr>
              <w:pStyle w:val="NoSpacing"/>
              <w:rPr>
                <w:rFonts w:cs="Times New Roman"/>
                <w:sz w:val="20"/>
                <w:szCs w:val="20"/>
                <w:lang w:val="en-US"/>
              </w:rPr>
            </w:pPr>
            <w:r w:rsidRPr="008B6BC5">
              <w:rPr>
                <w:rFonts w:cs="Times New Roman"/>
                <w:sz w:val="20"/>
                <w:szCs w:val="20"/>
                <w:lang w:val="en-US"/>
              </w:rPr>
              <w:t xml:space="preserve">The authors did not collect or report on any data related to qualitative feedback. </w:t>
            </w:r>
          </w:p>
        </w:tc>
      </w:tr>
      <w:tr w:rsidR="00130A74" w:rsidRPr="008B6BC5" w14:paraId="247E3492" w14:textId="77777777" w:rsidTr="00202DA2">
        <w:tc>
          <w:tcPr>
            <w:tcW w:w="1616" w:type="dxa"/>
          </w:tcPr>
          <w:p w14:paraId="40661EDA" w14:textId="77777777" w:rsidR="00130A74" w:rsidRPr="008B6BC5" w:rsidRDefault="003A4A1A" w:rsidP="00130A74">
            <w:pPr>
              <w:pStyle w:val="NoSpacing"/>
              <w:rPr>
                <w:rFonts w:cs="Times New Roman"/>
                <w:sz w:val="20"/>
                <w:szCs w:val="20"/>
                <w:lang w:val="en-US"/>
              </w:rPr>
            </w:pPr>
            <w:r w:rsidRPr="008B6BC5">
              <w:rPr>
                <w:rFonts w:cs="Times New Roman"/>
                <w:sz w:val="20"/>
                <w:szCs w:val="20"/>
                <w:lang w:val="en-US"/>
              </w:rPr>
              <w:t>27.1</w:t>
            </w:r>
          </w:p>
          <w:p w14:paraId="2AFFF5FA" w14:textId="0D0D95DB" w:rsidR="003A4A1A" w:rsidRPr="008B6BC5" w:rsidRDefault="003A4A1A" w:rsidP="00130A74">
            <w:pPr>
              <w:pStyle w:val="NoSpacing"/>
              <w:rPr>
                <w:rFonts w:cs="Times New Roman"/>
                <w:sz w:val="20"/>
                <w:szCs w:val="20"/>
                <w:lang w:val="en-US"/>
              </w:rPr>
            </w:pPr>
            <w:r w:rsidRPr="008B6BC5">
              <w:rPr>
                <w:rFonts w:cs="Times New Roman"/>
                <w:sz w:val="20"/>
                <w:szCs w:val="20"/>
                <w:lang w:val="en-US"/>
              </w:rPr>
              <w:t>27.2</w:t>
            </w:r>
          </w:p>
        </w:tc>
        <w:tc>
          <w:tcPr>
            <w:tcW w:w="5614" w:type="dxa"/>
          </w:tcPr>
          <w:p w14:paraId="388C2EF8" w14:textId="6D6ABDAA" w:rsidR="00130A74" w:rsidRPr="008B6BC5" w:rsidRDefault="00130A74" w:rsidP="00130A74">
            <w:pPr>
              <w:pStyle w:val="NoSpacing"/>
              <w:rPr>
                <w:rFonts w:cs="Times New Roman"/>
                <w:sz w:val="20"/>
                <w:szCs w:val="20"/>
                <w:lang w:val="en-US"/>
              </w:rPr>
            </w:pPr>
            <w:r w:rsidRPr="008B6BC5">
              <w:rPr>
                <w:rFonts w:cs="Times New Roman"/>
                <w:sz w:val="20"/>
                <w:szCs w:val="20"/>
                <w:lang w:val="en-US"/>
              </w:rPr>
              <w:t>In contrast, pharmacotherapy, particularly stimulant medications such as LDX, is associated with substantially higher rates of adverse events (e.g., insomnia, dry mouth, increased heart rate, anxiety), with treatment-emergent AEs reported in 70–85% of participants and notable proportions discontinuing due to side effects (McElroy et al., 2015; Hudson et al., 2017).</w:t>
            </w:r>
          </w:p>
        </w:tc>
        <w:tc>
          <w:tcPr>
            <w:tcW w:w="4458" w:type="dxa"/>
          </w:tcPr>
          <w:p w14:paraId="26F1CCE5"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doi:l0.1001/jamapsychiatry.2014.2162</w:t>
            </w:r>
          </w:p>
          <w:p w14:paraId="74F2ADF1" w14:textId="75A7AE00" w:rsidR="00130A74" w:rsidRPr="008B6BC5" w:rsidRDefault="00130A74" w:rsidP="00130A74">
            <w:pPr>
              <w:pStyle w:val="NoSpacing"/>
              <w:rPr>
                <w:rFonts w:cs="Times New Roman"/>
                <w:sz w:val="20"/>
                <w:szCs w:val="20"/>
                <w:lang w:val="en-US"/>
              </w:rPr>
            </w:pPr>
            <w:r w:rsidRPr="008B6BC5">
              <w:rPr>
                <w:rFonts w:cs="Times New Roman"/>
                <w:sz w:val="20"/>
                <w:szCs w:val="20"/>
                <w:lang w:val="en-US"/>
              </w:rPr>
              <w:t>doi:10.1001/jamapsychiatry.2017.1889</w:t>
            </w:r>
          </w:p>
        </w:tc>
        <w:tc>
          <w:tcPr>
            <w:tcW w:w="690" w:type="dxa"/>
          </w:tcPr>
          <w:p w14:paraId="5F293C63"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3</w:t>
            </w:r>
          </w:p>
          <w:p w14:paraId="1D07EC31" w14:textId="4BFE8E63" w:rsidR="00130A74" w:rsidRPr="008B6BC5" w:rsidRDefault="00130A74" w:rsidP="00130A74">
            <w:pPr>
              <w:pStyle w:val="NoSpacing"/>
              <w:rPr>
                <w:rFonts w:cs="Times New Roman"/>
                <w:sz w:val="20"/>
                <w:szCs w:val="20"/>
                <w:lang w:val="en-US"/>
              </w:rPr>
            </w:pPr>
            <w:r w:rsidRPr="008B6BC5">
              <w:rPr>
                <w:rFonts w:cs="Times New Roman"/>
                <w:sz w:val="20"/>
                <w:szCs w:val="20"/>
                <w:lang w:val="en-US"/>
              </w:rPr>
              <w:t>4</w:t>
            </w:r>
          </w:p>
        </w:tc>
        <w:tc>
          <w:tcPr>
            <w:tcW w:w="4066" w:type="dxa"/>
          </w:tcPr>
          <w:p w14:paraId="663D15DC" w14:textId="77777777" w:rsidR="00130A74" w:rsidRPr="008B6BC5" w:rsidRDefault="00AD5F88" w:rsidP="00130A74">
            <w:pPr>
              <w:pStyle w:val="NoSpacing"/>
              <w:rPr>
                <w:rFonts w:cs="Times New Roman"/>
                <w:sz w:val="20"/>
                <w:szCs w:val="20"/>
                <w:lang w:val="en-US"/>
              </w:rPr>
            </w:pPr>
            <w:r w:rsidRPr="008B6BC5">
              <w:rPr>
                <w:rFonts w:cs="Times New Roman"/>
                <w:sz w:val="20"/>
                <w:szCs w:val="20"/>
                <w:lang w:val="en-US"/>
              </w:rPr>
              <w:t>3% of participants discontinued due to side-effects in McElroy et al (2015), which goes against the statement of “notable” proportions.</w:t>
            </w:r>
          </w:p>
          <w:p w14:paraId="543F7280" w14:textId="77777777" w:rsidR="00AD5F88" w:rsidRPr="008B6BC5" w:rsidRDefault="00AD5F88" w:rsidP="00130A74">
            <w:pPr>
              <w:pStyle w:val="NoSpacing"/>
              <w:rPr>
                <w:rFonts w:cs="Times New Roman"/>
                <w:sz w:val="20"/>
                <w:szCs w:val="20"/>
                <w:lang w:val="en-US"/>
              </w:rPr>
            </w:pPr>
          </w:p>
          <w:p w14:paraId="53FCCE2B" w14:textId="212C8700" w:rsidR="00AD5F88" w:rsidRPr="008B6BC5" w:rsidRDefault="00AD5F88" w:rsidP="00130A74">
            <w:pPr>
              <w:pStyle w:val="NoSpacing"/>
              <w:rPr>
                <w:rFonts w:cs="Times New Roman"/>
                <w:sz w:val="20"/>
                <w:szCs w:val="20"/>
                <w:lang w:val="en-US"/>
              </w:rPr>
            </w:pPr>
            <w:r w:rsidRPr="008B6BC5">
              <w:rPr>
                <w:rFonts w:cs="Times New Roman"/>
                <w:sz w:val="20"/>
                <w:szCs w:val="20"/>
                <w:lang w:val="en-US"/>
              </w:rPr>
              <w:t xml:space="preserve">No inaccuracies identified for Hudson et al (2017). </w:t>
            </w:r>
          </w:p>
        </w:tc>
      </w:tr>
      <w:tr w:rsidR="003A4A1A" w:rsidRPr="008B6BC5" w14:paraId="2F6A4864" w14:textId="77777777" w:rsidTr="00202DA2">
        <w:tc>
          <w:tcPr>
            <w:tcW w:w="1616" w:type="dxa"/>
          </w:tcPr>
          <w:p w14:paraId="12BD77FE" w14:textId="389DCF11" w:rsidR="003A4A1A" w:rsidRPr="008B6BC5" w:rsidRDefault="003A4A1A" w:rsidP="00130A74">
            <w:pPr>
              <w:pStyle w:val="NoSpacing"/>
              <w:rPr>
                <w:rFonts w:cs="Times New Roman"/>
                <w:sz w:val="20"/>
                <w:szCs w:val="20"/>
                <w:lang w:val="en-US"/>
              </w:rPr>
            </w:pPr>
            <w:r w:rsidRPr="008B6BC5">
              <w:rPr>
                <w:rFonts w:cs="Times New Roman"/>
                <w:sz w:val="20"/>
                <w:szCs w:val="20"/>
                <w:lang w:val="en-US"/>
              </w:rPr>
              <w:lastRenderedPageBreak/>
              <w:t>Pharmacotherapy</w:t>
            </w:r>
          </w:p>
        </w:tc>
        <w:tc>
          <w:tcPr>
            <w:tcW w:w="5614" w:type="dxa"/>
          </w:tcPr>
          <w:p w14:paraId="09B0FDEE" w14:textId="77777777" w:rsidR="003A4A1A" w:rsidRPr="008B6BC5" w:rsidRDefault="003A4A1A" w:rsidP="00130A74">
            <w:pPr>
              <w:pStyle w:val="NoSpacing"/>
              <w:rPr>
                <w:rFonts w:cs="Times New Roman"/>
                <w:sz w:val="20"/>
                <w:szCs w:val="20"/>
                <w:lang w:val="en-US"/>
              </w:rPr>
            </w:pPr>
          </w:p>
        </w:tc>
        <w:tc>
          <w:tcPr>
            <w:tcW w:w="4458" w:type="dxa"/>
          </w:tcPr>
          <w:p w14:paraId="660A3ED8" w14:textId="77777777" w:rsidR="003A4A1A" w:rsidRPr="008B6BC5" w:rsidRDefault="003A4A1A" w:rsidP="00130A74">
            <w:pPr>
              <w:pStyle w:val="NoSpacing"/>
              <w:rPr>
                <w:rFonts w:cs="Times New Roman"/>
                <w:sz w:val="20"/>
                <w:szCs w:val="20"/>
                <w:lang w:val="en-US"/>
              </w:rPr>
            </w:pPr>
          </w:p>
        </w:tc>
        <w:tc>
          <w:tcPr>
            <w:tcW w:w="690" w:type="dxa"/>
          </w:tcPr>
          <w:p w14:paraId="3219C4D4" w14:textId="77777777" w:rsidR="003A4A1A" w:rsidRPr="008B6BC5" w:rsidRDefault="003A4A1A" w:rsidP="00130A74">
            <w:pPr>
              <w:pStyle w:val="NoSpacing"/>
              <w:rPr>
                <w:rFonts w:cs="Times New Roman"/>
                <w:sz w:val="20"/>
                <w:szCs w:val="20"/>
                <w:lang w:val="en-US"/>
              </w:rPr>
            </w:pPr>
          </w:p>
        </w:tc>
        <w:tc>
          <w:tcPr>
            <w:tcW w:w="4066" w:type="dxa"/>
          </w:tcPr>
          <w:p w14:paraId="21A0C31F" w14:textId="77777777" w:rsidR="003A4A1A" w:rsidRPr="008B6BC5" w:rsidRDefault="003A4A1A" w:rsidP="00130A74">
            <w:pPr>
              <w:pStyle w:val="NoSpacing"/>
              <w:rPr>
                <w:rFonts w:cs="Times New Roman"/>
                <w:sz w:val="20"/>
                <w:szCs w:val="20"/>
                <w:lang w:val="en-US"/>
              </w:rPr>
            </w:pPr>
          </w:p>
        </w:tc>
      </w:tr>
      <w:tr w:rsidR="00130A74" w:rsidRPr="008B6BC5" w14:paraId="5DAD0ED7" w14:textId="77777777" w:rsidTr="00202DA2">
        <w:tc>
          <w:tcPr>
            <w:tcW w:w="1616" w:type="dxa"/>
          </w:tcPr>
          <w:p w14:paraId="69CB6987" w14:textId="77777777" w:rsidR="00130A74" w:rsidRPr="008B6BC5" w:rsidRDefault="003A4A1A" w:rsidP="00130A74">
            <w:pPr>
              <w:pStyle w:val="NoSpacing"/>
              <w:rPr>
                <w:rFonts w:cs="Times New Roman"/>
                <w:sz w:val="20"/>
                <w:szCs w:val="20"/>
                <w:lang w:val="en-US"/>
              </w:rPr>
            </w:pPr>
            <w:r w:rsidRPr="008B6BC5">
              <w:rPr>
                <w:rFonts w:cs="Times New Roman"/>
                <w:sz w:val="20"/>
                <w:szCs w:val="20"/>
                <w:lang w:val="en-US"/>
              </w:rPr>
              <w:t>1.1</w:t>
            </w:r>
          </w:p>
          <w:p w14:paraId="5469EDDC" w14:textId="77777777" w:rsidR="003A4A1A" w:rsidRPr="008B6BC5" w:rsidRDefault="003A4A1A" w:rsidP="00130A74">
            <w:pPr>
              <w:pStyle w:val="NoSpacing"/>
              <w:rPr>
                <w:rFonts w:cs="Times New Roman"/>
                <w:sz w:val="20"/>
                <w:szCs w:val="20"/>
                <w:lang w:val="en-US"/>
              </w:rPr>
            </w:pPr>
            <w:r w:rsidRPr="008B6BC5">
              <w:rPr>
                <w:rFonts w:cs="Times New Roman"/>
                <w:sz w:val="20"/>
                <w:szCs w:val="20"/>
                <w:lang w:val="en-US"/>
              </w:rPr>
              <w:t>1.2</w:t>
            </w:r>
          </w:p>
          <w:p w14:paraId="04C0E67E" w14:textId="39ED07E2" w:rsidR="003A4A1A" w:rsidRPr="008B6BC5" w:rsidRDefault="003A4A1A" w:rsidP="00130A74">
            <w:pPr>
              <w:pStyle w:val="NoSpacing"/>
              <w:rPr>
                <w:rFonts w:cs="Times New Roman"/>
                <w:sz w:val="20"/>
                <w:szCs w:val="20"/>
                <w:lang w:val="en-US"/>
              </w:rPr>
            </w:pPr>
            <w:r w:rsidRPr="008B6BC5">
              <w:rPr>
                <w:rFonts w:cs="Times New Roman"/>
                <w:sz w:val="20"/>
                <w:szCs w:val="20"/>
                <w:lang w:val="en-US"/>
              </w:rPr>
              <w:t>1.3</w:t>
            </w:r>
          </w:p>
        </w:tc>
        <w:tc>
          <w:tcPr>
            <w:tcW w:w="5614" w:type="dxa"/>
          </w:tcPr>
          <w:p w14:paraId="77571742" w14:textId="687927FD" w:rsidR="00130A74" w:rsidRPr="008B6BC5" w:rsidRDefault="00130A74" w:rsidP="00130A74">
            <w:pPr>
              <w:pStyle w:val="NoSpacing"/>
              <w:rPr>
                <w:rFonts w:cs="Times New Roman"/>
                <w:sz w:val="20"/>
                <w:szCs w:val="20"/>
                <w:lang w:val="en-US"/>
              </w:rPr>
            </w:pPr>
            <w:r w:rsidRPr="008B6BC5">
              <w:rPr>
                <w:rFonts w:cs="Times New Roman"/>
                <w:sz w:val="20"/>
                <w:szCs w:val="20"/>
                <w:lang w:val="en-US"/>
              </w:rPr>
              <w:t xml:space="preserve">Systematic reviews and meta-analyses indicate that several drug classes outperform placebo for short-term reduction in binge-eating, with more variable effects on weight and psychopathology (Brownley et al., 2016; Duan et al., 2022; </w:t>
            </w:r>
            <w:proofErr w:type="spellStart"/>
            <w:r w:rsidRPr="008B6BC5">
              <w:rPr>
                <w:rFonts w:cs="Times New Roman"/>
                <w:sz w:val="20"/>
                <w:szCs w:val="20"/>
                <w:lang w:val="en-US"/>
              </w:rPr>
              <w:t>Nourredine</w:t>
            </w:r>
            <w:proofErr w:type="spellEnd"/>
            <w:r w:rsidRPr="008B6BC5">
              <w:rPr>
                <w:rFonts w:cs="Times New Roman"/>
                <w:sz w:val="20"/>
                <w:szCs w:val="20"/>
                <w:lang w:val="en-US"/>
              </w:rPr>
              <w:t xml:space="preserve">, Jurek, Auffret, </w:t>
            </w:r>
            <w:proofErr w:type="spellStart"/>
            <w:r w:rsidRPr="008B6BC5">
              <w:rPr>
                <w:rFonts w:cs="Times New Roman"/>
                <w:sz w:val="20"/>
                <w:szCs w:val="20"/>
                <w:lang w:val="en-US"/>
              </w:rPr>
              <w:t>Haffen</w:t>
            </w:r>
            <w:proofErr w:type="spellEnd"/>
            <w:r w:rsidRPr="008B6BC5">
              <w:rPr>
                <w:rFonts w:cs="Times New Roman"/>
                <w:sz w:val="20"/>
                <w:szCs w:val="20"/>
                <w:lang w:val="en-US"/>
              </w:rPr>
              <w:t>, &amp; Vieta, 2021).</w:t>
            </w:r>
          </w:p>
        </w:tc>
        <w:tc>
          <w:tcPr>
            <w:tcW w:w="4458" w:type="dxa"/>
          </w:tcPr>
          <w:p w14:paraId="15199BE4"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doi:10.7326/M15-2455</w:t>
            </w:r>
          </w:p>
          <w:p w14:paraId="62DCFC4E"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DOI 10.3389/fphar.2022.949823</w:t>
            </w:r>
          </w:p>
          <w:p w14:paraId="6324349D" w14:textId="13B9B7EE" w:rsidR="00130A74" w:rsidRPr="008B6BC5" w:rsidRDefault="00130A74" w:rsidP="00130A74">
            <w:pPr>
              <w:pStyle w:val="NoSpacing"/>
              <w:rPr>
                <w:rFonts w:cs="Times New Roman"/>
                <w:sz w:val="20"/>
                <w:szCs w:val="20"/>
                <w:lang w:val="en-US"/>
              </w:rPr>
            </w:pPr>
            <w:r w:rsidRPr="008B6BC5">
              <w:rPr>
                <w:rFonts w:cs="Times New Roman"/>
                <w:sz w:val="20"/>
                <w:szCs w:val="20"/>
                <w:lang w:val="en-US"/>
              </w:rPr>
              <w:t>https://doi.org/10.1017/S1092852920001613</w:t>
            </w:r>
          </w:p>
        </w:tc>
        <w:tc>
          <w:tcPr>
            <w:tcW w:w="690" w:type="dxa"/>
          </w:tcPr>
          <w:p w14:paraId="4CF8FE12" w14:textId="77777777" w:rsidR="00130A74" w:rsidRPr="008B6BC5" w:rsidRDefault="00714D01" w:rsidP="00130A74">
            <w:pPr>
              <w:pStyle w:val="NoSpacing"/>
              <w:rPr>
                <w:rFonts w:cs="Times New Roman"/>
                <w:sz w:val="20"/>
                <w:szCs w:val="20"/>
                <w:lang w:val="en-US"/>
              </w:rPr>
            </w:pPr>
            <w:r w:rsidRPr="008B6BC5">
              <w:rPr>
                <w:rFonts w:cs="Times New Roman"/>
                <w:sz w:val="20"/>
                <w:szCs w:val="20"/>
                <w:lang w:val="en-US"/>
              </w:rPr>
              <w:t>4</w:t>
            </w:r>
          </w:p>
          <w:p w14:paraId="184C3E71" w14:textId="77777777" w:rsidR="00714D01" w:rsidRPr="008B6BC5" w:rsidRDefault="00714D01" w:rsidP="00130A74">
            <w:pPr>
              <w:pStyle w:val="NoSpacing"/>
              <w:rPr>
                <w:rFonts w:cs="Times New Roman"/>
                <w:sz w:val="20"/>
                <w:szCs w:val="20"/>
                <w:lang w:val="en-US"/>
              </w:rPr>
            </w:pPr>
            <w:r w:rsidRPr="008B6BC5">
              <w:rPr>
                <w:rFonts w:cs="Times New Roman"/>
                <w:sz w:val="20"/>
                <w:szCs w:val="20"/>
                <w:lang w:val="en-US"/>
              </w:rPr>
              <w:t>4</w:t>
            </w:r>
          </w:p>
          <w:p w14:paraId="741FAD28" w14:textId="77777777" w:rsidR="00714D01" w:rsidRPr="008B6BC5" w:rsidRDefault="00714D01" w:rsidP="00130A74">
            <w:pPr>
              <w:pStyle w:val="NoSpacing"/>
              <w:rPr>
                <w:rFonts w:cs="Times New Roman"/>
                <w:sz w:val="20"/>
                <w:szCs w:val="20"/>
                <w:lang w:val="en-US"/>
              </w:rPr>
            </w:pPr>
            <w:r w:rsidRPr="008B6BC5">
              <w:rPr>
                <w:rFonts w:cs="Times New Roman"/>
                <w:sz w:val="20"/>
                <w:szCs w:val="20"/>
                <w:lang w:val="en-US"/>
              </w:rPr>
              <w:t>4</w:t>
            </w:r>
          </w:p>
          <w:p w14:paraId="7F034BC4" w14:textId="40043B09" w:rsidR="00714D01" w:rsidRPr="008B6BC5" w:rsidRDefault="00714D01" w:rsidP="00130A74">
            <w:pPr>
              <w:pStyle w:val="NoSpacing"/>
              <w:rPr>
                <w:rFonts w:cs="Times New Roman"/>
                <w:sz w:val="20"/>
                <w:szCs w:val="20"/>
                <w:lang w:val="en-US"/>
              </w:rPr>
            </w:pPr>
          </w:p>
        </w:tc>
        <w:tc>
          <w:tcPr>
            <w:tcW w:w="4066" w:type="dxa"/>
          </w:tcPr>
          <w:p w14:paraId="3C7E8B26" w14:textId="281AD8B3" w:rsidR="00130A74" w:rsidRPr="008B6BC5" w:rsidRDefault="00714D01" w:rsidP="00130A74">
            <w:pPr>
              <w:pStyle w:val="NoSpacing"/>
              <w:rPr>
                <w:rFonts w:cs="Times New Roman"/>
                <w:sz w:val="20"/>
                <w:szCs w:val="20"/>
                <w:lang w:val="en-US"/>
              </w:rPr>
            </w:pPr>
            <w:r w:rsidRPr="008B6BC5">
              <w:rPr>
                <w:rFonts w:cs="Times New Roman"/>
                <w:sz w:val="20"/>
                <w:szCs w:val="20"/>
                <w:lang w:val="en-US"/>
              </w:rPr>
              <w:t xml:space="preserve">No inaccuracies identified in </w:t>
            </w:r>
            <w:r w:rsidR="00CA7E96" w:rsidRPr="008B6BC5">
              <w:rPr>
                <w:rFonts w:cs="Times New Roman"/>
                <w:sz w:val="20"/>
                <w:szCs w:val="20"/>
                <w:lang w:val="en-US"/>
              </w:rPr>
              <w:t>the citations.</w:t>
            </w:r>
          </w:p>
        </w:tc>
      </w:tr>
      <w:tr w:rsidR="00130A74" w:rsidRPr="008B6BC5" w14:paraId="1A58CBA3" w14:textId="77777777" w:rsidTr="00202DA2">
        <w:tc>
          <w:tcPr>
            <w:tcW w:w="1616" w:type="dxa"/>
          </w:tcPr>
          <w:p w14:paraId="531F265F" w14:textId="5554317B" w:rsidR="00130A74" w:rsidRPr="008B6BC5" w:rsidRDefault="003A4A1A" w:rsidP="00130A74">
            <w:pPr>
              <w:pStyle w:val="NoSpacing"/>
              <w:rPr>
                <w:rFonts w:cs="Times New Roman"/>
                <w:sz w:val="20"/>
                <w:szCs w:val="20"/>
                <w:lang w:val="en-US"/>
              </w:rPr>
            </w:pPr>
            <w:r w:rsidRPr="008B6BC5">
              <w:rPr>
                <w:rFonts w:cs="Times New Roman"/>
                <w:sz w:val="20"/>
                <w:szCs w:val="20"/>
                <w:lang w:val="en-US"/>
              </w:rPr>
              <w:t>2</w:t>
            </w:r>
          </w:p>
        </w:tc>
        <w:tc>
          <w:tcPr>
            <w:tcW w:w="5614" w:type="dxa"/>
          </w:tcPr>
          <w:p w14:paraId="158FE42E" w14:textId="6B9E7B4A" w:rsidR="00130A74" w:rsidRPr="008B6BC5" w:rsidRDefault="00130A74" w:rsidP="00130A74">
            <w:pPr>
              <w:pStyle w:val="NoSpacing"/>
              <w:rPr>
                <w:rFonts w:cs="Times New Roman"/>
                <w:sz w:val="20"/>
                <w:szCs w:val="20"/>
                <w:lang w:val="en-US"/>
              </w:rPr>
            </w:pPr>
            <w:r w:rsidRPr="008B6BC5">
              <w:rPr>
                <w:rFonts w:cs="Times New Roman"/>
                <w:sz w:val="20"/>
                <w:szCs w:val="20"/>
                <w:lang w:val="en-US"/>
              </w:rPr>
              <w:t>In a 12-week, multicenter, randomized, double-blind, placebo-controlled trial (n = 259 adults with moderate-to-severe BED), dose-optimized LDX 50–70 mg/day produced larger reductions in binge-eating (mean decrease 4.1 vs. 3.3 binge days/week) and higher 4-week abstinence rates (42–50% vs. 21% with placebo), along with greater mean weight loss (~4.3 kg vs. 0.1 kg) (McElroy et al., 2015)</w:t>
            </w:r>
          </w:p>
        </w:tc>
        <w:tc>
          <w:tcPr>
            <w:tcW w:w="4458" w:type="dxa"/>
          </w:tcPr>
          <w:p w14:paraId="4C317F11" w14:textId="65231C6D" w:rsidR="00130A74" w:rsidRPr="008B6BC5" w:rsidRDefault="00130A74" w:rsidP="00130A74">
            <w:pPr>
              <w:pStyle w:val="NoSpacing"/>
              <w:rPr>
                <w:rFonts w:cs="Times New Roman"/>
                <w:sz w:val="20"/>
                <w:szCs w:val="20"/>
                <w:lang w:val="en-US"/>
              </w:rPr>
            </w:pPr>
            <w:r w:rsidRPr="008B6BC5">
              <w:rPr>
                <w:rFonts w:cs="Times New Roman"/>
                <w:sz w:val="20"/>
                <w:szCs w:val="20"/>
                <w:lang w:val="en-US"/>
              </w:rPr>
              <w:t>doi:l0.1001/jamapsychiatry.2014.2162</w:t>
            </w:r>
          </w:p>
        </w:tc>
        <w:tc>
          <w:tcPr>
            <w:tcW w:w="690" w:type="dxa"/>
          </w:tcPr>
          <w:p w14:paraId="21E49E85" w14:textId="28F81535" w:rsidR="00130A74" w:rsidRPr="008B6BC5" w:rsidRDefault="00CA7E96" w:rsidP="00130A74">
            <w:pPr>
              <w:pStyle w:val="NoSpacing"/>
              <w:rPr>
                <w:rFonts w:cs="Times New Roman"/>
                <w:sz w:val="20"/>
                <w:szCs w:val="20"/>
                <w:lang w:val="en-US"/>
              </w:rPr>
            </w:pPr>
            <w:r w:rsidRPr="008B6BC5">
              <w:rPr>
                <w:rFonts w:cs="Times New Roman"/>
                <w:sz w:val="20"/>
                <w:szCs w:val="20"/>
                <w:lang w:val="en-US"/>
              </w:rPr>
              <w:t>4</w:t>
            </w:r>
          </w:p>
        </w:tc>
        <w:tc>
          <w:tcPr>
            <w:tcW w:w="4066" w:type="dxa"/>
          </w:tcPr>
          <w:p w14:paraId="5AA22B02" w14:textId="50526559" w:rsidR="00130A74" w:rsidRPr="008B6BC5" w:rsidRDefault="00CA7E96" w:rsidP="00130A74">
            <w:pPr>
              <w:pStyle w:val="NoSpacing"/>
              <w:rPr>
                <w:rFonts w:cs="Times New Roman"/>
                <w:sz w:val="20"/>
                <w:szCs w:val="20"/>
                <w:lang w:val="en-US"/>
              </w:rPr>
            </w:pPr>
            <w:r w:rsidRPr="008B6BC5">
              <w:rPr>
                <w:rFonts w:cs="Times New Roman"/>
                <w:sz w:val="20"/>
                <w:szCs w:val="20"/>
                <w:lang w:val="en-US"/>
              </w:rPr>
              <w:t>No inaccuracies identified.</w:t>
            </w:r>
          </w:p>
        </w:tc>
      </w:tr>
      <w:tr w:rsidR="00CA7E96" w:rsidRPr="008B6BC5" w14:paraId="00E9EFEC" w14:textId="77777777" w:rsidTr="00202DA2">
        <w:tc>
          <w:tcPr>
            <w:tcW w:w="1616" w:type="dxa"/>
          </w:tcPr>
          <w:p w14:paraId="5B88F2DF" w14:textId="19FB275C" w:rsidR="00CA7E96" w:rsidRPr="008B6BC5" w:rsidRDefault="003A4A1A" w:rsidP="00CA7E96">
            <w:pPr>
              <w:pStyle w:val="NoSpacing"/>
              <w:rPr>
                <w:rFonts w:cs="Times New Roman"/>
                <w:sz w:val="20"/>
                <w:szCs w:val="20"/>
                <w:lang w:val="en-US"/>
              </w:rPr>
            </w:pPr>
            <w:r w:rsidRPr="008B6BC5">
              <w:rPr>
                <w:rFonts w:cs="Times New Roman"/>
                <w:sz w:val="20"/>
                <w:szCs w:val="20"/>
                <w:lang w:val="en-US"/>
              </w:rPr>
              <w:t>3</w:t>
            </w:r>
          </w:p>
        </w:tc>
        <w:tc>
          <w:tcPr>
            <w:tcW w:w="5614" w:type="dxa"/>
          </w:tcPr>
          <w:p w14:paraId="2FDA39DE" w14:textId="34104309" w:rsidR="00CA7E96" w:rsidRPr="008B6BC5" w:rsidRDefault="00CA7E96" w:rsidP="00CA7E96">
            <w:pPr>
              <w:pStyle w:val="NoSpacing"/>
              <w:rPr>
                <w:rFonts w:cs="Times New Roman"/>
                <w:sz w:val="20"/>
                <w:szCs w:val="20"/>
                <w:lang w:val="en-US"/>
              </w:rPr>
            </w:pPr>
            <w:r w:rsidRPr="008B6BC5">
              <w:rPr>
                <w:rFonts w:cs="Times New Roman"/>
                <w:sz w:val="20"/>
                <w:szCs w:val="20"/>
                <w:lang w:val="en-US"/>
              </w:rPr>
              <w:t xml:space="preserve">A phase 3 randomized-withdrawal trial (n = 275 responders) demonstrated strong maintenance effects: relapse over 6 months occurred in 3.7% on continued LDX versus 32.1% on placebo (hazard ratio = 0.09, 95% CI [0.04, 0.23]) (Hudson et al., 2017). </w:t>
            </w:r>
          </w:p>
        </w:tc>
        <w:tc>
          <w:tcPr>
            <w:tcW w:w="4458" w:type="dxa"/>
          </w:tcPr>
          <w:p w14:paraId="61EABFDB" w14:textId="7676B2D4" w:rsidR="00CA7E96" w:rsidRPr="008B6BC5" w:rsidRDefault="00CA7E96" w:rsidP="00CA7E96">
            <w:pPr>
              <w:pStyle w:val="NoSpacing"/>
              <w:rPr>
                <w:rFonts w:cs="Times New Roman"/>
                <w:sz w:val="20"/>
                <w:szCs w:val="20"/>
                <w:lang w:val="en-US"/>
              </w:rPr>
            </w:pPr>
            <w:r w:rsidRPr="008B6BC5">
              <w:rPr>
                <w:rFonts w:cs="Times New Roman"/>
                <w:sz w:val="20"/>
                <w:szCs w:val="20"/>
                <w:lang w:val="en-US"/>
              </w:rPr>
              <w:t>doi:10.1001/jamapsychiatry.2017.1889</w:t>
            </w:r>
          </w:p>
        </w:tc>
        <w:tc>
          <w:tcPr>
            <w:tcW w:w="690" w:type="dxa"/>
          </w:tcPr>
          <w:p w14:paraId="05CF15F8" w14:textId="62326DA0" w:rsidR="00CA7E96" w:rsidRPr="008B6BC5" w:rsidRDefault="00CA7E96" w:rsidP="00CA7E96">
            <w:pPr>
              <w:pStyle w:val="NoSpacing"/>
              <w:rPr>
                <w:rFonts w:cs="Times New Roman"/>
                <w:sz w:val="20"/>
                <w:szCs w:val="20"/>
                <w:lang w:val="en-US"/>
              </w:rPr>
            </w:pPr>
            <w:r w:rsidRPr="008B6BC5">
              <w:rPr>
                <w:rFonts w:cs="Times New Roman"/>
                <w:sz w:val="20"/>
                <w:szCs w:val="20"/>
                <w:lang w:val="en-US"/>
              </w:rPr>
              <w:t>4</w:t>
            </w:r>
          </w:p>
        </w:tc>
        <w:tc>
          <w:tcPr>
            <w:tcW w:w="4066" w:type="dxa"/>
          </w:tcPr>
          <w:p w14:paraId="748A83A9" w14:textId="43A48A7C" w:rsidR="00CA7E96" w:rsidRPr="008B6BC5" w:rsidRDefault="00CA7E96" w:rsidP="00CA7E96">
            <w:pPr>
              <w:pStyle w:val="NoSpacing"/>
              <w:rPr>
                <w:rFonts w:cs="Times New Roman"/>
                <w:sz w:val="20"/>
                <w:szCs w:val="20"/>
                <w:lang w:val="en-US"/>
              </w:rPr>
            </w:pPr>
            <w:r w:rsidRPr="008B6BC5">
              <w:rPr>
                <w:rFonts w:cs="Times New Roman"/>
                <w:sz w:val="20"/>
                <w:szCs w:val="20"/>
                <w:lang w:val="en-US"/>
              </w:rPr>
              <w:t>No inaccuracies identified.</w:t>
            </w:r>
          </w:p>
        </w:tc>
      </w:tr>
      <w:tr w:rsidR="00CA7E96" w:rsidRPr="008B6BC5" w14:paraId="2FC793E5" w14:textId="77777777" w:rsidTr="00202DA2">
        <w:tc>
          <w:tcPr>
            <w:tcW w:w="1616" w:type="dxa"/>
          </w:tcPr>
          <w:p w14:paraId="29A5D839" w14:textId="5321A892" w:rsidR="00CA7E96" w:rsidRPr="008B6BC5" w:rsidRDefault="003A4A1A" w:rsidP="00CA7E96">
            <w:pPr>
              <w:pStyle w:val="NoSpacing"/>
              <w:rPr>
                <w:rFonts w:cs="Times New Roman"/>
                <w:sz w:val="20"/>
                <w:szCs w:val="20"/>
                <w:lang w:val="en-US"/>
              </w:rPr>
            </w:pPr>
            <w:r w:rsidRPr="008B6BC5">
              <w:rPr>
                <w:rFonts w:cs="Times New Roman"/>
                <w:sz w:val="20"/>
                <w:szCs w:val="20"/>
                <w:lang w:val="en-US"/>
              </w:rPr>
              <w:t>4</w:t>
            </w:r>
          </w:p>
        </w:tc>
        <w:tc>
          <w:tcPr>
            <w:tcW w:w="5614" w:type="dxa"/>
          </w:tcPr>
          <w:p w14:paraId="68D87644" w14:textId="25AA9349" w:rsidR="00CA7E96" w:rsidRPr="008B6BC5" w:rsidRDefault="00CA7E96" w:rsidP="00CA7E96">
            <w:pPr>
              <w:pStyle w:val="NoSpacing"/>
              <w:rPr>
                <w:rFonts w:cs="Times New Roman"/>
                <w:sz w:val="20"/>
                <w:szCs w:val="20"/>
                <w:lang w:val="en-US"/>
              </w:rPr>
            </w:pPr>
            <w:r w:rsidRPr="008B6BC5">
              <w:rPr>
                <w:rFonts w:cs="Times New Roman"/>
                <w:sz w:val="20"/>
                <w:szCs w:val="20"/>
                <w:lang w:val="en-US"/>
              </w:rPr>
              <w:t>Brownley et al. (2016) pooled available LDX data and reported a risk ratio (RR) for binge-eating remission vs. placebo of approximately 2.6 and a mean difference of about 1–1.5 fewer binge days/week.</w:t>
            </w:r>
          </w:p>
        </w:tc>
        <w:tc>
          <w:tcPr>
            <w:tcW w:w="4458" w:type="dxa"/>
          </w:tcPr>
          <w:p w14:paraId="51365B2F" w14:textId="77777777" w:rsidR="00CA7E96" w:rsidRPr="008B6BC5" w:rsidRDefault="00CA7E96" w:rsidP="00CA7E96">
            <w:pPr>
              <w:pStyle w:val="NoSpacing"/>
              <w:rPr>
                <w:rFonts w:cs="Times New Roman"/>
                <w:sz w:val="20"/>
                <w:szCs w:val="20"/>
                <w:lang w:val="en-US"/>
              </w:rPr>
            </w:pPr>
            <w:r w:rsidRPr="008B6BC5">
              <w:rPr>
                <w:rFonts w:cs="Times New Roman"/>
                <w:sz w:val="20"/>
                <w:szCs w:val="20"/>
                <w:lang w:val="en-US"/>
              </w:rPr>
              <w:t>doi:10.7326/M15-2455</w:t>
            </w:r>
          </w:p>
          <w:p w14:paraId="43B75E09" w14:textId="77777777" w:rsidR="00CA7E96" w:rsidRPr="008B6BC5" w:rsidRDefault="00CA7E96" w:rsidP="00CA7E96">
            <w:pPr>
              <w:pStyle w:val="NoSpacing"/>
              <w:rPr>
                <w:rFonts w:cs="Times New Roman"/>
                <w:sz w:val="20"/>
                <w:szCs w:val="20"/>
                <w:lang w:val="en-US"/>
              </w:rPr>
            </w:pPr>
          </w:p>
        </w:tc>
        <w:tc>
          <w:tcPr>
            <w:tcW w:w="690" w:type="dxa"/>
          </w:tcPr>
          <w:p w14:paraId="6C9F640C" w14:textId="1A619E73" w:rsidR="00CA7E96" w:rsidRPr="008B6BC5" w:rsidRDefault="00CA7E96" w:rsidP="00CA7E96">
            <w:pPr>
              <w:pStyle w:val="NoSpacing"/>
              <w:rPr>
                <w:rFonts w:cs="Times New Roman"/>
                <w:sz w:val="20"/>
                <w:szCs w:val="20"/>
                <w:lang w:val="en-US"/>
              </w:rPr>
            </w:pPr>
            <w:r w:rsidRPr="008B6BC5">
              <w:rPr>
                <w:rFonts w:cs="Times New Roman"/>
                <w:sz w:val="20"/>
                <w:szCs w:val="20"/>
                <w:lang w:val="en-US"/>
              </w:rPr>
              <w:t>4</w:t>
            </w:r>
          </w:p>
        </w:tc>
        <w:tc>
          <w:tcPr>
            <w:tcW w:w="4066" w:type="dxa"/>
          </w:tcPr>
          <w:p w14:paraId="39CE05F6" w14:textId="2E086EBB" w:rsidR="00CA7E96" w:rsidRPr="008B6BC5" w:rsidRDefault="00CA7E96" w:rsidP="00CA7E96">
            <w:pPr>
              <w:pStyle w:val="NoSpacing"/>
              <w:rPr>
                <w:rFonts w:cs="Times New Roman"/>
                <w:sz w:val="20"/>
                <w:szCs w:val="20"/>
                <w:lang w:val="en-US"/>
              </w:rPr>
            </w:pPr>
            <w:r w:rsidRPr="008B6BC5">
              <w:rPr>
                <w:rFonts w:cs="Times New Roman"/>
                <w:sz w:val="20"/>
                <w:szCs w:val="20"/>
                <w:lang w:val="en-US"/>
              </w:rPr>
              <w:t>No inaccuracies identified.</w:t>
            </w:r>
          </w:p>
        </w:tc>
      </w:tr>
      <w:tr w:rsidR="00CA7E96" w:rsidRPr="008B6BC5" w14:paraId="2D6414C2" w14:textId="77777777" w:rsidTr="00202DA2">
        <w:tc>
          <w:tcPr>
            <w:tcW w:w="1616" w:type="dxa"/>
          </w:tcPr>
          <w:p w14:paraId="168196C1" w14:textId="4D4CD310" w:rsidR="00CA7E96" w:rsidRPr="008B6BC5" w:rsidRDefault="003A4A1A" w:rsidP="00CA7E96">
            <w:pPr>
              <w:pStyle w:val="NoSpacing"/>
              <w:rPr>
                <w:rFonts w:cs="Times New Roman"/>
                <w:sz w:val="20"/>
                <w:szCs w:val="20"/>
                <w:lang w:val="en-US"/>
              </w:rPr>
            </w:pPr>
            <w:r w:rsidRPr="008B6BC5">
              <w:rPr>
                <w:rFonts w:cs="Times New Roman"/>
                <w:sz w:val="20"/>
                <w:szCs w:val="20"/>
                <w:lang w:val="en-US"/>
              </w:rPr>
              <w:t>5</w:t>
            </w:r>
          </w:p>
        </w:tc>
        <w:tc>
          <w:tcPr>
            <w:tcW w:w="5614" w:type="dxa"/>
          </w:tcPr>
          <w:p w14:paraId="0481266F" w14:textId="7283BAE3" w:rsidR="00CA7E96" w:rsidRPr="008B6BC5" w:rsidRDefault="00CA7E96" w:rsidP="00CA7E96">
            <w:pPr>
              <w:pStyle w:val="NoSpacing"/>
              <w:rPr>
                <w:rFonts w:cs="Times New Roman"/>
                <w:sz w:val="20"/>
                <w:szCs w:val="20"/>
                <w:lang w:val="en-US"/>
              </w:rPr>
            </w:pPr>
            <w:r w:rsidRPr="008B6BC5">
              <w:rPr>
                <w:rFonts w:cs="Times New Roman"/>
                <w:sz w:val="20"/>
                <w:szCs w:val="20"/>
                <w:lang w:val="en-US"/>
              </w:rPr>
              <w:t>In a 14-week, flexible-dose (median 212 mg/day) placebo-controlled RCT with 61 obese adults with BED, topiramate produced markedly greater reductions in binge frequency (94% vs. 46%), binge days (93% vs. 46%), and mean weight (≈5.9 kg vs. minimal change), with higher response rates than placebo (McElroy et al., 2003).</w:t>
            </w:r>
          </w:p>
        </w:tc>
        <w:tc>
          <w:tcPr>
            <w:tcW w:w="4458" w:type="dxa"/>
          </w:tcPr>
          <w:p w14:paraId="0D2B1289" w14:textId="68A1F6AA" w:rsidR="00CA7E96" w:rsidRPr="008B6BC5" w:rsidRDefault="00CA7E96" w:rsidP="00CA7E96">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10.1176/appi.ajp.160.2.255</w:t>
            </w:r>
          </w:p>
        </w:tc>
        <w:tc>
          <w:tcPr>
            <w:tcW w:w="690" w:type="dxa"/>
          </w:tcPr>
          <w:p w14:paraId="4872BF7A" w14:textId="148CC451" w:rsidR="00CA7E96" w:rsidRPr="008B6BC5" w:rsidRDefault="00CA7E96" w:rsidP="00CA7E96">
            <w:pPr>
              <w:pStyle w:val="NoSpacing"/>
              <w:rPr>
                <w:rFonts w:cs="Times New Roman"/>
                <w:sz w:val="20"/>
                <w:szCs w:val="20"/>
                <w:lang w:val="en-US"/>
              </w:rPr>
            </w:pPr>
            <w:r w:rsidRPr="008B6BC5">
              <w:rPr>
                <w:rFonts w:cs="Times New Roman"/>
                <w:sz w:val="20"/>
                <w:szCs w:val="20"/>
                <w:lang w:val="en-US"/>
              </w:rPr>
              <w:t>4</w:t>
            </w:r>
          </w:p>
        </w:tc>
        <w:tc>
          <w:tcPr>
            <w:tcW w:w="4066" w:type="dxa"/>
          </w:tcPr>
          <w:p w14:paraId="75287D84" w14:textId="77541CBB" w:rsidR="00CA7E96" w:rsidRPr="008B6BC5" w:rsidRDefault="00CA7E96" w:rsidP="00CA7E96">
            <w:pPr>
              <w:pStyle w:val="NoSpacing"/>
              <w:rPr>
                <w:rFonts w:cs="Times New Roman"/>
                <w:sz w:val="20"/>
                <w:szCs w:val="20"/>
                <w:lang w:val="en-US"/>
              </w:rPr>
            </w:pPr>
            <w:r w:rsidRPr="008B6BC5">
              <w:rPr>
                <w:rFonts w:cs="Times New Roman"/>
                <w:sz w:val="20"/>
                <w:szCs w:val="20"/>
                <w:lang w:val="en-US"/>
              </w:rPr>
              <w:t>No inaccuracies identified.</w:t>
            </w:r>
          </w:p>
        </w:tc>
      </w:tr>
      <w:tr w:rsidR="00CA7E96" w:rsidRPr="008B6BC5" w14:paraId="691976AE" w14:textId="77777777" w:rsidTr="00202DA2">
        <w:tc>
          <w:tcPr>
            <w:tcW w:w="1616" w:type="dxa"/>
          </w:tcPr>
          <w:p w14:paraId="737D2E37" w14:textId="1749E77B" w:rsidR="00CA7E96" w:rsidRPr="008B6BC5" w:rsidRDefault="003A4A1A" w:rsidP="00CA7E96">
            <w:pPr>
              <w:pStyle w:val="NoSpacing"/>
              <w:rPr>
                <w:rFonts w:cs="Times New Roman"/>
                <w:sz w:val="20"/>
                <w:szCs w:val="20"/>
                <w:lang w:val="en-US"/>
              </w:rPr>
            </w:pPr>
            <w:r w:rsidRPr="008B6BC5">
              <w:rPr>
                <w:rFonts w:cs="Times New Roman"/>
                <w:sz w:val="20"/>
                <w:szCs w:val="20"/>
                <w:lang w:val="en-US"/>
              </w:rPr>
              <w:t>6</w:t>
            </w:r>
          </w:p>
        </w:tc>
        <w:tc>
          <w:tcPr>
            <w:tcW w:w="5614" w:type="dxa"/>
          </w:tcPr>
          <w:p w14:paraId="7C327F98" w14:textId="77777777" w:rsidR="00CA7E96" w:rsidRPr="008B6BC5" w:rsidRDefault="00CA7E96" w:rsidP="00CA7E96">
            <w:pPr>
              <w:pStyle w:val="NoSpacing"/>
              <w:rPr>
                <w:rFonts w:cs="Times New Roman"/>
                <w:sz w:val="20"/>
                <w:szCs w:val="20"/>
                <w:lang w:val="en-US"/>
              </w:rPr>
            </w:pPr>
            <w:r w:rsidRPr="008B6BC5">
              <w:rPr>
                <w:rFonts w:cs="Times New Roman"/>
                <w:sz w:val="20"/>
                <w:szCs w:val="20"/>
                <w:lang w:val="en-US"/>
              </w:rPr>
              <w:t xml:space="preserve">A larger multicenter trial replicated significant advantages for topiramate (mean dose ~300 mg/day) on binge-eating frequency, abstinence, and weight loss over 16 weeks (McElroy et al., 2007). </w:t>
            </w:r>
          </w:p>
          <w:p w14:paraId="0186B4B0" w14:textId="77777777" w:rsidR="00CA7E96" w:rsidRPr="008B6BC5" w:rsidRDefault="00CA7E96" w:rsidP="00CA7E96">
            <w:pPr>
              <w:pStyle w:val="NoSpacing"/>
              <w:rPr>
                <w:rFonts w:cs="Times New Roman"/>
                <w:sz w:val="20"/>
                <w:szCs w:val="20"/>
                <w:lang w:val="en-US"/>
              </w:rPr>
            </w:pPr>
          </w:p>
        </w:tc>
        <w:tc>
          <w:tcPr>
            <w:tcW w:w="4458" w:type="dxa"/>
          </w:tcPr>
          <w:p w14:paraId="27CE6F3F" w14:textId="38F3F6CE" w:rsidR="00CA7E96" w:rsidRPr="008B6BC5" w:rsidRDefault="00CA7E96" w:rsidP="00CA7E96">
            <w:pPr>
              <w:pStyle w:val="NoSpacing"/>
              <w:rPr>
                <w:rFonts w:cs="Times New Roman"/>
                <w:sz w:val="20"/>
                <w:szCs w:val="20"/>
                <w:lang w:val="en-US"/>
              </w:rPr>
            </w:pPr>
            <w:r w:rsidRPr="008B6BC5">
              <w:rPr>
                <w:rFonts w:cs="Times New Roman"/>
                <w:sz w:val="20"/>
                <w:szCs w:val="20"/>
                <w:lang w:val="en-US"/>
              </w:rPr>
              <w:t>doi:10.1016/j.biopsych.2006.08.008</w:t>
            </w:r>
          </w:p>
        </w:tc>
        <w:tc>
          <w:tcPr>
            <w:tcW w:w="690" w:type="dxa"/>
          </w:tcPr>
          <w:p w14:paraId="358E9D47" w14:textId="70DF32CF" w:rsidR="00CA7E96" w:rsidRPr="008B6BC5" w:rsidRDefault="00CA7E96" w:rsidP="00CA7E96">
            <w:pPr>
              <w:pStyle w:val="NoSpacing"/>
              <w:rPr>
                <w:rFonts w:cs="Times New Roman"/>
                <w:sz w:val="20"/>
                <w:szCs w:val="20"/>
                <w:lang w:val="en-US"/>
              </w:rPr>
            </w:pPr>
            <w:r w:rsidRPr="008B6BC5">
              <w:rPr>
                <w:rFonts w:cs="Times New Roman"/>
                <w:sz w:val="20"/>
                <w:szCs w:val="20"/>
                <w:lang w:val="en-US"/>
              </w:rPr>
              <w:t>4</w:t>
            </w:r>
          </w:p>
        </w:tc>
        <w:tc>
          <w:tcPr>
            <w:tcW w:w="4066" w:type="dxa"/>
          </w:tcPr>
          <w:p w14:paraId="3B348685" w14:textId="3DAD1939" w:rsidR="00CA7E96" w:rsidRPr="008B6BC5" w:rsidRDefault="00CA7E96" w:rsidP="00CA7E96">
            <w:pPr>
              <w:pStyle w:val="NoSpacing"/>
              <w:rPr>
                <w:rFonts w:cs="Times New Roman"/>
                <w:sz w:val="20"/>
                <w:szCs w:val="20"/>
                <w:lang w:val="en-US"/>
              </w:rPr>
            </w:pPr>
            <w:r w:rsidRPr="008B6BC5">
              <w:rPr>
                <w:rFonts w:cs="Times New Roman"/>
                <w:sz w:val="20"/>
                <w:szCs w:val="20"/>
                <w:lang w:val="en-US"/>
              </w:rPr>
              <w:t>No inaccuracies identified.</w:t>
            </w:r>
          </w:p>
        </w:tc>
      </w:tr>
      <w:tr w:rsidR="00130A74" w:rsidRPr="008B6BC5" w14:paraId="5DEDD105" w14:textId="77777777" w:rsidTr="00202DA2">
        <w:tc>
          <w:tcPr>
            <w:tcW w:w="1616" w:type="dxa"/>
          </w:tcPr>
          <w:p w14:paraId="10EACD4D" w14:textId="094204EC" w:rsidR="00130A74" w:rsidRPr="008B6BC5" w:rsidRDefault="003A4A1A" w:rsidP="00130A74">
            <w:pPr>
              <w:pStyle w:val="NoSpacing"/>
              <w:rPr>
                <w:rFonts w:cs="Times New Roman"/>
                <w:sz w:val="20"/>
                <w:szCs w:val="20"/>
                <w:lang w:val="en-US"/>
              </w:rPr>
            </w:pPr>
            <w:r w:rsidRPr="008B6BC5">
              <w:rPr>
                <w:rFonts w:cs="Times New Roman"/>
                <w:sz w:val="20"/>
                <w:szCs w:val="20"/>
                <w:lang w:val="en-US"/>
              </w:rPr>
              <w:t>7</w:t>
            </w:r>
          </w:p>
        </w:tc>
        <w:tc>
          <w:tcPr>
            <w:tcW w:w="5614" w:type="dxa"/>
          </w:tcPr>
          <w:p w14:paraId="738CC2E9"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A recent meta-analysis of topiramate RCTs (</w:t>
            </w:r>
            <w:proofErr w:type="spellStart"/>
            <w:r w:rsidRPr="008B6BC5">
              <w:rPr>
                <w:rFonts w:cs="Times New Roman"/>
                <w:sz w:val="20"/>
                <w:szCs w:val="20"/>
                <w:lang w:val="en-US"/>
              </w:rPr>
              <w:t>Nourredine</w:t>
            </w:r>
            <w:proofErr w:type="spellEnd"/>
            <w:r w:rsidRPr="008B6BC5">
              <w:rPr>
                <w:rFonts w:cs="Times New Roman"/>
                <w:sz w:val="20"/>
                <w:szCs w:val="20"/>
                <w:lang w:val="en-US"/>
              </w:rPr>
              <w:t xml:space="preserve"> et al., 2021) found moderate-to-large pooled effects on binge abstinence (RRs typically &gt;1.5 vs. placebo) and clinically meaningful weight loss, albeit at the cost of increased adverse events.</w:t>
            </w:r>
          </w:p>
          <w:p w14:paraId="1AD2BF84" w14:textId="76127FE5" w:rsidR="00130A74" w:rsidRPr="008B6BC5" w:rsidRDefault="00130A74" w:rsidP="00130A74">
            <w:pPr>
              <w:pStyle w:val="NoSpacing"/>
              <w:rPr>
                <w:rFonts w:cs="Times New Roman"/>
                <w:sz w:val="20"/>
                <w:szCs w:val="20"/>
                <w:lang w:val="en-US"/>
              </w:rPr>
            </w:pPr>
          </w:p>
        </w:tc>
        <w:tc>
          <w:tcPr>
            <w:tcW w:w="4458" w:type="dxa"/>
          </w:tcPr>
          <w:p w14:paraId="740DC0EF" w14:textId="648B71FF" w:rsidR="00130A74" w:rsidRPr="008B6BC5" w:rsidRDefault="00130A74" w:rsidP="00130A74">
            <w:pPr>
              <w:pStyle w:val="NoSpacing"/>
              <w:rPr>
                <w:rFonts w:cs="Times New Roman"/>
                <w:sz w:val="20"/>
                <w:szCs w:val="20"/>
                <w:lang w:val="en-US"/>
              </w:rPr>
            </w:pPr>
            <w:r w:rsidRPr="008B6BC5">
              <w:rPr>
                <w:rFonts w:cs="Times New Roman"/>
                <w:sz w:val="20"/>
                <w:szCs w:val="20"/>
                <w:lang w:val="en-US"/>
              </w:rPr>
              <w:t>https://doi.org/10.1017/S1092852920001613</w:t>
            </w:r>
          </w:p>
        </w:tc>
        <w:tc>
          <w:tcPr>
            <w:tcW w:w="690" w:type="dxa"/>
          </w:tcPr>
          <w:p w14:paraId="4EAF8C61" w14:textId="1C1350C9" w:rsidR="00130A74" w:rsidRPr="008B6BC5" w:rsidRDefault="007D193E" w:rsidP="00130A74">
            <w:pPr>
              <w:pStyle w:val="NoSpacing"/>
              <w:rPr>
                <w:rFonts w:cs="Times New Roman"/>
                <w:sz w:val="20"/>
                <w:szCs w:val="20"/>
                <w:lang w:val="en-US"/>
              </w:rPr>
            </w:pPr>
            <w:r w:rsidRPr="008B6BC5">
              <w:rPr>
                <w:rFonts w:cs="Times New Roman"/>
                <w:sz w:val="20"/>
                <w:szCs w:val="20"/>
                <w:lang w:val="en-US"/>
              </w:rPr>
              <w:t>1</w:t>
            </w:r>
          </w:p>
        </w:tc>
        <w:tc>
          <w:tcPr>
            <w:tcW w:w="4066" w:type="dxa"/>
          </w:tcPr>
          <w:p w14:paraId="3FA9534F" w14:textId="5B3736A1" w:rsidR="00130A74" w:rsidRPr="008B6BC5" w:rsidRDefault="007D193E" w:rsidP="00130A74">
            <w:pPr>
              <w:pStyle w:val="NoSpacing"/>
              <w:rPr>
                <w:rFonts w:cs="Times New Roman"/>
                <w:sz w:val="20"/>
                <w:szCs w:val="20"/>
                <w:lang w:val="en-US"/>
              </w:rPr>
            </w:pPr>
            <w:r w:rsidRPr="008B6BC5">
              <w:rPr>
                <w:rFonts w:cs="Times New Roman"/>
                <w:sz w:val="20"/>
                <w:szCs w:val="20"/>
                <w:lang w:val="en-US"/>
              </w:rPr>
              <w:t xml:space="preserve">Abstinence was not an outcome in this meta-analysis and the RRs provided are fabricated. </w:t>
            </w:r>
          </w:p>
        </w:tc>
      </w:tr>
      <w:tr w:rsidR="00130A74" w:rsidRPr="008B6BC5" w14:paraId="50A2AD91" w14:textId="77777777" w:rsidTr="00202DA2">
        <w:tc>
          <w:tcPr>
            <w:tcW w:w="1616" w:type="dxa"/>
          </w:tcPr>
          <w:p w14:paraId="0778860F" w14:textId="44C37DCB" w:rsidR="00130A74" w:rsidRPr="008B6BC5" w:rsidRDefault="003A4A1A" w:rsidP="00130A74">
            <w:pPr>
              <w:pStyle w:val="NoSpacing"/>
              <w:rPr>
                <w:rFonts w:cs="Times New Roman"/>
                <w:sz w:val="20"/>
                <w:szCs w:val="20"/>
                <w:lang w:val="en-US"/>
              </w:rPr>
            </w:pPr>
            <w:r w:rsidRPr="008B6BC5">
              <w:rPr>
                <w:rFonts w:cs="Times New Roman"/>
                <w:sz w:val="20"/>
                <w:szCs w:val="20"/>
                <w:lang w:val="en-US"/>
              </w:rPr>
              <w:t>8</w:t>
            </w:r>
          </w:p>
        </w:tc>
        <w:tc>
          <w:tcPr>
            <w:tcW w:w="5614" w:type="dxa"/>
          </w:tcPr>
          <w:p w14:paraId="082DDCAF" w14:textId="77777777" w:rsidR="00130A74" w:rsidRPr="008B6BC5" w:rsidRDefault="00130A74" w:rsidP="00130A74">
            <w:pPr>
              <w:pStyle w:val="NoSpacing"/>
              <w:rPr>
                <w:rFonts w:cs="Times New Roman"/>
                <w:sz w:val="20"/>
                <w:szCs w:val="20"/>
                <w:lang w:val="en-US"/>
              </w:rPr>
            </w:pPr>
            <w:r w:rsidRPr="008B6BC5">
              <w:rPr>
                <w:rFonts w:cs="Times New Roman"/>
                <w:sz w:val="20"/>
                <w:szCs w:val="20"/>
                <w:lang w:val="en-US"/>
              </w:rPr>
              <w:t>Arnold et al. (2002) reported that fluoxetine (60 mg/day, 6 weeks, n = 60) reduced binge frequency and global severity more than placebo, without sizable weight loss</w:t>
            </w:r>
          </w:p>
          <w:p w14:paraId="35BBADBD" w14:textId="1B0135EC" w:rsidR="00130A74" w:rsidRPr="008B6BC5" w:rsidRDefault="00130A74" w:rsidP="00130A74">
            <w:pPr>
              <w:pStyle w:val="NoSpacing"/>
              <w:rPr>
                <w:rFonts w:cs="Times New Roman"/>
                <w:sz w:val="20"/>
                <w:szCs w:val="20"/>
                <w:lang w:val="en-US"/>
              </w:rPr>
            </w:pPr>
          </w:p>
        </w:tc>
        <w:tc>
          <w:tcPr>
            <w:tcW w:w="4458" w:type="dxa"/>
          </w:tcPr>
          <w:p w14:paraId="66D09B42" w14:textId="630B5DE0" w:rsidR="00130A74" w:rsidRPr="008B6BC5" w:rsidRDefault="00130A74" w:rsidP="00130A74">
            <w:pPr>
              <w:pStyle w:val="NoSpacing"/>
              <w:rPr>
                <w:rFonts w:cs="Times New Roman"/>
                <w:sz w:val="20"/>
                <w:szCs w:val="20"/>
                <w:lang w:val="en-US"/>
              </w:rPr>
            </w:pPr>
            <w:r w:rsidRPr="008B6BC5">
              <w:rPr>
                <w:rFonts w:cs="Times New Roman"/>
                <w:sz w:val="20"/>
                <w:szCs w:val="20"/>
                <w:lang w:val="en-US"/>
              </w:rPr>
              <w:lastRenderedPageBreak/>
              <w:t>DOI: 10.4088/jcp.v63n1113</w:t>
            </w:r>
          </w:p>
        </w:tc>
        <w:tc>
          <w:tcPr>
            <w:tcW w:w="690" w:type="dxa"/>
          </w:tcPr>
          <w:p w14:paraId="6BE11AE6" w14:textId="7037A237" w:rsidR="00130A74" w:rsidRPr="008B6BC5" w:rsidRDefault="007D193E" w:rsidP="00130A74">
            <w:pPr>
              <w:pStyle w:val="NoSpacing"/>
              <w:rPr>
                <w:rFonts w:cs="Times New Roman"/>
                <w:sz w:val="20"/>
                <w:szCs w:val="20"/>
                <w:lang w:val="en-US"/>
              </w:rPr>
            </w:pPr>
            <w:r w:rsidRPr="008B6BC5">
              <w:rPr>
                <w:rFonts w:cs="Times New Roman"/>
                <w:sz w:val="20"/>
                <w:szCs w:val="20"/>
                <w:lang w:val="en-US"/>
              </w:rPr>
              <w:t>2</w:t>
            </w:r>
          </w:p>
        </w:tc>
        <w:tc>
          <w:tcPr>
            <w:tcW w:w="4066" w:type="dxa"/>
          </w:tcPr>
          <w:p w14:paraId="35D1E749" w14:textId="303ED1A1" w:rsidR="00130A74" w:rsidRPr="008B6BC5" w:rsidRDefault="007D193E" w:rsidP="00130A74">
            <w:pPr>
              <w:pStyle w:val="NoSpacing"/>
              <w:rPr>
                <w:rFonts w:cs="Times New Roman"/>
                <w:sz w:val="20"/>
                <w:szCs w:val="20"/>
                <w:lang w:val="en-US"/>
              </w:rPr>
            </w:pPr>
            <w:r w:rsidRPr="008B6BC5">
              <w:rPr>
                <w:rFonts w:cs="Times New Roman"/>
                <w:sz w:val="20"/>
                <w:szCs w:val="20"/>
                <w:lang w:val="en-US"/>
              </w:rPr>
              <w:t xml:space="preserve">The authors did find a significant reduction in weight loss from fluoxetine, while the dose administered was 20-80 mg. </w:t>
            </w:r>
          </w:p>
        </w:tc>
      </w:tr>
      <w:tr w:rsidR="007D193E" w:rsidRPr="008B6BC5" w14:paraId="7D7A677E" w14:textId="77777777" w:rsidTr="00202DA2">
        <w:tc>
          <w:tcPr>
            <w:tcW w:w="1616" w:type="dxa"/>
          </w:tcPr>
          <w:p w14:paraId="05333949" w14:textId="1ABDA718" w:rsidR="007D193E" w:rsidRPr="008B6BC5" w:rsidRDefault="003A4A1A" w:rsidP="007D193E">
            <w:pPr>
              <w:pStyle w:val="NoSpacing"/>
              <w:rPr>
                <w:rFonts w:cs="Times New Roman"/>
                <w:sz w:val="20"/>
                <w:szCs w:val="20"/>
                <w:lang w:val="en-US"/>
              </w:rPr>
            </w:pPr>
            <w:r w:rsidRPr="008B6BC5">
              <w:rPr>
                <w:rFonts w:cs="Times New Roman"/>
                <w:sz w:val="20"/>
                <w:szCs w:val="20"/>
                <w:lang w:val="en-US"/>
              </w:rPr>
              <w:t>9</w:t>
            </w:r>
          </w:p>
        </w:tc>
        <w:tc>
          <w:tcPr>
            <w:tcW w:w="5614" w:type="dxa"/>
          </w:tcPr>
          <w:p w14:paraId="5AECAFC2" w14:textId="77777777" w:rsidR="007D193E" w:rsidRPr="008B6BC5" w:rsidRDefault="007D193E" w:rsidP="007D193E">
            <w:pPr>
              <w:pStyle w:val="NoSpacing"/>
              <w:rPr>
                <w:rFonts w:cs="Times New Roman"/>
                <w:sz w:val="20"/>
                <w:szCs w:val="20"/>
                <w:lang w:val="en-US"/>
              </w:rPr>
            </w:pPr>
            <w:r w:rsidRPr="008B6BC5">
              <w:rPr>
                <w:rFonts w:cs="Times New Roman"/>
                <w:sz w:val="20"/>
                <w:szCs w:val="20"/>
                <w:lang w:val="en-US"/>
              </w:rPr>
              <w:t>A larger SSRI network meta-analysis synthesizing nine RCTs (fluoxetine, sertraline, fluvoxamine, citalopram, escitalopram) in 420 adults found that fluoxetine (MD = −1.75 binge episodes/week, 95% CI [−3.77, −0.02]) and sertraline (MD = −1.94, 95% CI [−3.89, −0.01]) significantly reduced binge frequency versus placebo, while none of the SSRIs produced significant weight loss (Duan et al., 2022)</w:t>
            </w:r>
          </w:p>
          <w:p w14:paraId="19295DCB" w14:textId="77777777" w:rsidR="007D193E" w:rsidRPr="008B6BC5" w:rsidRDefault="007D193E" w:rsidP="007D193E">
            <w:pPr>
              <w:pStyle w:val="NoSpacing"/>
              <w:rPr>
                <w:rFonts w:cs="Times New Roman"/>
                <w:sz w:val="20"/>
                <w:szCs w:val="20"/>
                <w:lang w:val="en-US"/>
              </w:rPr>
            </w:pPr>
          </w:p>
        </w:tc>
        <w:tc>
          <w:tcPr>
            <w:tcW w:w="4458" w:type="dxa"/>
          </w:tcPr>
          <w:p w14:paraId="6AED0231" w14:textId="77777777" w:rsidR="007D193E" w:rsidRPr="008B6BC5" w:rsidRDefault="007D193E" w:rsidP="007D193E">
            <w:pPr>
              <w:pStyle w:val="NoSpacing"/>
              <w:rPr>
                <w:rFonts w:cs="Times New Roman"/>
                <w:sz w:val="20"/>
                <w:szCs w:val="20"/>
                <w:lang w:val="en-US"/>
              </w:rPr>
            </w:pPr>
            <w:r w:rsidRPr="008B6BC5">
              <w:rPr>
                <w:rFonts w:cs="Times New Roman"/>
                <w:sz w:val="20"/>
                <w:szCs w:val="20"/>
                <w:lang w:val="en-US"/>
              </w:rPr>
              <w:t>DOI 10.3389/fphar.2022.949823</w:t>
            </w:r>
          </w:p>
          <w:p w14:paraId="62FFF808" w14:textId="77777777" w:rsidR="007D193E" w:rsidRPr="008B6BC5" w:rsidRDefault="007D193E" w:rsidP="007D193E">
            <w:pPr>
              <w:pStyle w:val="NoSpacing"/>
              <w:rPr>
                <w:rFonts w:cs="Times New Roman"/>
                <w:sz w:val="20"/>
                <w:szCs w:val="20"/>
                <w:lang w:val="en-US"/>
              </w:rPr>
            </w:pPr>
          </w:p>
        </w:tc>
        <w:tc>
          <w:tcPr>
            <w:tcW w:w="690" w:type="dxa"/>
          </w:tcPr>
          <w:p w14:paraId="10DB2918" w14:textId="5D2107FB" w:rsidR="007D193E" w:rsidRPr="008B6BC5" w:rsidRDefault="007D193E" w:rsidP="007D193E">
            <w:pPr>
              <w:pStyle w:val="NoSpacing"/>
              <w:rPr>
                <w:rFonts w:cs="Times New Roman"/>
                <w:sz w:val="20"/>
                <w:szCs w:val="20"/>
                <w:lang w:val="en-US"/>
              </w:rPr>
            </w:pPr>
            <w:r w:rsidRPr="008B6BC5">
              <w:rPr>
                <w:rFonts w:cs="Times New Roman"/>
                <w:sz w:val="20"/>
                <w:szCs w:val="20"/>
                <w:lang w:val="en-US"/>
              </w:rPr>
              <w:t>4</w:t>
            </w:r>
          </w:p>
        </w:tc>
        <w:tc>
          <w:tcPr>
            <w:tcW w:w="4066" w:type="dxa"/>
          </w:tcPr>
          <w:p w14:paraId="42C43D8F" w14:textId="573C16B4" w:rsidR="007D193E" w:rsidRPr="008B6BC5" w:rsidRDefault="007D193E" w:rsidP="007D193E">
            <w:pPr>
              <w:pStyle w:val="NoSpacing"/>
              <w:rPr>
                <w:rFonts w:cs="Times New Roman"/>
                <w:sz w:val="20"/>
                <w:szCs w:val="20"/>
                <w:lang w:val="en-US"/>
              </w:rPr>
            </w:pPr>
            <w:r w:rsidRPr="008B6BC5">
              <w:rPr>
                <w:rFonts w:cs="Times New Roman"/>
                <w:sz w:val="20"/>
                <w:szCs w:val="20"/>
                <w:lang w:val="en-US"/>
              </w:rPr>
              <w:t>No inaccuracies identified.</w:t>
            </w:r>
          </w:p>
        </w:tc>
      </w:tr>
      <w:tr w:rsidR="007D193E" w:rsidRPr="008B6BC5" w14:paraId="188289C8" w14:textId="77777777" w:rsidTr="00202DA2">
        <w:tc>
          <w:tcPr>
            <w:tcW w:w="1616" w:type="dxa"/>
          </w:tcPr>
          <w:p w14:paraId="7F989F8A" w14:textId="77777777" w:rsidR="007D193E" w:rsidRPr="008B6BC5" w:rsidRDefault="003A4A1A" w:rsidP="007D193E">
            <w:pPr>
              <w:pStyle w:val="NoSpacing"/>
              <w:rPr>
                <w:rFonts w:cs="Times New Roman"/>
                <w:sz w:val="20"/>
                <w:szCs w:val="20"/>
                <w:lang w:val="en-US"/>
              </w:rPr>
            </w:pPr>
            <w:r w:rsidRPr="008B6BC5">
              <w:rPr>
                <w:rFonts w:cs="Times New Roman"/>
                <w:sz w:val="20"/>
                <w:szCs w:val="20"/>
                <w:lang w:val="en-US"/>
              </w:rPr>
              <w:t>10.1</w:t>
            </w:r>
          </w:p>
          <w:p w14:paraId="5E054C73" w14:textId="77777777" w:rsidR="003A4A1A" w:rsidRPr="008B6BC5" w:rsidRDefault="003A4A1A" w:rsidP="007D193E">
            <w:pPr>
              <w:pStyle w:val="NoSpacing"/>
              <w:rPr>
                <w:rFonts w:cs="Times New Roman"/>
                <w:sz w:val="20"/>
                <w:szCs w:val="20"/>
                <w:lang w:val="en-US"/>
              </w:rPr>
            </w:pPr>
            <w:r w:rsidRPr="008B6BC5">
              <w:rPr>
                <w:rFonts w:cs="Times New Roman"/>
                <w:sz w:val="20"/>
                <w:szCs w:val="20"/>
                <w:lang w:val="en-US"/>
              </w:rPr>
              <w:t>10.2</w:t>
            </w:r>
          </w:p>
          <w:p w14:paraId="60FF025D" w14:textId="406A8009" w:rsidR="003A4A1A" w:rsidRPr="008B6BC5" w:rsidRDefault="003A4A1A" w:rsidP="007D193E">
            <w:pPr>
              <w:pStyle w:val="NoSpacing"/>
              <w:rPr>
                <w:rFonts w:cs="Times New Roman"/>
                <w:sz w:val="20"/>
                <w:szCs w:val="20"/>
                <w:lang w:val="en-US"/>
              </w:rPr>
            </w:pPr>
            <w:r w:rsidRPr="008B6BC5">
              <w:rPr>
                <w:rFonts w:cs="Times New Roman"/>
                <w:sz w:val="20"/>
                <w:szCs w:val="20"/>
                <w:lang w:val="en-US"/>
              </w:rPr>
              <w:t>10.3</w:t>
            </w:r>
          </w:p>
        </w:tc>
        <w:tc>
          <w:tcPr>
            <w:tcW w:w="5614" w:type="dxa"/>
          </w:tcPr>
          <w:p w14:paraId="320A8114" w14:textId="2B566226" w:rsidR="007D193E" w:rsidRPr="008B6BC5" w:rsidRDefault="007D193E" w:rsidP="007D193E">
            <w:pPr>
              <w:pStyle w:val="NoSpacing"/>
              <w:rPr>
                <w:rFonts w:cs="Times New Roman"/>
                <w:sz w:val="20"/>
                <w:szCs w:val="20"/>
                <w:lang w:val="en-US"/>
              </w:rPr>
            </w:pPr>
            <w:r w:rsidRPr="008B6BC5">
              <w:rPr>
                <w:rFonts w:cs="Times New Roman"/>
                <w:sz w:val="20"/>
                <w:szCs w:val="20"/>
                <w:lang w:val="en-US"/>
              </w:rPr>
              <w:t>Individual placebo-controlled trials of fluvoxamine (Hudson et al., 1998), high-dose escitalopram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2008), and duloxetine in BED patients with comorbid depressive disorders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2012) similarly indicate small-to-moderate advantages over placebo for binge frequency and related psychopathology, but limited weight effects.</w:t>
            </w:r>
          </w:p>
        </w:tc>
        <w:tc>
          <w:tcPr>
            <w:tcW w:w="4458" w:type="dxa"/>
          </w:tcPr>
          <w:p w14:paraId="4A6946DC" w14:textId="14179CE5" w:rsidR="00FC0A1F" w:rsidRPr="008B6BC5" w:rsidRDefault="00FC0A1F" w:rsidP="007D193E">
            <w:pPr>
              <w:pStyle w:val="NoSpacing"/>
              <w:rPr>
                <w:rFonts w:cs="Times New Roman"/>
                <w:sz w:val="20"/>
                <w:szCs w:val="20"/>
                <w:lang w:val="en-US"/>
              </w:rPr>
            </w:pPr>
            <w:r w:rsidRPr="008B6BC5">
              <w:rPr>
                <w:rFonts w:cs="Times New Roman"/>
                <w:sz w:val="20"/>
                <w:szCs w:val="20"/>
                <w:lang w:val="en-US"/>
              </w:rPr>
              <w:t>DOI: 10.1176/ajp.155.12.1756</w:t>
            </w:r>
          </w:p>
          <w:p w14:paraId="54E9DA39" w14:textId="668D00EC" w:rsidR="007D193E" w:rsidRPr="008B6BC5" w:rsidRDefault="007D193E" w:rsidP="007D193E">
            <w:pPr>
              <w:pStyle w:val="NoSpacing"/>
              <w:rPr>
                <w:rFonts w:cs="Times New Roman"/>
                <w:sz w:val="20"/>
                <w:szCs w:val="20"/>
                <w:lang w:val="en-US"/>
              </w:rPr>
            </w:pPr>
            <w:r w:rsidRPr="008B6BC5">
              <w:rPr>
                <w:rFonts w:cs="Times New Roman"/>
                <w:sz w:val="20"/>
                <w:szCs w:val="20"/>
                <w:lang w:val="en-US"/>
              </w:rPr>
              <w:t>DOI: 10.1002/hup.899</w:t>
            </w:r>
          </w:p>
          <w:p w14:paraId="5806A731" w14:textId="4977F649" w:rsidR="007D193E" w:rsidRPr="008B6BC5" w:rsidRDefault="007D193E" w:rsidP="007D193E">
            <w:pPr>
              <w:pStyle w:val="NoSpacing"/>
              <w:rPr>
                <w:rFonts w:cs="Times New Roman"/>
                <w:sz w:val="20"/>
                <w:szCs w:val="20"/>
                <w:lang w:val="en-US"/>
              </w:rPr>
            </w:pPr>
            <w:r w:rsidRPr="008B6BC5">
              <w:rPr>
                <w:rFonts w:cs="Times New Roman"/>
                <w:sz w:val="20"/>
                <w:szCs w:val="20"/>
                <w:lang w:val="en-US"/>
              </w:rPr>
              <w:t>DOI: 10.1002/eat.20946</w:t>
            </w:r>
          </w:p>
        </w:tc>
        <w:tc>
          <w:tcPr>
            <w:tcW w:w="690" w:type="dxa"/>
          </w:tcPr>
          <w:p w14:paraId="77F4A9B9" w14:textId="77777777" w:rsidR="007D193E" w:rsidRPr="008B6BC5" w:rsidRDefault="00FC0A1F" w:rsidP="007D193E">
            <w:pPr>
              <w:pStyle w:val="NoSpacing"/>
              <w:rPr>
                <w:rFonts w:cs="Times New Roman"/>
                <w:sz w:val="20"/>
                <w:szCs w:val="20"/>
                <w:lang w:val="en-US"/>
              </w:rPr>
            </w:pPr>
            <w:r w:rsidRPr="008B6BC5">
              <w:rPr>
                <w:rFonts w:cs="Times New Roman"/>
                <w:sz w:val="20"/>
                <w:szCs w:val="20"/>
                <w:lang w:val="en-US"/>
              </w:rPr>
              <w:t>2</w:t>
            </w:r>
          </w:p>
          <w:p w14:paraId="5D4722F9" w14:textId="77777777" w:rsidR="00FC0A1F" w:rsidRPr="008B6BC5" w:rsidRDefault="00FC0A1F" w:rsidP="007D193E">
            <w:pPr>
              <w:pStyle w:val="NoSpacing"/>
              <w:rPr>
                <w:rFonts w:cs="Times New Roman"/>
                <w:sz w:val="20"/>
                <w:szCs w:val="20"/>
                <w:lang w:val="en-US"/>
              </w:rPr>
            </w:pPr>
            <w:r w:rsidRPr="008B6BC5">
              <w:rPr>
                <w:rFonts w:cs="Times New Roman"/>
                <w:sz w:val="20"/>
                <w:szCs w:val="20"/>
                <w:lang w:val="en-US"/>
              </w:rPr>
              <w:t>2</w:t>
            </w:r>
          </w:p>
          <w:p w14:paraId="1248F538" w14:textId="0D158ABE" w:rsidR="00FC0A1F" w:rsidRPr="008B6BC5" w:rsidRDefault="00FC0A1F" w:rsidP="007D193E">
            <w:pPr>
              <w:pStyle w:val="NoSpacing"/>
              <w:rPr>
                <w:rFonts w:cs="Times New Roman"/>
                <w:sz w:val="20"/>
                <w:szCs w:val="20"/>
                <w:lang w:val="en-US"/>
              </w:rPr>
            </w:pPr>
            <w:r w:rsidRPr="008B6BC5">
              <w:rPr>
                <w:rFonts w:cs="Times New Roman"/>
                <w:sz w:val="20"/>
                <w:szCs w:val="20"/>
                <w:lang w:val="en-US"/>
              </w:rPr>
              <w:t>2</w:t>
            </w:r>
          </w:p>
        </w:tc>
        <w:tc>
          <w:tcPr>
            <w:tcW w:w="4066" w:type="dxa"/>
          </w:tcPr>
          <w:p w14:paraId="6C8E7358" w14:textId="77777777" w:rsidR="0066494D" w:rsidRPr="008B6BC5" w:rsidRDefault="00EA0908" w:rsidP="007D193E">
            <w:pPr>
              <w:pStyle w:val="NoSpacing"/>
              <w:rPr>
                <w:rFonts w:cs="Times New Roman"/>
                <w:sz w:val="20"/>
                <w:szCs w:val="20"/>
                <w:lang w:val="en-US"/>
              </w:rPr>
            </w:pPr>
            <w:r w:rsidRPr="008B6BC5">
              <w:rPr>
                <w:rFonts w:cs="Times New Roman"/>
                <w:sz w:val="20"/>
                <w:szCs w:val="20"/>
                <w:lang w:val="en-US"/>
              </w:rPr>
              <w:t xml:space="preserve">In Hudson et al (1998), significant effects on weight were found favoring </w:t>
            </w:r>
            <w:r w:rsidR="0066494D" w:rsidRPr="008B6BC5">
              <w:rPr>
                <w:rFonts w:cs="Times New Roman"/>
                <w:sz w:val="20"/>
                <w:szCs w:val="20"/>
                <w:lang w:val="en-US"/>
              </w:rPr>
              <w:t xml:space="preserve">fluvoxamine. </w:t>
            </w:r>
          </w:p>
          <w:p w14:paraId="0590DD1F" w14:textId="77777777" w:rsidR="0066494D" w:rsidRPr="008B6BC5" w:rsidRDefault="0066494D" w:rsidP="007D193E">
            <w:pPr>
              <w:pStyle w:val="NoSpacing"/>
              <w:rPr>
                <w:rFonts w:cs="Times New Roman"/>
                <w:sz w:val="20"/>
                <w:szCs w:val="20"/>
                <w:lang w:val="en-US"/>
              </w:rPr>
            </w:pPr>
          </w:p>
          <w:p w14:paraId="7EFFE945" w14:textId="77777777" w:rsidR="007D193E" w:rsidRPr="008B6BC5" w:rsidRDefault="0066494D" w:rsidP="007D193E">
            <w:pPr>
              <w:pStyle w:val="NoSpacing"/>
              <w:rPr>
                <w:rFonts w:cs="Times New Roman"/>
                <w:sz w:val="20"/>
                <w:szCs w:val="20"/>
                <w:lang w:val="en-US"/>
              </w:rPr>
            </w:pPr>
            <w:r w:rsidRPr="008B6BC5">
              <w:rPr>
                <w:rFonts w:cs="Times New Roman"/>
                <w:sz w:val="20"/>
                <w:szCs w:val="20"/>
                <w:lang w:val="en-US"/>
              </w:rPr>
              <w:t xml:space="preserve">In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(2008), </w:t>
            </w:r>
            <w:r w:rsidR="008D75F2" w:rsidRPr="008B6BC5">
              <w:rPr>
                <w:rFonts w:cs="Times New Roman"/>
                <w:sz w:val="20"/>
                <w:szCs w:val="20"/>
                <w:lang w:val="en-US"/>
              </w:rPr>
              <w:t xml:space="preserve">no significant between-group differences emerged for binge eating frequency in primary analysis, and significant differences </w:t>
            </w:r>
            <w:r w:rsidR="000A15E1" w:rsidRPr="008B6BC5">
              <w:rPr>
                <w:rFonts w:cs="Times New Roman"/>
                <w:sz w:val="20"/>
                <w:szCs w:val="20"/>
                <w:lang w:val="en-US"/>
              </w:rPr>
              <w:t xml:space="preserve">were found for weight. </w:t>
            </w:r>
          </w:p>
          <w:p w14:paraId="64666C4B" w14:textId="77777777" w:rsidR="000A15E1" w:rsidRPr="008B6BC5" w:rsidRDefault="000A15E1" w:rsidP="007D193E">
            <w:pPr>
              <w:pStyle w:val="NoSpacing"/>
              <w:rPr>
                <w:rFonts w:cs="Times New Roman"/>
                <w:sz w:val="20"/>
                <w:szCs w:val="20"/>
                <w:lang w:val="en-US"/>
              </w:rPr>
            </w:pPr>
          </w:p>
          <w:p w14:paraId="13F426D6" w14:textId="4E57AAF0" w:rsidR="000A15E1" w:rsidRPr="008B6BC5" w:rsidRDefault="000A15E1" w:rsidP="007D193E">
            <w:pPr>
              <w:pStyle w:val="NoSpacing"/>
              <w:rPr>
                <w:rFonts w:cs="Times New Roman"/>
                <w:sz w:val="20"/>
                <w:szCs w:val="20"/>
                <w:lang w:val="en-US"/>
              </w:rPr>
            </w:pPr>
            <w:r w:rsidRPr="008B6BC5">
              <w:rPr>
                <w:rFonts w:cs="Times New Roman"/>
                <w:sz w:val="20"/>
                <w:szCs w:val="20"/>
                <w:lang w:val="en-US"/>
              </w:rPr>
              <w:t xml:space="preserve">In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(2012), significant </w:t>
            </w:r>
            <w:r w:rsidR="002B574F" w:rsidRPr="008B6BC5">
              <w:rPr>
                <w:rFonts w:cs="Times New Roman"/>
                <w:sz w:val="20"/>
                <w:szCs w:val="20"/>
                <w:lang w:val="en-US"/>
              </w:rPr>
              <w:t>differences</w:t>
            </w:r>
            <w:r w:rsidRPr="008B6BC5">
              <w:rPr>
                <w:rFonts w:cs="Times New Roman"/>
                <w:sz w:val="20"/>
                <w:szCs w:val="20"/>
                <w:lang w:val="en-US"/>
              </w:rPr>
              <w:t xml:space="preserve"> were also found for body weight (but not BMI). </w:t>
            </w:r>
          </w:p>
        </w:tc>
      </w:tr>
      <w:tr w:rsidR="007D193E" w:rsidRPr="008B6BC5" w14:paraId="47724E09" w14:textId="77777777" w:rsidTr="00202DA2">
        <w:tc>
          <w:tcPr>
            <w:tcW w:w="1616" w:type="dxa"/>
          </w:tcPr>
          <w:p w14:paraId="0BE9698C" w14:textId="408DB7F6" w:rsidR="007D193E" w:rsidRPr="008B6BC5" w:rsidRDefault="003A4A1A" w:rsidP="007D193E">
            <w:pPr>
              <w:pStyle w:val="NoSpacing"/>
              <w:rPr>
                <w:rFonts w:cs="Times New Roman"/>
                <w:sz w:val="20"/>
                <w:szCs w:val="20"/>
                <w:lang w:val="en-US"/>
              </w:rPr>
            </w:pPr>
            <w:r w:rsidRPr="008B6BC5">
              <w:rPr>
                <w:rFonts w:cs="Times New Roman"/>
                <w:sz w:val="20"/>
                <w:szCs w:val="20"/>
                <w:lang w:val="en-US"/>
              </w:rPr>
              <w:t>11</w:t>
            </w:r>
          </w:p>
        </w:tc>
        <w:tc>
          <w:tcPr>
            <w:tcW w:w="5614" w:type="dxa"/>
          </w:tcPr>
          <w:p w14:paraId="1482D97B" w14:textId="1D83C5BD" w:rsidR="007D193E" w:rsidRPr="008B6BC5" w:rsidRDefault="007D193E" w:rsidP="007D193E">
            <w:pPr>
              <w:pStyle w:val="NoSpacing"/>
              <w:rPr>
                <w:rFonts w:cs="Times New Roman"/>
                <w:sz w:val="20"/>
                <w:szCs w:val="20"/>
                <w:lang w:val="en-US"/>
              </w:rPr>
            </w:pPr>
            <w:r w:rsidRPr="008B6BC5">
              <w:rPr>
                <w:rFonts w:cs="Times New Roman"/>
                <w:sz w:val="20"/>
                <w:szCs w:val="20"/>
                <w:lang w:val="en-US"/>
              </w:rPr>
              <w:t xml:space="preserve">Orlistat outperformed placebo on weight loss and showed some benefit for binge outcomes in obese BED samples (Golay et al., 2005). </w:t>
            </w:r>
          </w:p>
        </w:tc>
        <w:tc>
          <w:tcPr>
            <w:tcW w:w="4458" w:type="dxa"/>
          </w:tcPr>
          <w:p w14:paraId="7ADE114E" w14:textId="73D68C5C" w:rsidR="007D193E" w:rsidRPr="008B6BC5" w:rsidRDefault="007D193E" w:rsidP="007D193E">
            <w:pPr>
              <w:pStyle w:val="NoSpacing"/>
              <w:rPr>
                <w:rFonts w:cs="Times New Roman"/>
                <w:sz w:val="20"/>
                <w:szCs w:val="20"/>
                <w:lang w:val="en-US"/>
              </w:rPr>
            </w:pPr>
            <w:r w:rsidRPr="008B6BC5">
              <w:rPr>
                <w:rFonts w:cs="Times New Roman"/>
                <w:sz w:val="20"/>
                <w:szCs w:val="20"/>
                <w:lang w:val="en-US"/>
              </w:rPr>
              <w:t>DOI: 10.1038/oby.2005.208</w:t>
            </w:r>
          </w:p>
        </w:tc>
        <w:tc>
          <w:tcPr>
            <w:tcW w:w="690" w:type="dxa"/>
          </w:tcPr>
          <w:p w14:paraId="344AE46F" w14:textId="14458A0A" w:rsidR="007D193E" w:rsidRPr="008B6BC5" w:rsidRDefault="002B574F" w:rsidP="007D193E">
            <w:pPr>
              <w:pStyle w:val="NoSpacing"/>
              <w:rPr>
                <w:rFonts w:cs="Times New Roman"/>
                <w:sz w:val="20"/>
                <w:szCs w:val="20"/>
                <w:lang w:val="en-US"/>
              </w:rPr>
            </w:pPr>
            <w:r w:rsidRPr="008B6BC5">
              <w:rPr>
                <w:rFonts w:cs="Times New Roman"/>
                <w:sz w:val="20"/>
                <w:szCs w:val="20"/>
                <w:lang w:val="en-US"/>
              </w:rPr>
              <w:t>3</w:t>
            </w:r>
          </w:p>
        </w:tc>
        <w:tc>
          <w:tcPr>
            <w:tcW w:w="4066" w:type="dxa"/>
          </w:tcPr>
          <w:p w14:paraId="382A3CFB" w14:textId="7ABEF200" w:rsidR="007D193E" w:rsidRPr="008B6BC5" w:rsidRDefault="00FD47A2" w:rsidP="007D193E">
            <w:pPr>
              <w:pStyle w:val="NoSpacing"/>
              <w:rPr>
                <w:rFonts w:cs="Times New Roman"/>
                <w:sz w:val="20"/>
                <w:szCs w:val="20"/>
                <w:lang w:val="en-US"/>
              </w:rPr>
            </w:pPr>
            <w:r w:rsidRPr="008B6BC5">
              <w:rPr>
                <w:rFonts w:cs="Times New Roman"/>
                <w:sz w:val="20"/>
                <w:szCs w:val="20"/>
                <w:lang w:val="en-US"/>
              </w:rPr>
              <w:t xml:space="preserve">Significant within-group effects were found for binge eating outcomes in the orlistat group, indicating some benefit, </w:t>
            </w:r>
            <w:r w:rsidR="009E5CDB" w:rsidRPr="008B6BC5">
              <w:rPr>
                <w:rFonts w:cs="Times New Roman"/>
                <w:sz w:val="20"/>
                <w:szCs w:val="20"/>
                <w:lang w:val="en-US"/>
              </w:rPr>
              <w:t>but obtaining full points would require specification that between-group differences were statistically non-significant.</w:t>
            </w:r>
          </w:p>
        </w:tc>
      </w:tr>
      <w:tr w:rsidR="009E5CDB" w:rsidRPr="008B6BC5" w14:paraId="4EFB2FBE" w14:textId="77777777" w:rsidTr="00202DA2">
        <w:tc>
          <w:tcPr>
            <w:tcW w:w="1616" w:type="dxa"/>
          </w:tcPr>
          <w:p w14:paraId="6F407BC6" w14:textId="376E58C0" w:rsidR="009E5CDB" w:rsidRPr="008B6BC5" w:rsidRDefault="003A4A1A" w:rsidP="009E5CDB">
            <w:pPr>
              <w:pStyle w:val="NoSpacing"/>
              <w:rPr>
                <w:rFonts w:cs="Times New Roman"/>
                <w:sz w:val="20"/>
                <w:szCs w:val="20"/>
                <w:lang w:val="en-US"/>
              </w:rPr>
            </w:pPr>
            <w:r w:rsidRPr="008B6BC5">
              <w:rPr>
                <w:rFonts w:cs="Times New Roman"/>
                <w:sz w:val="20"/>
                <w:szCs w:val="20"/>
                <w:lang w:val="en-US"/>
              </w:rPr>
              <w:t>12</w:t>
            </w:r>
          </w:p>
        </w:tc>
        <w:tc>
          <w:tcPr>
            <w:tcW w:w="5614" w:type="dxa"/>
          </w:tcPr>
          <w:p w14:paraId="17D94B7A" w14:textId="149BEA48" w:rsidR="009E5CDB" w:rsidRPr="008B6BC5" w:rsidRDefault="009E5CDB" w:rsidP="009E5CDB">
            <w:pPr>
              <w:pStyle w:val="NoSpacing"/>
              <w:rPr>
                <w:rFonts w:cs="Times New Roman"/>
                <w:sz w:val="20"/>
                <w:szCs w:val="20"/>
                <w:lang w:val="en-US"/>
              </w:rPr>
            </w:pPr>
            <w:r w:rsidRPr="008B6BC5">
              <w:rPr>
                <w:rFonts w:cs="Times New Roman"/>
                <w:sz w:val="20"/>
                <w:szCs w:val="20"/>
                <w:lang w:val="en-US"/>
              </w:rPr>
              <w:t xml:space="preserve">Zonisamide improved both binge frequency and weight vs. placebo in a 16-week RCT of obese adults with BED, but with notable tolerability concerns (McElroy et al., 2007). </w:t>
            </w:r>
          </w:p>
        </w:tc>
        <w:tc>
          <w:tcPr>
            <w:tcW w:w="4458" w:type="dxa"/>
          </w:tcPr>
          <w:p w14:paraId="06313435" w14:textId="7913FCD6" w:rsidR="009E5CDB" w:rsidRPr="008B6BC5" w:rsidRDefault="009E5CDB" w:rsidP="009E5CDB">
            <w:pPr>
              <w:pStyle w:val="NoSpacing"/>
              <w:rPr>
                <w:rFonts w:cs="Times New Roman"/>
                <w:sz w:val="20"/>
                <w:szCs w:val="20"/>
                <w:lang w:val="en-US"/>
              </w:rPr>
            </w:pPr>
            <w:r w:rsidRPr="008B6BC5">
              <w:rPr>
                <w:rFonts w:cs="Times New Roman"/>
                <w:sz w:val="20"/>
                <w:szCs w:val="20"/>
                <w:lang w:val="en-US"/>
              </w:rPr>
              <w:t>doi:10.1016/j.biopsych.2006.08.008</w:t>
            </w:r>
          </w:p>
        </w:tc>
        <w:tc>
          <w:tcPr>
            <w:tcW w:w="690" w:type="dxa"/>
          </w:tcPr>
          <w:p w14:paraId="28AC812A" w14:textId="741BC025" w:rsidR="009E5CDB" w:rsidRPr="008B6BC5" w:rsidRDefault="009E5CDB" w:rsidP="009E5CDB">
            <w:pPr>
              <w:pStyle w:val="NoSpacing"/>
              <w:rPr>
                <w:rFonts w:cs="Times New Roman"/>
                <w:sz w:val="20"/>
                <w:szCs w:val="20"/>
                <w:lang w:val="en-US"/>
              </w:rPr>
            </w:pPr>
            <w:r w:rsidRPr="008B6BC5">
              <w:rPr>
                <w:rFonts w:cs="Times New Roman"/>
                <w:sz w:val="20"/>
                <w:szCs w:val="20"/>
                <w:lang w:val="en-US"/>
              </w:rPr>
              <w:t>4</w:t>
            </w:r>
          </w:p>
        </w:tc>
        <w:tc>
          <w:tcPr>
            <w:tcW w:w="4066" w:type="dxa"/>
          </w:tcPr>
          <w:p w14:paraId="7CE3ECAA" w14:textId="67A738FC" w:rsidR="009E5CDB" w:rsidRPr="008B6BC5" w:rsidRDefault="009E5CDB" w:rsidP="009E5CDB">
            <w:pPr>
              <w:pStyle w:val="NoSpacing"/>
              <w:rPr>
                <w:rFonts w:cs="Times New Roman"/>
                <w:sz w:val="20"/>
                <w:szCs w:val="20"/>
                <w:lang w:val="en-US"/>
              </w:rPr>
            </w:pPr>
            <w:r w:rsidRPr="008B6BC5">
              <w:rPr>
                <w:rFonts w:cs="Times New Roman"/>
                <w:sz w:val="20"/>
                <w:szCs w:val="20"/>
                <w:lang w:val="en-US"/>
              </w:rPr>
              <w:t>No inaccuracies identified.</w:t>
            </w:r>
          </w:p>
        </w:tc>
      </w:tr>
      <w:tr w:rsidR="009E5CDB" w:rsidRPr="008B6BC5" w14:paraId="4378CA89" w14:textId="77777777" w:rsidTr="00202DA2">
        <w:tc>
          <w:tcPr>
            <w:tcW w:w="1616" w:type="dxa"/>
          </w:tcPr>
          <w:p w14:paraId="07289BD8" w14:textId="4CCA7E44" w:rsidR="009E5CDB" w:rsidRPr="008B6BC5" w:rsidRDefault="003A4A1A" w:rsidP="009E5CDB">
            <w:pPr>
              <w:pStyle w:val="NoSpacing"/>
              <w:rPr>
                <w:rFonts w:cs="Times New Roman"/>
                <w:sz w:val="20"/>
                <w:szCs w:val="20"/>
                <w:lang w:val="en-US"/>
              </w:rPr>
            </w:pPr>
            <w:r w:rsidRPr="008B6BC5">
              <w:rPr>
                <w:rFonts w:cs="Times New Roman"/>
                <w:sz w:val="20"/>
                <w:szCs w:val="20"/>
                <w:lang w:val="en-US"/>
              </w:rPr>
              <w:t>13</w:t>
            </w:r>
          </w:p>
        </w:tc>
        <w:tc>
          <w:tcPr>
            <w:tcW w:w="5614" w:type="dxa"/>
          </w:tcPr>
          <w:p w14:paraId="3BEF6883" w14:textId="72BCA5E7" w:rsidR="009E5CDB" w:rsidRPr="008B6BC5" w:rsidRDefault="009E5CDB" w:rsidP="009E5CDB">
            <w:pPr>
              <w:pStyle w:val="NoSpacing"/>
              <w:rPr>
                <w:rFonts w:cs="Times New Roman"/>
                <w:sz w:val="20"/>
                <w:szCs w:val="20"/>
                <w:lang w:val="en-US"/>
              </w:rPr>
            </w:pPr>
            <w:r w:rsidRPr="008B6BC5">
              <w:rPr>
                <w:rFonts w:cs="Times New Roman"/>
                <w:sz w:val="20"/>
                <w:szCs w:val="20"/>
                <w:lang w:val="en-US"/>
              </w:rPr>
              <w:t>In contrast, acamprosate, tested in a 10-week placebo-controlled RCT (n = 40), did not demonstrate clear efficacy for binge reduction, despite theoretical overlap with reward-based models of BED (McElroy et al., 2011)</w:t>
            </w:r>
          </w:p>
        </w:tc>
        <w:tc>
          <w:tcPr>
            <w:tcW w:w="4458" w:type="dxa"/>
          </w:tcPr>
          <w:p w14:paraId="6A894886" w14:textId="1ECC3712" w:rsidR="009E5CDB" w:rsidRPr="008B6BC5" w:rsidRDefault="009E5CDB" w:rsidP="009E5CDB">
            <w:pPr>
              <w:pStyle w:val="NoSpacing"/>
              <w:rPr>
                <w:rFonts w:cs="Times New Roman"/>
                <w:sz w:val="20"/>
                <w:szCs w:val="20"/>
                <w:lang w:val="en-US"/>
              </w:rPr>
            </w:pPr>
            <w:r w:rsidRPr="008B6BC5">
              <w:rPr>
                <w:rFonts w:cs="Times New Roman"/>
                <w:sz w:val="20"/>
                <w:szCs w:val="20"/>
                <w:lang w:val="en-US"/>
              </w:rPr>
              <w:t>DOI: 10.1002/eat.20876</w:t>
            </w:r>
          </w:p>
        </w:tc>
        <w:tc>
          <w:tcPr>
            <w:tcW w:w="690" w:type="dxa"/>
          </w:tcPr>
          <w:p w14:paraId="2FB01BD7" w14:textId="2A70FEA0" w:rsidR="009E5CDB" w:rsidRPr="008B6BC5" w:rsidRDefault="009E5CDB" w:rsidP="009E5CDB">
            <w:pPr>
              <w:pStyle w:val="NoSpacing"/>
              <w:rPr>
                <w:rFonts w:cs="Times New Roman"/>
                <w:sz w:val="20"/>
                <w:szCs w:val="20"/>
                <w:lang w:val="en-US"/>
              </w:rPr>
            </w:pPr>
            <w:r w:rsidRPr="008B6BC5">
              <w:rPr>
                <w:rFonts w:cs="Times New Roman"/>
                <w:sz w:val="20"/>
                <w:szCs w:val="20"/>
                <w:lang w:val="en-US"/>
              </w:rPr>
              <w:t>4</w:t>
            </w:r>
          </w:p>
        </w:tc>
        <w:tc>
          <w:tcPr>
            <w:tcW w:w="4066" w:type="dxa"/>
          </w:tcPr>
          <w:p w14:paraId="1228D4CF" w14:textId="4BE4FF37" w:rsidR="009E5CDB" w:rsidRPr="008B6BC5" w:rsidRDefault="009E5CDB" w:rsidP="009E5CDB">
            <w:pPr>
              <w:pStyle w:val="NoSpacing"/>
              <w:rPr>
                <w:rFonts w:cs="Times New Roman"/>
                <w:sz w:val="20"/>
                <w:szCs w:val="20"/>
                <w:lang w:val="en-US"/>
              </w:rPr>
            </w:pPr>
            <w:r w:rsidRPr="008B6BC5">
              <w:rPr>
                <w:rFonts w:cs="Times New Roman"/>
                <w:sz w:val="20"/>
                <w:szCs w:val="20"/>
                <w:lang w:val="en-US"/>
              </w:rPr>
              <w:t>No inaccuracies identified.</w:t>
            </w:r>
          </w:p>
        </w:tc>
      </w:tr>
      <w:tr w:rsidR="009E5CDB" w:rsidRPr="008B6BC5" w14:paraId="6EE50185" w14:textId="77777777" w:rsidTr="00202DA2">
        <w:tc>
          <w:tcPr>
            <w:tcW w:w="1616" w:type="dxa"/>
          </w:tcPr>
          <w:p w14:paraId="0BFED299" w14:textId="2BCB217A" w:rsidR="009E5CDB" w:rsidRPr="008B6BC5" w:rsidRDefault="003A4A1A" w:rsidP="009E5CDB">
            <w:pPr>
              <w:pStyle w:val="NoSpacing"/>
              <w:rPr>
                <w:rFonts w:cs="Times New Roman"/>
                <w:sz w:val="20"/>
                <w:szCs w:val="20"/>
                <w:lang w:val="en-US"/>
              </w:rPr>
            </w:pPr>
            <w:r w:rsidRPr="008B6BC5">
              <w:rPr>
                <w:rFonts w:cs="Times New Roman"/>
                <w:sz w:val="20"/>
                <w:szCs w:val="20"/>
                <w:lang w:val="en-US"/>
              </w:rPr>
              <w:t>14</w:t>
            </w:r>
          </w:p>
        </w:tc>
        <w:tc>
          <w:tcPr>
            <w:tcW w:w="5614" w:type="dxa"/>
          </w:tcPr>
          <w:p w14:paraId="7BAD087D" w14:textId="55D6076B" w:rsidR="009E5CDB" w:rsidRPr="008B6BC5" w:rsidRDefault="009E5CDB" w:rsidP="009E5CDB">
            <w:pPr>
              <w:pStyle w:val="NoSpacing"/>
              <w:rPr>
                <w:rFonts w:cs="Times New Roman"/>
                <w:sz w:val="20"/>
                <w:szCs w:val="20"/>
                <w:lang w:val="en-US"/>
              </w:rPr>
            </w:pPr>
            <w:r w:rsidRPr="008B6BC5">
              <w:rPr>
                <w:rFonts w:cs="Times New Roman"/>
                <w:sz w:val="20"/>
                <w:szCs w:val="20"/>
                <w:lang w:val="en-US"/>
              </w:rPr>
              <w:t>Brownley et al. (2016) concluded that, across the available evidence, individual and group cognitive-behavioral therapy (CBT) tend to produce larger and more durable effects on binge-eating remission than medications, although drugs may have added value for weight loss or comorbid symptoms.</w:t>
            </w:r>
          </w:p>
        </w:tc>
        <w:tc>
          <w:tcPr>
            <w:tcW w:w="4458" w:type="dxa"/>
          </w:tcPr>
          <w:p w14:paraId="342BEE98" w14:textId="77777777" w:rsidR="009E5CDB" w:rsidRPr="008B6BC5" w:rsidRDefault="009E5CDB" w:rsidP="009E5CDB">
            <w:pPr>
              <w:pStyle w:val="NoSpacing"/>
              <w:rPr>
                <w:rFonts w:cs="Times New Roman"/>
                <w:sz w:val="20"/>
                <w:szCs w:val="20"/>
                <w:lang w:val="en-US"/>
              </w:rPr>
            </w:pPr>
            <w:r w:rsidRPr="008B6BC5">
              <w:rPr>
                <w:rFonts w:cs="Times New Roman"/>
                <w:sz w:val="20"/>
                <w:szCs w:val="20"/>
                <w:lang w:val="en-US"/>
              </w:rPr>
              <w:t>doi:10.7326/M15-2455</w:t>
            </w:r>
          </w:p>
          <w:p w14:paraId="382B9633" w14:textId="50BFD096" w:rsidR="009E5CDB" w:rsidRPr="008B6BC5" w:rsidRDefault="009E5CDB" w:rsidP="009E5CDB">
            <w:pPr>
              <w:pStyle w:val="NoSpacing"/>
              <w:rPr>
                <w:rFonts w:cs="Times New Roman"/>
                <w:sz w:val="20"/>
                <w:szCs w:val="20"/>
                <w:lang w:val="en-US"/>
              </w:rPr>
            </w:pPr>
          </w:p>
        </w:tc>
        <w:tc>
          <w:tcPr>
            <w:tcW w:w="690" w:type="dxa"/>
          </w:tcPr>
          <w:p w14:paraId="7B2E06DA" w14:textId="79E0A50E" w:rsidR="009E5CDB" w:rsidRPr="008B6BC5" w:rsidRDefault="00D77D3E" w:rsidP="009E5CDB">
            <w:pPr>
              <w:pStyle w:val="NoSpacing"/>
              <w:rPr>
                <w:rFonts w:cs="Times New Roman"/>
                <w:sz w:val="20"/>
                <w:szCs w:val="20"/>
                <w:lang w:val="en-US"/>
              </w:rPr>
            </w:pPr>
            <w:r w:rsidRPr="008B6BC5">
              <w:rPr>
                <w:rFonts w:cs="Times New Roman"/>
                <w:sz w:val="20"/>
                <w:szCs w:val="20"/>
                <w:lang w:val="en-US"/>
              </w:rPr>
              <w:t>2</w:t>
            </w:r>
          </w:p>
        </w:tc>
        <w:tc>
          <w:tcPr>
            <w:tcW w:w="4066" w:type="dxa"/>
          </w:tcPr>
          <w:p w14:paraId="2FC9E1B7" w14:textId="10EFD21A" w:rsidR="009E5CDB" w:rsidRPr="008B6BC5" w:rsidRDefault="00C95AAD" w:rsidP="009E5CDB">
            <w:pPr>
              <w:pStyle w:val="NoSpacing"/>
              <w:rPr>
                <w:rFonts w:cs="Times New Roman"/>
                <w:sz w:val="20"/>
                <w:szCs w:val="20"/>
                <w:lang w:val="en-US"/>
              </w:rPr>
            </w:pPr>
            <w:r w:rsidRPr="008B6BC5">
              <w:rPr>
                <w:rFonts w:cs="Times New Roman"/>
                <w:sz w:val="20"/>
                <w:szCs w:val="20"/>
                <w:lang w:val="en-US"/>
              </w:rPr>
              <w:t>The authors do not conclude that CBT produced larger effects on binge eating outcomes than medication, instead pointing to the possibility</w:t>
            </w:r>
            <w:r w:rsidR="001B71E0" w:rsidRPr="008B6BC5">
              <w:rPr>
                <w:rFonts w:cs="Times New Roman"/>
                <w:sz w:val="20"/>
                <w:szCs w:val="20"/>
                <w:lang w:val="en-US"/>
              </w:rPr>
              <w:t xml:space="preserve"> of strong evidence for CBT, LDX, and SGAs. </w:t>
            </w:r>
          </w:p>
        </w:tc>
      </w:tr>
      <w:tr w:rsidR="009E5CDB" w:rsidRPr="008B6BC5" w14:paraId="27CCA649" w14:textId="77777777" w:rsidTr="00202DA2">
        <w:tc>
          <w:tcPr>
            <w:tcW w:w="1616" w:type="dxa"/>
          </w:tcPr>
          <w:p w14:paraId="62783590" w14:textId="0C2306C3" w:rsidR="009E5CDB" w:rsidRPr="008B6BC5" w:rsidRDefault="003A4A1A" w:rsidP="009E5CDB">
            <w:pPr>
              <w:pStyle w:val="NoSpacing"/>
              <w:rPr>
                <w:rFonts w:cs="Times New Roman"/>
                <w:sz w:val="20"/>
                <w:szCs w:val="20"/>
                <w:lang w:val="en-US"/>
              </w:rPr>
            </w:pPr>
            <w:r w:rsidRPr="008B6BC5">
              <w:rPr>
                <w:rFonts w:cs="Times New Roman"/>
                <w:sz w:val="20"/>
                <w:szCs w:val="20"/>
                <w:lang w:val="en-US"/>
              </w:rPr>
              <w:lastRenderedPageBreak/>
              <w:t>15</w:t>
            </w:r>
          </w:p>
        </w:tc>
        <w:tc>
          <w:tcPr>
            <w:tcW w:w="5614" w:type="dxa"/>
          </w:tcPr>
          <w:p w14:paraId="38ABC508" w14:textId="67E68597" w:rsidR="009E5CDB" w:rsidRPr="008B6BC5" w:rsidRDefault="009E5CDB" w:rsidP="009E5CDB">
            <w:pPr>
              <w:pStyle w:val="NoSpacing"/>
              <w:rPr>
                <w:rFonts w:cs="Times New Roman"/>
                <w:sz w:val="20"/>
                <w:szCs w:val="20"/>
                <w:lang w:val="en-US"/>
              </w:rPr>
            </w:pPr>
            <w:r w:rsidRPr="008B6BC5">
              <w:rPr>
                <w:rFonts w:cs="Times New Roman"/>
                <w:sz w:val="20"/>
                <w:szCs w:val="20"/>
                <w:lang w:val="en-US"/>
              </w:rPr>
              <w:t xml:space="preserve">A landmark trial by Grilo, Masheb, and Wilson (2005) randomized 108 adults with BED to CBT, fluoxetine (60 mg/day), </w:t>
            </w:r>
            <w:proofErr w:type="spellStart"/>
            <w:r w:rsidRPr="008B6BC5">
              <w:rPr>
                <w:rFonts w:cs="Times New Roman"/>
                <w:sz w:val="20"/>
                <w:szCs w:val="20"/>
                <w:lang w:val="en-US"/>
              </w:rPr>
              <w:t>CBT+fluoxetine</w:t>
            </w:r>
            <w:proofErr w:type="spellEnd"/>
            <w:r w:rsidRPr="008B6BC5">
              <w:rPr>
                <w:rFonts w:cs="Times New Roman"/>
                <w:sz w:val="20"/>
                <w:szCs w:val="20"/>
                <w:lang w:val="en-US"/>
              </w:rPr>
              <w:t xml:space="preserve">, or placebo over 16 weeks. CBT alone and </w:t>
            </w:r>
            <w:proofErr w:type="spellStart"/>
            <w:r w:rsidRPr="008B6BC5">
              <w:rPr>
                <w:rFonts w:cs="Times New Roman"/>
                <w:sz w:val="20"/>
                <w:szCs w:val="20"/>
                <w:lang w:val="en-US"/>
              </w:rPr>
              <w:t>CBT+fluoxetine</w:t>
            </w:r>
            <w:proofErr w:type="spellEnd"/>
            <w:r w:rsidRPr="008B6BC5">
              <w:rPr>
                <w:rFonts w:cs="Times New Roman"/>
                <w:sz w:val="20"/>
                <w:szCs w:val="20"/>
                <w:lang w:val="en-US"/>
              </w:rPr>
              <w:t xml:space="preserve"> produced significantly higher end-of-treatment abstinence rates (51–59%) than either fluoxetine alone or placebo (17–28%), with effect sizes for CBT versus medication in the moderate range. Fluoxetine did not enhance CBT’s effect on binge-eating outcomes, though modest advantages for depressive symptoms were observed (Grilo et al., 2005). </w:t>
            </w:r>
          </w:p>
        </w:tc>
        <w:tc>
          <w:tcPr>
            <w:tcW w:w="4458" w:type="dxa"/>
          </w:tcPr>
          <w:p w14:paraId="30B29714" w14:textId="13BD635E" w:rsidR="009E5CDB" w:rsidRPr="008B6BC5" w:rsidRDefault="009E5CDB" w:rsidP="009E5CDB">
            <w:pPr>
              <w:pStyle w:val="NoSpacing"/>
              <w:jc w:val="left"/>
              <w:rPr>
                <w:rFonts w:cs="Times New Roman"/>
                <w:sz w:val="20"/>
                <w:szCs w:val="20"/>
                <w:lang w:val="en-US"/>
              </w:rPr>
            </w:pPr>
            <w:r w:rsidRPr="008B6BC5">
              <w:rPr>
                <w:rFonts w:cs="Times New Roman"/>
                <w:sz w:val="20"/>
                <w:szCs w:val="20"/>
                <w:lang w:val="en-US"/>
              </w:rPr>
              <w:t>doi:10.1016/j.biopsych.2004.11.002</w:t>
            </w:r>
          </w:p>
        </w:tc>
        <w:tc>
          <w:tcPr>
            <w:tcW w:w="690" w:type="dxa"/>
          </w:tcPr>
          <w:p w14:paraId="4E5AA591" w14:textId="2ADAA433" w:rsidR="009E5CDB" w:rsidRPr="008B6BC5" w:rsidRDefault="0041102C" w:rsidP="009E5CDB">
            <w:pPr>
              <w:pStyle w:val="NoSpacing"/>
              <w:rPr>
                <w:rFonts w:cs="Times New Roman"/>
                <w:sz w:val="20"/>
                <w:szCs w:val="20"/>
                <w:lang w:val="en-US"/>
              </w:rPr>
            </w:pPr>
            <w:r w:rsidRPr="008B6BC5">
              <w:rPr>
                <w:rFonts w:cs="Times New Roman"/>
                <w:sz w:val="20"/>
                <w:szCs w:val="20"/>
                <w:lang w:val="en-US"/>
              </w:rPr>
              <w:t>2</w:t>
            </w:r>
          </w:p>
        </w:tc>
        <w:tc>
          <w:tcPr>
            <w:tcW w:w="4066" w:type="dxa"/>
          </w:tcPr>
          <w:p w14:paraId="068E9A93" w14:textId="71192A49" w:rsidR="009E5CDB" w:rsidRPr="008B6BC5" w:rsidRDefault="0041102C" w:rsidP="009E5CDB">
            <w:pPr>
              <w:pStyle w:val="NoSpacing"/>
              <w:rPr>
                <w:rFonts w:cs="Times New Roman"/>
                <w:sz w:val="20"/>
                <w:szCs w:val="20"/>
                <w:lang w:val="en-US"/>
              </w:rPr>
            </w:pPr>
            <w:r w:rsidRPr="008B6BC5">
              <w:rPr>
                <w:rFonts w:cs="Times New Roman"/>
                <w:sz w:val="20"/>
                <w:szCs w:val="20"/>
                <w:lang w:val="en-US"/>
              </w:rPr>
              <w:t xml:space="preserve">CBT + fluoxetine did not differ significantly to CBT + placebo on any of the secondary outcomes. </w:t>
            </w:r>
          </w:p>
        </w:tc>
      </w:tr>
      <w:tr w:rsidR="00FB3073" w:rsidRPr="008B6BC5" w14:paraId="2C55FCD5" w14:textId="77777777" w:rsidTr="00202DA2">
        <w:tc>
          <w:tcPr>
            <w:tcW w:w="1616" w:type="dxa"/>
          </w:tcPr>
          <w:p w14:paraId="711410CA" w14:textId="0EF8EAB9" w:rsidR="00FB3073" w:rsidRPr="008B6BC5" w:rsidRDefault="003A4A1A" w:rsidP="00FB3073">
            <w:pPr>
              <w:pStyle w:val="NoSpacing"/>
              <w:rPr>
                <w:rFonts w:cs="Times New Roman"/>
                <w:sz w:val="20"/>
                <w:szCs w:val="20"/>
                <w:lang w:val="en-US"/>
              </w:rPr>
            </w:pPr>
            <w:r w:rsidRPr="008B6BC5">
              <w:rPr>
                <w:rFonts w:cs="Times New Roman"/>
                <w:sz w:val="20"/>
                <w:szCs w:val="20"/>
                <w:lang w:val="en-US"/>
              </w:rPr>
              <w:t>16</w:t>
            </w:r>
          </w:p>
        </w:tc>
        <w:tc>
          <w:tcPr>
            <w:tcW w:w="5614" w:type="dxa"/>
          </w:tcPr>
          <w:p w14:paraId="29D50028" w14:textId="0D20B16A" w:rsidR="00FB3073" w:rsidRPr="008B6BC5" w:rsidRDefault="00FB3073" w:rsidP="00FB3073">
            <w:pPr>
              <w:pStyle w:val="NoSpacing"/>
              <w:rPr>
                <w:rFonts w:cs="Times New Roman"/>
                <w:sz w:val="20"/>
                <w:szCs w:val="20"/>
                <w:lang w:val="en-US"/>
              </w:rPr>
            </w:pPr>
            <w:r w:rsidRPr="008B6BC5">
              <w:rPr>
                <w:rFonts w:cs="Times New Roman"/>
                <w:sz w:val="20"/>
                <w:szCs w:val="20"/>
                <w:lang w:val="en-US"/>
              </w:rPr>
              <w:t>Two-year follow-up data in a related cohort showed maintenance of CBT’s superiority for binge-eating outcomes, with no long-term added benefit of fluoxetine  (Devlin 2007)</w:t>
            </w:r>
          </w:p>
        </w:tc>
        <w:tc>
          <w:tcPr>
            <w:tcW w:w="4458" w:type="dxa"/>
          </w:tcPr>
          <w:p w14:paraId="6B73D239" w14:textId="719F3C36" w:rsidR="00FB3073" w:rsidRPr="008B6BC5" w:rsidRDefault="00FB3073" w:rsidP="00FB3073">
            <w:pPr>
              <w:pStyle w:val="NoSpacing"/>
              <w:rPr>
                <w:rFonts w:cs="Times New Roman"/>
                <w:sz w:val="20"/>
                <w:szCs w:val="20"/>
                <w:lang w:val="en-US"/>
              </w:rPr>
            </w:pPr>
            <w:r w:rsidRPr="008B6BC5">
              <w:rPr>
                <w:rFonts w:cs="Times New Roman"/>
                <w:sz w:val="20"/>
                <w:szCs w:val="20"/>
                <w:lang w:val="en-US"/>
              </w:rPr>
              <w:t>DOI: 10.1038/oby.2007.203</w:t>
            </w:r>
          </w:p>
        </w:tc>
        <w:tc>
          <w:tcPr>
            <w:tcW w:w="690" w:type="dxa"/>
          </w:tcPr>
          <w:p w14:paraId="5554D0CA" w14:textId="16841AE7" w:rsidR="00FB3073" w:rsidRPr="008B6BC5" w:rsidRDefault="00FB3073" w:rsidP="00FB3073">
            <w:pPr>
              <w:pStyle w:val="NoSpacing"/>
              <w:rPr>
                <w:rFonts w:cs="Times New Roman"/>
                <w:sz w:val="20"/>
                <w:szCs w:val="20"/>
                <w:lang w:val="en-US"/>
              </w:rPr>
            </w:pPr>
            <w:r w:rsidRPr="008B6BC5">
              <w:rPr>
                <w:rFonts w:cs="Times New Roman"/>
                <w:sz w:val="20"/>
                <w:szCs w:val="20"/>
                <w:lang w:val="en-US"/>
              </w:rPr>
              <w:t>4</w:t>
            </w:r>
          </w:p>
        </w:tc>
        <w:tc>
          <w:tcPr>
            <w:tcW w:w="4066" w:type="dxa"/>
          </w:tcPr>
          <w:p w14:paraId="31DAA76E" w14:textId="6508E08A" w:rsidR="00FB3073" w:rsidRPr="008B6BC5" w:rsidRDefault="00FB3073" w:rsidP="00FB3073">
            <w:pPr>
              <w:pStyle w:val="NoSpacing"/>
              <w:rPr>
                <w:rFonts w:cs="Times New Roman"/>
                <w:sz w:val="20"/>
                <w:szCs w:val="20"/>
                <w:lang w:val="en-US"/>
              </w:rPr>
            </w:pPr>
            <w:r w:rsidRPr="008B6BC5">
              <w:rPr>
                <w:rFonts w:cs="Times New Roman"/>
                <w:sz w:val="20"/>
                <w:szCs w:val="20"/>
                <w:lang w:val="en-US"/>
              </w:rPr>
              <w:t>No inaccuracies identified.</w:t>
            </w:r>
          </w:p>
        </w:tc>
      </w:tr>
      <w:tr w:rsidR="00FB3073" w:rsidRPr="008B6BC5" w14:paraId="2C1AA3D2" w14:textId="77777777" w:rsidTr="00202DA2">
        <w:tc>
          <w:tcPr>
            <w:tcW w:w="1616" w:type="dxa"/>
          </w:tcPr>
          <w:p w14:paraId="79D130FF" w14:textId="150A4182" w:rsidR="00FB3073" w:rsidRPr="008B6BC5" w:rsidRDefault="003A4A1A" w:rsidP="00FB3073">
            <w:pPr>
              <w:pStyle w:val="NoSpacing"/>
              <w:rPr>
                <w:rFonts w:cs="Times New Roman"/>
                <w:sz w:val="20"/>
                <w:szCs w:val="20"/>
                <w:lang w:val="en-US"/>
              </w:rPr>
            </w:pPr>
            <w:r w:rsidRPr="008B6BC5">
              <w:rPr>
                <w:rFonts w:cs="Times New Roman"/>
                <w:sz w:val="20"/>
                <w:szCs w:val="20"/>
                <w:lang w:val="en-US"/>
              </w:rPr>
              <w:t>17</w:t>
            </w:r>
          </w:p>
        </w:tc>
        <w:tc>
          <w:tcPr>
            <w:tcW w:w="5614" w:type="dxa"/>
          </w:tcPr>
          <w:p w14:paraId="69519AA0" w14:textId="4A803917" w:rsidR="00FB3073" w:rsidRPr="008B6BC5" w:rsidRDefault="00FB3073" w:rsidP="00FB3073">
            <w:pPr>
              <w:pStyle w:val="NoSpacing"/>
              <w:rPr>
                <w:rFonts w:cs="Times New Roman"/>
                <w:sz w:val="20"/>
                <w:szCs w:val="20"/>
                <w:lang w:val="en-US"/>
              </w:rPr>
            </w:pPr>
            <w:r w:rsidRPr="008B6BC5">
              <w:rPr>
                <w:rFonts w:cs="Times New Roman"/>
                <w:sz w:val="20"/>
                <w:szCs w:val="20"/>
                <w:lang w:val="en-US"/>
              </w:rPr>
              <w:t>In a double-blind trial of 89 obese adults with BED, orlistat plus CBT-guided self-help was compared with placebo plus CBT-guided self-help over 12 weeks. Orlistat produced significantly greater weight loss (about 3–4 kg additional loss), but abstinence rates and reductions in binge frequency were similar between groups (Grilo, Masheb, &amp; Salant, 2005).</w:t>
            </w:r>
          </w:p>
        </w:tc>
        <w:tc>
          <w:tcPr>
            <w:tcW w:w="4458" w:type="dxa"/>
          </w:tcPr>
          <w:p w14:paraId="7AA5CCDB" w14:textId="50713A30" w:rsidR="00FB3073" w:rsidRPr="008B6BC5" w:rsidRDefault="00FB3073" w:rsidP="00FB3073">
            <w:pPr>
              <w:pStyle w:val="NoSpacing"/>
              <w:rPr>
                <w:rFonts w:cs="Times New Roman"/>
                <w:sz w:val="20"/>
                <w:szCs w:val="20"/>
                <w:lang w:val="en-US"/>
              </w:rPr>
            </w:pPr>
            <w:r w:rsidRPr="008B6BC5">
              <w:rPr>
                <w:rFonts w:cs="Times New Roman"/>
                <w:sz w:val="20"/>
                <w:szCs w:val="20"/>
                <w:lang w:val="en-US"/>
              </w:rPr>
              <w:t>doi:10.1016/j.biopsych.2005.03.001</w:t>
            </w:r>
          </w:p>
        </w:tc>
        <w:tc>
          <w:tcPr>
            <w:tcW w:w="690" w:type="dxa"/>
          </w:tcPr>
          <w:p w14:paraId="45B0DA81" w14:textId="5666DFEA" w:rsidR="00FB3073" w:rsidRPr="008B6BC5" w:rsidRDefault="00FB3073" w:rsidP="00FB3073">
            <w:pPr>
              <w:pStyle w:val="NoSpacing"/>
              <w:rPr>
                <w:rFonts w:cs="Times New Roman"/>
                <w:sz w:val="20"/>
                <w:szCs w:val="20"/>
                <w:lang w:val="en-US"/>
              </w:rPr>
            </w:pPr>
            <w:r w:rsidRPr="008B6BC5">
              <w:rPr>
                <w:rFonts w:cs="Times New Roman"/>
                <w:sz w:val="20"/>
                <w:szCs w:val="20"/>
                <w:lang w:val="en-US"/>
              </w:rPr>
              <w:t>2</w:t>
            </w:r>
          </w:p>
        </w:tc>
        <w:tc>
          <w:tcPr>
            <w:tcW w:w="4066" w:type="dxa"/>
          </w:tcPr>
          <w:p w14:paraId="2CBB64E6" w14:textId="05B5A358" w:rsidR="00FB3073" w:rsidRPr="008B6BC5" w:rsidRDefault="004467EC" w:rsidP="00FB3073">
            <w:pPr>
              <w:pStyle w:val="NoSpacing"/>
              <w:rPr>
                <w:rFonts w:cs="Times New Roman"/>
                <w:sz w:val="20"/>
                <w:szCs w:val="20"/>
                <w:lang w:val="en-US"/>
              </w:rPr>
            </w:pPr>
            <w:r w:rsidRPr="008B6BC5">
              <w:rPr>
                <w:rFonts w:cs="Times New Roman"/>
                <w:sz w:val="20"/>
                <w:szCs w:val="20"/>
                <w:lang w:val="en-US"/>
              </w:rPr>
              <w:t xml:space="preserve">Abstinence rates were significantly higher in the CBT + orlistat condition compared to the CBT </w:t>
            </w:r>
            <w:r w:rsidR="00B14A93" w:rsidRPr="008B6BC5">
              <w:rPr>
                <w:rFonts w:cs="Times New Roman"/>
                <w:sz w:val="20"/>
                <w:szCs w:val="20"/>
                <w:lang w:val="en-US"/>
              </w:rPr>
              <w:t>+ placebo</w:t>
            </w:r>
            <w:r w:rsidRPr="008B6BC5">
              <w:rPr>
                <w:rFonts w:cs="Times New Roman"/>
                <w:sz w:val="20"/>
                <w:szCs w:val="20"/>
                <w:lang w:val="en-US"/>
              </w:rPr>
              <w:t xml:space="preserve"> condition. </w:t>
            </w:r>
          </w:p>
        </w:tc>
      </w:tr>
      <w:tr w:rsidR="00FB3073" w:rsidRPr="008B6BC5" w14:paraId="5FDAE5C1" w14:textId="77777777" w:rsidTr="00202DA2">
        <w:tc>
          <w:tcPr>
            <w:tcW w:w="1616" w:type="dxa"/>
          </w:tcPr>
          <w:p w14:paraId="150B8815" w14:textId="53E17C9D" w:rsidR="00FB3073" w:rsidRPr="008B6BC5" w:rsidRDefault="003A4A1A" w:rsidP="00FB3073">
            <w:pPr>
              <w:pStyle w:val="NoSpacing"/>
              <w:rPr>
                <w:rFonts w:cs="Times New Roman"/>
                <w:sz w:val="20"/>
                <w:szCs w:val="20"/>
                <w:lang w:val="en-US"/>
              </w:rPr>
            </w:pPr>
            <w:r w:rsidRPr="008B6BC5">
              <w:rPr>
                <w:rFonts w:cs="Times New Roman"/>
                <w:sz w:val="20"/>
                <w:szCs w:val="20"/>
                <w:lang w:val="en-US"/>
              </w:rPr>
              <w:t>18</w:t>
            </w:r>
          </w:p>
        </w:tc>
        <w:tc>
          <w:tcPr>
            <w:tcW w:w="5614" w:type="dxa"/>
          </w:tcPr>
          <w:p w14:paraId="76704A78" w14:textId="2E215C10" w:rsidR="00FB3073" w:rsidRPr="008B6BC5" w:rsidRDefault="00FB3073" w:rsidP="00FB3073">
            <w:pPr>
              <w:pStyle w:val="NoSpacing"/>
              <w:rPr>
                <w:rFonts w:cs="Times New Roman"/>
                <w:sz w:val="20"/>
                <w:szCs w:val="20"/>
                <w:lang w:val="en-US"/>
              </w:rPr>
            </w:pPr>
            <w:r w:rsidRPr="008B6BC5">
              <w:rPr>
                <w:rFonts w:cs="Times New Roman"/>
                <w:sz w:val="20"/>
                <w:szCs w:val="20"/>
                <w:lang w:val="en-US"/>
              </w:rPr>
              <w:t>Claudino et al. (2007) randomized 73 obese adults with BED to CBT plus topiramate (up to 400 mg/day) or CBT plus placebo for 16 weeks. The topiramate group achieved higher abstinence rates (e.g., 84% vs. 59%) and larger weight reductions (−6.8 vs. −0.9 kg), indicating an additive effect beyond CBT alone (Claudino et al., 2007).</w:t>
            </w:r>
          </w:p>
        </w:tc>
        <w:tc>
          <w:tcPr>
            <w:tcW w:w="4458" w:type="dxa"/>
          </w:tcPr>
          <w:p w14:paraId="4CE5CA50" w14:textId="7B824537" w:rsidR="00FB3073" w:rsidRPr="008B6BC5" w:rsidRDefault="00FB3073" w:rsidP="00FB3073">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10.4088/jcp.v68n0901</w:t>
            </w:r>
          </w:p>
        </w:tc>
        <w:tc>
          <w:tcPr>
            <w:tcW w:w="690" w:type="dxa"/>
          </w:tcPr>
          <w:p w14:paraId="268F4E7C" w14:textId="24480EFC" w:rsidR="00FB3073" w:rsidRPr="008B6BC5" w:rsidRDefault="00B14A93" w:rsidP="00FB3073">
            <w:pPr>
              <w:pStyle w:val="NoSpacing"/>
              <w:rPr>
                <w:rFonts w:cs="Times New Roman"/>
                <w:sz w:val="20"/>
                <w:szCs w:val="20"/>
                <w:lang w:val="en-US"/>
              </w:rPr>
            </w:pPr>
            <w:r w:rsidRPr="008B6BC5">
              <w:rPr>
                <w:rFonts w:cs="Times New Roman"/>
                <w:sz w:val="20"/>
                <w:szCs w:val="20"/>
                <w:lang w:val="en-US"/>
              </w:rPr>
              <w:t>3</w:t>
            </w:r>
          </w:p>
        </w:tc>
        <w:tc>
          <w:tcPr>
            <w:tcW w:w="4066" w:type="dxa"/>
          </w:tcPr>
          <w:p w14:paraId="62C2A258" w14:textId="0B22B861" w:rsidR="00FB3073" w:rsidRPr="008B6BC5" w:rsidRDefault="00B14A93" w:rsidP="00FB3073">
            <w:pPr>
              <w:pStyle w:val="NoSpacing"/>
              <w:rPr>
                <w:rFonts w:cs="Times New Roman"/>
                <w:sz w:val="20"/>
                <w:szCs w:val="20"/>
                <w:lang w:val="en-US"/>
              </w:rPr>
            </w:pPr>
            <w:r w:rsidRPr="008B6BC5">
              <w:rPr>
                <w:rFonts w:cs="Times New Roman"/>
                <w:sz w:val="20"/>
                <w:szCs w:val="20"/>
                <w:lang w:val="en-US"/>
              </w:rPr>
              <w:t xml:space="preserve">21 not 16 weeks of treatment was administered; </w:t>
            </w:r>
            <w:r w:rsidR="00F27437" w:rsidRPr="008B6BC5">
              <w:rPr>
                <w:rFonts w:cs="Times New Roman"/>
                <w:sz w:val="20"/>
                <w:szCs w:val="20"/>
                <w:lang w:val="en-US"/>
              </w:rPr>
              <w:t xml:space="preserve">abstinence rates were 84% vs 61% not 84% vs. 59%. </w:t>
            </w:r>
          </w:p>
        </w:tc>
      </w:tr>
      <w:tr w:rsidR="00FB3073" w:rsidRPr="008B6BC5" w14:paraId="77EA25C1" w14:textId="77777777" w:rsidTr="00202DA2">
        <w:tc>
          <w:tcPr>
            <w:tcW w:w="1616" w:type="dxa"/>
          </w:tcPr>
          <w:p w14:paraId="29A6AF2D" w14:textId="77777777" w:rsidR="00FB3073" w:rsidRPr="008B6BC5" w:rsidRDefault="003A4A1A" w:rsidP="00FB3073">
            <w:pPr>
              <w:pStyle w:val="NoSpacing"/>
              <w:rPr>
                <w:rFonts w:cs="Times New Roman"/>
                <w:sz w:val="20"/>
                <w:szCs w:val="20"/>
                <w:lang w:val="en-US"/>
              </w:rPr>
            </w:pPr>
            <w:r w:rsidRPr="008B6BC5">
              <w:rPr>
                <w:rFonts w:cs="Times New Roman"/>
                <w:sz w:val="20"/>
                <w:szCs w:val="20"/>
                <w:lang w:val="en-US"/>
              </w:rPr>
              <w:t>19.1</w:t>
            </w:r>
          </w:p>
          <w:p w14:paraId="6BAD0A82" w14:textId="1F87291B" w:rsidR="003A4A1A" w:rsidRPr="008B6BC5" w:rsidRDefault="003A4A1A" w:rsidP="00FB3073">
            <w:pPr>
              <w:pStyle w:val="NoSpacing"/>
              <w:rPr>
                <w:rFonts w:cs="Times New Roman"/>
                <w:sz w:val="20"/>
                <w:szCs w:val="20"/>
                <w:lang w:val="en-US"/>
              </w:rPr>
            </w:pPr>
            <w:r w:rsidRPr="008B6BC5">
              <w:rPr>
                <w:rFonts w:cs="Times New Roman"/>
                <w:sz w:val="20"/>
                <w:szCs w:val="20"/>
                <w:lang w:val="en-US"/>
              </w:rPr>
              <w:t>19.2</w:t>
            </w:r>
          </w:p>
        </w:tc>
        <w:tc>
          <w:tcPr>
            <w:tcW w:w="5614" w:type="dxa"/>
          </w:tcPr>
          <w:p w14:paraId="501878C6" w14:textId="77777777" w:rsidR="00FB3073" w:rsidRPr="008B6BC5" w:rsidRDefault="00FB3073" w:rsidP="00FB3073">
            <w:pPr>
              <w:pStyle w:val="NoSpacing"/>
              <w:rPr>
                <w:rFonts w:cs="Times New Roman"/>
                <w:sz w:val="20"/>
                <w:szCs w:val="20"/>
                <w:lang w:val="en-US"/>
              </w:rPr>
            </w:pPr>
            <w:r w:rsidRPr="008B6BC5">
              <w:rPr>
                <w:rFonts w:cs="Times New Roman"/>
                <w:sz w:val="20"/>
                <w:szCs w:val="20"/>
                <w:lang w:val="en-US"/>
              </w:rPr>
              <w:t xml:space="preserve">Brownley et al. (2016) and </w:t>
            </w:r>
            <w:proofErr w:type="spellStart"/>
            <w:r w:rsidRPr="008B6BC5">
              <w:rPr>
                <w:rFonts w:cs="Times New Roman"/>
                <w:sz w:val="20"/>
                <w:szCs w:val="20"/>
                <w:lang w:val="en-US"/>
              </w:rPr>
              <w:t>Nourredine</w:t>
            </w:r>
            <w:proofErr w:type="spellEnd"/>
            <w:r w:rsidRPr="008B6BC5">
              <w:rPr>
                <w:rFonts w:cs="Times New Roman"/>
                <w:sz w:val="20"/>
                <w:szCs w:val="20"/>
                <w:lang w:val="en-US"/>
              </w:rPr>
              <w:t xml:space="preserve"> et al. (2021) suggest that, in head-to-head or network comparisons, topiramate and LDX rank among the most effective agents for combined binge reduction and weight loss, whereas SSRIs are more modestly effective and primarily reduce binge episodes and depressive symptoms.</w:t>
            </w:r>
          </w:p>
          <w:p w14:paraId="6878FE8E" w14:textId="3DED8794" w:rsidR="00FB3073" w:rsidRPr="008B6BC5" w:rsidRDefault="00FB3073" w:rsidP="00FB3073">
            <w:pPr>
              <w:pStyle w:val="NoSpacing"/>
              <w:rPr>
                <w:rFonts w:cs="Times New Roman"/>
                <w:sz w:val="20"/>
                <w:szCs w:val="20"/>
                <w:lang w:val="en-US"/>
              </w:rPr>
            </w:pPr>
          </w:p>
        </w:tc>
        <w:tc>
          <w:tcPr>
            <w:tcW w:w="4458" w:type="dxa"/>
          </w:tcPr>
          <w:p w14:paraId="470F62AF" w14:textId="2363D2D2" w:rsidR="00FB3073" w:rsidRPr="008B6BC5" w:rsidRDefault="00FB3073" w:rsidP="00FB3073">
            <w:pPr>
              <w:pStyle w:val="NoSpacing"/>
              <w:rPr>
                <w:rFonts w:cs="Times New Roman"/>
                <w:sz w:val="20"/>
                <w:szCs w:val="20"/>
                <w:lang w:val="en-US"/>
              </w:rPr>
            </w:pPr>
            <w:r w:rsidRPr="008B6BC5">
              <w:rPr>
                <w:rFonts w:cs="Times New Roman"/>
                <w:sz w:val="20"/>
                <w:szCs w:val="20"/>
                <w:lang w:val="en-US"/>
              </w:rPr>
              <w:t>doi:10.7326/M15-2455</w:t>
            </w:r>
          </w:p>
          <w:p w14:paraId="69695328" w14:textId="3449A206" w:rsidR="00FB3073" w:rsidRPr="008B6BC5" w:rsidRDefault="00FB3073" w:rsidP="00FB3073">
            <w:pPr>
              <w:pStyle w:val="NoSpacing"/>
              <w:rPr>
                <w:rFonts w:cs="Times New Roman"/>
                <w:sz w:val="20"/>
                <w:szCs w:val="20"/>
                <w:lang w:val="en-US"/>
              </w:rPr>
            </w:pPr>
            <w:r w:rsidRPr="008B6BC5">
              <w:rPr>
                <w:rFonts w:cs="Times New Roman"/>
                <w:sz w:val="20"/>
                <w:szCs w:val="20"/>
                <w:lang w:val="en-US"/>
              </w:rPr>
              <w:t>https://doi.org/10.1017/S1092852920001613</w:t>
            </w:r>
          </w:p>
        </w:tc>
        <w:tc>
          <w:tcPr>
            <w:tcW w:w="690" w:type="dxa"/>
          </w:tcPr>
          <w:p w14:paraId="3D81CF29" w14:textId="77777777" w:rsidR="00FB3073" w:rsidRPr="008B6BC5" w:rsidRDefault="00B5661C" w:rsidP="00FB3073">
            <w:pPr>
              <w:pStyle w:val="NoSpacing"/>
              <w:rPr>
                <w:rFonts w:cs="Times New Roman"/>
                <w:sz w:val="20"/>
                <w:szCs w:val="20"/>
                <w:lang w:val="en-US"/>
              </w:rPr>
            </w:pPr>
            <w:r w:rsidRPr="008B6BC5">
              <w:rPr>
                <w:rFonts w:cs="Times New Roman"/>
                <w:sz w:val="20"/>
                <w:szCs w:val="20"/>
                <w:lang w:val="en-US"/>
              </w:rPr>
              <w:t>3</w:t>
            </w:r>
          </w:p>
          <w:p w14:paraId="08A8151A" w14:textId="37F535C8" w:rsidR="00B5661C" w:rsidRPr="008B6BC5" w:rsidRDefault="00B5661C" w:rsidP="00FB3073">
            <w:pPr>
              <w:pStyle w:val="NoSpacing"/>
              <w:rPr>
                <w:rFonts w:cs="Times New Roman"/>
                <w:sz w:val="20"/>
                <w:szCs w:val="20"/>
                <w:lang w:val="en-US"/>
              </w:rPr>
            </w:pPr>
            <w:r w:rsidRPr="008B6BC5">
              <w:rPr>
                <w:rFonts w:cs="Times New Roman"/>
                <w:sz w:val="20"/>
                <w:szCs w:val="20"/>
                <w:lang w:val="en-US"/>
              </w:rPr>
              <w:t>1</w:t>
            </w:r>
          </w:p>
        </w:tc>
        <w:tc>
          <w:tcPr>
            <w:tcW w:w="4066" w:type="dxa"/>
          </w:tcPr>
          <w:p w14:paraId="0351AC6B" w14:textId="77777777" w:rsidR="00FB3073" w:rsidRPr="008B6BC5" w:rsidRDefault="00B5661C" w:rsidP="00FB3073">
            <w:pPr>
              <w:pStyle w:val="NoSpacing"/>
              <w:rPr>
                <w:rFonts w:cs="Times New Roman"/>
                <w:sz w:val="20"/>
                <w:szCs w:val="20"/>
                <w:lang w:val="en-US"/>
              </w:rPr>
            </w:pPr>
            <w:r w:rsidRPr="008B6BC5">
              <w:rPr>
                <w:rFonts w:cs="Times New Roman"/>
                <w:sz w:val="20"/>
                <w:szCs w:val="20"/>
                <w:lang w:val="en-US"/>
              </w:rPr>
              <w:t xml:space="preserve">SSRIs rank along with LDX for binge eating </w:t>
            </w:r>
            <w:r w:rsidR="005562EE" w:rsidRPr="008B6BC5">
              <w:rPr>
                <w:rFonts w:cs="Times New Roman"/>
                <w:sz w:val="20"/>
                <w:szCs w:val="20"/>
                <w:lang w:val="en-US"/>
              </w:rPr>
              <w:t>and depression reduction, and topiramate has a slightly weaker evidence base than LDX and SGAs according to Brownley et al (2016).</w:t>
            </w:r>
          </w:p>
          <w:p w14:paraId="73915FE0" w14:textId="77777777" w:rsidR="005562EE" w:rsidRPr="008B6BC5" w:rsidRDefault="005562EE" w:rsidP="00FB3073">
            <w:pPr>
              <w:pStyle w:val="NoSpacing"/>
              <w:rPr>
                <w:rFonts w:cs="Times New Roman"/>
                <w:sz w:val="20"/>
                <w:szCs w:val="20"/>
                <w:lang w:val="en-US"/>
              </w:rPr>
            </w:pPr>
          </w:p>
          <w:p w14:paraId="333E4BAE" w14:textId="62D6BB3D" w:rsidR="005562EE" w:rsidRPr="008B6BC5" w:rsidRDefault="005562EE" w:rsidP="00FB3073">
            <w:pPr>
              <w:pStyle w:val="NoSpacing"/>
              <w:rPr>
                <w:rFonts w:cs="Times New Roman"/>
                <w:sz w:val="20"/>
                <w:szCs w:val="20"/>
                <w:lang w:val="en-US"/>
              </w:rPr>
            </w:pPr>
            <w:proofErr w:type="spellStart"/>
            <w:r w:rsidRPr="008B6BC5">
              <w:rPr>
                <w:rFonts w:cs="Times New Roman"/>
                <w:sz w:val="20"/>
                <w:szCs w:val="20"/>
                <w:lang w:val="en-US"/>
              </w:rPr>
              <w:t>Nourredine</w:t>
            </w:r>
            <w:proofErr w:type="spellEnd"/>
            <w:r w:rsidRPr="008B6BC5">
              <w:rPr>
                <w:rFonts w:cs="Times New Roman"/>
                <w:sz w:val="20"/>
                <w:szCs w:val="20"/>
                <w:lang w:val="en-US"/>
              </w:rPr>
              <w:t xml:space="preserve"> et al (2021) did not </w:t>
            </w:r>
            <w:r w:rsidR="0077631E" w:rsidRPr="008B6BC5">
              <w:rPr>
                <w:rFonts w:cs="Times New Roman"/>
                <w:sz w:val="20"/>
                <w:szCs w:val="20"/>
                <w:lang w:val="en-US"/>
              </w:rPr>
              <w:t xml:space="preserve">examine SSRIs in their meta-analysis. </w:t>
            </w:r>
          </w:p>
        </w:tc>
      </w:tr>
      <w:tr w:rsidR="0077631E" w:rsidRPr="008B6BC5" w14:paraId="3A5F4741" w14:textId="77777777" w:rsidTr="00202DA2">
        <w:tc>
          <w:tcPr>
            <w:tcW w:w="1616" w:type="dxa"/>
          </w:tcPr>
          <w:p w14:paraId="6A1F4AA1" w14:textId="10DC7450" w:rsidR="0077631E" w:rsidRPr="008B6BC5" w:rsidRDefault="003A4A1A" w:rsidP="0077631E">
            <w:pPr>
              <w:pStyle w:val="NoSpacing"/>
              <w:rPr>
                <w:rFonts w:cs="Times New Roman"/>
                <w:sz w:val="20"/>
                <w:szCs w:val="20"/>
                <w:lang w:val="en-US"/>
              </w:rPr>
            </w:pPr>
            <w:r w:rsidRPr="008B6BC5">
              <w:rPr>
                <w:rFonts w:cs="Times New Roman"/>
                <w:sz w:val="20"/>
                <w:szCs w:val="20"/>
                <w:lang w:val="en-US"/>
              </w:rPr>
              <w:t>20</w:t>
            </w:r>
          </w:p>
        </w:tc>
        <w:tc>
          <w:tcPr>
            <w:tcW w:w="5614" w:type="dxa"/>
          </w:tcPr>
          <w:p w14:paraId="4D7EEDC7" w14:textId="0FC2362F" w:rsidR="0077631E" w:rsidRPr="008B6BC5" w:rsidRDefault="0077631E" w:rsidP="0077631E">
            <w:pPr>
              <w:pStyle w:val="NoSpacing"/>
              <w:rPr>
                <w:rFonts w:cs="Times New Roman"/>
                <w:sz w:val="20"/>
                <w:szCs w:val="20"/>
                <w:lang w:val="en-US"/>
              </w:rPr>
            </w:pPr>
            <w:r w:rsidRPr="008B6BC5">
              <w:rPr>
                <w:rFonts w:cs="Times New Roman"/>
                <w:sz w:val="20"/>
                <w:szCs w:val="20"/>
                <w:lang w:val="en-US"/>
              </w:rPr>
              <w:t>Duan et al. (2022) found that, within SSRIs, sertraline and fluoxetine had superior efficacy for binge frequency in network rankings, but acceptability was broadly comparable across drugs and similar to placebo</w:t>
            </w:r>
          </w:p>
        </w:tc>
        <w:tc>
          <w:tcPr>
            <w:tcW w:w="4458" w:type="dxa"/>
          </w:tcPr>
          <w:p w14:paraId="6E0F9A09" w14:textId="77777777" w:rsidR="0077631E" w:rsidRPr="008B6BC5" w:rsidRDefault="0077631E" w:rsidP="0077631E">
            <w:pPr>
              <w:pStyle w:val="NoSpacing"/>
              <w:rPr>
                <w:rFonts w:cs="Times New Roman"/>
                <w:sz w:val="20"/>
                <w:szCs w:val="20"/>
                <w:lang w:val="en-US"/>
              </w:rPr>
            </w:pPr>
            <w:r w:rsidRPr="008B6BC5">
              <w:rPr>
                <w:rFonts w:cs="Times New Roman"/>
                <w:sz w:val="20"/>
                <w:szCs w:val="20"/>
                <w:lang w:val="en-US"/>
              </w:rPr>
              <w:t>DOI 10.3389/fphar.2022.949823</w:t>
            </w:r>
          </w:p>
          <w:p w14:paraId="1974BA0C" w14:textId="77777777" w:rsidR="0077631E" w:rsidRPr="008B6BC5" w:rsidRDefault="0077631E" w:rsidP="0077631E">
            <w:pPr>
              <w:pStyle w:val="NoSpacing"/>
              <w:rPr>
                <w:rFonts w:cs="Times New Roman"/>
                <w:sz w:val="20"/>
                <w:szCs w:val="20"/>
                <w:lang w:val="en-US"/>
              </w:rPr>
            </w:pPr>
          </w:p>
        </w:tc>
        <w:tc>
          <w:tcPr>
            <w:tcW w:w="690" w:type="dxa"/>
          </w:tcPr>
          <w:p w14:paraId="2E120E2A" w14:textId="1C5A4E87" w:rsidR="0077631E" w:rsidRPr="008B6BC5" w:rsidRDefault="0077631E" w:rsidP="0077631E">
            <w:pPr>
              <w:pStyle w:val="NoSpacing"/>
              <w:rPr>
                <w:rFonts w:cs="Times New Roman"/>
                <w:sz w:val="20"/>
                <w:szCs w:val="20"/>
                <w:lang w:val="en-US"/>
              </w:rPr>
            </w:pPr>
            <w:r w:rsidRPr="008B6BC5">
              <w:rPr>
                <w:rFonts w:cs="Times New Roman"/>
                <w:sz w:val="20"/>
                <w:szCs w:val="20"/>
                <w:lang w:val="en-US"/>
              </w:rPr>
              <w:t>4</w:t>
            </w:r>
          </w:p>
        </w:tc>
        <w:tc>
          <w:tcPr>
            <w:tcW w:w="4066" w:type="dxa"/>
          </w:tcPr>
          <w:p w14:paraId="05B636C1" w14:textId="4F834232" w:rsidR="0077631E" w:rsidRPr="008B6BC5" w:rsidRDefault="0077631E" w:rsidP="0077631E">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1201973A" w14:textId="77777777" w:rsidTr="00202DA2">
        <w:tc>
          <w:tcPr>
            <w:tcW w:w="1616" w:type="dxa"/>
          </w:tcPr>
          <w:p w14:paraId="6CB74B41" w14:textId="270E8E27" w:rsidR="00D65CBD" w:rsidRPr="008B6BC5" w:rsidRDefault="003A4A1A" w:rsidP="00D65CBD">
            <w:pPr>
              <w:pStyle w:val="NoSpacing"/>
              <w:rPr>
                <w:rFonts w:cs="Times New Roman"/>
                <w:sz w:val="20"/>
                <w:szCs w:val="20"/>
                <w:lang w:val="en-US"/>
              </w:rPr>
            </w:pPr>
            <w:r w:rsidRPr="008B6BC5">
              <w:rPr>
                <w:rFonts w:cs="Times New Roman"/>
                <w:sz w:val="20"/>
                <w:szCs w:val="20"/>
                <w:lang w:val="en-US"/>
              </w:rPr>
              <w:t>21</w:t>
            </w:r>
          </w:p>
        </w:tc>
        <w:tc>
          <w:tcPr>
            <w:tcW w:w="5614" w:type="dxa"/>
          </w:tcPr>
          <w:p w14:paraId="49D1BF1C"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 xml:space="preserve">In the LDX acute RCT, treatment-emergent adverse events (TEAEs) occurred in 84.7% of LDX-treated participants versus 58.7% on placebo; serious TEAEs were rare (1.5%), and discontinuation due </w:t>
            </w:r>
            <w:r w:rsidRPr="008B6BC5">
              <w:rPr>
                <w:rFonts w:cs="Times New Roman"/>
                <w:sz w:val="20"/>
                <w:szCs w:val="20"/>
                <w:lang w:val="en-US"/>
              </w:rPr>
              <w:lastRenderedPageBreak/>
              <w:t>to TEAEs was low but higher than placebo (McElroy et al., 2015). The most common TEAEs were decreased appetite, dry mouth, insomnia, and increased heart rate, consistent with stimulant pharmacology; mean weight loss of around 4 kg suggests clinically relevant metabolic impact (McElroy et al., 2015)</w:t>
            </w:r>
          </w:p>
          <w:p w14:paraId="4ECEFD6A" w14:textId="5E53DE84" w:rsidR="00D65CBD" w:rsidRPr="008B6BC5" w:rsidRDefault="00D65CBD" w:rsidP="00D65CBD">
            <w:pPr>
              <w:pStyle w:val="NoSpacing"/>
              <w:rPr>
                <w:rFonts w:cs="Times New Roman"/>
                <w:sz w:val="20"/>
                <w:szCs w:val="20"/>
                <w:lang w:val="en-US"/>
              </w:rPr>
            </w:pPr>
          </w:p>
        </w:tc>
        <w:tc>
          <w:tcPr>
            <w:tcW w:w="4458" w:type="dxa"/>
          </w:tcPr>
          <w:p w14:paraId="75DCAEA3" w14:textId="65DE100D" w:rsidR="00D65CBD" w:rsidRPr="008B6BC5" w:rsidRDefault="00D65CBD" w:rsidP="00D65CBD">
            <w:pPr>
              <w:pStyle w:val="NoSpacing"/>
              <w:rPr>
                <w:rFonts w:cs="Times New Roman"/>
                <w:sz w:val="20"/>
                <w:szCs w:val="20"/>
                <w:lang w:val="en-US"/>
              </w:rPr>
            </w:pPr>
            <w:r w:rsidRPr="008B6BC5">
              <w:rPr>
                <w:rFonts w:cs="Times New Roman"/>
                <w:sz w:val="20"/>
                <w:szCs w:val="20"/>
                <w:lang w:val="en-US"/>
              </w:rPr>
              <w:lastRenderedPageBreak/>
              <w:t>doi:l0.1001/jamapsychiatry.2014.2162</w:t>
            </w:r>
          </w:p>
        </w:tc>
        <w:tc>
          <w:tcPr>
            <w:tcW w:w="690" w:type="dxa"/>
          </w:tcPr>
          <w:p w14:paraId="2E2488F8" w14:textId="741ADE05" w:rsidR="00D65CBD" w:rsidRPr="008B6BC5" w:rsidRDefault="00D65CB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4AA75F58" w14:textId="45C46D83" w:rsidR="00D65CBD" w:rsidRPr="008B6BC5" w:rsidRDefault="00D65CB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20370DC0" w14:textId="77777777" w:rsidTr="00202DA2">
        <w:tc>
          <w:tcPr>
            <w:tcW w:w="1616" w:type="dxa"/>
          </w:tcPr>
          <w:p w14:paraId="621340E5" w14:textId="0B198866" w:rsidR="00D65CBD" w:rsidRPr="008B6BC5" w:rsidRDefault="003A4A1A" w:rsidP="00D65CBD">
            <w:pPr>
              <w:pStyle w:val="NoSpacing"/>
              <w:rPr>
                <w:rFonts w:cs="Times New Roman"/>
                <w:sz w:val="20"/>
                <w:szCs w:val="20"/>
                <w:lang w:val="en-US"/>
              </w:rPr>
            </w:pPr>
            <w:r w:rsidRPr="008B6BC5">
              <w:rPr>
                <w:rFonts w:cs="Times New Roman"/>
                <w:sz w:val="20"/>
                <w:szCs w:val="20"/>
                <w:lang w:val="en-US"/>
              </w:rPr>
              <w:t>22</w:t>
            </w:r>
          </w:p>
        </w:tc>
        <w:tc>
          <w:tcPr>
            <w:tcW w:w="5614" w:type="dxa"/>
          </w:tcPr>
          <w:p w14:paraId="2A838C15"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In the 26-week maintenance trial, TEAEs were reported in 60.3% on LDX vs. 46.3% on placebo during the randomized phase, with discontinuation due to TEAEs in 4.4% vs. 0%, respectively (Hudson et al., 2017). Cardiovascular parameters (e.g., pulse) increased modestly, reinforcing the need for cardiovascular screening and monitoring.</w:t>
            </w:r>
          </w:p>
          <w:p w14:paraId="17AD6D35" w14:textId="6B1E033E" w:rsidR="00D65CBD" w:rsidRPr="008B6BC5" w:rsidRDefault="00D65CBD" w:rsidP="00D65CBD">
            <w:pPr>
              <w:pStyle w:val="NoSpacing"/>
              <w:rPr>
                <w:rFonts w:cs="Times New Roman"/>
                <w:sz w:val="20"/>
                <w:szCs w:val="20"/>
                <w:lang w:val="en-US"/>
              </w:rPr>
            </w:pPr>
          </w:p>
        </w:tc>
        <w:tc>
          <w:tcPr>
            <w:tcW w:w="4458" w:type="dxa"/>
          </w:tcPr>
          <w:p w14:paraId="73433FD3" w14:textId="092415EB" w:rsidR="00D65CBD" w:rsidRPr="008B6BC5" w:rsidRDefault="00D65CBD" w:rsidP="00D65CBD">
            <w:pPr>
              <w:pStyle w:val="NoSpacing"/>
              <w:rPr>
                <w:rFonts w:cs="Times New Roman"/>
                <w:sz w:val="20"/>
                <w:szCs w:val="20"/>
                <w:lang w:val="en-US"/>
              </w:rPr>
            </w:pPr>
            <w:r w:rsidRPr="008B6BC5">
              <w:rPr>
                <w:rFonts w:cs="Times New Roman"/>
                <w:sz w:val="20"/>
                <w:szCs w:val="20"/>
                <w:lang w:val="en-US"/>
              </w:rPr>
              <w:t>doi:10.1001/jamapsychiatry.2017.1889</w:t>
            </w:r>
          </w:p>
        </w:tc>
        <w:tc>
          <w:tcPr>
            <w:tcW w:w="690" w:type="dxa"/>
          </w:tcPr>
          <w:p w14:paraId="75F47CFB" w14:textId="065066B4" w:rsidR="00D65CBD" w:rsidRPr="008B6BC5" w:rsidRDefault="00D65CB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3F6BA8C9" w14:textId="5580C98D" w:rsidR="00D65CBD" w:rsidRPr="008B6BC5" w:rsidRDefault="00D65CB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796E487F" w14:textId="77777777" w:rsidTr="00202DA2">
        <w:tc>
          <w:tcPr>
            <w:tcW w:w="1616" w:type="dxa"/>
          </w:tcPr>
          <w:p w14:paraId="7B173359" w14:textId="23754F19" w:rsidR="00D65CBD" w:rsidRPr="008B6BC5" w:rsidRDefault="003A4A1A" w:rsidP="00D65CBD">
            <w:pPr>
              <w:pStyle w:val="NoSpacing"/>
              <w:rPr>
                <w:rFonts w:cs="Times New Roman"/>
                <w:sz w:val="20"/>
                <w:szCs w:val="20"/>
                <w:lang w:val="en-US"/>
              </w:rPr>
            </w:pPr>
            <w:r w:rsidRPr="008B6BC5">
              <w:rPr>
                <w:rFonts w:cs="Times New Roman"/>
                <w:sz w:val="20"/>
                <w:szCs w:val="20"/>
                <w:lang w:val="en-US"/>
              </w:rPr>
              <w:t>23</w:t>
            </w:r>
          </w:p>
        </w:tc>
        <w:tc>
          <w:tcPr>
            <w:tcW w:w="5614" w:type="dxa"/>
          </w:tcPr>
          <w:p w14:paraId="389BCB97"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 xml:space="preserve">In the 2003 trial, 6 of 30 topiramate-treated participants and 3 of 31 placebo participants discontinued due to adverse events, with </w:t>
            </w:r>
            <w:proofErr w:type="spellStart"/>
            <w:r w:rsidRPr="008B6BC5">
              <w:rPr>
                <w:rFonts w:cs="Times New Roman"/>
                <w:sz w:val="20"/>
                <w:szCs w:val="20"/>
                <w:lang w:val="en-US"/>
              </w:rPr>
              <w:t>paresthesias</w:t>
            </w:r>
            <w:proofErr w:type="spellEnd"/>
            <w:r w:rsidRPr="008B6BC5">
              <w:rPr>
                <w:rFonts w:cs="Times New Roman"/>
                <w:sz w:val="20"/>
                <w:szCs w:val="20"/>
                <w:lang w:val="en-US"/>
              </w:rPr>
              <w:t xml:space="preserve">, cognitive slowing, and fatigue commonly reported (McElroy et al., 2003). </w:t>
            </w:r>
          </w:p>
          <w:p w14:paraId="4419CACD" w14:textId="78BF2221" w:rsidR="00D65CBD" w:rsidRPr="008B6BC5" w:rsidRDefault="00D65CBD" w:rsidP="00D65CBD">
            <w:pPr>
              <w:pStyle w:val="NoSpacing"/>
              <w:rPr>
                <w:rFonts w:cs="Times New Roman"/>
                <w:sz w:val="20"/>
                <w:szCs w:val="20"/>
                <w:lang w:val="en-US"/>
              </w:rPr>
            </w:pPr>
            <w:r w:rsidRPr="008B6BC5">
              <w:rPr>
                <w:rFonts w:cs="Times New Roman"/>
                <w:sz w:val="20"/>
                <w:szCs w:val="20"/>
                <w:lang w:val="en-US"/>
              </w:rPr>
              <w:t xml:space="preserve">Similar patterns, including higher AE-related discontinuation, emerged in the larger 2007 trial (McElroy et al., 2007). </w:t>
            </w:r>
          </w:p>
        </w:tc>
        <w:tc>
          <w:tcPr>
            <w:tcW w:w="4458" w:type="dxa"/>
          </w:tcPr>
          <w:p w14:paraId="68F8A4D7" w14:textId="77777777" w:rsidR="00D65CBD" w:rsidRPr="008B6BC5" w:rsidRDefault="00D65CBD" w:rsidP="00D65CBD">
            <w:pPr>
              <w:pStyle w:val="NoSpacing"/>
              <w:rPr>
                <w:rFonts w:cs="Times New Roman"/>
                <w:sz w:val="20"/>
                <w:szCs w:val="20"/>
              </w:rPr>
            </w:pPr>
            <w:r w:rsidRPr="008B6BC5">
              <w:rPr>
                <w:rFonts w:cs="Times New Roman"/>
                <w:sz w:val="20"/>
                <w:szCs w:val="20"/>
              </w:rPr>
              <w:t>DOI: </w:t>
            </w:r>
            <w:hyperlink r:id="rId30" w:tgtFrame="_blank" w:history="1">
              <w:r w:rsidRPr="008B6BC5">
                <w:rPr>
                  <w:rStyle w:val="Hyperlink"/>
                  <w:rFonts w:cs="Times New Roman"/>
                  <w:sz w:val="20"/>
                  <w:szCs w:val="20"/>
                </w:rPr>
                <w:t>10.1176/appi.ajp.160.2.255</w:t>
              </w:r>
            </w:hyperlink>
          </w:p>
          <w:p w14:paraId="2C8602D9" w14:textId="796F55E2" w:rsidR="00D65CBD" w:rsidRPr="008B6BC5" w:rsidRDefault="00D65CBD" w:rsidP="00D65CBD">
            <w:pPr>
              <w:pStyle w:val="NoSpacing"/>
              <w:rPr>
                <w:rFonts w:cs="Times New Roman"/>
                <w:sz w:val="20"/>
                <w:szCs w:val="20"/>
                <w:lang w:val="en-US"/>
              </w:rPr>
            </w:pPr>
          </w:p>
        </w:tc>
        <w:tc>
          <w:tcPr>
            <w:tcW w:w="690" w:type="dxa"/>
          </w:tcPr>
          <w:p w14:paraId="2C2819A6" w14:textId="1283091D" w:rsidR="00D65CBD" w:rsidRPr="008B6BC5" w:rsidRDefault="00D65CB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196CAE7A" w14:textId="48016B3C" w:rsidR="00D65CBD" w:rsidRPr="008B6BC5" w:rsidRDefault="00D65CB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3337EB57" w14:textId="77777777" w:rsidTr="00202DA2">
        <w:tc>
          <w:tcPr>
            <w:tcW w:w="1616" w:type="dxa"/>
          </w:tcPr>
          <w:p w14:paraId="16E02999" w14:textId="483005AF" w:rsidR="00D65CBD" w:rsidRPr="008B6BC5" w:rsidRDefault="003A4A1A" w:rsidP="00D65CBD">
            <w:pPr>
              <w:pStyle w:val="NoSpacing"/>
              <w:rPr>
                <w:rFonts w:cs="Times New Roman"/>
                <w:sz w:val="20"/>
                <w:szCs w:val="20"/>
                <w:lang w:val="en-US"/>
              </w:rPr>
            </w:pPr>
            <w:r w:rsidRPr="008B6BC5">
              <w:rPr>
                <w:rFonts w:cs="Times New Roman"/>
                <w:sz w:val="20"/>
                <w:szCs w:val="20"/>
                <w:lang w:val="en-US"/>
              </w:rPr>
              <w:t>24</w:t>
            </w:r>
          </w:p>
        </w:tc>
        <w:tc>
          <w:tcPr>
            <w:tcW w:w="5614" w:type="dxa"/>
          </w:tcPr>
          <w:p w14:paraId="30A896FE" w14:textId="73E2AE93" w:rsidR="00D65CBD" w:rsidRPr="008B6BC5" w:rsidRDefault="00D65CBD" w:rsidP="00D65CBD">
            <w:pPr>
              <w:pStyle w:val="NoSpacing"/>
              <w:rPr>
                <w:rFonts w:cs="Times New Roman"/>
                <w:sz w:val="20"/>
                <w:szCs w:val="20"/>
                <w:lang w:val="en-US"/>
              </w:rPr>
            </w:pPr>
            <w:proofErr w:type="spellStart"/>
            <w:r w:rsidRPr="008B6BC5">
              <w:rPr>
                <w:rFonts w:cs="Times New Roman"/>
                <w:sz w:val="20"/>
                <w:szCs w:val="20"/>
                <w:lang w:val="en-US"/>
              </w:rPr>
              <w:t>Nourredine</w:t>
            </w:r>
            <w:proofErr w:type="spellEnd"/>
            <w:r w:rsidRPr="008B6BC5">
              <w:rPr>
                <w:rFonts w:cs="Times New Roman"/>
                <w:sz w:val="20"/>
                <w:szCs w:val="20"/>
                <w:lang w:val="en-US"/>
              </w:rPr>
              <w:t xml:space="preserve"> et al. (2021) concluded that while topiramate significantly improves binge and weight outcomes, it increases risk of AE-related withdrawal relative to placebo, although overall dropout (all causes) is not consistently elevated.</w:t>
            </w:r>
          </w:p>
        </w:tc>
        <w:tc>
          <w:tcPr>
            <w:tcW w:w="4458" w:type="dxa"/>
          </w:tcPr>
          <w:p w14:paraId="4EB561E5" w14:textId="0CFA18C8" w:rsidR="00D65CBD" w:rsidRPr="008B6BC5" w:rsidRDefault="00D65CBD" w:rsidP="00D65CBD">
            <w:pPr>
              <w:pStyle w:val="NoSpacing"/>
              <w:rPr>
                <w:rFonts w:cs="Times New Roman"/>
                <w:sz w:val="20"/>
                <w:szCs w:val="20"/>
                <w:lang w:val="en-US"/>
              </w:rPr>
            </w:pPr>
            <w:r w:rsidRPr="008B6BC5">
              <w:rPr>
                <w:rFonts w:cs="Times New Roman"/>
                <w:sz w:val="20"/>
                <w:szCs w:val="20"/>
                <w:lang w:val="en-US"/>
              </w:rPr>
              <w:t>https://doi.org/10.1017/S1092852920001613</w:t>
            </w:r>
          </w:p>
        </w:tc>
        <w:tc>
          <w:tcPr>
            <w:tcW w:w="690" w:type="dxa"/>
          </w:tcPr>
          <w:p w14:paraId="1F795CF1" w14:textId="2A29FDBE" w:rsidR="00D65CBD" w:rsidRPr="008B6BC5" w:rsidRDefault="00D65CB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0DEF5FB9" w14:textId="27F83B44" w:rsidR="00D65CBD" w:rsidRPr="008B6BC5" w:rsidRDefault="00D65CB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74B013CF" w14:textId="77777777" w:rsidTr="00202DA2">
        <w:tc>
          <w:tcPr>
            <w:tcW w:w="1616" w:type="dxa"/>
          </w:tcPr>
          <w:p w14:paraId="034C25C0" w14:textId="2362B2B7" w:rsidR="00D65CBD" w:rsidRPr="008B6BC5" w:rsidRDefault="003A4A1A" w:rsidP="00D65CBD">
            <w:pPr>
              <w:pStyle w:val="NoSpacing"/>
              <w:rPr>
                <w:rFonts w:cs="Times New Roman"/>
                <w:sz w:val="20"/>
                <w:szCs w:val="20"/>
                <w:lang w:val="en-US"/>
              </w:rPr>
            </w:pPr>
            <w:r w:rsidRPr="008B6BC5">
              <w:rPr>
                <w:rFonts w:cs="Times New Roman"/>
                <w:sz w:val="20"/>
                <w:szCs w:val="20"/>
                <w:lang w:val="en-US"/>
              </w:rPr>
              <w:t>25</w:t>
            </w:r>
          </w:p>
        </w:tc>
        <w:tc>
          <w:tcPr>
            <w:tcW w:w="5614" w:type="dxa"/>
          </w:tcPr>
          <w:p w14:paraId="1B50F29F" w14:textId="514CD676" w:rsidR="00D65CBD" w:rsidRPr="008B6BC5" w:rsidRDefault="00D65CBD" w:rsidP="00D65CBD">
            <w:pPr>
              <w:pStyle w:val="NoSpacing"/>
              <w:rPr>
                <w:rFonts w:cs="Times New Roman"/>
                <w:sz w:val="20"/>
                <w:szCs w:val="20"/>
                <w:lang w:val="en-US"/>
              </w:rPr>
            </w:pPr>
            <w:r w:rsidRPr="008B6BC5">
              <w:rPr>
                <w:rFonts w:cs="Times New Roman"/>
                <w:sz w:val="20"/>
                <w:szCs w:val="20"/>
                <w:lang w:val="en-US"/>
              </w:rPr>
              <w:t>Across nine RCTs in the Duan et al. (2022) network meta-analysis, dropout rates did not differ significantly between SSRI and placebo arms (odds ratios for acceptability close to 1.0), and side-effect profiles were typical for antidepressants (e.g., gastrointestinal symptoms, insomnia, sexual dysfunction)</w:t>
            </w:r>
          </w:p>
        </w:tc>
        <w:tc>
          <w:tcPr>
            <w:tcW w:w="4458" w:type="dxa"/>
          </w:tcPr>
          <w:p w14:paraId="0B787643" w14:textId="63D98A92" w:rsidR="00D65CBD" w:rsidRPr="008B6BC5" w:rsidRDefault="00D65CBD" w:rsidP="00D65CBD">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10.3389/fphar.2022.949823</w:t>
            </w:r>
          </w:p>
        </w:tc>
        <w:tc>
          <w:tcPr>
            <w:tcW w:w="690" w:type="dxa"/>
          </w:tcPr>
          <w:p w14:paraId="275DB12C" w14:textId="5805FF74" w:rsidR="00D65CBD" w:rsidRPr="008B6BC5" w:rsidRDefault="00D65CB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5062ADBD" w14:textId="7925E0B3" w:rsidR="00D65CBD" w:rsidRPr="008B6BC5" w:rsidRDefault="00D65CB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4C17C69E" w14:textId="77777777" w:rsidTr="00202DA2">
        <w:tc>
          <w:tcPr>
            <w:tcW w:w="1616" w:type="dxa"/>
          </w:tcPr>
          <w:p w14:paraId="25B7C16A" w14:textId="77777777" w:rsidR="00D65CBD" w:rsidRPr="008B6BC5" w:rsidRDefault="003A4A1A" w:rsidP="00D65CBD">
            <w:pPr>
              <w:pStyle w:val="NoSpacing"/>
              <w:rPr>
                <w:rFonts w:cs="Times New Roman"/>
                <w:sz w:val="20"/>
                <w:szCs w:val="20"/>
                <w:lang w:val="en-US"/>
              </w:rPr>
            </w:pPr>
            <w:r w:rsidRPr="008B6BC5">
              <w:rPr>
                <w:rFonts w:cs="Times New Roman"/>
                <w:sz w:val="20"/>
                <w:szCs w:val="20"/>
                <w:lang w:val="en-US"/>
              </w:rPr>
              <w:t>26.1</w:t>
            </w:r>
          </w:p>
          <w:p w14:paraId="72880C4B" w14:textId="77777777" w:rsidR="003A4A1A" w:rsidRPr="008B6BC5" w:rsidRDefault="003A4A1A" w:rsidP="00D65CBD">
            <w:pPr>
              <w:pStyle w:val="NoSpacing"/>
              <w:rPr>
                <w:rFonts w:cs="Times New Roman"/>
                <w:sz w:val="20"/>
                <w:szCs w:val="20"/>
                <w:lang w:val="en-US"/>
              </w:rPr>
            </w:pPr>
            <w:r w:rsidRPr="008B6BC5">
              <w:rPr>
                <w:rFonts w:cs="Times New Roman"/>
                <w:sz w:val="20"/>
                <w:szCs w:val="20"/>
                <w:lang w:val="en-US"/>
              </w:rPr>
              <w:t>26.2</w:t>
            </w:r>
          </w:p>
          <w:p w14:paraId="6E228CDF" w14:textId="77777777" w:rsidR="003A4A1A" w:rsidRPr="008B6BC5" w:rsidRDefault="003A4A1A" w:rsidP="00D65CBD">
            <w:pPr>
              <w:pStyle w:val="NoSpacing"/>
              <w:rPr>
                <w:rFonts w:cs="Times New Roman"/>
                <w:sz w:val="20"/>
                <w:szCs w:val="20"/>
                <w:lang w:val="en-US"/>
              </w:rPr>
            </w:pPr>
            <w:r w:rsidRPr="008B6BC5">
              <w:rPr>
                <w:rFonts w:cs="Times New Roman"/>
                <w:sz w:val="20"/>
                <w:szCs w:val="20"/>
                <w:lang w:val="en-US"/>
              </w:rPr>
              <w:t>26.3</w:t>
            </w:r>
          </w:p>
          <w:p w14:paraId="21F4D879" w14:textId="227E627B" w:rsidR="003A4A1A" w:rsidRPr="008B6BC5" w:rsidRDefault="003A4A1A" w:rsidP="00D65CBD">
            <w:pPr>
              <w:pStyle w:val="NoSpacing"/>
              <w:rPr>
                <w:rFonts w:cs="Times New Roman"/>
                <w:sz w:val="20"/>
                <w:szCs w:val="20"/>
                <w:lang w:val="en-US"/>
              </w:rPr>
            </w:pPr>
            <w:r w:rsidRPr="008B6BC5">
              <w:rPr>
                <w:rFonts w:cs="Times New Roman"/>
                <w:sz w:val="20"/>
                <w:szCs w:val="20"/>
                <w:lang w:val="en-US"/>
              </w:rPr>
              <w:t>26.4</w:t>
            </w:r>
          </w:p>
        </w:tc>
        <w:tc>
          <w:tcPr>
            <w:tcW w:w="5614" w:type="dxa"/>
          </w:tcPr>
          <w:p w14:paraId="0B000B73"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Individual trials of fluoxetine (Arnold et al., 2002), fluvoxamine (Hudson et al., 1998), high-dose escitalopram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2008), and duloxetine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2012) reported AE-related discontinuation rates mostly in the single-digit percentages and comparable to placebo.</w:t>
            </w:r>
          </w:p>
          <w:p w14:paraId="49215F91" w14:textId="27D4E088" w:rsidR="00D65CBD" w:rsidRPr="008B6BC5" w:rsidRDefault="00D65CBD" w:rsidP="00D65CBD">
            <w:pPr>
              <w:pStyle w:val="NoSpacing"/>
              <w:rPr>
                <w:rFonts w:cs="Times New Roman"/>
                <w:sz w:val="20"/>
                <w:szCs w:val="20"/>
                <w:lang w:val="en-US"/>
              </w:rPr>
            </w:pPr>
          </w:p>
        </w:tc>
        <w:tc>
          <w:tcPr>
            <w:tcW w:w="4458" w:type="dxa"/>
          </w:tcPr>
          <w:p w14:paraId="2D0B81D4" w14:textId="7B2867D6" w:rsidR="00C654DA" w:rsidRPr="008B6BC5" w:rsidRDefault="00C654DA" w:rsidP="00D65CBD">
            <w:pPr>
              <w:pStyle w:val="NoSpacing"/>
              <w:rPr>
                <w:rFonts w:cs="Times New Roman"/>
                <w:sz w:val="20"/>
                <w:szCs w:val="20"/>
                <w:lang w:val="en-US"/>
              </w:rPr>
            </w:pPr>
            <w:r w:rsidRPr="008B6BC5">
              <w:rPr>
                <w:rFonts w:cs="Times New Roman"/>
                <w:sz w:val="20"/>
                <w:szCs w:val="20"/>
                <w:lang w:val="en-US"/>
              </w:rPr>
              <w:t>DOI: 10.4088/jcp.v63n1113</w:t>
            </w:r>
          </w:p>
          <w:p w14:paraId="4014EAA3" w14:textId="653B3FCD"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10.1176/ajp.155.12.1756</w:t>
            </w:r>
          </w:p>
          <w:p w14:paraId="7F5F8832"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10.1002/hup.899</w:t>
            </w:r>
          </w:p>
          <w:p w14:paraId="205C0DB4" w14:textId="0EF8D6A2"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10.1002/eat.20946</w:t>
            </w:r>
          </w:p>
        </w:tc>
        <w:tc>
          <w:tcPr>
            <w:tcW w:w="690" w:type="dxa"/>
          </w:tcPr>
          <w:p w14:paraId="463E646E" w14:textId="77777777" w:rsidR="00D65CBD" w:rsidRPr="008B6BC5" w:rsidRDefault="007F3686" w:rsidP="00D65CBD">
            <w:pPr>
              <w:pStyle w:val="NoSpacing"/>
              <w:rPr>
                <w:rFonts w:cs="Times New Roman"/>
                <w:sz w:val="20"/>
                <w:szCs w:val="20"/>
                <w:lang w:val="en-US"/>
              </w:rPr>
            </w:pPr>
            <w:r w:rsidRPr="008B6BC5">
              <w:rPr>
                <w:rFonts w:cs="Times New Roman"/>
                <w:sz w:val="20"/>
                <w:szCs w:val="20"/>
                <w:lang w:val="en-US"/>
              </w:rPr>
              <w:t>4</w:t>
            </w:r>
          </w:p>
          <w:p w14:paraId="681AB0D5" w14:textId="77777777" w:rsidR="007F3686" w:rsidRPr="008B6BC5" w:rsidRDefault="007F3686" w:rsidP="00D65CBD">
            <w:pPr>
              <w:pStyle w:val="NoSpacing"/>
              <w:rPr>
                <w:rFonts w:cs="Times New Roman"/>
                <w:sz w:val="20"/>
                <w:szCs w:val="20"/>
                <w:lang w:val="en-US"/>
              </w:rPr>
            </w:pPr>
            <w:r w:rsidRPr="008B6BC5">
              <w:rPr>
                <w:rFonts w:cs="Times New Roman"/>
                <w:sz w:val="20"/>
                <w:szCs w:val="20"/>
                <w:lang w:val="en-US"/>
              </w:rPr>
              <w:t>2</w:t>
            </w:r>
          </w:p>
          <w:p w14:paraId="7BC56DCC" w14:textId="77777777" w:rsidR="007F3686" w:rsidRPr="008B6BC5" w:rsidRDefault="007F3686" w:rsidP="00D65CBD">
            <w:pPr>
              <w:pStyle w:val="NoSpacing"/>
              <w:rPr>
                <w:rFonts w:cs="Times New Roman"/>
                <w:sz w:val="20"/>
                <w:szCs w:val="20"/>
                <w:lang w:val="en-US"/>
              </w:rPr>
            </w:pPr>
            <w:r w:rsidRPr="008B6BC5">
              <w:rPr>
                <w:rFonts w:cs="Times New Roman"/>
                <w:sz w:val="20"/>
                <w:szCs w:val="20"/>
                <w:lang w:val="en-US"/>
              </w:rPr>
              <w:t>4</w:t>
            </w:r>
          </w:p>
          <w:p w14:paraId="06866592" w14:textId="60123726" w:rsidR="007F3686" w:rsidRPr="008B6BC5" w:rsidRDefault="007F3686" w:rsidP="00D65CBD">
            <w:pPr>
              <w:pStyle w:val="NoSpacing"/>
              <w:rPr>
                <w:rFonts w:cs="Times New Roman"/>
                <w:sz w:val="20"/>
                <w:szCs w:val="20"/>
                <w:lang w:val="en-US"/>
              </w:rPr>
            </w:pPr>
            <w:r w:rsidRPr="008B6BC5">
              <w:rPr>
                <w:rFonts w:cs="Times New Roman"/>
                <w:sz w:val="20"/>
                <w:szCs w:val="20"/>
                <w:lang w:val="en-US"/>
              </w:rPr>
              <w:t>3</w:t>
            </w:r>
          </w:p>
        </w:tc>
        <w:tc>
          <w:tcPr>
            <w:tcW w:w="4066" w:type="dxa"/>
          </w:tcPr>
          <w:p w14:paraId="4E387EC5" w14:textId="77777777" w:rsidR="00D65CBD" w:rsidRPr="008B6BC5" w:rsidRDefault="007F3686" w:rsidP="00D65CBD">
            <w:pPr>
              <w:pStyle w:val="NoSpacing"/>
              <w:rPr>
                <w:rFonts w:cs="Times New Roman"/>
                <w:sz w:val="20"/>
                <w:szCs w:val="20"/>
                <w:lang w:val="en-US"/>
              </w:rPr>
            </w:pPr>
            <w:r w:rsidRPr="008B6BC5">
              <w:rPr>
                <w:rFonts w:cs="Times New Roman"/>
                <w:sz w:val="20"/>
                <w:szCs w:val="20"/>
                <w:lang w:val="en-US"/>
              </w:rPr>
              <w:t>No inaccuracies identified for Arnold et al (2022)</w:t>
            </w:r>
          </w:p>
          <w:p w14:paraId="635B0B34" w14:textId="77777777" w:rsidR="007F3686" w:rsidRPr="008B6BC5" w:rsidRDefault="007F3686" w:rsidP="00D65CBD">
            <w:pPr>
              <w:pStyle w:val="NoSpacing"/>
              <w:rPr>
                <w:rFonts w:cs="Times New Roman"/>
                <w:sz w:val="20"/>
                <w:szCs w:val="20"/>
                <w:lang w:val="en-US"/>
              </w:rPr>
            </w:pPr>
          </w:p>
          <w:p w14:paraId="44F67AE5" w14:textId="77777777" w:rsidR="007F3686" w:rsidRPr="008B6BC5" w:rsidRDefault="007F3686" w:rsidP="00D65CBD">
            <w:pPr>
              <w:pStyle w:val="NoSpacing"/>
              <w:rPr>
                <w:rFonts w:cs="Times New Roman"/>
                <w:sz w:val="20"/>
                <w:szCs w:val="20"/>
                <w:lang w:val="en-US"/>
              </w:rPr>
            </w:pPr>
            <w:r w:rsidRPr="008B6BC5">
              <w:rPr>
                <w:rFonts w:cs="Times New Roman"/>
                <w:sz w:val="20"/>
                <w:szCs w:val="20"/>
                <w:lang w:val="en-US"/>
              </w:rPr>
              <w:t xml:space="preserve">Hudson et al (1998) found that discontinuation rates due to AEs were not comparable to placebo, instead being significantly higher for escitalopram. </w:t>
            </w:r>
          </w:p>
          <w:p w14:paraId="20C5868D" w14:textId="77777777" w:rsidR="007F3686" w:rsidRPr="008B6BC5" w:rsidRDefault="007F3686" w:rsidP="00D65CBD">
            <w:pPr>
              <w:pStyle w:val="NoSpacing"/>
              <w:rPr>
                <w:rFonts w:cs="Times New Roman"/>
                <w:sz w:val="20"/>
                <w:szCs w:val="20"/>
                <w:lang w:val="en-US"/>
              </w:rPr>
            </w:pPr>
          </w:p>
          <w:p w14:paraId="74B0245E" w14:textId="77777777" w:rsidR="007F3686" w:rsidRPr="008B6BC5" w:rsidRDefault="007F3686" w:rsidP="00D65CBD">
            <w:pPr>
              <w:pStyle w:val="NoSpacing"/>
              <w:rPr>
                <w:rFonts w:cs="Times New Roman"/>
                <w:sz w:val="20"/>
                <w:szCs w:val="20"/>
                <w:lang w:val="en-US"/>
              </w:rPr>
            </w:pPr>
            <w:r w:rsidRPr="008B6BC5">
              <w:rPr>
                <w:rFonts w:cs="Times New Roman"/>
                <w:sz w:val="20"/>
                <w:szCs w:val="20"/>
                <w:lang w:val="en-US"/>
              </w:rPr>
              <w:t xml:space="preserve">No inaccuracies identified for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(2008)</w:t>
            </w:r>
          </w:p>
          <w:p w14:paraId="7E1E3020" w14:textId="77777777" w:rsidR="007F3686" w:rsidRPr="008B6BC5" w:rsidRDefault="007F3686" w:rsidP="00D65CBD">
            <w:pPr>
              <w:pStyle w:val="NoSpacing"/>
              <w:rPr>
                <w:rFonts w:cs="Times New Roman"/>
                <w:sz w:val="20"/>
                <w:szCs w:val="20"/>
                <w:lang w:val="en-US"/>
              </w:rPr>
            </w:pPr>
          </w:p>
          <w:p w14:paraId="6CF347D6" w14:textId="1BAF664C" w:rsidR="007F3686" w:rsidRPr="008B6BC5" w:rsidRDefault="000370B0" w:rsidP="00D65CBD">
            <w:pPr>
              <w:pStyle w:val="NoSpacing"/>
              <w:rPr>
                <w:rFonts w:cs="Times New Roman"/>
                <w:sz w:val="20"/>
                <w:szCs w:val="20"/>
                <w:lang w:val="en-US"/>
              </w:rPr>
            </w:pPr>
            <w:r w:rsidRPr="008B6BC5">
              <w:rPr>
                <w:rFonts w:cs="Times New Roman"/>
                <w:sz w:val="20"/>
                <w:szCs w:val="20"/>
                <w:lang w:val="en-US"/>
              </w:rPr>
              <w:t xml:space="preserve">15% dropped out due to AE in </w:t>
            </w:r>
            <w:proofErr w:type="spellStart"/>
            <w:r w:rsidRPr="008B6BC5">
              <w:rPr>
                <w:rFonts w:cs="Times New Roman"/>
                <w:sz w:val="20"/>
                <w:szCs w:val="20"/>
                <w:lang w:val="en-US"/>
              </w:rPr>
              <w:t>Guerdjikova</w:t>
            </w:r>
            <w:proofErr w:type="spellEnd"/>
            <w:r w:rsidRPr="008B6BC5">
              <w:rPr>
                <w:rFonts w:cs="Times New Roman"/>
                <w:sz w:val="20"/>
                <w:szCs w:val="20"/>
                <w:lang w:val="en-US"/>
              </w:rPr>
              <w:t xml:space="preserve"> et al (2012), which exceeds the single-digital claim. </w:t>
            </w:r>
          </w:p>
        </w:tc>
      </w:tr>
      <w:tr w:rsidR="00D65CBD" w:rsidRPr="008B6BC5" w14:paraId="323D1E3A" w14:textId="77777777" w:rsidTr="00202DA2">
        <w:tc>
          <w:tcPr>
            <w:tcW w:w="1616" w:type="dxa"/>
          </w:tcPr>
          <w:p w14:paraId="5D6EE4EC" w14:textId="18959357" w:rsidR="00D65CBD" w:rsidRPr="008B6BC5" w:rsidRDefault="003A4A1A" w:rsidP="00D65CBD">
            <w:pPr>
              <w:pStyle w:val="NoSpacing"/>
              <w:rPr>
                <w:rFonts w:cs="Times New Roman"/>
                <w:sz w:val="20"/>
                <w:szCs w:val="20"/>
                <w:lang w:val="en-US"/>
              </w:rPr>
            </w:pPr>
            <w:r w:rsidRPr="008B6BC5">
              <w:rPr>
                <w:rFonts w:cs="Times New Roman"/>
                <w:sz w:val="20"/>
                <w:szCs w:val="20"/>
                <w:lang w:val="en-US"/>
              </w:rPr>
              <w:lastRenderedPageBreak/>
              <w:t>27</w:t>
            </w:r>
          </w:p>
        </w:tc>
        <w:tc>
          <w:tcPr>
            <w:tcW w:w="5614" w:type="dxa"/>
          </w:tcPr>
          <w:p w14:paraId="025108CE" w14:textId="7C447FD4" w:rsidR="00D65CBD" w:rsidRPr="008B6BC5" w:rsidRDefault="00D65CBD" w:rsidP="00D65CBD">
            <w:pPr>
              <w:pStyle w:val="NoSpacing"/>
              <w:rPr>
                <w:rFonts w:cs="Times New Roman"/>
                <w:sz w:val="20"/>
                <w:szCs w:val="20"/>
                <w:lang w:val="en-US"/>
              </w:rPr>
            </w:pPr>
            <w:r w:rsidRPr="008B6BC5">
              <w:rPr>
                <w:rFonts w:cs="Times New Roman"/>
                <w:sz w:val="20"/>
                <w:szCs w:val="20"/>
                <w:lang w:val="en-US"/>
              </w:rPr>
              <w:t>Orlistat commonly causes gastrointestinal adverse events (steatorrhea, urgency), contributing to modestly higher dropout in some studies (Golay et al., 2005)</w:t>
            </w:r>
          </w:p>
        </w:tc>
        <w:tc>
          <w:tcPr>
            <w:tcW w:w="4458" w:type="dxa"/>
          </w:tcPr>
          <w:p w14:paraId="79CB7CDB" w14:textId="6FB6E6A1"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10.1038/oby.2005.208</w:t>
            </w:r>
          </w:p>
        </w:tc>
        <w:tc>
          <w:tcPr>
            <w:tcW w:w="690" w:type="dxa"/>
          </w:tcPr>
          <w:p w14:paraId="0E81DC58" w14:textId="1427C9B7" w:rsidR="00D65CBD" w:rsidRPr="008B6BC5" w:rsidRDefault="00B64A8F" w:rsidP="00D65CBD">
            <w:pPr>
              <w:pStyle w:val="NoSpacing"/>
              <w:rPr>
                <w:rFonts w:cs="Times New Roman"/>
                <w:sz w:val="20"/>
                <w:szCs w:val="20"/>
                <w:lang w:val="en-US"/>
              </w:rPr>
            </w:pPr>
            <w:r w:rsidRPr="008B6BC5">
              <w:rPr>
                <w:rFonts w:cs="Times New Roman"/>
                <w:sz w:val="20"/>
                <w:szCs w:val="20"/>
                <w:lang w:val="en-US"/>
              </w:rPr>
              <w:t>1</w:t>
            </w:r>
          </w:p>
        </w:tc>
        <w:tc>
          <w:tcPr>
            <w:tcW w:w="4066" w:type="dxa"/>
          </w:tcPr>
          <w:p w14:paraId="26EECD0C" w14:textId="411E3C64" w:rsidR="00D65CBD" w:rsidRPr="008B6BC5" w:rsidRDefault="00A444FB" w:rsidP="00D65CBD">
            <w:pPr>
              <w:pStyle w:val="NoSpacing"/>
              <w:rPr>
                <w:rFonts w:cs="Times New Roman"/>
                <w:sz w:val="20"/>
                <w:szCs w:val="20"/>
                <w:lang w:val="en-US"/>
              </w:rPr>
            </w:pPr>
            <w:r w:rsidRPr="008B6BC5">
              <w:rPr>
                <w:rFonts w:cs="Times New Roman"/>
                <w:sz w:val="20"/>
                <w:szCs w:val="20"/>
                <w:lang w:val="en-US"/>
              </w:rPr>
              <w:t xml:space="preserve">AEs only occurred in placebo group participants, not in Orlistat participants. </w:t>
            </w:r>
          </w:p>
        </w:tc>
      </w:tr>
      <w:tr w:rsidR="00D65CBD" w:rsidRPr="008B6BC5" w14:paraId="1885C9E1" w14:textId="77777777" w:rsidTr="00202DA2">
        <w:tc>
          <w:tcPr>
            <w:tcW w:w="1616" w:type="dxa"/>
          </w:tcPr>
          <w:p w14:paraId="5695D938" w14:textId="2EF319D8" w:rsidR="00D65CBD" w:rsidRPr="008B6BC5" w:rsidRDefault="003A4A1A" w:rsidP="00D65CBD">
            <w:pPr>
              <w:pStyle w:val="NoSpacing"/>
              <w:rPr>
                <w:rFonts w:cs="Times New Roman"/>
                <w:sz w:val="20"/>
                <w:szCs w:val="20"/>
                <w:lang w:val="en-US"/>
              </w:rPr>
            </w:pPr>
            <w:r w:rsidRPr="008B6BC5">
              <w:rPr>
                <w:rFonts w:cs="Times New Roman"/>
                <w:sz w:val="20"/>
                <w:szCs w:val="20"/>
                <w:lang w:val="en-US"/>
              </w:rPr>
              <w:t>28</w:t>
            </w:r>
          </w:p>
        </w:tc>
        <w:tc>
          <w:tcPr>
            <w:tcW w:w="5614" w:type="dxa"/>
          </w:tcPr>
          <w:p w14:paraId="61F990F0" w14:textId="77777777" w:rsidR="00D65CBD" w:rsidRPr="008B6BC5" w:rsidRDefault="00D65CBD" w:rsidP="00D65CBD">
            <w:pPr>
              <w:pStyle w:val="NoSpacing"/>
              <w:rPr>
                <w:rFonts w:cs="Times New Roman"/>
                <w:sz w:val="20"/>
                <w:szCs w:val="20"/>
                <w:lang w:val="en-US"/>
              </w:rPr>
            </w:pPr>
            <w:r w:rsidRPr="008B6BC5">
              <w:rPr>
                <w:rFonts w:cs="Times New Roman"/>
                <w:sz w:val="20"/>
                <w:szCs w:val="20"/>
                <w:lang w:val="en-US"/>
              </w:rPr>
              <w:t xml:space="preserve">Zonisamide and topiramate share cognitive and metabolic adverse effects, including rare but serious risks such as nephrolithiasis and metabolic acidosis (McElroy et al., 2007). </w:t>
            </w:r>
          </w:p>
          <w:p w14:paraId="4DBB29E3" w14:textId="77777777" w:rsidR="00D65CBD" w:rsidRPr="008B6BC5" w:rsidRDefault="00D65CBD" w:rsidP="00D65CBD">
            <w:pPr>
              <w:pStyle w:val="NoSpacing"/>
              <w:rPr>
                <w:rFonts w:cs="Times New Roman"/>
                <w:sz w:val="20"/>
                <w:szCs w:val="20"/>
                <w:lang w:val="en-US"/>
              </w:rPr>
            </w:pPr>
          </w:p>
        </w:tc>
        <w:tc>
          <w:tcPr>
            <w:tcW w:w="4458" w:type="dxa"/>
          </w:tcPr>
          <w:p w14:paraId="2042BC90" w14:textId="749B3BF2"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10.1016/j.biopsych.2006.08.008</w:t>
            </w:r>
          </w:p>
        </w:tc>
        <w:tc>
          <w:tcPr>
            <w:tcW w:w="690" w:type="dxa"/>
          </w:tcPr>
          <w:p w14:paraId="3B48A4A6" w14:textId="5572246E" w:rsidR="00D65CBD" w:rsidRPr="008B6BC5" w:rsidRDefault="00B64A8F" w:rsidP="00D65CBD">
            <w:pPr>
              <w:pStyle w:val="NoSpacing"/>
              <w:rPr>
                <w:rFonts w:cs="Times New Roman"/>
                <w:sz w:val="20"/>
                <w:szCs w:val="20"/>
                <w:lang w:val="en-US"/>
              </w:rPr>
            </w:pPr>
            <w:r w:rsidRPr="008B6BC5">
              <w:rPr>
                <w:rFonts w:cs="Times New Roman"/>
                <w:sz w:val="20"/>
                <w:szCs w:val="20"/>
                <w:lang w:val="en-US"/>
              </w:rPr>
              <w:t>1</w:t>
            </w:r>
          </w:p>
        </w:tc>
        <w:tc>
          <w:tcPr>
            <w:tcW w:w="4066" w:type="dxa"/>
          </w:tcPr>
          <w:p w14:paraId="6CE140F4" w14:textId="1B051042" w:rsidR="00D65CBD" w:rsidRPr="008B6BC5" w:rsidRDefault="00366D1B" w:rsidP="00D65CBD">
            <w:pPr>
              <w:pStyle w:val="NoSpacing"/>
              <w:rPr>
                <w:rFonts w:cs="Times New Roman"/>
                <w:sz w:val="20"/>
                <w:szCs w:val="20"/>
                <w:lang w:val="en-US"/>
              </w:rPr>
            </w:pPr>
            <w:r w:rsidRPr="008B6BC5">
              <w:rPr>
                <w:rFonts w:cs="Times New Roman"/>
                <w:sz w:val="20"/>
                <w:szCs w:val="20"/>
                <w:lang w:val="en-US"/>
              </w:rPr>
              <w:t xml:space="preserve">These side effects of </w:t>
            </w:r>
            <w:r w:rsidR="00F47687" w:rsidRPr="008B6BC5">
              <w:rPr>
                <w:rFonts w:cs="Times New Roman"/>
                <w:sz w:val="20"/>
                <w:szCs w:val="20"/>
                <w:lang w:val="en-US"/>
              </w:rPr>
              <w:t xml:space="preserve">topiramate </w:t>
            </w:r>
            <w:r w:rsidRPr="008B6BC5">
              <w:rPr>
                <w:rFonts w:cs="Times New Roman"/>
                <w:sz w:val="20"/>
                <w:szCs w:val="20"/>
                <w:lang w:val="en-US"/>
              </w:rPr>
              <w:t xml:space="preserve">were not explicitly reported in this trial. </w:t>
            </w:r>
          </w:p>
        </w:tc>
      </w:tr>
      <w:tr w:rsidR="00D65CBD" w:rsidRPr="008B6BC5" w14:paraId="21A4E7C3" w14:textId="77777777" w:rsidTr="00202DA2">
        <w:tc>
          <w:tcPr>
            <w:tcW w:w="1616" w:type="dxa"/>
          </w:tcPr>
          <w:p w14:paraId="472B6833" w14:textId="2B35A363" w:rsidR="00D65CBD" w:rsidRPr="008B6BC5" w:rsidRDefault="003A4A1A" w:rsidP="00D65CBD">
            <w:pPr>
              <w:pStyle w:val="NoSpacing"/>
              <w:rPr>
                <w:rFonts w:cs="Times New Roman"/>
                <w:sz w:val="20"/>
                <w:szCs w:val="20"/>
                <w:lang w:val="en-US"/>
              </w:rPr>
            </w:pPr>
            <w:r w:rsidRPr="008B6BC5">
              <w:rPr>
                <w:rFonts w:cs="Times New Roman"/>
                <w:sz w:val="20"/>
                <w:szCs w:val="20"/>
                <w:lang w:val="en-US"/>
              </w:rPr>
              <w:t>29</w:t>
            </w:r>
          </w:p>
        </w:tc>
        <w:tc>
          <w:tcPr>
            <w:tcW w:w="5614" w:type="dxa"/>
          </w:tcPr>
          <w:p w14:paraId="67494D55" w14:textId="2CB68AFD" w:rsidR="00D65CBD" w:rsidRPr="008B6BC5" w:rsidRDefault="00D65CBD" w:rsidP="00D65CBD">
            <w:pPr>
              <w:pStyle w:val="NoSpacing"/>
              <w:rPr>
                <w:rFonts w:cs="Times New Roman"/>
                <w:sz w:val="20"/>
                <w:szCs w:val="20"/>
                <w:lang w:val="en-US"/>
              </w:rPr>
            </w:pPr>
            <w:r w:rsidRPr="008B6BC5">
              <w:rPr>
                <w:rFonts w:cs="Times New Roman"/>
                <w:sz w:val="20"/>
                <w:szCs w:val="20"/>
                <w:lang w:val="en-US"/>
              </w:rPr>
              <w:t>Acamprosate was generally well tolerated but did not demonstrate clear efficacy (McElroy et al., 2011).</w:t>
            </w:r>
          </w:p>
        </w:tc>
        <w:tc>
          <w:tcPr>
            <w:tcW w:w="4458" w:type="dxa"/>
          </w:tcPr>
          <w:p w14:paraId="0228A9CC" w14:textId="40D08BF7" w:rsidR="00D65CBD" w:rsidRPr="008B6BC5" w:rsidRDefault="00D65CBD" w:rsidP="00D65CBD">
            <w:pPr>
              <w:pStyle w:val="NoSpacing"/>
              <w:rPr>
                <w:rFonts w:cs="Times New Roman"/>
                <w:sz w:val="20"/>
                <w:szCs w:val="20"/>
                <w:lang w:val="en-US"/>
              </w:rPr>
            </w:pPr>
            <w:r w:rsidRPr="008B6BC5">
              <w:rPr>
                <w:rFonts w:cs="Times New Roman"/>
                <w:sz w:val="20"/>
                <w:szCs w:val="20"/>
                <w:lang w:val="en-US"/>
              </w:rPr>
              <w:t>DOI: 10.1002/eat.20876</w:t>
            </w:r>
          </w:p>
        </w:tc>
        <w:tc>
          <w:tcPr>
            <w:tcW w:w="690" w:type="dxa"/>
          </w:tcPr>
          <w:p w14:paraId="6D06AA82" w14:textId="3D197276" w:rsidR="00D65CBD" w:rsidRPr="008B6BC5" w:rsidRDefault="002E741D" w:rsidP="00D65CBD">
            <w:pPr>
              <w:pStyle w:val="NoSpacing"/>
              <w:rPr>
                <w:rFonts w:cs="Times New Roman"/>
                <w:sz w:val="20"/>
                <w:szCs w:val="20"/>
                <w:lang w:val="en-US"/>
              </w:rPr>
            </w:pPr>
            <w:r w:rsidRPr="008B6BC5">
              <w:rPr>
                <w:rFonts w:cs="Times New Roman"/>
                <w:sz w:val="20"/>
                <w:szCs w:val="20"/>
                <w:lang w:val="en-US"/>
              </w:rPr>
              <w:t>4</w:t>
            </w:r>
          </w:p>
        </w:tc>
        <w:tc>
          <w:tcPr>
            <w:tcW w:w="4066" w:type="dxa"/>
          </w:tcPr>
          <w:p w14:paraId="33C82E4C" w14:textId="5A719555" w:rsidR="00D65CBD" w:rsidRPr="008B6BC5" w:rsidRDefault="002E741D" w:rsidP="00D65CBD">
            <w:pPr>
              <w:pStyle w:val="NoSpacing"/>
              <w:rPr>
                <w:rFonts w:cs="Times New Roman"/>
                <w:sz w:val="20"/>
                <w:szCs w:val="20"/>
                <w:lang w:val="en-US"/>
              </w:rPr>
            </w:pPr>
            <w:r w:rsidRPr="008B6BC5">
              <w:rPr>
                <w:rFonts w:cs="Times New Roman"/>
                <w:sz w:val="20"/>
                <w:szCs w:val="20"/>
                <w:lang w:val="en-US"/>
              </w:rPr>
              <w:t>No inaccuracies identified.</w:t>
            </w:r>
          </w:p>
        </w:tc>
      </w:tr>
      <w:tr w:rsidR="00D65CBD" w:rsidRPr="008B6BC5" w14:paraId="5975E1AA" w14:textId="77777777" w:rsidTr="009074B7">
        <w:tc>
          <w:tcPr>
            <w:tcW w:w="16444" w:type="dxa"/>
            <w:gridSpan w:val="5"/>
          </w:tcPr>
          <w:p w14:paraId="7B8FDF49" w14:textId="0E3BAD5B" w:rsidR="00D65CBD" w:rsidRPr="008B6BC5" w:rsidRDefault="00D65CBD" w:rsidP="00D65CBD">
            <w:pPr>
              <w:pStyle w:val="NoSpacing"/>
              <w:numPr>
                <w:ilvl w:val="0"/>
                <w:numId w:val="13"/>
              </w:numPr>
              <w:rPr>
                <w:rFonts w:cs="Times New Roman"/>
                <w:sz w:val="20"/>
                <w:szCs w:val="20"/>
                <w:lang w:val="en-US"/>
              </w:rPr>
            </w:pPr>
            <w:r w:rsidRPr="008B6BC5">
              <w:rPr>
                <w:rFonts w:cs="Times New Roman"/>
                <w:sz w:val="20"/>
                <w:szCs w:val="20"/>
                <w:lang w:val="en-US"/>
              </w:rPr>
              <w:t xml:space="preserve">The trial referred to here is not Wilfley 2002 but rather Wilson et al 2010. </w:t>
            </w:r>
          </w:p>
        </w:tc>
      </w:tr>
    </w:tbl>
    <w:p w14:paraId="6E103FE7" w14:textId="77777777" w:rsidR="00ED46EE" w:rsidRPr="008B6BC5" w:rsidRDefault="00ED46EE" w:rsidP="005C2C5C">
      <w:pPr>
        <w:pStyle w:val="NoSpacing"/>
        <w:spacing w:line="360" w:lineRule="auto"/>
        <w:rPr>
          <w:b/>
          <w:bCs/>
          <w:lang w:val="en-US"/>
        </w:rPr>
      </w:pPr>
    </w:p>
    <w:p w14:paraId="74D8E0BC" w14:textId="77777777" w:rsidR="00202DA2" w:rsidRPr="008B6BC5" w:rsidRDefault="00202DA2" w:rsidP="005C2C5C">
      <w:pPr>
        <w:pStyle w:val="NoSpacing"/>
        <w:spacing w:line="360" w:lineRule="auto"/>
        <w:rPr>
          <w:b/>
          <w:bCs/>
          <w:lang w:val="en-US"/>
        </w:rPr>
      </w:pPr>
    </w:p>
    <w:p w14:paraId="12786E7D" w14:textId="77777777" w:rsidR="00202DA2" w:rsidRPr="008B6BC5" w:rsidRDefault="00202DA2" w:rsidP="005C2C5C">
      <w:pPr>
        <w:pStyle w:val="NoSpacing"/>
        <w:spacing w:line="360" w:lineRule="auto"/>
        <w:rPr>
          <w:b/>
          <w:bCs/>
          <w:lang w:val="en-US"/>
        </w:rPr>
      </w:pPr>
    </w:p>
    <w:p w14:paraId="1AE05394" w14:textId="77777777" w:rsidR="00202DA2" w:rsidRPr="008B6BC5" w:rsidRDefault="00202DA2" w:rsidP="005C2C5C">
      <w:pPr>
        <w:pStyle w:val="NoSpacing"/>
        <w:spacing w:line="360" w:lineRule="auto"/>
        <w:rPr>
          <w:b/>
          <w:bCs/>
          <w:lang w:val="en-US"/>
        </w:rPr>
      </w:pPr>
    </w:p>
    <w:p w14:paraId="4D55AD3B" w14:textId="77777777" w:rsidR="00202DA2" w:rsidRPr="008B6BC5" w:rsidRDefault="00202DA2" w:rsidP="005C2C5C">
      <w:pPr>
        <w:pStyle w:val="NoSpacing"/>
        <w:spacing w:line="360" w:lineRule="auto"/>
        <w:rPr>
          <w:b/>
          <w:bCs/>
          <w:lang w:val="en-US"/>
        </w:rPr>
      </w:pPr>
    </w:p>
    <w:p w14:paraId="3827FAFD" w14:textId="77777777" w:rsidR="00202DA2" w:rsidRPr="008B6BC5" w:rsidRDefault="00202DA2" w:rsidP="005C2C5C">
      <w:pPr>
        <w:pStyle w:val="NoSpacing"/>
        <w:spacing w:line="360" w:lineRule="auto"/>
        <w:rPr>
          <w:b/>
          <w:bCs/>
          <w:lang w:val="en-US"/>
        </w:rPr>
      </w:pPr>
    </w:p>
    <w:p w14:paraId="24541183" w14:textId="77777777" w:rsidR="00202DA2" w:rsidRPr="008B6BC5" w:rsidRDefault="00202DA2" w:rsidP="005C2C5C">
      <w:pPr>
        <w:pStyle w:val="NoSpacing"/>
        <w:spacing w:line="360" w:lineRule="auto"/>
        <w:rPr>
          <w:b/>
          <w:bCs/>
          <w:lang w:val="en-US"/>
        </w:rPr>
      </w:pPr>
    </w:p>
    <w:p w14:paraId="0CBD6104" w14:textId="77777777" w:rsidR="00202DA2" w:rsidRPr="008B6BC5" w:rsidRDefault="00202DA2" w:rsidP="005C2C5C">
      <w:pPr>
        <w:pStyle w:val="NoSpacing"/>
        <w:spacing w:line="360" w:lineRule="auto"/>
        <w:rPr>
          <w:b/>
          <w:bCs/>
          <w:lang w:val="en-US"/>
        </w:rPr>
      </w:pPr>
    </w:p>
    <w:p w14:paraId="1B24E3E8" w14:textId="77777777" w:rsidR="00202DA2" w:rsidRPr="008B6BC5" w:rsidRDefault="00202DA2" w:rsidP="005C2C5C">
      <w:pPr>
        <w:pStyle w:val="NoSpacing"/>
        <w:spacing w:line="360" w:lineRule="auto"/>
        <w:rPr>
          <w:b/>
          <w:bCs/>
          <w:lang w:val="en-US"/>
        </w:rPr>
      </w:pPr>
    </w:p>
    <w:p w14:paraId="73B5AB12" w14:textId="77777777" w:rsidR="00202DA2" w:rsidRPr="008B6BC5" w:rsidRDefault="00202DA2" w:rsidP="005C2C5C">
      <w:pPr>
        <w:pStyle w:val="NoSpacing"/>
        <w:spacing w:line="360" w:lineRule="auto"/>
        <w:rPr>
          <w:b/>
          <w:bCs/>
          <w:lang w:val="en-US"/>
        </w:rPr>
      </w:pPr>
    </w:p>
    <w:p w14:paraId="518A3F03" w14:textId="77777777" w:rsidR="00202DA2" w:rsidRPr="008B6BC5" w:rsidRDefault="00202DA2" w:rsidP="005C2C5C">
      <w:pPr>
        <w:pStyle w:val="NoSpacing"/>
        <w:spacing w:line="360" w:lineRule="auto"/>
        <w:rPr>
          <w:b/>
          <w:bCs/>
          <w:lang w:val="en-US"/>
        </w:rPr>
      </w:pPr>
    </w:p>
    <w:p w14:paraId="006CA2DA" w14:textId="77777777" w:rsidR="00202DA2" w:rsidRPr="008B6BC5" w:rsidRDefault="00202DA2" w:rsidP="005C2C5C">
      <w:pPr>
        <w:pStyle w:val="NoSpacing"/>
        <w:spacing w:line="360" w:lineRule="auto"/>
        <w:rPr>
          <w:b/>
          <w:bCs/>
          <w:lang w:val="en-US"/>
        </w:rPr>
      </w:pPr>
    </w:p>
    <w:p w14:paraId="1C3BDE84" w14:textId="77777777" w:rsidR="00202DA2" w:rsidRPr="008B6BC5" w:rsidRDefault="00202DA2" w:rsidP="005C2C5C">
      <w:pPr>
        <w:pStyle w:val="NoSpacing"/>
        <w:spacing w:line="360" w:lineRule="auto"/>
        <w:rPr>
          <w:b/>
          <w:bCs/>
          <w:lang w:val="en-US"/>
        </w:rPr>
      </w:pPr>
    </w:p>
    <w:p w14:paraId="7C1E17E1" w14:textId="0DB88CDA" w:rsidR="00202DA2" w:rsidRPr="008B6BC5" w:rsidRDefault="00202DA2">
      <w:pPr>
        <w:spacing w:line="278" w:lineRule="auto"/>
        <w:jc w:val="left"/>
        <w:rPr>
          <w:b/>
          <w:bCs/>
          <w:lang w:val="en-US"/>
        </w:rPr>
      </w:pPr>
      <w:r w:rsidRPr="008B6BC5">
        <w:rPr>
          <w:b/>
          <w:bCs/>
          <w:lang w:val="en-US"/>
        </w:rPr>
        <w:br w:type="page"/>
      </w:r>
    </w:p>
    <w:p w14:paraId="7C004AED" w14:textId="77777777" w:rsidR="00202DA2" w:rsidRPr="008B6BC5" w:rsidRDefault="00202DA2" w:rsidP="005C2C5C">
      <w:pPr>
        <w:pStyle w:val="NoSpacing"/>
        <w:spacing w:line="360" w:lineRule="auto"/>
        <w:rPr>
          <w:b/>
          <w:bCs/>
          <w:lang w:val="en-US"/>
        </w:rPr>
      </w:pPr>
    </w:p>
    <w:p w14:paraId="6A1EB123" w14:textId="635F915C" w:rsidR="00ED46EE" w:rsidRPr="008B6BC5" w:rsidRDefault="00ED46EE" w:rsidP="00ED46EE">
      <w:pPr>
        <w:pStyle w:val="NoSpacing"/>
        <w:spacing w:line="360" w:lineRule="auto"/>
        <w:rPr>
          <w:b/>
          <w:bCs/>
          <w:lang w:val="en-US"/>
        </w:rPr>
      </w:pPr>
      <w:r w:rsidRPr="008B6BC5">
        <w:rPr>
          <w:b/>
          <w:bCs/>
          <w:lang w:val="en-US"/>
        </w:rPr>
        <w:t>Table S</w:t>
      </w:r>
      <w:r w:rsidR="00027F8C" w:rsidRPr="008B6BC5">
        <w:rPr>
          <w:b/>
          <w:bCs/>
          <w:lang w:val="en-US"/>
        </w:rPr>
        <w:t>3</w:t>
      </w:r>
      <w:r w:rsidRPr="008B6BC5">
        <w:rPr>
          <w:b/>
          <w:bCs/>
          <w:lang w:val="en-US"/>
        </w:rPr>
        <w:t xml:space="preserve">: Scores assigned to ChatGPT claims for reviews on Generalized Anxiety Disorder  </w:t>
      </w:r>
    </w:p>
    <w:tbl>
      <w:tblPr>
        <w:tblStyle w:val="TableGrid"/>
        <w:tblW w:w="16444" w:type="dxa"/>
        <w:tblInd w:w="-1281" w:type="dxa"/>
        <w:tblLayout w:type="fixed"/>
        <w:tblLook w:val="04A0" w:firstRow="1" w:lastRow="0" w:firstColumn="1" w:lastColumn="0" w:noHBand="0" w:noVBand="1"/>
      </w:tblPr>
      <w:tblGrid>
        <w:gridCol w:w="1702"/>
        <w:gridCol w:w="5953"/>
        <w:gridCol w:w="4394"/>
        <w:gridCol w:w="709"/>
        <w:gridCol w:w="3686"/>
      </w:tblGrid>
      <w:tr w:rsidR="00ED46EE" w:rsidRPr="008B6BC5" w14:paraId="4E418DCE" w14:textId="77777777" w:rsidTr="00202DA2">
        <w:tc>
          <w:tcPr>
            <w:tcW w:w="1702" w:type="dxa"/>
          </w:tcPr>
          <w:p w14:paraId="367E8207" w14:textId="77777777" w:rsidR="00ED46EE" w:rsidRPr="008B6BC5" w:rsidRDefault="00ED46EE" w:rsidP="009074B7">
            <w:pPr>
              <w:pStyle w:val="NoSpacing"/>
              <w:jc w:val="left"/>
              <w:rPr>
                <w:b/>
                <w:bCs/>
                <w:sz w:val="20"/>
                <w:szCs w:val="20"/>
                <w:lang w:val="en-US"/>
              </w:rPr>
            </w:pPr>
            <w:r w:rsidRPr="008B6BC5">
              <w:rPr>
                <w:b/>
                <w:bCs/>
                <w:sz w:val="20"/>
                <w:szCs w:val="20"/>
                <w:lang w:val="en-US"/>
              </w:rPr>
              <w:t xml:space="preserve">Treatment </w:t>
            </w:r>
          </w:p>
        </w:tc>
        <w:tc>
          <w:tcPr>
            <w:tcW w:w="5953" w:type="dxa"/>
          </w:tcPr>
          <w:p w14:paraId="2E4F191E" w14:textId="77777777" w:rsidR="00ED46EE" w:rsidRPr="008B6BC5" w:rsidRDefault="00ED46EE" w:rsidP="009074B7">
            <w:pPr>
              <w:pStyle w:val="NoSpacing"/>
              <w:jc w:val="left"/>
              <w:rPr>
                <w:b/>
                <w:bCs/>
                <w:sz w:val="20"/>
                <w:szCs w:val="20"/>
                <w:lang w:val="en-US"/>
              </w:rPr>
            </w:pPr>
            <w:r w:rsidRPr="008B6BC5">
              <w:rPr>
                <w:b/>
                <w:bCs/>
                <w:sz w:val="20"/>
                <w:szCs w:val="20"/>
                <w:lang w:val="en-US"/>
              </w:rPr>
              <w:t xml:space="preserve">ChatGPT claim </w:t>
            </w:r>
          </w:p>
        </w:tc>
        <w:tc>
          <w:tcPr>
            <w:tcW w:w="4394" w:type="dxa"/>
          </w:tcPr>
          <w:p w14:paraId="2B834DD2" w14:textId="77777777" w:rsidR="00ED46EE" w:rsidRPr="008B6BC5" w:rsidRDefault="00ED46EE" w:rsidP="009074B7">
            <w:pPr>
              <w:pStyle w:val="NoSpacing"/>
              <w:jc w:val="left"/>
              <w:rPr>
                <w:b/>
                <w:bCs/>
                <w:sz w:val="20"/>
                <w:szCs w:val="20"/>
                <w:lang w:val="en-US"/>
              </w:rPr>
            </w:pPr>
            <w:r w:rsidRPr="008B6BC5">
              <w:rPr>
                <w:b/>
                <w:bCs/>
                <w:sz w:val="20"/>
                <w:szCs w:val="20"/>
                <w:lang w:val="en-US"/>
              </w:rPr>
              <w:t>Identified citation</w:t>
            </w:r>
          </w:p>
        </w:tc>
        <w:tc>
          <w:tcPr>
            <w:tcW w:w="709" w:type="dxa"/>
          </w:tcPr>
          <w:p w14:paraId="674D346C" w14:textId="77777777" w:rsidR="00ED46EE" w:rsidRPr="008B6BC5" w:rsidRDefault="00ED46EE" w:rsidP="009074B7">
            <w:pPr>
              <w:pStyle w:val="NoSpacing"/>
              <w:jc w:val="left"/>
              <w:rPr>
                <w:b/>
                <w:bCs/>
                <w:sz w:val="20"/>
                <w:szCs w:val="20"/>
                <w:lang w:val="en-US"/>
              </w:rPr>
            </w:pPr>
            <w:r w:rsidRPr="008B6BC5">
              <w:rPr>
                <w:b/>
                <w:bCs/>
                <w:sz w:val="20"/>
                <w:szCs w:val="20"/>
                <w:lang w:val="en-US"/>
              </w:rPr>
              <w:t xml:space="preserve">Score </w:t>
            </w:r>
          </w:p>
        </w:tc>
        <w:tc>
          <w:tcPr>
            <w:tcW w:w="3686" w:type="dxa"/>
          </w:tcPr>
          <w:p w14:paraId="2F4391EA" w14:textId="48993A4D" w:rsidR="00ED46EE" w:rsidRPr="008B6BC5" w:rsidRDefault="005853F6" w:rsidP="009074B7">
            <w:pPr>
              <w:pStyle w:val="NoSpacing"/>
              <w:jc w:val="left"/>
              <w:rPr>
                <w:b/>
                <w:bCs/>
                <w:sz w:val="20"/>
                <w:szCs w:val="20"/>
                <w:lang w:val="en-US"/>
              </w:rPr>
            </w:pPr>
            <w:r w:rsidRPr="008B6BC5">
              <w:rPr>
                <w:b/>
                <w:bCs/>
                <w:sz w:val="20"/>
                <w:szCs w:val="20"/>
                <w:lang w:val="en-US"/>
              </w:rPr>
              <w:t xml:space="preserve">Scoring justification </w:t>
            </w:r>
            <w:r>
              <w:rPr>
                <w:b/>
                <w:bCs/>
                <w:sz w:val="20"/>
                <w:szCs w:val="20"/>
                <w:lang w:val="en-US"/>
              </w:rPr>
              <w:t>(reason for lowest score received within the citation-claim</w:t>
            </w:r>
          </w:p>
        </w:tc>
      </w:tr>
      <w:tr w:rsidR="00CF2D93" w:rsidRPr="008B6BC5" w14:paraId="24893217" w14:textId="77777777" w:rsidTr="00202DA2">
        <w:tc>
          <w:tcPr>
            <w:tcW w:w="1702" w:type="dxa"/>
          </w:tcPr>
          <w:p w14:paraId="761CC0E2" w14:textId="64801A5C" w:rsidR="00CF2D93" w:rsidRPr="008B6BC5" w:rsidRDefault="00CF2D93" w:rsidP="009074B7">
            <w:pPr>
              <w:pStyle w:val="NoSpacing"/>
              <w:jc w:val="left"/>
              <w:rPr>
                <w:b/>
                <w:bCs/>
                <w:sz w:val="20"/>
                <w:szCs w:val="20"/>
                <w:lang w:val="en-US"/>
              </w:rPr>
            </w:pPr>
            <w:r w:rsidRPr="008B6BC5">
              <w:rPr>
                <w:rFonts w:cs="Times New Roman"/>
                <w:sz w:val="20"/>
                <w:szCs w:val="20"/>
                <w:lang w:val="en-US"/>
              </w:rPr>
              <w:t>Digital mental health</w:t>
            </w:r>
          </w:p>
        </w:tc>
        <w:tc>
          <w:tcPr>
            <w:tcW w:w="5953" w:type="dxa"/>
          </w:tcPr>
          <w:p w14:paraId="4820A652" w14:textId="77777777" w:rsidR="00CF2D93" w:rsidRPr="008B6BC5" w:rsidRDefault="00CF2D93" w:rsidP="009074B7">
            <w:pPr>
              <w:pStyle w:val="NoSpacing"/>
              <w:jc w:val="left"/>
              <w:rPr>
                <w:b/>
                <w:bCs/>
                <w:sz w:val="20"/>
                <w:szCs w:val="20"/>
                <w:lang w:val="en-US"/>
              </w:rPr>
            </w:pPr>
          </w:p>
        </w:tc>
        <w:tc>
          <w:tcPr>
            <w:tcW w:w="4394" w:type="dxa"/>
          </w:tcPr>
          <w:p w14:paraId="279985B6" w14:textId="77777777" w:rsidR="00CF2D93" w:rsidRPr="008B6BC5" w:rsidRDefault="00CF2D93" w:rsidP="009074B7">
            <w:pPr>
              <w:pStyle w:val="NoSpacing"/>
              <w:jc w:val="left"/>
              <w:rPr>
                <w:b/>
                <w:bCs/>
                <w:sz w:val="20"/>
                <w:szCs w:val="20"/>
                <w:lang w:val="en-US"/>
              </w:rPr>
            </w:pPr>
          </w:p>
        </w:tc>
        <w:tc>
          <w:tcPr>
            <w:tcW w:w="709" w:type="dxa"/>
          </w:tcPr>
          <w:p w14:paraId="47AB5C80" w14:textId="77777777" w:rsidR="00CF2D93" w:rsidRPr="008B6BC5" w:rsidRDefault="00CF2D93" w:rsidP="009074B7">
            <w:pPr>
              <w:pStyle w:val="NoSpacing"/>
              <w:jc w:val="left"/>
              <w:rPr>
                <w:b/>
                <w:bCs/>
                <w:sz w:val="20"/>
                <w:szCs w:val="20"/>
                <w:lang w:val="en-US"/>
              </w:rPr>
            </w:pPr>
          </w:p>
        </w:tc>
        <w:tc>
          <w:tcPr>
            <w:tcW w:w="3686" w:type="dxa"/>
          </w:tcPr>
          <w:p w14:paraId="14087BFC" w14:textId="77777777" w:rsidR="00CF2D93" w:rsidRPr="008B6BC5" w:rsidRDefault="00CF2D93" w:rsidP="009074B7">
            <w:pPr>
              <w:pStyle w:val="NoSpacing"/>
              <w:jc w:val="left"/>
              <w:rPr>
                <w:b/>
                <w:bCs/>
                <w:sz w:val="20"/>
                <w:szCs w:val="20"/>
                <w:lang w:val="en-US"/>
              </w:rPr>
            </w:pPr>
          </w:p>
        </w:tc>
      </w:tr>
      <w:tr w:rsidR="00ED46EE" w:rsidRPr="008B6BC5" w14:paraId="66791582" w14:textId="77777777" w:rsidTr="00202DA2">
        <w:tc>
          <w:tcPr>
            <w:tcW w:w="1702" w:type="dxa"/>
          </w:tcPr>
          <w:p w14:paraId="43EA02D5" w14:textId="379F9ED1" w:rsidR="00ED46EE" w:rsidRPr="008B6BC5" w:rsidRDefault="00CF2D93" w:rsidP="009074B7">
            <w:pPr>
              <w:pStyle w:val="NoSpacing"/>
              <w:rPr>
                <w:rFonts w:cs="Times New Roman"/>
                <w:sz w:val="20"/>
                <w:szCs w:val="20"/>
                <w:lang w:val="en-US"/>
              </w:rPr>
            </w:pPr>
            <w:r w:rsidRPr="008B6BC5">
              <w:rPr>
                <w:rFonts w:cs="Times New Roman"/>
                <w:sz w:val="20"/>
                <w:szCs w:val="20"/>
                <w:lang w:val="en-US"/>
              </w:rPr>
              <w:t>1</w:t>
            </w:r>
          </w:p>
        </w:tc>
        <w:tc>
          <w:tcPr>
            <w:tcW w:w="5953" w:type="dxa"/>
          </w:tcPr>
          <w:p w14:paraId="35FFBFAB" w14:textId="757FC741" w:rsidR="00ED46EE" w:rsidRPr="008B6BC5" w:rsidRDefault="009C6EEF" w:rsidP="009C6EEF">
            <w:pPr>
              <w:pStyle w:val="NoSpacing"/>
              <w:rPr>
                <w:rFonts w:cs="Times New Roman"/>
                <w:sz w:val="20"/>
                <w:szCs w:val="20"/>
                <w:lang w:val="en-US"/>
              </w:rPr>
            </w:pPr>
            <w:r w:rsidRPr="008B6BC5">
              <w:rPr>
                <w:rFonts w:cs="Times New Roman"/>
                <w:sz w:val="20"/>
                <w:szCs w:val="20"/>
                <w:lang w:val="en-US"/>
              </w:rPr>
              <w:t>The most recent GAD-specific meta-analysis synthesized 20 randomized controlled trials (RCTs) of internet-delivered interventions for adults with GAD (mostly CBT-based, with some psychodynamic and transdiagnostic protocols), comparing them primarily to waitlist or information-control conditions (Eilert et al., 2021). The pooled effects indicated large between-group benefits for anxiety (Hedges’ g = 0.79) and worry (Hedges’ g = 0.75) at post-treatment, favoring digital treatment over control, with maintenance of gains at follow-up</w:t>
            </w:r>
            <w:r w:rsidR="0090723D" w:rsidRPr="008B6BC5">
              <w:rPr>
                <w:rFonts w:cs="Times New Roman"/>
                <w:sz w:val="20"/>
                <w:szCs w:val="20"/>
                <w:lang w:val="en-US"/>
              </w:rPr>
              <w:t xml:space="preserve"> (Eilert et al., 2021)</w:t>
            </w:r>
            <w:r w:rsidRPr="008B6BC5">
              <w:rPr>
                <w:rFonts w:cs="Times New Roman"/>
                <w:sz w:val="20"/>
                <w:szCs w:val="20"/>
                <w:lang w:val="en-US"/>
              </w:rPr>
              <w:t>.</w:t>
            </w:r>
          </w:p>
        </w:tc>
        <w:tc>
          <w:tcPr>
            <w:tcW w:w="4394" w:type="dxa"/>
          </w:tcPr>
          <w:p w14:paraId="2F68DA6A" w14:textId="25E377E2" w:rsidR="00ED46EE" w:rsidRPr="008B6BC5" w:rsidRDefault="0090723D" w:rsidP="009074B7">
            <w:pPr>
              <w:pStyle w:val="NoSpacing"/>
              <w:rPr>
                <w:rFonts w:cs="Times New Roman"/>
                <w:sz w:val="20"/>
                <w:szCs w:val="20"/>
                <w:lang w:val="en-US"/>
              </w:rPr>
            </w:pPr>
            <w:r w:rsidRPr="008B6BC5">
              <w:rPr>
                <w:rFonts w:cs="Times New Roman"/>
                <w:sz w:val="20"/>
                <w:szCs w:val="20"/>
                <w:lang w:val="en-US"/>
              </w:rPr>
              <w:t>DOI: 10.1002/da.23115</w:t>
            </w:r>
          </w:p>
        </w:tc>
        <w:tc>
          <w:tcPr>
            <w:tcW w:w="709" w:type="dxa"/>
          </w:tcPr>
          <w:p w14:paraId="648FDF6F" w14:textId="6EDBDAE3" w:rsidR="00ED46EE" w:rsidRPr="008B6BC5" w:rsidRDefault="00CF78C4" w:rsidP="009074B7">
            <w:pPr>
              <w:pStyle w:val="NoSpacing"/>
              <w:rPr>
                <w:rFonts w:cs="Times New Roman"/>
                <w:sz w:val="20"/>
                <w:szCs w:val="20"/>
                <w:lang w:val="en-US"/>
              </w:rPr>
            </w:pPr>
            <w:r w:rsidRPr="008B6BC5">
              <w:rPr>
                <w:rFonts w:cs="Times New Roman"/>
                <w:sz w:val="20"/>
                <w:szCs w:val="20"/>
                <w:lang w:val="en-US"/>
              </w:rPr>
              <w:t>2</w:t>
            </w:r>
          </w:p>
        </w:tc>
        <w:tc>
          <w:tcPr>
            <w:tcW w:w="3686" w:type="dxa"/>
          </w:tcPr>
          <w:p w14:paraId="7E7B97BC" w14:textId="3F6EBD09" w:rsidR="00ED46EE" w:rsidRPr="008B6BC5" w:rsidRDefault="00B620C3" w:rsidP="009074B7">
            <w:pPr>
              <w:pStyle w:val="NoSpacing"/>
              <w:rPr>
                <w:rFonts w:cs="Times New Roman"/>
                <w:sz w:val="20"/>
                <w:szCs w:val="20"/>
                <w:lang w:val="en-US"/>
              </w:rPr>
            </w:pPr>
            <w:r w:rsidRPr="008B6BC5">
              <w:rPr>
                <w:rFonts w:cs="Times New Roman"/>
                <w:sz w:val="20"/>
                <w:szCs w:val="20"/>
                <w:lang w:val="en-US"/>
              </w:rPr>
              <w:t xml:space="preserve">Pooled effect size for worry was not significant at follow-up, indicating that maintenance gains did not hold true for this outcome. </w:t>
            </w:r>
          </w:p>
        </w:tc>
      </w:tr>
      <w:tr w:rsidR="00ED46EE" w:rsidRPr="008B6BC5" w14:paraId="25CB1BD6" w14:textId="77777777" w:rsidTr="00202DA2">
        <w:tc>
          <w:tcPr>
            <w:tcW w:w="1702" w:type="dxa"/>
          </w:tcPr>
          <w:p w14:paraId="4E3B1323" w14:textId="019C991D" w:rsidR="00ED46EE" w:rsidRPr="008B6BC5" w:rsidRDefault="00CF2D93" w:rsidP="009074B7">
            <w:pPr>
              <w:pStyle w:val="NoSpacing"/>
              <w:rPr>
                <w:rFonts w:cs="Times New Roman"/>
                <w:sz w:val="20"/>
                <w:szCs w:val="20"/>
                <w:lang w:val="en-US"/>
              </w:rPr>
            </w:pPr>
            <w:r w:rsidRPr="008B6BC5">
              <w:rPr>
                <w:rFonts w:cs="Times New Roman"/>
                <w:sz w:val="20"/>
                <w:szCs w:val="20"/>
                <w:lang w:val="en-US"/>
              </w:rPr>
              <w:t>2</w:t>
            </w:r>
          </w:p>
        </w:tc>
        <w:tc>
          <w:tcPr>
            <w:tcW w:w="5953" w:type="dxa"/>
          </w:tcPr>
          <w:p w14:paraId="5831CACC" w14:textId="1228FE6A" w:rsidR="00ED46EE" w:rsidRPr="008B6BC5" w:rsidRDefault="009C6EEF" w:rsidP="009074B7">
            <w:pPr>
              <w:pStyle w:val="NoSpacing"/>
              <w:rPr>
                <w:rFonts w:cs="Times New Roman"/>
                <w:sz w:val="20"/>
                <w:szCs w:val="20"/>
                <w:lang w:val="en-US"/>
              </w:rPr>
            </w:pPr>
            <w:r w:rsidRPr="008B6BC5">
              <w:rPr>
                <w:rFonts w:cs="Times New Roman"/>
                <w:sz w:val="20"/>
                <w:szCs w:val="20"/>
                <w:lang w:val="en-US"/>
              </w:rPr>
              <w:t>Earlier work by Richards et al. (2015) reached similar conclusions, finding that internet-delivered interventions for GAD produced moderate-to-large symptom reductions compared with non-active comparators, albeit with substantial heterogeneity across trials</w:t>
            </w:r>
          </w:p>
        </w:tc>
        <w:tc>
          <w:tcPr>
            <w:tcW w:w="4394" w:type="dxa"/>
          </w:tcPr>
          <w:p w14:paraId="093DE09C" w14:textId="1DE0A8B3" w:rsidR="00ED46EE" w:rsidRPr="008B6BC5" w:rsidRDefault="00997CDA" w:rsidP="009074B7">
            <w:pPr>
              <w:pStyle w:val="NoSpacing"/>
              <w:rPr>
                <w:rFonts w:cs="Times New Roman"/>
                <w:sz w:val="20"/>
                <w:szCs w:val="20"/>
                <w:lang w:val="en-US"/>
              </w:rPr>
            </w:pPr>
            <w:r w:rsidRPr="008B6BC5">
              <w:rPr>
                <w:rFonts w:cs="Times New Roman"/>
                <w:sz w:val="20"/>
                <w:szCs w:val="20"/>
                <w:lang w:val="en-US"/>
              </w:rPr>
              <w:t>http://dx.doi.org/10.1016/j.invent.2015.07.003</w:t>
            </w:r>
          </w:p>
        </w:tc>
        <w:tc>
          <w:tcPr>
            <w:tcW w:w="709" w:type="dxa"/>
          </w:tcPr>
          <w:p w14:paraId="25DE74C0" w14:textId="53F8ED00" w:rsidR="00ED46EE" w:rsidRPr="008B6BC5" w:rsidRDefault="00546116" w:rsidP="009074B7">
            <w:pPr>
              <w:pStyle w:val="NoSpacing"/>
              <w:rPr>
                <w:rFonts w:cs="Times New Roman"/>
                <w:sz w:val="20"/>
                <w:szCs w:val="20"/>
                <w:lang w:val="en-US"/>
              </w:rPr>
            </w:pPr>
            <w:r w:rsidRPr="008B6BC5">
              <w:rPr>
                <w:rFonts w:cs="Times New Roman"/>
                <w:sz w:val="20"/>
                <w:szCs w:val="20"/>
                <w:lang w:val="en-US"/>
              </w:rPr>
              <w:t>3</w:t>
            </w:r>
          </w:p>
        </w:tc>
        <w:tc>
          <w:tcPr>
            <w:tcW w:w="3686" w:type="dxa"/>
          </w:tcPr>
          <w:p w14:paraId="6231A671" w14:textId="40507BEA" w:rsidR="00ED46EE" w:rsidRPr="008B6BC5" w:rsidRDefault="00546116" w:rsidP="009074B7">
            <w:pPr>
              <w:pStyle w:val="NoSpacing"/>
              <w:rPr>
                <w:rFonts w:cs="Times New Roman"/>
                <w:sz w:val="20"/>
                <w:szCs w:val="20"/>
                <w:lang w:val="en-US"/>
              </w:rPr>
            </w:pPr>
            <w:r w:rsidRPr="008B6BC5">
              <w:rPr>
                <w:rFonts w:cs="Times New Roman"/>
                <w:sz w:val="20"/>
                <w:szCs w:val="20"/>
                <w:lang w:val="en-US"/>
              </w:rPr>
              <w:t xml:space="preserve">Heterogeneity was not substantial for all symptom outcomes, with estimates ranging from </w:t>
            </w:r>
            <w:r w:rsidR="004C261F" w:rsidRPr="008B6BC5">
              <w:rPr>
                <w:rFonts w:cs="Times New Roman"/>
                <w:sz w:val="20"/>
                <w:szCs w:val="20"/>
                <w:lang w:val="en-US"/>
              </w:rPr>
              <w:t>0-77%.</w:t>
            </w:r>
          </w:p>
        </w:tc>
      </w:tr>
      <w:tr w:rsidR="00ED46EE" w:rsidRPr="008B6BC5" w14:paraId="7654D666" w14:textId="77777777" w:rsidTr="00202DA2">
        <w:tc>
          <w:tcPr>
            <w:tcW w:w="1702" w:type="dxa"/>
          </w:tcPr>
          <w:p w14:paraId="7BF7B1F6" w14:textId="6FAA9133" w:rsidR="00ED46EE" w:rsidRPr="008B6BC5" w:rsidRDefault="00CF2D93" w:rsidP="009074B7">
            <w:pPr>
              <w:pStyle w:val="NoSpacing"/>
              <w:rPr>
                <w:rFonts w:cs="Times New Roman"/>
                <w:sz w:val="20"/>
                <w:szCs w:val="20"/>
                <w:lang w:val="en-US"/>
              </w:rPr>
            </w:pPr>
            <w:r w:rsidRPr="008B6BC5">
              <w:rPr>
                <w:rFonts w:cs="Times New Roman"/>
                <w:sz w:val="20"/>
                <w:szCs w:val="20"/>
                <w:lang w:val="en-US"/>
              </w:rPr>
              <w:t>3</w:t>
            </w:r>
          </w:p>
        </w:tc>
        <w:tc>
          <w:tcPr>
            <w:tcW w:w="5953" w:type="dxa"/>
          </w:tcPr>
          <w:p w14:paraId="249F7B83" w14:textId="4A633FB6" w:rsidR="00ED46EE" w:rsidRPr="008B6BC5" w:rsidRDefault="009C6EEF" w:rsidP="009074B7">
            <w:pPr>
              <w:pStyle w:val="NoSpacing"/>
              <w:rPr>
                <w:rFonts w:cs="Times New Roman"/>
                <w:sz w:val="20"/>
                <w:szCs w:val="20"/>
                <w:lang w:val="en-US"/>
              </w:rPr>
            </w:pPr>
            <w:proofErr w:type="spellStart"/>
            <w:r w:rsidRPr="008B6BC5">
              <w:rPr>
                <w:rFonts w:cs="Times New Roman"/>
                <w:sz w:val="20"/>
                <w:szCs w:val="20"/>
                <w:lang w:val="en-US"/>
              </w:rPr>
              <w:t>Paxling</w:t>
            </w:r>
            <w:proofErr w:type="spellEnd"/>
            <w:r w:rsidRPr="008B6BC5">
              <w:rPr>
                <w:rFonts w:cs="Times New Roman"/>
                <w:sz w:val="20"/>
                <w:szCs w:val="20"/>
                <w:lang w:val="en-US"/>
              </w:rPr>
              <w:t xml:space="preserve"> et al. (2011) randomized 89 adults meeting diagnostic criteria for GAD to an 8-week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program (CBT plus applied relaxation with therapist e-mail support) or waitlist. Large between-group effect sizes (Cohen’s d &gt; 0.80) were reported on worry and anxiety outcomes, with further improvement or maintenance at 1- and 3-year follow-up, indicating durable benefits</w:t>
            </w:r>
          </w:p>
        </w:tc>
        <w:tc>
          <w:tcPr>
            <w:tcW w:w="4394" w:type="dxa"/>
          </w:tcPr>
          <w:p w14:paraId="15522111" w14:textId="21FFEC98" w:rsidR="00ED46EE" w:rsidRPr="008B6BC5" w:rsidRDefault="00997CDA" w:rsidP="009074B7">
            <w:pPr>
              <w:pStyle w:val="NoSpacing"/>
              <w:rPr>
                <w:rFonts w:cs="Times New Roman"/>
                <w:sz w:val="20"/>
                <w:szCs w:val="20"/>
                <w:lang w:val="en-US"/>
              </w:rPr>
            </w:pPr>
            <w:r w:rsidRPr="008B6BC5">
              <w:rPr>
                <w:rFonts w:cs="Times New Roman"/>
                <w:sz w:val="20"/>
                <w:szCs w:val="20"/>
                <w:lang w:val="en-US"/>
              </w:rPr>
              <w:t>DOI: 10.1080/16506073.2011.576699</w:t>
            </w:r>
          </w:p>
        </w:tc>
        <w:tc>
          <w:tcPr>
            <w:tcW w:w="709" w:type="dxa"/>
          </w:tcPr>
          <w:p w14:paraId="0ACB3FCD" w14:textId="6AAE89F6" w:rsidR="00ED46EE" w:rsidRPr="008B6BC5" w:rsidRDefault="004C261F" w:rsidP="009074B7">
            <w:pPr>
              <w:pStyle w:val="NoSpacing"/>
              <w:rPr>
                <w:rFonts w:cs="Times New Roman"/>
                <w:sz w:val="20"/>
                <w:szCs w:val="20"/>
                <w:lang w:val="en-US"/>
              </w:rPr>
            </w:pPr>
            <w:r w:rsidRPr="008B6BC5">
              <w:rPr>
                <w:rFonts w:cs="Times New Roman"/>
                <w:sz w:val="20"/>
                <w:szCs w:val="20"/>
                <w:lang w:val="en-US"/>
              </w:rPr>
              <w:t>4</w:t>
            </w:r>
          </w:p>
        </w:tc>
        <w:tc>
          <w:tcPr>
            <w:tcW w:w="3686" w:type="dxa"/>
          </w:tcPr>
          <w:p w14:paraId="325B5EE9" w14:textId="1794886C" w:rsidR="00ED46EE" w:rsidRPr="008B6BC5" w:rsidRDefault="004C261F" w:rsidP="009074B7">
            <w:pPr>
              <w:pStyle w:val="NoSpacing"/>
              <w:rPr>
                <w:rFonts w:cs="Times New Roman"/>
                <w:sz w:val="20"/>
                <w:szCs w:val="20"/>
                <w:lang w:val="en-US"/>
              </w:rPr>
            </w:pPr>
            <w:r w:rsidRPr="008B6BC5">
              <w:rPr>
                <w:rFonts w:cs="Times New Roman"/>
                <w:sz w:val="20"/>
                <w:szCs w:val="20"/>
                <w:lang w:val="en-US"/>
              </w:rPr>
              <w:t xml:space="preserve">No </w:t>
            </w:r>
            <w:r w:rsidR="009E71F8" w:rsidRPr="008B6BC5">
              <w:rPr>
                <w:rFonts w:cs="Times New Roman"/>
                <w:sz w:val="20"/>
                <w:szCs w:val="20"/>
                <w:lang w:val="en-US"/>
              </w:rPr>
              <w:t xml:space="preserve">inaccuracies </w:t>
            </w:r>
            <w:r w:rsidRPr="008B6BC5">
              <w:rPr>
                <w:rFonts w:cs="Times New Roman"/>
                <w:sz w:val="20"/>
                <w:szCs w:val="20"/>
                <w:lang w:val="en-US"/>
              </w:rPr>
              <w:t>detected.</w:t>
            </w:r>
          </w:p>
        </w:tc>
      </w:tr>
      <w:tr w:rsidR="00883945" w:rsidRPr="008B6BC5" w14:paraId="59A72BFF" w14:textId="77777777" w:rsidTr="00202DA2">
        <w:tc>
          <w:tcPr>
            <w:tcW w:w="1702" w:type="dxa"/>
          </w:tcPr>
          <w:p w14:paraId="2FB20B61" w14:textId="7D913D0C" w:rsidR="00ED46EE" w:rsidRPr="008B6BC5" w:rsidRDefault="00CF2D93" w:rsidP="009074B7">
            <w:pPr>
              <w:pStyle w:val="NoSpacing"/>
              <w:rPr>
                <w:rFonts w:cs="Times New Roman"/>
                <w:sz w:val="20"/>
                <w:szCs w:val="20"/>
                <w:lang w:val="en-US"/>
              </w:rPr>
            </w:pPr>
            <w:r w:rsidRPr="008B6BC5">
              <w:rPr>
                <w:rFonts w:cs="Times New Roman"/>
                <w:sz w:val="20"/>
                <w:szCs w:val="20"/>
                <w:lang w:val="en-US"/>
              </w:rPr>
              <w:t>4</w:t>
            </w:r>
          </w:p>
        </w:tc>
        <w:tc>
          <w:tcPr>
            <w:tcW w:w="5953" w:type="dxa"/>
          </w:tcPr>
          <w:p w14:paraId="665371EE" w14:textId="77777777" w:rsidR="009C6EEF" w:rsidRPr="008B6BC5" w:rsidRDefault="009C6EEF" w:rsidP="009C6EEF">
            <w:pPr>
              <w:pStyle w:val="NoSpacing"/>
              <w:rPr>
                <w:rFonts w:cs="Times New Roman"/>
                <w:sz w:val="20"/>
                <w:szCs w:val="20"/>
                <w:lang w:val="en-US"/>
              </w:rPr>
            </w:pPr>
            <w:r w:rsidRPr="008B6BC5">
              <w:rPr>
                <w:rFonts w:cs="Times New Roman"/>
                <w:sz w:val="20"/>
                <w:szCs w:val="20"/>
                <w:lang w:val="en-US"/>
              </w:rPr>
              <w:t xml:space="preserve">Robinson et al. (2010) evaluated a 10-week online CBT “Worry” program in 150 adults with GAD, comparing clinician-assisted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technician-assisted </w:t>
            </w:r>
            <w:proofErr w:type="spellStart"/>
            <w:r w:rsidRPr="008B6BC5">
              <w:rPr>
                <w:rFonts w:cs="Times New Roman"/>
                <w:sz w:val="20"/>
                <w:szCs w:val="20"/>
                <w:lang w:val="en-US"/>
              </w:rPr>
              <w:t>iCBT</w:t>
            </w:r>
            <w:proofErr w:type="spellEnd"/>
            <w:r w:rsidRPr="008B6BC5">
              <w:rPr>
                <w:rFonts w:cs="Times New Roman"/>
                <w:sz w:val="20"/>
                <w:szCs w:val="20"/>
                <w:lang w:val="en-US"/>
              </w:rPr>
              <w:t>, and delayed-treatment control. Both digital arms achieved large within-group effect sizes on worry (PSWQ d = 1.16–1.07) and GAD severity (GAD-7 d = 1.55–1.73), and large between-group effects relative to waitlist; 56–70% of treated participants met recovery criteria on GAD-7 at post-treatment versus 10% in the control group.</w:t>
            </w:r>
          </w:p>
          <w:p w14:paraId="1D5C796D" w14:textId="77777777" w:rsidR="00ED46EE" w:rsidRPr="008B6BC5" w:rsidRDefault="00ED46EE" w:rsidP="009074B7">
            <w:pPr>
              <w:pStyle w:val="NoSpacing"/>
              <w:rPr>
                <w:rFonts w:cs="Times New Roman"/>
                <w:sz w:val="20"/>
                <w:szCs w:val="20"/>
                <w:lang w:val="en-US"/>
              </w:rPr>
            </w:pPr>
          </w:p>
        </w:tc>
        <w:tc>
          <w:tcPr>
            <w:tcW w:w="4394" w:type="dxa"/>
          </w:tcPr>
          <w:p w14:paraId="7FAAFED2" w14:textId="1ADD9500" w:rsidR="00ED46EE" w:rsidRPr="008B6BC5" w:rsidRDefault="003435CE" w:rsidP="009074B7">
            <w:pPr>
              <w:pStyle w:val="NoSpacing"/>
              <w:rPr>
                <w:rFonts w:cs="Times New Roman"/>
                <w:sz w:val="20"/>
                <w:szCs w:val="20"/>
                <w:lang w:val="en-US"/>
              </w:rPr>
            </w:pPr>
            <w:r w:rsidRPr="008B6BC5">
              <w:rPr>
                <w:rFonts w:cs="Times New Roman"/>
                <w:sz w:val="20"/>
                <w:szCs w:val="20"/>
                <w:lang w:val="en-US"/>
              </w:rPr>
              <w:t>DOI: 10.1371/journal.pone.0010942</w:t>
            </w:r>
          </w:p>
        </w:tc>
        <w:tc>
          <w:tcPr>
            <w:tcW w:w="709" w:type="dxa"/>
          </w:tcPr>
          <w:p w14:paraId="5DFEAF48" w14:textId="5F62C3BF" w:rsidR="00ED46EE" w:rsidRPr="008B6BC5" w:rsidRDefault="003463C6" w:rsidP="009074B7">
            <w:pPr>
              <w:pStyle w:val="NoSpacing"/>
              <w:rPr>
                <w:rFonts w:cs="Times New Roman"/>
                <w:sz w:val="20"/>
                <w:szCs w:val="20"/>
                <w:lang w:val="en-US"/>
              </w:rPr>
            </w:pPr>
            <w:r w:rsidRPr="008B6BC5">
              <w:rPr>
                <w:rFonts w:cs="Times New Roman"/>
                <w:sz w:val="20"/>
                <w:szCs w:val="20"/>
                <w:lang w:val="en-US"/>
              </w:rPr>
              <w:t>4</w:t>
            </w:r>
          </w:p>
        </w:tc>
        <w:tc>
          <w:tcPr>
            <w:tcW w:w="3686" w:type="dxa"/>
          </w:tcPr>
          <w:p w14:paraId="0E9733B4" w14:textId="0AF223FA" w:rsidR="00ED46EE" w:rsidRPr="008B6BC5" w:rsidRDefault="009E71F8" w:rsidP="009074B7">
            <w:pPr>
              <w:pStyle w:val="NoSpacing"/>
              <w:rPr>
                <w:rFonts w:cs="Times New Roman"/>
                <w:sz w:val="20"/>
                <w:szCs w:val="20"/>
                <w:lang w:val="en-US"/>
              </w:rPr>
            </w:pPr>
            <w:r w:rsidRPr="008B6BC5">
              <w:rPr>
                <w:rFonts w:cs="Times New Roman"/>
                <w:sz w:val="20"/>
                <w:szCs w:val="20"/>
                <w:lang w:val="en-US"/>
              </w:rPr>
              <w:t>No inaccuracies detected.</w:t>
            </w:r>
          </w:p>
        </w:tc>
      </w:tr>
      <w:tr w:rsidR="00883945" w:rsidRPr="008B6BC5" w14:paraId="048753E6" w14:textId="77777777" w:rsidTr="00202DA2">
        <w:tc>
          <w:tcPr>
            <w:tcW w:w="1702" w:type="dxa"/>
          </w:tcPr>
          <w:p w14:paraId="7D4FCAE5" w14:textId="47DFF3EA" w:rsidR="00ED46EE" w:rsidRPr="008B6BC5" w:rsidRDefault="00CF2D93" w:rsidP="009074B7">
            <w:pPr>
              <w:pStyle w:val="NoSpacing"/>
              <w:rPr>
                <w:rFonts w:cs="Times New Roman"/>
                <w:sz w:val="20"/>
                <w:szCs w:val="20"/>
                <w:lang w:val="en-US"/>
              </w:rPr>
            </w:pPr>
            <w:r w:rsidRPr="008B6BC5">
              <w:rPr>
                <w:rFonts w:cs="Times New Roman"/>
                <w:sz w:val="20"/>
                <w:szCs w:val="20"/>
                <w:lang w:val="en-US"/>
              </w:rPr>
              <w:t>5</w:t>
            </w:r>
          </w:p>
        </w:tc>
        <w:tc>
          <w:tcPr>
            <w:tcW w:w="5953" w:type="dxa"/>
          </w:tcPr>
          <w:p w14:paraId="1BC3522D" w14:textId="77777777" w:rsidR="004723F1" w:rsidRPr="008B6BC5" w:rsidRDefault="004723F1" w:rsidP="004723F1">
            <w:pPr>
              <w:pStyle w:val="NoSpacing"/>
              <w:rPr>
                <w:rFonts w:cs="Times New Roman"/>
                <w:sz w:val="20"/>
                <w:szCs w:val="20"/>
                <w:lang w:val="en-US"/>
              </w:rPr>
            </w:pPr>
            <w:r w:rsidRPr="008B6BC5">
              <w:rPr>
                <w:rFonts w:cs="Times New Roman"/>
                <w:sz w:val="20"/>
                <w:szCs w:val="20"/>
                <w:lang w:val="en-US"/>
              </w:rPr>
              <w:t xml:space="preserve">Carl et al. (2020) tested “Daylight,” a smartphone-delivered CBT program for 256 adults with moderate-to-severe GAD in a two-arm RCT against waitlist. At the 6-week primary endpoint, digital CBT produced </w:t>
            </w:r>
            <w:r w:rsidRPr="008B6BC5">
              <w:rPr>
                <w:rFonts w:cs="Times New Roman"/>
                <w:sz w:val="20"/>
                <w:szCs w:val="20"/>
                <w:lang w:val="en-US"/>
              </w:rPr>
              <w:lastRenderedPageBreak/>
              <w:t xml:space="preserve">a large between-group effect on GAD-7 scores (d = 1.08), with concurrent improvements in worry, depressive symptoms, sleep difficulty, and quality of life. </w:t>
            </w:r>
          </w:p>
          <w:p w14:paraId="04A3C9A6" w14:textId="77777777" w:rsidR="00ED46EE" w:rsidRPr="008B6BC5" w:rsidRDefault="00ED46EE" w:rsidP="009074B7">
            <w:pPr>
              <w:pStyle w:val="NoSpacing"/>
              <w:rPr>
                <w:rFonts w:cs="Times New Roman"/>
                <w:sz w:val="20"/>
                <w:szCs w:val="20"/>
                <w:lang w:val="en-US"/>
              </w:rPr>
            </w:pPr>
          </w:p>
        </w:tc>
        <w:tc>
          <w:tcPr>
            <w:tcW w:w="4394" w:type="dxa"/>
          </w:tcPr>
          <w:p w14:paraId="1A7BA346" w14:textId="66E15933" w:rsidR="00ED46EE" w:rsidRPr="008B6BC5" w:rsidRDefault="003435CE" w:rsidP="009074B7">
            <w:pPr>
              <w:pStyle w:val="NoSpacing"/>
              <w:rPr>
                <w:rFonts w:cs="Times New Roman"/>
                <w:sz w:val="20"/>
                <w:szCs w:val="20"/>
                <w:lang w:val="en-US"/>
              </w:rPr>
            </w:pPr>
            <w:r w:rsidRPr="008B6BC5">
              <w:rPr>
                <w:rFonts w:cs="Times New Roman"/>
                <w:sz w:val="20"/>
                <w:szCs w:val="20"/>
                <w:lang w:val="en-US"/>
              </w:rPr>
              <w:lastRenderedPageBreak/>
              <w:t>DOI: 10.1002/da.23079</w:t>
            </w:r>
          </w:p>
        </w:tc>
        <w:tc>
          <w:tcPr>
            <w:tcW w:w="709" w:type="dxa"/>
          </w:tcPr>
          <w:p w14:paraId="1433703A" w14:textId="1DCD9D7C" w:rsidR="00ED46EE" w:rsidRPr="008B6BC5" w:rsidRDefault="00813661" w:rsidP="009074B7">
            <w:pPr>
              <w:pStyle w:val="NoSpacing"/>
              <w:rPr>
                <w:rFonts w:cs="Times New Roman"/>
                <w:sz w:val="20"/>
                <w:szCs w:val="20"/>
                <w:lang w:val="en-US"/>
              </w:rPr>
            </w:pPr>
            <w:r w:rsidRPr="008B6BC5">
              <w:rPr>
                <w:rFonts w:cs="Times New Roman"/>
                <w:sz w:val="20"/>
                <w:szCs w:val="20"/>
                <w:lang w:val="en-US"/>
              </w:rPr>
              <w:t>4</w:t>
            </w:r>
          </w:p>
        </w:tc>
        <w:tc>
          <w:tcPr>
            <w:tcW w:w="3686" w:type="dxa"/>
          </w:tcPr>
          <w:p w14:paraId="1465129A" w14:textId="48905680" w:rsidR="00ED46EE" w:rsidRPr="008B6BC5" w:rsidRDefault="00813661" w:rsidP="009074B7">
            <w:pPr>
              <w:pStyle w:val="NoSpacing"/>
              <w:rPr>
                <w:rFonts w:cs="Times New Roman"/>
                <w:sz w:val="20"/>
                <w:szCs w:val="20"/>
                <w:lang w:val="en-US"/>
              </w:rPr>
            </w:pPr>
            <w:r w:rsidRPr="008B6BC5">
              <w:rPr>
                <w:rFonts w:cs="Times New Roman"/>
                <w:sz w:val="20"/>
                <w:szCs w:val="20"/>
                <w:lang w:val="en-US"/>
              </w:rPr>
              <w:t>No inaccuracies detected.</w:t>
            </w:r>
          </w:p>
        </w:tc>
      </w:tr>
      <w:tr w:rsidR="008F0EE3" w:rsidRPr="008B6BC5" w14:paraId="49FA80E4" w14:textId="77777777" w:rsidTr="00202DA2">
        <w:tc>
          <w:tcPr>
            <w:tcW w:w="1702" w:type="dxa"/>
          </w:tcPr>
          <w:p w14:paraId="56AA49A3" w14:textId="759D29E7" w:rsidR="008F0EE3" w:rsidRPr="008B6BC5" w:rsidRDefault="00CF2D93" w:rsidP="008F0EE3">
            <w:pPr>
              <w:pStyle w:val="NoSpacing"/>
              <w:rPr>
                <w:rFonts w:cs="Times New Roman"/>
                <w:sz w:val="20"/>
                <w:szCs w:val="20"/>
                <w:lang w:val="en-US"/>
              </w:rPr>
            </w:pPr>
            <w:r w:rsidRPr="008B6BC5">
              <w:rPr>
                <w:rFonts w:cs="Times New Roman"/>
                <w:sz w:val="20"/>
                <w:szCs w:val="20"/>
                <w:lang w:val="en-US"/>
              </w:rPr>
              <w:t>6</w:t>
            </w:r>
          </w:p>
        </w:tc>
        <w:tc>
          <w:tcPr>
            <w:tcW w:w="5953" w:type="dxa"/>
          </w:tcPr>
          <w:p w14:paraId="582D9690" w14:textId="77777777" w:rsidR="008F0EE3" w:rsidRPr="008B6BC5" w:rsidRDefault="008F0EE3" w:rsidP="008F0EE3">
            <w:pPr>
              <w:pStyle w:val="NoSpacing"/>
              <w:rPr>
                <w:rFonts w:cs="Times New Roman"/>
                <w:sz w:val="20"/>
                <w:szCs w:val="20"/>
                <w:lang w:val="en-US"/>
              </w:rPr>
            </w:pPr>
            <w:r w:rsidRPr="008B6BC5">
              <w:rPr>
                <w:rFonts w:cs="Times New Roman"/>
                <w:sz w:val="20"/>
                <w:szCs w:val="20"/>
                <w:lang w:val="en-US"/>
              </w:rPr>
              <w:t>A randomized comparative study enrolled 58 adults with GAD into VR-based relaxation (immersive calming environments plus relaxation training) versus standard therapist-guided mental imagery relaxation (</w:t>
            </w:r>
            <w:proofErr w:type="spellStart"/>
            <w:r w:rsidRPr="008B6BC5">
              <w:rPr>
                <w:rFonts w:cs="Times New Roman"/>
                <w:sz w:val="20"/>
                <w:szCs w:val="20"/>
                <w:lang w:val="en-US"/>
              </w:rPr>
              <w:t>Malbos</w:t>
            </w:r>
            <w:proofErr w:type="spellEnd"/>
            <w:r w:rsidRPr="008B6BC5">
              <w:rPr>
                <w:rFonts w:cs="Times New Roman"/>
                <w:sz w:val="20"/>
                <w:szCs w:val="20"/>
                <w:lang w:val="en-US"/>
              </w:rPr>
              <w:t xml:space="preserve"> et al., 2025). Both groups exhibited significant pre–post reductions in worry, state and trait anxiety, and depressive symptoms, with no significant group-by-time interactions on primary clinical outcomes, indicating comparable efficacy</w:t>
            </w:r>
          </w:p>
          <w:p w14:paraId="5DD7DD10" w14:textId="5CABFAEA" w:rsidR="008F0EE3" w:rsidRPr="008B6BC5" w:rsidRDefault="008F0EE3" w:rsidP="008F0EE3">
            <w:pPr>
              <w:pStyle w:val="NoSpacing"/>
              <w:rPr>
                <w:rFonts w:cs="Times New Roman"/>
                <w:sz w:val="20"/>
                <w:szCs w:val="20"/>
                <w:lang w:val="en-US"/>
              </w:rPr>
            </w:pPr>
          </w:p>
        </w:tc>
        <w:tc>
          <w:tcPr>
            <w:tcW w:w="4394" w:type="dxa"/>
          </w:tcPr>
          <w:p w14:paraId="3D488967" w14:textId="1B601651" w:rsidR="008F0EE3" w:rsidRPr="008B6BC5" w:rsidRDefault="008F0EE3" w:rsidP="008F0EE3">
            <w:pPr>
              <w:pStyle w:val="NoSpacing"/>
              <w:rPr>
                <w:rFonts w:cs="Times New Roman"/>
                <w:sz w:val="20"/>
                <w:szCs w:val="20"/>
                <w:lang w:val="en-US"/>
              </w:rPr>
            </w:pPr>
            <w:r w:rsidRPr="008B6BC5">
              <w:rPr>
                <w:rFonts w:cs="Times New Roman"/>
                <w:sz w:val="20"/>
                <w:szCs w:val="20"/>
                <w:lang w:val="en-US"/>
              </w:rPr>
              <w:t>https://doi.org/10.3390/ jcm14041351</w:t>
            </w:r>
          </w:p>
        </w:tc>
        <w:tc>
          <w:tcPr>
            <w:tcW w:w="709" w:type="dxa"/>
          </w:tcPr>
          <w:p w14:paraId="22CBFF0C" w14:textId="6E9023EB" w:rsidR="008F0EE3" w:rsidRPr="008B6BC5" w:rsidRDefault="008F0EE3" w:rsidP="008F0EE3">
            <w:pPr>
              <w:pStyle w:val="NoSpacing"/>
              <w:rPr>
                <w:rFonts w:cs="Times New Roman"/>
                <w:sz w:val="20"/>
                <w:szCs w:val="20"/>
                <w:lang w:val="en-US"/>
              </w:rPr>
            </w:pPr>
            <w:r w:rsidRPr="008B6BC5">
              <w:rPr>
                <w:rFonts w:cs="Times New Roman"/>
                <w:sz w:val="20"/>
                <w:szCs w:val="20"/>
                <w:lang w:val="en-US"/>
              </w:rPr>
              <w:t>4</w:t>
            </w:r>
          </w:p>
        </w:tc>
        <w:tc>
          <w:tcPr>
            <w:tcW w:w="3686" w:type="dxa"/>
          </w:tcPr>
          <w:p w14:paraId="070445E8" w14:textId="2ABECF7B" w:rsidR="008F0EE3" w:rsidRPr="008B6BC5" w:rsidRDefault="008F0EE3" w:rsidP="008F0EE3">
            <w:pPr>
              <w:pStyle w:val="NoSpacing"/>
              <w:rPr>
                <w:rFonts w:cs="Times New Roman"/>
                <w:sz w:val="20"/>
                <w:szCs w:val="20"/>
                <w:lang w:val="en-US"/>
              </w:rPr>
            </w:pPr>
            <w:r w:rsidRPr="008B6BC5">
              <w:rPr>
                <w:rFonts w:cs="Times New Roman"/>
                <w:sz w:val="20"/>
                <w:szCs w:val="20"/>
                <w:lang w:val="en-US"/>
              </w:rPr>
              <w:t>No inaccuracies detected.</w:t>
            </w:r>
          </w:p>
        </w:tc>
      </w:tr>
      <w:tr w:rsidR="001B6E3F" w:rsidRPr="008B6BC5" w14:paraId="56D6107D" w14:textId="77777777" w:rsidTr="00202DA2">
        <w:tc>
          <w:tcPr>
            <w:tcW w:w="1702" w:type="dxa"/>
          </w:tcPr>
          <w:p w14:paraId="2A2F79BB" w14:textId="295D7137" w:rsidR="001B6E3F" w:rsidRPr="008B6BC5" w:rsidRDefault="00CF2D93" w:rsidP="001B6E3F">
            <w:pPr>
              <w:pStyle w:val="NoSpacing"/>
              <w:rPr>
                <w:rFonts w:cs="Times New Roman"/>
                <w:sz w:val="20"/>
                <w:szCs w:val="20"/>
                <w:lang w:val="en-US"/>
              </w:rPr>
            </w:pPr>
            <w:r w:rsidRPr="008B6BC5">
              <w:rPr>
                <w:rFonts w:cs="Times New Roman"/>
                <w:sz w:val="20"/>
                <w:szCs w:val="20"/>
                <w:lang w:val="en-US"/>
              </w:rPr>
              <w:t>7</w:t>
            </w:r>
          </w:p>
        </w:tc>
        <w:tc>
          <w:tcPr>
            <w:tcW w:w="5953" w:type="dxa"/>
          </w:tcPr>
          <w:p w14:paraId="6A30A1F9" w14:textId="12DA5BFC" w:rsidR="001B6E3F" w:rsidRPr="008B6BC5" w:rsidRDefault="001B6E3F" w:rsidP="001B6E3F">
            <w:pPr>
              <w:pStyle w:val="NoSpacing"/>
              <w:rPr>
                <w:rFonts w:cs="Times New Roman"/>
                <w:sz w:val="20"/>
                <w:szCs w:val="20"/>
                <w:lang w:val="en-US"/>
              </w:rPr>
            </w:pPr>
            <w:r w:rsidRPr="008B6BC5">
              <w:rPr>
                <w:rFonts w:cs="Times New Roman"/>
                <w:sz w:val="20"/>
                <w:szCs w:val="20"/>
                <w:lang w:val="en-US"/>
              </w:rPr>
              <w:t xml:space="preserve">Meta-analyses that pool both face-to-face CBT and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trials further corroborate that CBT (including internet-delivered CBT) outperforms pill placebo and psychological placebo conditions for GAD, typically with moderate-to-large standardized mean differences (Zhang et al., 2022).</w:t>
            </w:r>
            <w:r w:rsidRPr="008B6BC5">
              <w:rPr>
                <w:rFonts w:cs="Times New Roman"/>
                <w:sz w:val="20"/>
                <w:szCs w:val="20"/>
                <w:vertAlign w:val="superscript"/>
                <w:lang w:val="en-US"/>
              </w:rPr>
              <w:t>1</w:t>
            </w:r>
          </w:p>
          <w:p w14:paraId="78829218" w14:textId="03E8BE54" w:rsidR="001B6E3F" w:rsidRPr="008B6BC5" w:rsidRDefault="001B6E3F" w:rsidP="001B6E3F">
            <w:pPr>
              <w:pStyle w:val="NoSpacing"/>
              <w:rPr>
                <w:rFonts w:cs="Times New Roman"/>
                <w:sz w:val="20"/>
                <w:szCs w:val="20"/>
                <w:lang w:val="en-US"/>
              </w:rPr>
            </w:pPr>
            <w:r w:rsidRPr="008B6BC5">
              <w:rPr>
                <w:rFonts w:cs="Times New Roman"/>
                <w:sz w:val="20"/>
                <w:szCs w:val="20"/>
                <w:lang w:val="en-US"/>
              </w:rPr>
              <w:t xml:space="preserve"> </w:t>
            </w:r>
          </w:p>
        </w:tc>
        <w:tc>
          <w:tcPr>
            <w:tcW w:w="4394" w:type="dxa"/>
          </w:tcPr>
          <w:p w14:paraId="442BAD69" w14:textId="26BEE1CA" w:rsidR="001B6E3F" w:rsidRPr="008B6BC5" w:rsidRDefault="001B6E3F" w:rsidP="001B6E3F">
            <w:pPr>
              <w:pStyle w:val="NoSpacing"/>
              <w:rPr>
                <w:rFonts w:cs="Times New Roman"/>
                <w:sz w:val="20"/>
                <w:szCs w:val="20"/>
                <w:lang w:val="en-US"/>
              </w:rPr>
            </w:pPr>
            <w:r w:rsidRPr="008B6BC5">
              <w:rPr>
                <w:rFonts w:cs="Times New Roman"/>
                <w:sz w:val="20"/>
                <w:szCs w:val="20"/>
                <w:lang w:val="en-US"/>
              </w:rPr>
              <w:t>DOI: 10.1080/16506073.2018.1560358</w:t>
            </w:r>
          </w:p>
        </w:tc>
        <w:tc>
          <w:tcPr>
            <w:tcW w:w="709" w:type="dxa"/>
          </w:tcPr>
          <w:p w14:paraId="5AA87760" w14:textId="30D8E121" w:rsidR="001B6E3F" w:rsidRPr="008B6BC5" w:rsidRDefault="001B6E3F" w:rsidP="001B6E3F">
            <w:pPr>
              <w:pStyle w:val="NoSpacing"/>
              <w:rPr>
                <w:rFonts w:cs="Times New Roman"/>
                <w:sz w:val="20"/>
                <w:szCs w:val="20"/>
                <w:lang w:val="en-US"/>
              </w:rPr>
            </w:pPr>
            <w:r w:rsidRPr="008B6BC5">
              <w:rPr>
                <w:rFonts w:cs="Times New Roman"/>
                <w:sz w:val="20"/>
                <w:szCs w:val="20"/>
                <w:lang w:val="en-US"/>
              </w:rPr>
              <w:t>4</w:t>
            </w:r>
          </w:p>
        </w:tc>
        <w:tc>
          <w:tcPr>
            <w:tcW w:w="3686" w:type="dxa"/>
          </w:tcPr>
          <w:p w14:paraId="0BF87CBD" w14:textId="0B418B27" w:rsidR="001B6E3F" w:rsidRPr="008B6BC5" w:rsidRDefault="001B6E3F" w:rsidP="001B6E3F">
            <w:pPr>
              <w:pStyle w:val="NoSpacing"/>
              <w:rPr>
                <w:rFonts w:cs="Times New Roman"/>
                <w:sz w:val="20"/>
                <w:szCs w:val="20"/>
                <w:lang w:val="en-US"/>
              </w:rPr>
            </w:pPr>
            <w:r w:rsidRPr="008B6BC5">
              <w:rPr>
                <w:rFonts w:cs="Times New Roman"/>
                <w:sz w:val="20"/>
                <w:szCs w:val="20"/>
                <w:lang w:val="en-US"/>
              </w:rPr>
              <w:t>No inaccuracies detected.</w:t>
            </w:r>
          </w:p>
        </w:tc>
      </w:tr>
      <w:tr w:rsidR="001B6E3F" w:rsidRPr="008B6BC5" w14:paraId="48E07256" w14:textId="77777777" w:rsidTr="00202DA2">
        <w:tc>
          <w:tcPr>
            <w:tcW w:w="1702" w:type="dxa"/>
          </w:tcPr>
          <w:p w14:paraId="6D435D3B" w14:textId="4A5CF61C" w:rsidR="00CF2D93" w:rsidRPr="008B6BC5" w:rsidRDefault="00CF2D93" w:rsidP="001B6E3F">
            <w:pPr>
              <w:pStyle w:val="NoSpacing"/>
              <w:rPr>
                <w:rFonts w:cs="Times New Roman"/>
                <w:sz w:val="20"/>
                <w:szCs w:val="20"/>
                <w:lang w:val="en-US"/>
              </w:rPr>
            </w:pPr>
            <w:r w:rsidRPr="008B6BC5">
              <w:rPr>
                <w:rFonts w:cs="Times New Roman"/>
                <w:sz w:val="20"/>
                <w:szCs w:val="20"/>
                <w:lang w:val="en-US"/>
              </w:rPr>
              <w:t>8</w:t>
            </w:r>
          </w:p>
        </w:tc>
        <w:tc>
          <w:tcPr>
            <w:tcW w:w="5953" w:type="dxa"/>
          </w:tcPr>
          <w:p w14:paraId="14D109E7" w14:textId="11641784" w:rsidR="001B6E3F" w:rsidRPr="008B6BC5" w:rsidRDefault="001B6E3F" w:rsidP="001B6E3F">
            <w:pPr>
              <w:pStyle w:val="NoSpacing"/>
              <w:rPr>
                <w:rFonts w:cs="Times New Roman"/>
                <w:sz w:val="20"/>
                <w:szCs w:val="20"/>
                <w:lang w:val="en-US"/>
              </w:rPr>
            </w:pPr>
            <w:r w:rsidRPr="008B6BC5">
              <w:rPr>
                <w:rFonts w:cs="Times New Roman"/>
                <w:sz w:val="20"/>
                <w:szCs w:val="20"/>
                <w:lang w:val="en-US"/>
              </w:rPr>
              <w:t>Andersson et al. (2012) randomized adults with GAD to internet-based psychodynamic therapy (IPDT) or internet-based CBT, both delivered as guided self-help over 10 weeks. Both treatments produced significant and clinically meaningful reductions in GAD symptoms, with modest-to-moderate effect sizes and no significant between-group differences</w:t>
            </w:r>
          </w:p>
        </w:tc>
        <w:tc>
          <w:tcPr>
            <w:tcW w:w="4394" w:type="dxa"/>
          </w:tcPr>
          <w:p w14:paraId="32759007" w14:textId="14A77964" w:rsidR="001B6E3F" w:rsidRPr="008B6BC5" w:rsidRDefault="001B6E3F" w:rsidP="001B6E3F">
            <w:pPr>
              <w:pStyle w:val="NoSpacing"/>
              <w:rPr>
                <w:rFonts w:cs="Times New Roman"/>
                <w:sz w:val="20"/>
                <w:szCs w:val="20"/>
                <w:lang w:val="en-US"/>
              </w:rPr>
            </w:pPr>
            <w:r w:rsidRPr="008B6BC5">
              <w:rPr>
                <w:rFonts w:cs="Times New Roman"/>
                <w:sz w:val="20"/>
                <w:szCs w:val="20"/>
                <w:lang w:val="en-US"/>
              </w:rPr>
              <w:t>DOI: 10.1159/000339371</w:t>
            </w:r>
          </w:p>
        </w:tc>
        <w:tc>
          <w:tcPr>
            <w:tcW w:w="709" w:type="dxa"/>
          </w:tcPr>
          <w:p w14:paraId="63231D5B" w14:textId="46B3984E" w:rsidR="001B6E3F" w:rsidRPr="008B6BC5" w:rsidRDefault="001219ED" w:rsidP="001B6E3F">
            <w:pPr>
              <w:pStyle w:val="NoSpacing"/>
              <w:rPr>
                <w:rFonts w:cs="Times New Roman"/>
                <w:sz w:val="20"/>
                <w:szCs w:val="20"/>
                <w:lang w:val="en-US"/>
              </w:rPr>
            </w:pPr>
            <w:r w:rsidRPr="008B6BC5">
              <w:rPr>
                <w:rFonts w:cs="Times New Roman"/>
                <w:sz w:val="20"/>
                <w:szCs w:val="20"/>
                <w:lang w:val="en-US"/>
              </w:rPr>
              <w:t>3</w:t>
            </w:r>
          </w:p>
        </w:tc>
        <w:tc>
          <w:tcPr>
            <w:tcW w:w="3686" w:type="dxa"/>
          </w:tcPr>
          <w:p w14:paraId="552A0A78" w14:textId="3142A974" w:rsidR="001B6E3F" w:rsidRPr="008B6BC5" w:rsidRDefault="00717114" w:rsidP="001B6E3F">
            <w:pPr>
              <w:pStyle w:val="NoSpacing"/>
              <w:rPr>
                <w:rFonts w:cs="Times New Roman"/>
                <w:sz w:val="20"/>
                <w:szCs w:val="20"/>
                <w:lang w:val="en-US"/>
              </w:rPr>
            </w:pPr>
            <w:r w:rsidRPr="008B6BC5">
              <w:rPr>
                <w:rFonts w:cs="Times New Roman"/>
                <w:sz w:val="20"/>
                <w:szCs w:val="20"/>
                <w:lang w:val="en-US"/>
              </w:rPr>
              <w:t>Treatment lasted 8 not 10 weeks, and some effect sizes</w:t>
            </w:r>
            <w:r w:rsidR="00CC354E" w:rsidRPr="008B6BC5">
              <w:rPr>
                <w:rFonts w:cs="Times New Roman"/>
                <w:sz w:val="20"/>
                <w:szCs w:val="20"/>
                <w:lang w:val="en-US"/>
              </w:rPr>
              <w:t xml:space="preserve"> for anxiety symptoms</w:t>
            </w:r>
            <w:r w:rsidRPr="008B6BC5">
              <w:rPr>
                <w:rFonts w:cs="Times New Roman"/>
                <w:sz w:val="20"/>
                <w:szCs w:val="20"/>
                <w:lang w:val="en-US"/>
              </w:rPr>
              <w:t xml:space="preserve"> were large. </w:t>
            </w:r>
          </w:p>
        </w:tc>
      </w:tr>
      <w:tr w:rsidR="001B6E3F" w:rsidRPr="008B6BC5" w14:paraId="278B4BBE" w14:textId="77777777" w:rsidTr="00202DA2">
        <w:tc>
          <w:tcPr>
            <w:tcW w:w="1702" w:type="dxa"/>
          </w:tcPr>
          <w:p w14:paraId="658F37CA" w14:textId="6B5A740D" w:rsidR="001B6E3F" w:rsidRPr="008B6BC5" w:rsidRDefault="00B65EF0" w:rsidP="001B6E3F">
            <w:pPr>
              <w:pStyle w:val="NoSpacing"/>
              <w:rPr>
                <w:rFonts w:cs="Times New Roman"/>
                <w:sz w:val="20"/>
                <w:szCs w:val="20"/>
                <w:lang w:val="en-US"/>
              </w:rPr>
            </w:pPr>
            <w:r w:rsidRPr="008B6BC5">
              <w:rPr>
                <w:rFonts w:cs="Times New Roman"/>
                <w:sz w:val="20"/>
                <w:szCs w:val="20"/>
                <w:lang w:val="en-US"/>
              </w:rPr>
              <w:t>9</w:t>
            </w:r>
          </w:p>
        </w:tc>
        <w:tc>
          <w:tcPr>
            <w:tcW w:w="5953" w:type="dxa"/>
          </w:tcPr>
          <w:p w14:paraId="01C03A27" w14:textId="77777777" w:rsidR="001B6E3F" w:rsidRPr="008B6BC5" w:rsidRDefault="001B6E3F" w:rsidP="001B6E3F">
            <w:pPr>
              <w:pStyle w:val="NoSpacing"/>
              <w:rPr>
                <w:rFonts w:cs="Times New Roman"/>
                <w:sz w:val="20"/>
                <w:szCs w:val="20"/>
                <w:lang w:val="en-US"/>
              </w:rPr>
            </w:pPr>
            <w:r w:rsidRPr="008B6BC5">
              <w:rPr>
                <w:rFonts w:cs="Times New Roman"/>
                <w:sz w:val="20"/>
                <w:szCs w:val="20"/>
                <w:lang w:val="en-US"/>
              </w:rPr>
              <w:t xml:space="preserve">Robinson et al. (2010) demonstrated that technician-assisted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was non-inferior to clinician-assisted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on symptom outcomes and recovery rates, </w:t>
            </w:r>
          </w:p>
          <w:p w14:paraId="6415FAFA" w14:textId="77777777" w:rsidR="001B6E3F" w:rsidRPr="008B6BC5" w:rsidRDefault="001B6E3F" w:rsidP="009B28E6">
            <w:pPr>
              <w:pStyle w:val="NoSpacing"/>
              <w:rPr>
                <w:rFonts w:cs="Times New Roman"/>
                <w:sz w:val="20"/>
                <w:szCs w:val="20"/>
                <w:lang w:val="en-US"/>
              </w:rPr>
            </w:pPr>
          </w:p>
        </w:tc>
        <w:tc>
          <w:tcPr>
            <w:tcW w:w="4394" w:type="dxa"/>
          </w:tcPr>
          <w:p w14:paraId="3A4A443A" w14:textId="2CC1013E" w:rsidR="001B6E3F" w:rsidRPr="008B6BC5" w:rsidRDefault="001B6E3F" w:rsidP="001B6E3F">
            <w:pPr>
              <w:pStyle w:val="NoSpacing"/>
              <w:rPr>
                <w:rFonts w:cs="Times New Roman"/>
                <w:sz w:val="20"/>
                <w:szCs w:val="20"/>
                <w:lang w:val="en-US"/>
              </w:rPr>
            </w:pPr>
            <w:r w:rsidRPr="008B6BC5">
              <w:rPr>
                <w:rFonts w:cs="Times New Roman"/>
                <w:sz w:val="20"/>
                <w:szCs w:val="20"/>
                <w:lang w:val="en-US"/>
              </w:rPr>
              <w:t>DOI: 10.1371/journal.pone.0010942</w:t>
            </w:r>
          </w:p>
        </w:tc>
        <w:tc>
          <w:tcPr>
            <w:tcW w:w="709" w:type="dxa"/>
          </w:tcPr>
          <w:p w14:paraId="4E284521" w14:textId="656B94C4" w:rsidR="001B6E3F" w:rsidRPr="008B6BC5" w:rsidRDefault="00CC354E" w:rsidP="001B6E3F">
            <w:pPr>
              <w:pStyle w:val="NoSpacing"/>
              <w:rPr>
                <w:rFonts w:cs="Times New Roman"/>
                <w:sz w:val="20"/>
                <w:szCs w:val="20"/>
                <w:lang w:val="en-US"/>
              </w:rPr>
            </w:pPr>
            <w:r w:rsidRPr="008B6BC5">
              <w:rPr>
                <w:rFonts w:cs="Times New Roman"/>
                <w:sz w:val="20"/>
                <w:szCs w:val="20"/>
                <w:lang w:val="en-US"/>
              </w:rPr>
              <w:t>2</w:t>
            </w:r>
          </w:p>
        </w:tc>
        <w:tc>
          <w:tcPr>
            <w:tcW w:w="3686" w:type="dxa"/>
          </w:tcPr>
          <w:p w14:paraId="79F0D794" w14:textId="0124CDCC" w:rsidR="001B6E3F" w:rsidRPr="008B6BC5" w:rsidRDefault="00993896" w:rsidP="001B6E3F">
            <w:pPr>
              <w:pStyle w:val="NoSpacing"/>
              <w:rPr>
                <w:rFonts w:cs="Times New Roman"/>
                <w:sz w:val="20"/>
                <w:szCs w:val="20"/>
                <w:lang w:val="en-US"/>
              </w:rPr>
            </w:pPr>
            <w:r w:rsidRPr="008B6BC5">
              <w:rPr>
                <w:rFonts w:cs="Times New Roman"/>
                <w:sz w:val="20"/>
                <w:szCs w:val="20"/>
                <w:lang w:val="en-US"/>
              </w:rPr>
              <w:t xml:space="preserve">While </w:t>
            </w:r>
            <w:r w:rsidR="006A53F4" w:rsidRPr="008B6BC5">
              <w:rPr>
                <w:rFonts w:cs="Times New Roman"/>
                <w:sz w:val="20"/>
                <w:szCs w:val="20"/>
                <w:lang w:val="en-US"/>
              </w:rPr>
              <w:t>no significant between-group differences emerged,</w:t>
            </w:r>
            <w:r w:rsidR="00CC354E" w:rsidRPr="008B6BC5">
              <w:rPr>
                <w:rFonts w:cs="Times New Roman"/>
                <w:sz w:val="20"/>
                <w:szCs w:val="20"/>
                <w:lang w:val="en-US"/>
              </w:rPr>
              <w:t xml:space="preserve"> formal </w:t>
            </w:r>
            <w:r w:rsidR="00E22A46" w:rsidRPr="008B6BC5">
              <w:rPr>
                <w:rFonts w:cs="Times New Roman"/>
                <w:sz w:val="20"/>
                <w:szCs w:val="20"/>
                <w:lang w:val="en-US"/>
              </w:rPr>
              <w:t>non-</w:t>
            </w:r>
            <w:r w:rsidR="009B28E6" w:rsidRPr="008B6BC5">
              <w:rPr>
                <w:rFonts w:cs="Times New Roman"/>
                <w:sz w:val="20"/>
                <w:szCs w:val="20"/>
                <w:lang w:val="en-US"/>
              </w:rPr>
              <w:t>inferiority</w:t>
            </w:r>
            <w:r w:rsidR="00E22A46" w:rsidRPr="008B6BC5">
              <w:rPr>
                <w:rFonts w:cs="Times New Roman"/>
                <w:sz w:val="20"/>
                <w:szCs w:val="20"/>
                <w:lang w:val="en-US"/>
              </w:rPr>
              <w:t xml:space="preserve"> </w:t>
            </w:r>
            <w:r w:rsidR="00CC354E" w:rsidRPr="008B6BC5">
              <w:rPr>
                <w:rFonts w:cs="Times New Roman"/>
                <w:sz w:val="20"/>
                <w:szCs w:val="20"/>
                <w:lang w:val="en-US"/>
              </w:rPr>
              <w:t>tests</w:t>
            </w:r>
            <w:r w:rsidR="006A53F4" w:rsidRPr="008B6BC5">
              <w:rPr>
                <w:rFonts w:cs="Times New Roman"/>
                <w:sz w:val="20"/>
                <w:szCs w:val="20"/>
                <w:lang w:val="en-US"/>
              </w:rPr>
              <w:t xml:space="preserve"> were not performed</w:t>
            </w:r>
          </w:p>
        </w:tc>
      </w:tr>
      <w:tr w:rsidR="009B28E6" w:rsidRPr="008B6BC5" w14:paraId="600EF0E4" w14:textId="77777777" w:rsidTr="00202DA2">
        <w:tc>
          <w:tcPr>
            <w:tcW w:w="1702" w:type="dxa"/>
          </w:tcPr>
          <w:p w14:paraId="36BEF983" w14:textId="402E6D94" w:rsidR="009B28E6" w:rsidRPr="008B6BC5" w:rsidRDefault="00B65EF0" w:rsidP="001B6E3F">
            <w:pPr>
              <w:pStyle w:val="NoSpacing"/>
              <w:rPr>
                <w:rFonts w:cs="Times New Roman"/>
                <w:sz w:val="20"/>
                <w:szCs w:val="20"/>
                <w:lang w:val="en-US"/>
              </w:rPr>
            </w:pPr>
            <w:r w:rsidRPr="008B6BC5">
              <w:rPr>
                <w:rFonts w:cs="Times New Roman"/>
                <w:sz w:val="20"/>
                <w:szCs w:val="20"/>
                <w:lang w:val="en-US"/>
              </w:rPr>
              <w:t>10</w:t>
            </w:r>
          </w:p>
        </w:tc>
        <w:tc>
          <w:tcPr>
            <w:tcW w:w="5953" w:type="dxa"/>
          </w:tcPr>
          <w:p w14:paraId="7ED39EA9" w14:textId="0DAD6D20" w:rsidR="009B28E6" w:rsidRPr="008B6BC5" w:rsidRDefault="009B28E6" w:rsidP="009B28E6">
            <w:pPr>
              <w:pStyle w:val="NoSpacing"/>
              <w:rPr>
                <w:rFonts w:cs="Times New Roman"/>
                <w:sz w:val="20"/>
                <w:szCs w:val="20"/>
                <w:lang w:val="en-US"/>
              </w:rPr>
            </w:pPr>
            <w:r w:rsidRPr="008B6BC5">
              <w:rPr>
                <w:rFonts w:cs="Times New Roman"/>
                <w:sz w:val="20"/>
                <w:szCs w:val="20"/>
                <w:lang w:val="en-US"/>
              </w:rPr>
              <w:t xml:space="preserve">Similarly, </w:t>
            </w:r>
            <w:proofErr w:type="spellStart"/>
            <w:r w:rsidRPr="008B6BC5">
              <w:rPr>
                <w:rFonts w:cs="Times New Roman"/>
                <w:sz w:val="20"/>
                <w:szCs w:val="20"/>
                <w:lang w:val="en-US"/>
              </w:rPr>
              <w:t>Malbos</w:t>
            </w:r>
            <w:proofErr w:type="spellEnd"/>
            <w:r w:rsidRPr="008B6BC5">
              <w:rPr>
                <w:rFonts w:cs="Times New Roman"/>
                <w:sz w:val="20"/>
                <w:szCs w:val="20"/>
                <w:lang w:val="en-US"/>
              </w:rPr>
              <w:t xml:space="preserve"> et al. (2025) found VR relaxation equivalent to active mental imagery relaxation on anxiety and worry outcomes, with VR offering additional physiological benefits (improved heart rate variability) but not superior </w:t>
            </w:r>
            <w:r w:rsidR="00312B3B" w:rsidRPr="008B6BC5">
              <w:rPr>
                <w:rFonts w:cs="Times New Roman"/>
                <w:sz w:val="20"/>
                <w:szCs w:val="20"/>
                <w:lang w:val="en-US"/>
              </w:rPr>
              <w:t xml:space="preserve">for </w:t>
            </w:r>
            <w:r w:rsidRPr="008B6BC5">
              <w:rPr>
                <w:rFonts w:cs="Times New Roman"/>
                <w:sz w:val="20"/>
                <w:szCs w:val="20"/>
                <w:lang w:val="en-US"/>
              </w:rPr>
              <w:t>symptom reduction.</w:t>
            </w:r>
          </w:p>
          <w:p w14:paraId="5776F8F9" w14:textId="77777777" w:rsidR="009B28E6" w:rsidRPr="008B6BC5" w:rsidRDefault="009B28E6" w:rsidP="001B6E3F">
            <w:pPr>
              <w:pStyle w:val="NoSpacing"/>
              <w:rPr>
                <w:rFonts w:cs="Times New Roman"/>
                <w:sz w:val="20"/>
                <w:szCs w:val="20"/>
                <w:lang w:val="en-US"/>
              </w:rPr>
            </w:pPr>
          </w:p>
        </w:tc>
        <w:tc>
          <w:tcPr>
            <w:tcW w:w="4394" w:type="dxa"/>
          </w:tcPr>
          <w:p w14:paraId="0A3A45E5" w14:textId="76A2C2FA" w:rsidR="009B28E6" w:rsidRPr="008B6BC5" w:rsidRDefault="00B52AA6" w:rsidP="001B6E3F">
            <w:pPr>
              <w:pStyle w:val="NoSpacing"/>
              <w:rPr>
                <w:rFonts w:cs="Times New Roman"/>
                <w:sz w:val="20"/>
                <w:szCs w:val="20"/>
                <w:lang w:val="en-US"/>
              </w:rPr>
            </w:pPr>
            <w:r w:rsidRPr="008B6BC5">
              <w:rPr>
                <w:rFonts w:cs="Times New Roman"/>
                <w:sz w:val="20"/>
                <w:szCs w:val="20"/>
                <w:lang w:val="en-US"/>
              </w:rPr>
              <w:t>https://doi.org/10.3390/ jcm14041351</w:t>
            </w:r>
          </w:p>
        </w:tc>
        <w:tc>
          <w:tcPr>
            <w:tcW w:w="709" w:type="dxa"/>
          </w:tcPr>
          <w:p w14:paraId="78982912" w14:textId="5D1ED659" w:rsidR="009B28E6" w:rsidRPr="008B6BC5" w:rsidRDefault="00B52AA6" w:rsidP="001B6E3F">
            <w:pPr>
              <w:pStyle w:val="NoSpacing"/>
              <w:rPr>
                <w:rFonts w:cs="Times New Roman"/>
                <w:sz w:val="20"/>
                <w:szCs w:val="20"/>
                <w:lang w:val="en-US"/>
              </w:rPr>
            </w:pPr>
            <w:r w:rsidRPr="008B6BC5">
              <w:rPr>
                <w:rFonts w:cs="Times New Roman"/>
                <w:sz w:val="20"/>
                <w:szCs w:val="20"/>
                <w:lang w:val="en-US"/>
              </w:rPr>
              <w:t>2</w:t>
            </w:r>
          </w:p>
        </w:tc>
        <w:tc>
          <w:tcPr>
            <w:tcW w:w="3686" w:type="dxa"/>
          </w:tcPr>
          <w:p w14:paraId="006C914D" w14:textId="057997D5" w:rsidR="009B28E6" w:rsidRPr="008B6BC5" w:rsidRDefault="00DA1FAB" w:rsidP="001B6E3F">
            <w:pPr>
              <w:pStyle w:val="NoSpacing"/>
              <w:rPr>
                <w:rFonts w:cs="Times New Roman"/>
                <w:sz w:val="20"/>
                <w:szCs w:val="20"/>
                <w:lang w:val="en-US"/>
              </w:rPr>
            </w:pPr>
            <w:r w:rsidRPr="008B6BC5">
              <w:rPr>
                <w:rFonts w:cs="Times New Roman"/>
                <w:sz w:val="20"/>
                <w:szCs w:val="20"/>
                <w:lang w:val="en-US"/>
              </w:rPr>
              <w:t xml:space="preserve">The authors did not conduct any formal tests of equivalence and there was no significant treatment by time interaction on physiological markers. </w:t>
            </w:r>
          </w:p>
        </w:tc>
      </w:tr>
      <w:tr w:rsidR="001B6E3F" w:rsidRPr="008B6BC5" w14:paraId="2472001C" w14:textId="77777777" w:rsidTr="00202DA2">
        <w:tc>
          <w:tcPr>
            <w:tcW w:w="1702" w:type="dxa"/>
          </w:tcPr>
          <w:p w14:paraId="25E57EFC" w14:textId="27DCCB98" w:rsidR="001B6E3F" w:rsidRPr="008B6BC5" w:rsidRDefault="00B65EF0" w:rsidP="001B6E3F">
            <w:pPr>
              <w:pStyle w:val="NoSpacing"/>
              <w:rPr>
                <w:rFonts w:cs="Times New Roman"/>
                <w:sz w:val="20"/>
                <w:szCs w:val="20"/>
                <w:lang w:val="en-US"/>
              </w:rPr>
            </w:pPr>
            <w:r w:rsidRPr="008B6BC5">
              <w:rPr>
                <w:rFonts w:cs="Times New Roman"/>
                <w:sz w:val="20"/>
                <w:szCs w:val="20"/>
                <w:lang w:val="en-US"/>
              </w:rPr>
              <w:t>11</w:t>
            </w:r>
          </w:p>
        </w:tc>
        <w:tc>
          <w:tcPr>
            <w:tcW w:w="5953" w:type="dxa"/>
          </w:tcPr>
          <w:p w14:paraId="0F4B0C75" w14:textId="77777777" w:rsidR="001B6E3F" w:rsidRPr="008B6BC5" w:rsidRDefault="001B6E3F" w:rsidP="001B6E3F">
            <w:pPr>
              <w:pStyle w:val="NoSpacing"/>
              <w:rPr>
                <w:rFonts w:cs="Times New Roman"/>
                <w:sz w:val="20"/>
                <w:szCs w:val="20"/>
                <w:lang w:val="en-US"/>
              </w:rPr>
            </w:pPr>
            <w:r w:rsidRPr="008B6BC5">
              <w:rPr>
                <w:rFonts w:cs="Times New Roman"/>
                <w:sz w:val="20"/>
                <w:szCs w:val="20"/>
                <w:lang w:val="en-US"/>
              </w:rPr>
              <w:t>Papola et al. (2024) synthesized RCTs of psychotherapies for adult GAD and concluded that CBT was more effective than treatment as usual across delivery modes, and that the magnitude of benefit was comparable whether CBT was delivered individually, in groups, or as guided self-help (which included internet-delivered CBT).</w:t>
            </w:r>
          </w:p>
          <w:p w14:paraId="2B56FFF3" w14:textId="77777777" w:rsidR="001B6E3F" w:rsidRPr="008B6BC5" w:rsidRDefault="001B6E3F" w:rsidP="001B6E3F">
            <w:pPr>
              <w:pStyle w:val="NoSpacing"/>
              <w:rPr>
                <w:rFonts w:cs="Times New Roman"/>
                <w:sz w:val="20"/>
                <w:szCs w:val="20"/>
                <w:lang w:val="en-US"/>
              </w:rPr>
            </w:pPr>
          </w:p>
        </w:tc>
        <w:tc>
          <w:tcPr>
            <w:tcW w:w="4394" w:type="dxa"/>
          </w:tcPr>
          <w:p w14:paraId="43A5C9E5" w14:textId="1FD20BED" w:rsidR="001B6E3F" w:rsidRPr="008B6BC5" w:rsidRDefault="001B6E3F" w:rsidP="001B6E3F">
            <w:pPr>
              <w:pStyle w:val="NoSpacing"/>
              <w:rPr>
                <w:rFonts w:cs="Times New Roman"/>
                <w:sz w:val="20"/>
                <w:szCs w:val="20"/>
                <w:lang w:val="en-US"/>
              </w:rPr>
            </w:pPr>
            <w:r w:rsidRPr="008B6BC5">
              <w:rPr>
                <w:rFonts w:cs="Times New Roman"/>
                <w:sz w:val="20"/>
                <w:szCs w:val="20"/>
                <w:lang w:val="en-US"/>
              </w:rPr>
              <w:t>doi:10.1001/jamapsychiatry.2023.3971</w:t>
            </w:r>
          </w:p>
        </w:tc>
        <w:tc>
          <w:tcPr>
            <w:tcW w:w="709" w:type="dxa"/>
          </w:tcPr>
          <w:p w14:paraId="4A3F2E02" w14:textId="4E0C222B" w:rsidR="001B6E3F" w:rsidRPr="008B6BC5" w:rsidRDefault="00111D93" w:rsidP="001B6E3F">
            <w:pPr>
              <w:pStyle w:val="NoSpacing"/>
              <w:rPr>
                <w:rFonts w:cs="Times New Roman"/>
                <w:sz w:val="20"/>
                <w:szCs w:val="20"/>
                <w:lang w:val="en-US"/>
              </w:rPr>
            </w:pPr>
            <w:r w:rsidRPr="008B6BC5">
              <w:rPr>
                <w:rFonts w:cs="Times New Roman"/>
                <w:sz w:val="20"/>
                <w:szCs w:val="20"/>
                <w:lang w:val="en-US"/>
              </w:rPr>
              <w:t>1</w:t>
            </w:r>
          </w:p>
        </w:tc>
        <w:tc>
          <w:tcPr>
            <w:tcW w:w="3686" w:type="dxa"/>
          </w:tcPr>
          <w:p w14:paraId="74D4D811" w14:textId="2C21268D" w:rsidR="001B6E3F" w:rsidRPr="008B6BC5" w:rsidRDefault="00737637" w:rsidP="001B6E3F">
            <w:pPr>
              <w:pStyle w:val="NoSpacing"/>
              <w:rPr>
                <w:rFonts w:cs="Times New Roman"/>
                <w:sz w:val="20"/>
                <w:szCs w:val="20"/>
                <w:lang w:val="en-US"/>
              </w:rPr>
            </w:pPr>
            <w:r w:rsidRPr="008B6BC5">
              <w:rPr>
                <w:rFonts w:cs="Times New Roman"/>
                <w:sz w:val="20"/>
                <w:szCs w:val="20"/>
                <w:lang w:val="en-US"/>
              </w:rPr>
              <w:t xml:space="preserve">Treatment modality (group, individual, self-help) was not examined in this meta-analysis. </w:t>
            </w:r>
            <w:r w:rsidR="00993896" w:rsidRPr="008B6BC5">
              <w:rPr>
                <w:rFonts w:cs="Times New Roman"/>
                <w:sz w:val="20"/>
                <w:szCs w:val="20"/>
                <w:lang w:val="en-US"/>
              </w:rPr>
              <w:t xml:space="preserve"> </w:t>
            </w:r>
          </w:p>
        </w:tc>
      </w:tr>
      <w:tr w:rsidR="00737637" w:rsidRPr="008B6BC5" w14:paraId="7FD0780D" w14:textId="77777777" w:rsidTr="00202DA2">
        <w:tc>
          <w:tcPr>
            <w:tcW w:w="1702" w:type="dxa"/>
          </w:tcPr>
          <w:p w14:paraId="447AF66E" w14:textId="0235673D" w:rsidR="00737637" w:rsidRPr="008B6BC5" w:rsidRDefault="00B65EF0" w:rsidP="00737637">
            <w:pPr>
              <w:pStyle w:val="NoSpacing"/>
              <w:rPr>
                <w:rFonts w:cs="Times New Roman"/>
                <w:sz w:val="20"/>
                <w:szCs w:val="20"/>
                <w:lang w:val="en-US"/>
              </w:rPr>
            </w:pPr>
            <w:r w:rsidRPr="008B6BC5">
              <w:rPr>
                <w:rFonts w:cs="Times New Roman"/>
                <w:sz w:val="20"/>
                <w:szCs w:val="20"/>
                <w:lang w:val="en-US"/>
              </w:rPr>
              <w:lastRenderedPageBreak/>
              <w:t>12</w:t>
            </w:r>
          </w:p>
        </w:tc>
        <w:tc>
          <w:tcPr>
            <w:tcW w:w="5953" w:type="dxa"/>
          </w:tcPr>
          <w:p w14:paraId="4A8D2AE9" w14:textId="77777777" w:rsidR="00737637" w:rsidRPr="008B6BC5" w:rsidRDefault="00737637" w:rsidP="00737637">
            <w:pPr>
              <w:pStyle w:val="NoSpacing"/>
              <w:rPr>
                <w:rFonts w:cs="Times New Roman"/>
                <w:sz w:val="20"/>
                <w:szCs w:val="20"/>
                <w:lang w:val="en-US"/>
              </w:rPr>
            </w:pPr>
            <w:r w:rsidRPr="008B6BC5">
              <w:rPr>
                <w:rFonts w:cs="Times New Roman"/>
                <w:sz w:val="20"/>
                <w:szCs w:val="20"/>
                <w:lang w:val="en-US"/>
              </w:rPr>
              <w:t>A recent RCT of videoconferencing CBT (VCBT) for adults with GAD found that synchronous video-based CBT led to significant reductions in GAD symptoms and disability, (</w:t>
            </w:r>
            <w:proofErr w:type="spellStart"/>
            <w:r w:rsidRPr="008B6BC5">
              <w:rPr>
                <w:rFonts w:cs="Times New Roman"/>
                <w:sz w:val="20"/>
                <w:szCs w:val="20"/>
                <w:lang w:val="en-US"/>
              </w:rPr>
              <w:t>Trenoska</w:t>
            </w:r>
            <w:proofErr w:type="spellEnd"/>
            <w:r w:rsidRPr="008B6BC5">
              <w:rPr>
                <w:rFonts w:cs="Times New Roman"/>
                <w:sz w:val="20"/>
                <w:szCs w:val="20"/>
                <w:lang w:val="en-US"/>
              </w:rPr>
              <w:t xml:space="preserve"> Basile et al., 2024). </w:t>
            </w:r>
          </w:p>
          <w:p w14:paraId="685511B7" w14:textId="77777777" w:rsidR="00737637" w:rsidRPr="008B6BC5" w:rsidRDefault="00737637" w:rsidP="00737637">
            <w:pPr>
              <w:pStyle w:val="NoSpacing"/>
              <w:rPr>
                <w:rFonts w:cs="Times New Roman"/>
                <w:sz w:val="20"/>
                <w:szCs w:val="20"/>
                <w:lang w:val="en-US"/>
              </w:rPr>
            </w:pPr>
          </w:p>
        </w:tc>
        <w:tc>
          <w:tcPr>
            <w:tcW w:w="4394" w:type="dxa"/>
          </w:tcPr>
          <w:p w14:paraId="22959544" w14:textId="7E097006" w:rsidR="00737637" w:rsidRPr="008B6BC5" w:rsidRDefault="00737637" w:rsidP="00737637">
            <w:pPr>
              <w:pStyle w:val="NoSpacing"/>
              <w:rPr>
                <w:rFonts w:cs="Times New Roman"/>
                <w:sz w:val="20"/>
                <w:szCs w:val="20"/>
                <w:lang w:val="en-US"/>
              </w:rPr>
            </w:pPr>
            <w:r w:rsidRPr="008B6BC5">
              <w:rPr>
                <w:rFonts w:cs="Times New Roman"/>
                <w:sz w:val="20"/>
                <w:szCs w:val="20"/>
                <w:lang w:val="en-US"/>
              </w:rPr>
              <w:t>DOI: 10.1111/bjc.12482</w:t>
            </w:r>
          </w:p>
        </w:tc>
        <w:tc>
          <w:tcPr>
            <w:tcW w:w="709" w:type="dxa"/>
          </w:tcPr>
          <w:p w14:paraId="5F8C07E0" w14:textId="544761DF" w:rsidR="00737637" w:rsidRPr="008B6BC5" w:rsidRDefault="00737637" w:rsidP="00737637">
            <w:pPr>
              <w:pStyle w:val="NoSpacing"/>
              <w:rPr>
                <w:rFonts w:cs="Times New Roman"/>
                <w:sz w:val="20"/>
                <w:szCs w:val="20"/>
                <w:lang w:val="en-US"/>
              </w:rPr>
            </w:pPr>
            <w:r w:rsidRPr="008B6BC5">
              <w:rPr>
                <w:rFonts w:cs="Times New Roman"/>
                <w:sz w:val="20"/>
                <w:szCs w:val="20"/>
                <w:lang w:val="en-US"/>
              </w:rPr>
              <w:t>4</w:t>
            </w:r>
          </w:p>
        </w:tc>
        <w:tc>
          <w:tcPr>
            <w:tcW w:w="3686" w:type="dxa"/>
          </w:tcPr>
          <w:p w14:paraId="1A1702BB" w14:textId="51829721" w:rsidR="00737637" w:rsidRPr="008B6BC5" w:rsidRDefault="00737637" w:rsidP="00737637">
            <w:pPr>
              <w:pStyle w:val="NoSpacing"/>
              <w:rPr>
                <w:rFonts w:cs="Times New Roman"/>
                <w:sz w:val="20"/>
                <w:szCs w:val="20"/>
                <w:lang w:val="en-US"/>
              </w:rPr>
            </w:pPr>
            <w:r w:rsidRPr="008B6BC5">
              <w:rPr>
                <w:rFonts w:cs="Times New Roman"/>
                <w:sz w:val="20"/>
                <w:szCs w:val="20"/>
                <w:lang w:val="en-US"/>
              </w:rPr>
              <w:t>No inaccuracies detected.</w:t>
            </w:r>
          </w:p>
        </w:tc>
      </w:tr>
      <w:tr w:rsidR="00737637" w:rsidRPr="008B6BC5" w14:paraId="6719E151" w14:textId="77777777" w:rsidTr="00202DA2">
        <w:tc>
          <w:tcPr>
            <w:tcW w:w="1702" w:type="dxa"/>
          </w:tcPr>
          <w:p w14:paraId="7B9A8CCB" w14:textId="34054139" w:rsidR="00737637" w:rsidRPr="008B6BC5" w:rsidRDefault="00B65EF0" w:rsidP="00737637">
            <w:pPr>
              <w:pStyle w:val="NoSpacing"/>
              <w:rPr>
                <w:rFonts w:cs="Times New Roman"/>
                <w:sz w:val="20"/>
                <w:szCs w:val="20"/>
                <w:lang w:val="en-US"/>
              </w:rPr>
            </w:pPr>
            <w:r w:rsidRPr="008B6BC5">
              <w:rPr>
                <w:rFonts w:cs="Times New Roman"/>
                <w:sz w:val="20"/>
                <w:szCs w:val="20"/>
                <w:lang w:val="en-US"/>
              </w:rPr>
              <w:t>13</w:t>
            </w:r>
          </w:p>
        </w:tc>
        <w:tc>
          <w:tcPr>
            <w:tcW w:w="5953" w:type="dxa"/>
          </w:tcPr>
          <w:p w14:paraId="468E6241" w14:textId="77777777" w:rsidR="00737637" w:rsidRPr="008B6BC5" w:rsidRDefault="00737637" w:rsidP="00737637">
            <w:pPr>
              <w:pStyle w:val="NoSpacing"/>
              <w:rPr>
                <w:rFonts w:cs="Times New Roman"/>
                <w:sz w:val="20"/>
                <w:szCs w:val="20"/>
                <w:lang w:val="en-US"/>
              </w:rPr>
            </w:pPr>
            <w:r w:rsidRPr="008B6BC5">
              <w:rPr>
                <w:rFonts w:cs="Times New Roman"/>
                <w:sz w:val="20"/>
                <w:szCs w:val="20"/>
                <w:lang w:val="en-US"/>
              </w:rPr>
              <w:t>Electronically delivered CBT has also been compared to lower-intensity online asynchronous “check-in” support in patients with GAD, where both arms showed anxiety improvement; the structured e-CBT typically produced larger and more consistent effects (</w:t>
            </w:r>
            <w:proofErr w:type="spellStart"/>
            <w:r w:rsidRPr="008B6BC5">
              <w:rPr>
                <w:rFonts w:cs="Times New Roman"/>
                <w:sz w:val="20"/>
                <w:szCs w:val="20"/>
                <w:lang w:val="en-US"/>
              </w:rPr>
              <w:t>Chermahini</w:t>
            </w:r>
            <w:proofErr w:type="spellEnd"/>
            <w:r w:rsidRPr="008B6BC5">
              <w:rPr>
                <w:rFonts w:cs="Times New Roman"/>
                <w:sz w:val="20"/>
                <w:szCs w:val="20"/>
                <w:lang w:val="en-US"/>
              </w:rPr>
              <w:t xml:space="preserve"> et al., 2024). </w:t>
            </w:r>
          </w:p>
          <w:p w14:paraId="73185489" w14:textId="1D08FFC5" w:rsidR="00737637" w:rsidRPr="008B6BC5" w:rsidRDefault="00737637" w:rsidP="00737637">
            <w:pPr>
              <w:pStyle w:val="NoSpacing"/>
              <w:rPr>
                <w:rFonts w:cs="Times New Roman"/>
                <w:sz w:val="20"/>
                <w:szCs w:val="20"/>
                <w:lang w:val="en-US"/>
              </w:rPr>
            </w:pPr>
          </w:p>
        </w:tc>
        <w:tc>
          <w:tcPr>
            <w:tcW w:w="4394" w:type="dxa"/>
          </w:tcPr>
          <w:p w14:paraId="076FF14D" w14:textId="61DB3353" w:rsidR="00737637" w:rsidRPr="008B6BC5" w:rsidRDefault="00737637" w:rsidP="00737637">
            <w:pPr>
              <w:pStyle w:val="NoSpacing"/>
              <w:rPr>
                <w:rFonts w:cs="Times New Roman"/>
                <w:sz w:val="20"/>
                <w:szCs w:val="20"/>
                <w:lang w:val="en-US"/>
              </w:rPr>
            </w:pPr>
            <w:r w:rsidRPr="008B6BC5">
              <w:rPr>
                <w:rFonts w:cs="Times New Roman"/>
                <w:sz w:val="20"/>
                <w:szCs w:val="20"/>
                <w:lang w:val="en-US"/>
              </w:rPr>
              <w:t>DOI: 10.1177/07067437241261933</w:t>
            </w:r>
          </w:p>
        </w:tc>
        <w:tc>
          <w:tcPr>
            <w:tcW w:w="709" w:type="dxa"/>
          </w:tcPr>
          <w:p w14:paraId="6C88CF3E" w14:textId="62CC9F7A" w:rsidR="00737637" w:rsidRPr="008B6BC5" w:rsidRDefault="00A574C4" w:rsidP="00737637">
            <w:pPr>
              <w:pStyle w:val="NoSpacing"/>
              <w:rPr>
                <w:rFonts w:cs="Times New Roman"/>
                <w:sz w:val="20"/>
                <w:szCs w:val="20"/>
                <w:lang w:val="en-US"/>
              </w:rPr>
            </w:pPr>
            <w:r w:rsidRPr="008B6BC5">
              <w:rPr>
                <w:rFonts w:cs="Times New Roman"/>
                <w:sz w:val="20"/>
                <w:szCs w:val="20"/>
                <w:lang w:val="en-US"/>
              </w:rPr>
              <w:t>2</w:t>
            </w:r>
          </w:p>
        </w:tc>
        <w:tc>
          <w:tcPr>
            <w:tcW w:w="3686" w:type="dxa"/>
          </w:tcPr>
          <w:p w14:paraId="5783672C" w14:textId="6E91DC87" w:rsidR="00737637" w:rsidRPr="008B6BC5" w:rsidRDefault="00252C5D" w:rsidP="00737637">
            <w:pPr>
              <w:pStyle w:val="NoSpacing"/>
              <w:rPr>
                <w:rFonts w:cs="Times New Roman"/>
                <w:sz w:val="20"/>
                <w:szCs w:val="20"/>
                <w:lang w:val="en-US"/>
              </w:rPr>
            </w:pPr>
            <w:r w:rsidRPr="008B6BC5">
              <w:rPr>
                <w:rFonts w:cs="Times New Roman"/>
                <w:sz w:val="20"/>
                <w:szCs w:val="20"/>
                <w:lang w:val="en-US"/>
              </w:rPr>
              <w:t xml:space="preserve">There were no significant differences </w:t>
            </w:r>
            <w:r w:rsidR="00FB1834" w:rsidRPr="008B6BC5">
              <w:rPr>
                <w:rFonts w:cs="Times New Roman"/>
                <w:sz w:val="20"/>
                <w:szCs w:val="20"/>
                <w:lang w:val="en-US"/>
              </w:rPr>
              <w:t xml:space="preserve">in effects </w:t>
            </w:r>
            <w:r w:rsidRPr="008B6BC5">
              <w:rPr>
                <w:rFonts w:cs="Times New Roman"/>
                <w:sz w:val="20"/>
                <w:szCs w:val="20"/>
                <w:lang w:val="en-US"/>
              </w:rPr>
              <w:t>between the groups</w:t>
            </w:r>
            <w:r w:rsidR="00FB1834" w:rsidRPr="008B6BC5">
              <w:rPr>
                <w:rFonts w:cs="Times New Roman"/>
                <w:sz w:val="20"/>
                <w:szCs w:val="20"/>
                <w:lang w:val="en-US"/>
              </w:rPr>
              <w:t>.</w:t>
            </w:r>
            <w:r w:rsidRPr="008B6BC5">
              <w:rPr>
                <w:rFonts w:cs="Times New Roman"/>
                <w:sz w:val="20"/>
                <w:szCs w:val="20"/>
                <w:lang w:val="en-US"/>
              </w:rPr>
              <w:t xml:space="preserve"> </w:t>
            </w:r>
          </w:p>
        </w:tc>
      </w:tr>
      <w:tr w:rsidR="00737637" w:rsidRPr="008B6BC5" w14:paraId="7741121E" w14:textId="77777777" w:rsidTr="00202DA2">
        <w:tc>
          <w:tcPr>
            <w:tcW w:w="1702" w:type="dxa"/>
          </w:tcPr>
          <w:p w14:paraId="66E5D490" w14:textId="5674AE30" w:rsidR="00737637" w:rsidRPr="008B6BC5" w:rsidRDefault="00B65EF0" w:rsidP="00737637">
            <w:pPr>
              <w:pStyle w:val="NoSpacing"/>
              <w:rPr>
                <w:rFonts w:cs="Times New Roman"/>
                <w:sz w:val="20"/>
                <w:szCs w:val="20"/>
                <w:lang w:val="en-US"/>
              </w:rPr>
            </w:pPr>
            <w:r w:rsidRPr="008B6BC5">
              <w:rPr>
                <w:rFonts w:cs="Times New Roman"/>
                <w:sz w:val="20"/>
                <w:szCs w:val="20"/>
                <w:lang w:val="en-US"/>
              </w:rPr>
              <w:t>14</w:t>
            </w:r>
          </w:p>
        </w:tc>
        <w:tc>
          <w:tcPr>
            <w:tcW w:w="5953" w:type="dxa"/>
          </w:tcPr>
          <w:p w14:paraId="4D94ACC5" w14:textId="77777777" w:rsidR="00737637" w:rsidRPr="008B6BC5" w:rsidRDefault="00737637" w:rsidP="00737637">
            <w:pPr>
              <w:pStyle w:val="NoSpacing"/>
              <w:rPr>
                <w:rFonts w:cs="Times New Roman"/>
                <w:sz w:val="20"/>
                <w:szCs w:val="20"/>
                <w:lang w:val="en-US"/>
              </w:rPr>
            </w:pPr>
            <w:r w:rsidRPr="008B6BC5">
              <w:rPr>
                <w:rFonts w:cs="Times New Roman"/>
                <w:sz w:val="20"/>
                <w:szCs w:val="20"/>
                <w:lang w:val="en-US"/>
              </w:rPr>
              <w:t>Eilert et al. (2021) reported that across 20 RCTs of internet-delivered GAD treatments, attrition in active conditions was generally in the low-to-mid 20% range and comparable to or only slightly higher than control conditions, with no consistent signals of serious adverse events attributable to treatment.</w:t>
            </w:r>
          </w:p>
          <w:p w14:paraId="1A1886FC" w14:textId="706A9571" w:rsidR="00737637" w:rsidRPr="008B6BC5" w:rsidRDefault="00737637" w:rsidP="00737637">
            <w:pPr>
              <w:pStyle w:val="NoSpacing"/>
              <w:rPr>
                <w:rFonts w:cs="Times New Roman"/>
                <w:sz w:val="20"/>
                <w:szCs w:val="20"/>
                <w:lang w:val="en-US"/>
              </w:rPr>
            </w:pPr>
          </w:p>
        </w:tc>
        <w:tc>
          <w:tcPr>
            <w:tcW w:w="4394" w:type="dxa"/>
          </w:tcPr>
          <w:p w14:paraId="39FF2FE3" w14:textId="65B479E5" w:rsidR="00737637" w:rsidRPr="008B6BC5" w:rsidRDefault="00737637" w:rsidP="00737637">
            <w:pPr>
              <w:pStyle w:val="NoSpacing"/>
              <w:rPr>
                <w:rFonts w:cs="Times New Roman"/>
                <w:sz w:val="20"/>
                <w:szCs w:val="20"/>
                <w:lang w:val="en-US"/>
              </w:rPr>
            </w:pPr>
            <w:r w:rsidRPr="008B6BC5">
              <w:rPr>
                <w:rFonts w:cs="Times New Roman"/>
                <w:sz w:val="20"/>
                <w:szCs w:val="20"/>
                <w:lang w:val="en-US"/>
              </w:rPr>
              <w:t>DOI: 10.1002/da.23115</w:t>
            </w:r>
          </w:p>
        </w:tc>
        <w:tc>
          <w:tcPr>
            <w:tcW w:w="709" w:type="dxa"/>
          </w:tcPr>
          <w:p w14:paraId="0DDCF61A" w14:textId="0525E787" w:rsidR="00737637" w:rsidRPr="008B6BC5" w:rsidRDefault="002703A8" w:rsidP="00737637">
            <w:pPr>
              <w:pStyle w:val="NoSpacing"/>
              <w:rPr>
                <w:rFonts w:cs="Times New Roman"/>
                <w:sz w:val="20"/>
                <w:szCs w:val="20"/>
                <w:lang w:val="en-US"/>
              </w:rPr>
            </w:pPr>
            <w:r w:rsidRPr="008B6BC5">
              <w:rPr>
                <w:rFonts w:cs="Times New Roman"/>
                <w:sz w:val="20"/>
                <w:szCs w:val="20"/>
                <w:lang w:val="en-US"/>
              </w:rPr>
              <w:t>1</w:t>
            </w:r>
          </w:p>
        </w:tc>
        <w:tc>
          <w:tcPr>
            <w:tcW w:w="3686" w:type="dxa"/>
          </w:tcPr>
          <w:p w14:paraId="70DA06BA" w14:textId="7D8F7426" w:rsidR="00737637" w:rsidRPr="008B6BC5" w:rsidRDefault="002703A8" w:rsidP="00737637">
            <w:pPr>
              <w:pStyle w:val="NoSpacing"/>
              <w:rPr>
                <w:rFonts w:cs="Times New Roman"/>
                <w:sz w:val="20"/>
                <w:szCs w:val="20"/>
                <w:lang w:val="en-US"/>
              </w:rPr>
            </w:pPr>
            <w:r w:rsidRPr="008B6BC5">
              <w:rPr>
                <w:rFonts w:cs="Times New Roman"/>
                <w:sz w:val="20"/>
                <w:szCs w:val="20"/>
                <w:lang w:val="en-US"/>
              </w:rPr>
              <w:t xml:space="preserve">Attrition was not examined in this meta-analysis. </w:t>
            </w:r>
          </w:p>
        </w:tc>
      </w:tr>
      <w:tr w:rsidR="00737637" w:rsidRPr="008B6BC5" w14:paraId="138E9940" w14:textId="77777777" w:rsidTr="00202DA2">
        <w:tc>
          <w:tcPr>
            <w:tcW w:w="1702" w:type="dxa"/>
          </w:tcPr>
          <w:p w14:paraId="1660EF2E" w14:textId="423F5C09" w:rsidR="00737637" w:rsidRPr="008B6BC5" w:rsidRDefault="00B65EF0" w:rsidP="00737637">
            <w:pPr>
              <w:pStyle w:val="NoSpacing"/>
              <w:rPr>
                <w:rFonts w:cs="Times New Roman"/>
                <w:sz w:val="20"/>
                <w:szCs w:val="20"/>
                <w:lang w:val="en-US"/>
              </w:rPr>
            </w:pPr>
            <w:r w:rsidRPr="008B6BC5">
              <w:rPr>
                <w:rFonts w:cs="Times New Roman"/>
                <w:sz w:val="20"/>
                <w:szCs w:val="20"/>
                <w:lang w:val="en-US"/>
              </w:rPr>
              <w:t>15</w:t>
            </w:r>
          </w:p>
        </w:tc>
        <w:tc>
          <w:tcPr>
            <w:tcW w:w="5953" w:type="dxa"/>
          </w:tcPr>
          <w:p w14:paraId="17F3285F" w14:textId="77777777" w:rsidR="00737637" w:rsidRPr="008B6BC5" w:rsidRDefault="00737637" w:rsidP="00737637">
            <w:pPr>
              <w:pStyle w:val="NoSpacing"/>
              <w:rPr>
                <w:rFonts w:cs="Times New Roman"/>
                <w:sz w:val="20"/>
                <w:szCs w:val="20"/>
                <w:lang w:val="en-US"/>
              </w:rPr>
            </w:pPr>
            <w:r w:rsidRPr="008B6BC5">
              <w:rPr>
                <w:rFonts w:cs="Times New Roman"/>
                <w:sz w:val="20"/>
                <w:szCs w:val="20"/>
                <w:lang w:val="en-US"/>
              </w:rPr>
              <w:t xml:space="preserve">In </w:t>
            </w:r>
            <w:proofErr w:type="spellStart"/>
            <w:r w:rsidRPr="008B6BC5">
              <w:rPr>
                <w:rFonts w:cs="Times New Roman"/>
                <w:sz w:val="20"/>
                <w:szCs w:val="20"/>
                <w:lang w:val="en-US"/>
              </w:rPr>
              <w:t>Paxling</w:t>
            </w:r>
            <w:proofErr w:type="spellEnd"/>
            <w:r w:rsidRPr="008B6BC5">
              <w:rPr>
                <w:rFonts w:cs="Times New Roman"/>
                <w:sz w:val="20"/>
                <w:szCs w:val="20"/>
                <w:lang w:val="en-US"/>
              </w:rPr>
              <w:t xml:space="preserve"> et al. (2011), only 13.6% of participants in the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arm failed to complete post-treatment measures, and long-term follow-up showed sustained or improved outcomes without major safety concerns</w:t>
            </w:r>
          </w:p>
          <w:p w14:paraId="4CFAA5FD" w14:textId="77777777" w:rsidR="00737637" w:rsidRPr="008B6BC5" w:rsidRDefault="00737637" w:rsidP="00737637">
            <w:pPr>
              <w:pStyle w:val="NoSpacing"/>
              <w:rPr>
                <w:rFonts w:cs="Times New Roman"/>
                <w:sz w:val="20"/>
                <w:szCs w:val="20"/>
                <w:lang w:val="en-US"/>
              </w:rPr>
            </w:pPr>
          </w:p>
        </w:tc>
        <w:tc>
          <w:tcPr>
            <w:tcW w:w="4394" w:type="dxa"/>
          </w:tcPr>
          <w:p w14:paraId="46BEBCD7" w14:textId="57E0C9C5" w:rsidR="00737637" w:rsidRPr="008B6BC5" w:rsidRDefault="00737637" w:rsidP="00737637">
            <w:pPr>
              <w:pStyle w:val="NoSpacing"/>
              <w:rPr>
                <w:rFonts w:cs="Times New Roman"/>
                <w:sz w:val="20"/>
                <w:szCs w:val="20"/>
                <w:lang w:val="en-US"/>
              </w:rPr>
            </w:pPr>
            <w:r w:rsidRPr="008B6BC5">
              <w:rPr>
                <w:rFonts w:cs="Times New Roman"/>
                <w:sz w:val="20"/>
                <w:szCs w:val="20"/>
                <w:lang w:val="en-US"/>
              </w:rPr>
              <w:t>DOI: 10.1080/16506073.2011.576699</w:t>
            </w:r>
          </w:p>
        </w:tc>
        <w:tc>
          <w:tcPr>
            <w:tcW w:w="709" w:type="dxa"/>
          </w:tcPr>
          <w:p w14:paraId="1E5F6D75" w14:textId="1D202807" w:rsidR="00737637" w:rsidRPr="008B6BC5" w:rsidRDefault="00B52D2C" w:rsidP="00737637">
            <w:pPr>
              <w:pStyle w:val="NoSpacing"/>
              <w:rPr>
                <w:rFonts w:cs="Times New Roman"/>
                <w:sz w:val="20"/>
                <w:szCs w:val="20"/>
                <w:lang w:val="en-US"/>
              </w:rPr>
            </w:pPr>
            <w:r w:rsidRPr="008B6BC5">
              <w:rPr>
                <w:rFonts w:cs="Times New Roman"/>
                <w:sz w:val="20"/>
                <w:szCs w:val="20"/>
                <w:lang w:val="en-US"/>
              </w:rPr>
              <w:t>1</w:t>
            </w:r>
          </w:p>
        </w:tc>
        <w:tc>
          <w:tcPr>
            <w:tcW w:w="3686" w:type="dxa"/>
          </w:tcPr>
          <w:p w14:paraId="4DF6E3D1" w14:textId="171BD2E8" w:rsidR="00737637" w:rsidRPr="008B6BC5" w:rsidRDefault="00B52D2C" w:rsidP="00737637">
            <w:pPr>
              <w:pStyle w:val="NoSpacing"/>
              <w:rPr>
                <w:rFonts w:cs="Times New Roman"/>
                <w:sz w:val="20"/>
                <w:szCs w:val="20"/>
                <w:lang w:val="en-US"/>
              </w:rPr>
            </w:pPr>
            <w:r w:rsidRPr="008B6BC5">
              <w:rPr>
                <w:rFonts w:cs="Times New Roman"/>
                <w:sz w:val="20"/>
                <w:szCs w:val="20"/>
                <w:lang w:val="en-US"/>
              </w:rPr>
              <w:t xml:space="preserve">Safety or harm were not explicitly reported or assessed in this trial. </w:t>
            </w:r>
          </w:p>
        </w:tc>
      </w:tr>
      <w:tr w:rsidR="00737637" w:rsidRPr="008B6BC5" w14:paraId="02173A41" w14:textId="77777777" w:rsidTr="00202DA2">
        <w:tc>
          <w:tcPr>
            <w:tcW w:w="1702" w:type="dxa"/>
          </w:tcPr>
          <w:p w14:paraId="6099FB4C" w14:textId="791ACAFB" w:rsidR="00737637" w:rsidRPr="008B6BC5" w:rsidRDefault="00B65EF0" w:rsidP="00737637">
            <w:pPr>
              <w:pStyle w:val="NoSpacing"/>
              <w:rPr>
                <w:rFonts w:cs="Times New Roman"/>
                <w:sz w:val="20"/>
                <w:szCs w:val="20"/>
                <w:lang w:val="en-US"/>
              </w:rPr>
            </w:pPr>
            <w:r w:rsidRPr="008B6BC5">
              <w:rPr>
                <w:rFonts w:cs="Times New Roman"/>
                <w:sz w:val="20"/>
                <w:szCs w:val="20"/>
                <w:lang w:val="en-US"/>
              </w:rPr>
              <w:t>16</w:t>
            </w:r>
          </w:p>
        </w:tc>
        <w:tc>
          <w:tcPr>
            <w:tcW w:w="5953" w:type="dxa"/>
          </w:tcPr>
          <w:p w14:paraId="75389299" w14:textId="77777777" w:rsidR="00737637" w:rsidRPr="008B6BC5" w:rsidRDefault="00737637" w:rsidP="00737637">
            <w:pPr>
              <w:pStyle w:val="NoSpacing"/>
              <w:rPr>
                <w:rFonts w:cs="Times New Roman"/>
                <w:sz w:val="20"/>
                <w:szCs w:val="20"/>
                <w:lang w:val="en-US"/>
              </w:rPr>
            </w:pPr>
            <w:r w:rsidRPr="008B6BC5">
              <w:rPr>
                <w:rFonts w:cs="Times New Roman"/>
                <w:sz w:val="20"/>
                <w:szCs w:val="20"/>
                <w:lang w:val="en-US"/>
              </w:rPr>
              <w:t xml:space="preserve">Robinson et al. (2010) observed high completion and satisfaction rates in both clinician- and technician-assisted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arms (74–80% completed all lessons; 87% reported being “very” or “mostly” satisfied). No serious adverse events were reported, and most participants rated the treatment as logical and recommendable to others</w:t>
            </w:r>
          </w:p>
          <w:p w14:paraId="5BCFBFAD" w14:textId="77777777" w:rsidR="00737637" w:rsidRPr="008B6BC5" w:rsidRDefault="00737637" w:rsidP="00737637">
            <w:pPr>
              <w:pStyle w:val="NoSpacing"/>
              <w:rPr>
                <w:rFonts w:cs="Times New Roman"/>
                <w:sz w:val="20"/>
                <w:szCs w:val="20"/>
                <w:lang w:val="en-US"/>
              </w:rPr>
            </w:pPr>
          </w:p>
        </w:tc>
        <w:tc>
          <w:tcPr>
            <w:tcW w:w="4394" w:type="dxa"/>
          </w:tcPr>
          <w:p w14:paraId="4BF934DA" w14:textId="6CF10D5E" w:rsidR="00737637" w:rsidRPr="008B6BC5" w:rsidRDefault="00737637" w:rsidP="00737637">
            <w:pPr>
              <w:pStyle w:val="NoSpacing"/>
              <w:rPr>
                <w:rFonts w:cs="Times New Roman"/>
                <w:sz w:val="20"/>
                <w:szCs w:val="20"/>
                <w:lang w:val="en-US"/>
              </w:rPr>
            </w:pPr>
            <w:r w:rsidRPr="008B6BC5">
              <w:rPr>
                <w:rFonts w:cs="Times New Roman"/>
                <w:sz w:val="20"/>
                <w:szCs w:val="20"/>
                <w:lang w:val="en-US"/>
              </w:rPr>
              <w:t>DOI: 10.1371/journal.pone.0010942</w:t>
            </w:r>
          </w:p>
        </w:tc>
        <w:tc>
          <w:tcPr>
            <w:tcW w:w="709" w:type="dxa"/>
          </w:tcPr>
          <w:p w14:paraId="326D6357" w14:textId="6E6AB9EB" w:rsidR="00737637" w:rsidRPr="008B6BC5" w:rsidRDefault="00E3662F" w:rsidP="00737637">
            <w:pPr>
              <w:pStyle w:val="NoSpacing"/>
              <w:rPr>
                <w:rFonts w:cs="Times New Roman"/>
                <w:sz w:val="20"/>
                <w:szCs w:val="20"/>
                <w:lang w:val="en-US"/>
              </w:rPr>
            </w:pPr>
            <w:r w:rsidRPr="008B6BC5">
              <w:rPr>
                <w:rFonts w:cs="Times New Roman"/>
                <w:sz w:val="20"/>
                <w:szCs w:val="20"/>
                <w:lang w:val="en-US"/>
              </w:rPr>
              <w:t>1</w:t>
            </w:r>
          </w:p>
        </w:tc>
        <w:tc>
          <w:tcPr>
            <w:tcW w:w="3686" w:type="dxa"/>
          </w:tcPr>
          <w:p w14:paraId="2988D9C6" w14:textId="6BA3C7C5" w:rsidR="00737637" w:rsidRPr="008B6BC5" w:rsidRDefault="00E3662F" w:rsidP="00737637">
            <w:pPr>
              <w:pStyle w:val="NoSpacing"/>
              <w:rPr>
                <w:rFonts w:cs="Times New Roman"/>
                <w:sz w:val="20"/>
                <w:szCs w:val="20"/>
                <w:lang w:val="en-US"/>
              </w:rPr>
            </w:pPr>
            <w:r w:rsidRPr="008B6BC5">
              <w:rPr>
                <w:rFonts w:cs="Times New Roman"/>
                <w:sz w:val="20"/>
                <w:szCs w:val="20"/>
                <w:lang w:val="en-US"/>
              </w:rPr>
              <w:t xml:space="preserve">Adverse events were not explicitly reported or </w:t>
            </w:r>
            <w:r w:rsidR="00D31662" w:rsidRPr="008B6BC5">
              <w:rPr>
                <w:rFonts w:cs="Times New Roman"/>
                <w:sz w:val="20"/>
                <w:szCs w:val="20"/>
                <w:lang w:val="en-US"/>
              </w:rPr>
              <w:t>mentioned</w:t>
            </w:r>
            <w:r w:rsidRPr="008B6BC5">
              <w:rPr>
                <w:rFonts w:cs="Times New Roman"/>
                <w:sz w:val="20"/>
                <w:szCs w:val="20"/>
                <w:lang w:val="en-US"/>
              </w:rPr>
              <w:t xml:space="preserve"> in this trial. </w:t>
            </w:r>
          </w:p>
        </w:tc>
      </w:tr>
      <w:tr w:rsidR="00D31662" w:rsidRPr="008B6BC5" w14:paraId="498A60B3" w14:textId="77777777" w:rsidTr="00202DA2">
        <w:tc>
          <w:tcPr>
            <w:tcW w:w="1702" w:type="dxa"/>
          </w:tcPr>
          <w:p w14:paraId="5022815D" w14:textId="0FAA30BD" w:rsidR="00D31662" w:rsidRPr="008B6BC5" w:rsidRDefault="00B65EF0" w:rsidP="00D31662">
            <w:pPr>
              <w:pStyle w:val="NoSpacing"/>
              <w:rPr>
                <w:rFonts w:cs="Times New Roman"/>
                <w:sz w:val="20"/>
                <w:szCs w:val="20"/>
                <w:lang w:val="en-US"/>
              </w:rPr>
            </w:pPr>
            <w:r w:rsidRPr="008B6BC5">
              <w:rPr>
                <w:rFonts w:cs="Times New Roman"/>
                <w:sz w:val="20"/>
                <w:szCs w:val="20"/>
                <w:lang w:val="en-US"/>
              </w:rPr>
              <w:t>17</w:t>
            </w:r>
          </w:p>
        </w:tc>
        <w:tc>
          <w:tcPr>
            <w:tcW w:w="5953" w:type="dxa"/>
          </w:tcPr>
          <w:p w14:paraId="1693666D" w14:textId="77777777" w:rsidR="00D31662" w:rsidRPr="008B6BC5" w:rsidRDefault="00D31662" w:rsidP="00D31662">
            <w:pPr>
              <w:pStyle w:val="NoSpacing"/>
              <w:rPr>
                <w:rFonts w:cs="Times New Roman"/>
                <w:sz w:val="20"/>
                <w:szCs w:val="20"/>
                <w:lang w:val="en-US"/>
              </w:rPr>
            </w:pPr>
            <w:r w:rsidRPr="008B6BC5">
              <w:rPr>
                <w:rFonts w:cs="Times New Roman"/>
                <w:sz w:val="20"/>
                <w:szCs w:val="20"/>
                <w:lang w:val="en-US"/>
              </w:rPr>
              <w:t>In the Daylight smartphone RCT, digital CBT was described as safe and produced broad mental health benefits; the trial did not identify excess adverse events or deterioration relative to waitlist (Carl et al., 2020)</w:t>
            </w:r>
          </w:p>
          <w:p w14:paraId="56C9BE01" w14:textId="69D4116D" w:rsidR="00D31662" w:rsidRPr="008B6BC5" w:rsidRDefault="00D31662" w:rsidP="00D31662">
            <w:pPr>
              <w:pStyle w:val="NoSpacing"/>
              <w:rPr>
                <w:rFonts w:cs="Times New Roman"/>
                <w:sz w:val="20"/>
                <w:szCs w:val="20"/>
                <w:lang w:val="en-US"/>
              </w:rPr>
            </w:pPr>
          </w:p>
        </w:tc>
        <w:tc>
          <w:tcPr>
            <w:tcW w:w="4394" w:type="dxa"/>
          </w:tcPr>
          <w:p w14:paraId="148B0874" w14:textId="7580EC0A" w:rsidR="00D31662" w:rsidRPr="008B6BC5" w:rsidRDefault="00D31662" w:rsidP="00D31662">
            <w:pPr>
              <w:pStyle w:val="NoSpacing"/>
              <w:rPr>
                <w:rFonts w:cs="Times New Roman"/>
                <w:sz w:val="20"/>
                <w:szCs w:val="20"/>
                <w:lang w:val="en-US"/>
              </w:rPr>
            </w:pPr>
            <w:r w:rsidRPr="008B6BC5">
              <w:rPr>
                <w:rFonts w:cs="Times New Roman"/>
                <w:sz w:val="20"/>
                <w:szCs w:val="20"/>
                <w:lang w:val="en-US"/>
              </w:rPr>
              <w:t>DOI: 10.1002/da.23079</w:t>
            </w:r>
          </w:p>
        </w:tc>
        <w:tc>
          <w:tcPr>
            <w:tcW w:w="709" w:type="dxa"/>
          </w:tcPr>
          <w:p w14:paraId="34D006AF" w14:textId="63016432" w:rsidR="00D31662" w:rsidRPr="008B6BC5" w:rsidRDefault="00D31662" w:rsidP="00D31662">
            <w:pPr>
              <w:pStyle w:val="NoSpacing"/>
              <w:rPr>
                <w:rFonts w:cs="Times New Roman"/>
                <w:sz w:val="20"/>
                <w:szCs w:val="20"/>
                <w:lang w:val="en-US"/>
              </w:rPr>
            </w:pPr>
            <w:r w:rsidRPr="008B6BC5">
              <w:rPr>
                <w:rFonts w:cs="Times New Roman"/>
                <w:sz w:val="20"/>
                <w:szCs w:val="20"/>
                <w:lang w:val="en-US"/>
              </w:rPr>
              <w:t>4</w:t>
            </w:r>
          </w:p>
        </w:tc>
        <w:tc>
          <w:tcPr>
            <w:tcW w:w="3686" w:type="dxa"/>
          </w:tcPr>
          <w:p w14:paraId="2B9D386C" w14:textId="476DBE49" w:rsidR="00D31662" w:rsidRPr="008B6BC5" w:rsidRDefault="00D31662" w:rsidP="00D31662">
            <w:pPr>
              <w:pStyle w:val="NoSpacing"/>
              <w:rPr>
                <w:rFonts w:cs="Times New Roman"/>
                <w:sz w:val="20"/>
                <w:szCs w:val="20"/>
                <w:lang w:val="en-US"/>
              </w:rPr>
            </w:pPr>
            <w:r w:rsidRPr="008B6BC5">
              <w:rPr>
                <w:rFonts w:cs="Times New Roman"/>
                <w:sz w:val="20"/>
                <w:szCs w:val="20"/>
                <w:lang w:val="en-US"/>
              </w:rPr>
              <w:t>No inaccuracies detected.</w:t>
            </w:r>
          </w:p>
        </w:tc>
      </w:tr>
      <w:tr w:rsidR="00D31662" w:rsidRPr="008B6BC5" w14:paraId="3370A05A" w14:textId="77777777" w:rsidTr="00202DA2">
        <w:tc>
          <w:tcPr>
            <w:tcW w:w="1702" w:type="dxa"/>
          </w:tcPr>
          <w:p w14:paraId="5CAC8838" w14:textId="507FDECF" w:rsidR="00D31662" w:rsidRPr="008B6BC5" w:rsidRDefault="00B65EF0" w:rsidP="00D31662">
            <w:pPr>
              <w:pStyle w:val="NoSpacing"/>
              <w:rPr>
                <w:rFonts w:cs="Times New Roman"/>
                <w:sz w:val="20"/>
                <w:szCs w:val="20"/>
                <w:lang w:val="en-US"/>
              </w:rPr>
            </w:pPr>
            <w:r w:rsidRPr="008B6BC5">
              <w:rPr>
                <w:rFonts w:cs="Times New Roman"/>
                <w:sz w:val="20"/>
                <w:szCs w:val="20"/>
                <w:lang w:val="en-US"/>
              </w:rPr>
              <w:t>18</w:t>
            </w:r>
          </w:p>
        </w:tc>
        <w:tc>
          <w:tcPr>
            <w:tcW w:w="5953" w:type="dxa"/>
          </w:tcPr>
          <w:p w14:paraId="32261F37" w14:textId="77777777" w:rsidR="00D31662" w:rsidRPr="008B6BC5" w:rsidRDefault="00D31662" w:rsidP="00D31662">
            <w:pPr>
              <w:pStyle w:val="NoSpacing"/>
              <w:rPr>
                <w:rFonts w:cs="Times New Roman"/>
                <w:sz w:val="20"/>
                <w:szCs w:val="20"/>
                <w:lang w:val="en-US"/>
              </w:rPr>
            </w:pPr>
            <w:r w:rsidRPr="008B6BC5">
              <w:rPr>
                <w:rFonts w:cs="Times New Roman"/>
                <w:sz w:val="20"/>
                <w:szCs w:val="20"/>
                <w:lang w:val="en-US"/>
              </w:rPr>
              <w:t>In the VR relaxation trial for GAD, cybersickness scores were low, presence ratings were high, and the VR arm achieved a higher protocol completion rate (86%) than standard mental imagery (62%), suggesting good engagement and tolerability of immersive VR environments (</w:t>
            </w:r>
            <w:proofErr w:type="spellStart"/>
            <w:r w:rsidRPr="008B6BC5">
              <w:rPr>
                <w:rFonts w:cs="Times New Roman"/>
                <w:sz w:val="20"/>
                <w:szCs w:val="20"/>
                <w:lang w:val="en-US"/>
              </w:rPr>
              <w:t>Malbos</w:t>
            </w:r>
            <w:proofErr w:type="spellEnd"/>
            <w:r w:rsidRPr="008B6BC5">
              <w:rPr>
                <w:rFonts w:cs="Times New Roman"/>
                <w:sz w:val="20"/>
                <w:szCs w:val="20"/>
                <w:lang w:val="en-US"/>
              </w:rPr>
              <w:t xml:space="preserve"> et al., 2025)</w:t>
            </w:r>
          </w:p>
          <w:p w14:paraId="37E367F5" w14:textId="77777777" w:rsidR="00D31662" w:rsidRPr="008B6BC5" w:rsidRDefault="00D31662" w:rsidP="00D31662">
            <w:pPr>
              <w:pStyle w:val="NoSpacing"/>
              <w:rPr>
                <w:rFonts w:cs="Times New Roman"/>
                <w:sz w:val="20"/>
                <w:szCs w:val="20"/>
                <w:lang w:val="en-US"/>
              </w:rPr>
            </w:pPr>
          </w:p>
        </w:tc>
        <w:tc>
          <w:tcPr>
            <w:tcW w:w="4394" w:type="dxa"/>
          </w:tcPr>
          <w:p w14:paraId="2A17FF5E" w14:textId="329135B0" w:rsidR="00D31662" w:rsidRPr="008B6BC5" w:rsidRDefault="00D31662" w:rsidP="00D31662">
            <w:pPr>
              <w:pStyle w:val="NoSpacing"/>
              <w:rPr>
                <w:rFonts w:cs="Times New Roman"/>
                <w:sz w:val="20"/>
                <w:szCs w:val="20"/>
                <w:lang w:val="en-US"/>
              </w:rPr>
            </w:pPr>
            <w:r w:rsidRPr="008B6BC5">
              <w:rPr>
                <w:rFonts w:cs="Times New Roman"/>
                <w:sz w:val="20"/>
                <w:szCs w:val="20"/>
                <w:lang w:val="en-US"/>
              </w:rPr>
              <w:t>https://doi.org/10.3390/ jcm14041351</w:t>
            </w:r>
          </w:p>
        </w:tc>
        <w:tc>
          <w:tcPr>
            <w:tcW w:w="709" w:type="dxa"/>
          </w:tcPr>
          <w:p w14:paraId="75AC790F" w14:textId="6CF63433" w:rsidR="00D31662" w:rsidRPr="008B6BC5" w:rsidRDefault="00D31662" w:rsidP="00D31662">
            <w:pPr>
              <w:pStyle w:val="NoSpacing"/>
              <w:rPr>
                <w:rFonts w:cs="Times New Roman"/>
                <w:sz w:val="20"/>
                <w:szCs w:val="20"/>
                <w:lang w:val="en-US"/>
              </w:rPr>
            </w:pPr>
            <w:r w:rsidRPr="008B6BC5">
              <w:rPr>
                <w:rFonts w:cs="Times New Roman"/>
                <w:sz w:val="20"/>
                <w:szCs w:val="20"/>
                <w:lang w:val="en-US"/>
              </w:rPr>
              <w:t>4</w:t>
            </w:r>
          </w:p>
        </w:tc>
        <w:tc>
          <w:tcPr>
            <w:tcW w:w="3686" w:type="dxa"/>
          </w:tcPr>
          <w:p w14:paraId="74AD3253" w14:textId="3C3D7CF7" w:rsidR="00D31662" w:rsidRPr="008B6BC5" w:rsidRDefault="00D31662" w:rsidP="00D31662">
            <w:pPr>
              <w:pStyle w:val="NoSpacing"/>
              <w:rPr>
                <w:rFonts w:cs="Times New Roman"/>
                <w:sz w:val="20"/>
                <w:szCs w:val="20"/>
                <w:lang w:val="en-US"/>
              </w:rPr>
            </w:pPr>
            <w:r w:rsidRPr="008B6BC5">
              <w:rPr>
                <w:rFonts w:cs="Times New Roman"/>
                <w:sz w:val="20"/>
                <w:szCs w:val="20"/>
                <w:lang w:val="en-US"/>
              </w:rPr>
              <w:t>No inaccuracies detected.</w:t>
            </w:r>
          </w:p>
        </w:tc>
      </w:tr>
      <w:tr w:rsidR="00D31662" w:rsidRPr="008B6BC5" w14:paraId="76CDE41F" w14:textId="77777777" w:rsidTr="00202DA2">
        <w:tc>
          <w:tcPr>
            <w:tcW w:w="1702" w:type="dxa"/>
          </w:tcPr>
          <w:p w14:paraId="02C45C77" w14:textId="3E041888" w:rsidR="00D31662" w:rsidRPr="008B6BC5" w:rsidRDefault="00B65EF0" w:rsidP="00D31662">
            <w:pPr>
              <w:pStyle w:val="NoSpacing"/>
              <w:rPr>
                <w:rFonts w:cs="Times New Roman"/>
                <w:sz w:val="20"/>
                <w:szCs w:val="20"/>
                <w:lang w:val="en-US"/>
              </w:rPr>
            </w:pPr>
            <w:r w:rsidRPr="008B6BC5">
              <w:rPr>
                <w:rFonts w:cs="Times New Roman"/>
                <w:sz w:val="20"/>
                <w:szCs w:val="20"/>
                <w:lang w:val="en-US"/>
              </w:rPr>
              <w:lastRenderedPageBreak/>
              <w:t>19</w:t>
            </w:r>
          </w:p>
        </w:tc>
        <w:tc>
          <w:tcPr>
            <w:tcW w:w="5953" w:type="dxa"/>
          </w:tcPr>
          <w:p w14:paraId="4317D17E" w14:textId="3A43EC48" w:rsidR="00D31662" w:rsidRPr="008B6BC5" w:rsidRDefault="00D31662" w:rsidP="00D31662">
            <w:pPr>
              <w:pStyle w:val="NoSpacing"/>
              <w:rPr>
                <w:rFonts w:cs="Times New Roman"/>
                <w:sz w:val="20"/>
                <w:szCs w:val="20"/>
                <w:lang w:val="en-US"/>
              </w:rPr>
            </w:pPr>
            <w:r w:rsidRPr="008B6BC5">
              <w:rPr>
                <w:rFonts w:cs="Times New Roman"/>
                <w:sz w:val="20"/>
                <w:szCs w:val="20"/>
                <w:lang w:val="en-US"/>
              </w:rPr>
              <w:t xml:space="preserve">Studies of conversational agents such as </w:t>
            </w:r>
            <w:proofErr w:type="spellStart"/>
            <w:r w:rsidRPr="008B6BC5">
              <w:rPr>
                <w:rFonts w:cs="Times New Roman"/>
                <w:sz w:val="20"/>
                <w:szCs w:val="20"/>
                <w:lang w:val="en-US"/>
              </w:rPr>
              <w:t>Woebot</w:t>
            </w:r>
            <w:proofErr w:type="spellEnd"/>
            <w:r w:rsidRPr="008B6BC5">
              <w:rPr>
                <w:rFonts w:cs="Times New Roman"/>
                <w:sz w:val="20"/>
                <w:szCs w:val="20"/>
                <w:lang w:val="en-US"/>
              </w:rPr>
              <w:t>, although conducted mostly in subclinical samples with anxiety symptoms rather than diagnosed GAD, report good acceptability, high engagement, and no serious harms (Fitzpatrick et al., 2017).</w:t>
            </w:r>
          </w:p>
        </w:tc>
        <w:tc>
          <w:tcPr>
            <w:tcW w:w="4394" w:type="dxa"/>
          </w:tcPr>
          <w:p w14:paraId="03CCA4B8" w14:textId="4DAFE92B" w:rsidR="00D31662" w:rsidRPr="008B6BC5" w:rsidRDefault="00D31662" w:rsidP="00D31662">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10.2196/mental.7785</w:t>
            </w:r>
          </w:p>
        </w:tc>
        <w:tc>
          <w:tcPr>
            <w:tcW w:w="709" w:type="dxa"/>
          </w:tcPr>
          <w:p w14:paraId="5CD7E76E" w14:textId="56D931EC" w:rsidR="00D31662" w:rsidRPr="008B6BC5" w:rsidRDefault="00AB6C81" w:rsidP="00D31662">
            <w:pPr>
              <w:pStyle w:val="NoSpacing"/>
              <w:rPr>
                <w:rFonts w:cs="Times New Roman"/>
                <w:sz w:val="20"/>
                <w:szCs w:val="20"/>
                <w:lang w:val="en-US"/>
              </w:rPr>
            </w:pPr>
            <w:r w:rsidRPr="008B6BC5">
              <w:rPr>
                <w:rFonts w:cs="Times New Roman"/>
                <w:sz w:val="20"/>
                <w:szCs w:val="20"/>
                <w:lang w:val="en-US"/>
              </w:rPr>
              <w:t>3</w:t>
            </w:r>
          </w:p>
        </w:tc>
        <w:tc>
          <w:tcPr>
            <w:tcW w:w="3686" w:type="dxa"/>
          </w:tcPr>
          <w:p w14:paraId="61D656D4" w14:textId="0228A991" w:rsidR="00D31662" w:rsidRPr="008B6BC5" w:rsidRDefault="00AB6C81" w:rsidP="00D31662">
            <w:pPr>
              <w:pStyle w:val="NoSpacing"/>
              <w:rPr>
                <w:rFonts w:cs="Times New Roman"/>
                <w:sz w:val="20"/>
                <w:szCs w:val="20"/>
                <w:lang w:val="en-US"/>
              </w:rPr>
            </w:pPr>
            <w:r w:rsidRPr="008B6BC5">
              <w:rPr>
                <w:rFonts w:cs="Times New Roman"/>
                <w:sz w:val="20"/>
                <w:szCs w:val="20"/>
                <w:lang w:val="en-US"/>
              </w:rPr>
              <w:t xml:space="preserve">The authors recruited an unselected sample who were not specifically screened for subclinical anxiety symptoms. </w:t>
            </w:r>
          </w:p>
        </w:tc>
      </w:tr>
      <w:tr w:rsidR="00B65EF0" w:rsidRPr="008B6BC5" w14:paraId="3DC06ABF" w14:textId="77777777" w:rsidTr="00202DA2">
        <w:tc>
          <w:tcPr>
            <w:tcW w:w="1702" w:type="dxa"/>
          </w:tcPr>
          <w:p w14:paraId="23E23B43" w14:textId="1FAABC84"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Psychotherapy </w:t>
            </w:r>
          </w:p>
        </w:tc>
        <w:tc>
          <w:tcPr>
            <w:tcW w:w="5953" w:type="dxa"/>
          </w:tcPr>
          <w:p w14:paraId="39083A4E" w14:textId="77777777" w:rsidR="00B65EF0" w:rsidRPr="008B6BC5" w:rsidRDefault="00B65EF0" w:rsidP="00B65EF0">
            <w:pPr>
              <w:pStyle w:val="NoSpacing"/>
              <w:rPr>
                <w:rFonts w:cs="Times New Roman"/>
                <w:sz w:val="20"/>
                <w:szCs w:val="20"/>
                <w:lang w:val="en-US"/>
              </w:rPr>
            </w:pPr>
          </w:p>
        </w:tc>
        <w:tc>
          <w:tcPr>
            <w:tcW w:w="4394" w:type="dxa"/>
          </w:tcPr>
          <w:p w14:paraId="0BB18853" w14:textId="77777777" w:rsidR="00B65EF0" w:rsidRPr="008B6BC5" w:rsidRDefault="00B65EF0" w:rsidP="00B65EF0">
            <w:pPr>
              <w:pStyle w:val="NoSpacing"/>
              <w:rPr>
                <w:rFonts w:cs="Times New Roman"/>
                <w:sz w:val="20"/>
                <w:szCs w:val="20"/>
                <w:lang w:val="en-US"/>
              </w:rPr>
            </w:pPr>
          </w:p>
        </w:tc>
        <w:tc>
          <w:tcPr>
            <w:tcW w:w="709" w:type="dxa"/>
          </w:tcPr>
          <w:p w14:paraId="34C77E4B" w14:textId="77777777" w:rsidR="00B65EF0" w:rsidRPr="008B6BC5" w:rsidRDefault="00B65EF0" w:rsidP="00B65EF0">
            <w:pPr>
              <w:pStyle w:val="NoSpacing"/>
              <w:rPr>
                <w:rFonts w:cs="Times New Roman"/>
                <w:sz w:val="20"/>
                <w:szCs w:val="20"/>
                <w:lang w:val="en-US"/>
              </w:rPr>
            </w:pPr>
          </w:p>
        </w:tc>
        <w:tc>
          <w:tcPr>
            <w:tcW w:w="3686" w:type="dxa"/>
          </w:tcPr>
          <w:p w14:paraId="6444C82E" w14:textId="77777777" w:rsidR="00B65EF0" w:rsidRPr="008B6BC5" w:rsidRDefault="00B65EF0" w:rsidP="00B65EF0">
            <w:pPr>
              <w:pStyle w:val="NoSpacing"/>
              <w:rPr>
                <w:rFonts w:cs="Times New Roman"/>
                <w:sz w:val="20"/>
                <w:szCs w:val="20"/>
                <w:lang w:val="en-US"/>
              </w:rPr>
            </w:pPr>
          </w:p>
        </w:tc>
      </w:tr>
      <w:tr w:rsidR="00B65EF0" w:rsidRPr="008B6BC5" w14:paraId="65F58F5F" w14:textId="77777777" w:rsidTr="00202DA2">
        <w:tc>
          <w:tcPr>
            <w:tcW w:w="1702" w:type="dxa"/>
          </w:tcPr>
          <w:p w14:paraId="6025D9B9" w14:textId="79EDEBA0"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1 </w:t>
            </w:r>
          </w:p>
        </w:tc>
        <w:tc>
          <w:tcPr>
            <w:tcW w:w="5953" w:type="dxa"/>
          </w:tcPr>
          <w:p w14:paraId="44F5221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The most comprehensive disorder-specific meta-analysis of psychological treatments for adult GAD to date is by Cuijpers and colleagues, who synthesized 41 RCTs (N ≈ 2,400) comparing psychotherapy, predominantly individual cognitive-behavioral therapy (CBT), to waitlist, treatment-as-usual (TAU), and other non-active controls (Cuijpers et al., 2014). Across trials, psychotherapy produced a large effect on anxiety severity at post-treatment relative to control (Hedges’ g = 0.84; 95% CI 0.76–0.92) and a moderate-to-large effect on depressive symptoms (g = 0.71). Remission rates (defined as loss of GAD diagnosis) were substantially higher in psychotherapy than control conditions, with numbers needed to treat in the range of 2–3, indicating marked clinical benefit (Cuijpers et al., 2014).</w:t>
            </w:r>
          </w:p>
          <w:p w14:paraId="271E7AB4" w14:textId="1142D373" w:rsidR="00B65EF0" w:rsidRPr="008B6BC5" w:rsidRDefault="00B65EF0" w:rsidP="00B65EF0">
            <w:pPr>
              <w:pStyle w:val="NoSpacing"/>
              <w:rPr>
                <w:rFonts w:cs="Times New Roman"/>
                <w:sz w:val="20"/>
                <w:szCs w:val="20"/>
                <w:lang w:val="en-US"/>
              </w:rPr>
            </w:pPr>
          </w:p>
        </w:tc>
        <w:tc>
          <w:tcPr>
            <w:tcW w:w="4394" w:type="dxa"/>
          </w:tcPr>
          <w:p w14:paraId="575625D4" w14:textId="1E18D4F3"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10.1016/j.cpr.2014.01.002</w:t>
            </w:r>
          </w:p>
        </w:tc>
        <w:tc>
          <w:tcPr>
            <w:tcW w:w="709" w:type="dxa"/>
          </w:tcPr>
          <w:p w14:paraId="1EF61913" w14:textId="32BC381D"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622CA652" w14:textId="06BDF6B6"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 authors did not report remission rate outcome (loss of GAD diagnosis), instead reporting a binary “positive outcome” which is distinct from remission. Furthermore, psychotherapies did not significantly outperform controls on “positive outcomes”. </w:t>
            </w:r>
          </w:p>
        </w:tc>
      </w:tr>
      <w:tr w:rsidR="00B65EF0" w:rsidRPr="008B6BC5" w14:paraId="40F0EE4A" w14:textId="77777777" w:rsidTr="00202DA2">
        <w:tc>
          <w:tcPr>
            <w:tcW w:w="1702" w:type="dxa"/>
          </w:tcPr>
          <w:p w14:paraId="188A2BD2" w14:textId="37754A58"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5953" w:type="dxa"/>
          </w:tcPr>
          <w:p w14:paraId="7DE7EBA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A recent network meta-analysis (NMA) of 65 RCTs (5,367 adults) further refined these estimates by comparing multiple psychotherapy classes simultaneously (Papola et al., 2024). This NMA found that individual CBT, “third-wave” CBT approaches (e.g., acceptance-based, mindfulness-based, or metacognitive therapies), and psychodynamic psychotherapy all outperformed minimal or non-specific interventions (e.g., waitlist, psychoeducation, supportive counseling), with standardized mean differences (SMDs) at post-treatment against TAU/waitlist of approximately −0.71 for CBT, −0.77 for third-wave CBT, and −0.62 for psychodynamic therapy (Papola et al., 2024). Notably, CBT was the only modality with robust evidence for maintenance of gains at 3–12 month follow-up (SMD ≈ −0.58), whereas long-term data for several other modalities were sparse or more heterogeneous.</w:t>
            </w:r>
          </w:p>
          <w:p w14:paraId="07BFD7E2" w14:textId="43071CC6" w:rsidR="00B65EF0" w:rsidRPr="008B6BC5" w:rsidRDefault="00B65EF0" w:rsidP="00B65EF0">
            <w:pPr>
              <w:pStyle w:val="NoSpacing"/>
              <w:rPr>
                <w:rFonts w:cs="Times New Roman"/>
                <w:sz w:val="20"/>
                <w:szCs w:val="20"/>
                <w:lang w:val="en-US"/>
              </w:rPr>
            </w:pPr>
          </w:p>
        </w:tc>
        <w:tc>
          <w:tcPr>
            <w:tcW w:w="4394" w:type="dxa"/>
          </w:tcPr>
          <w:p w14:paraId="65C99C3E" w14:textId="2C6A3998"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doi:10.1001/jamapsychiatry.2023.3971</w:t>
            </w:r>
          </w:p>
        </w:tc>
        <w:tc>
          <w:tcPr>
            <w:tcW w:w="709" w:type="dxa"/>
          </w:tcPr>
          <w:p w14:paraId="027BD7A2" w14:textId="1F73D7CE"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640C24E9" w14:textId="04AAF421"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Psychodynamic therapy did not significantly outperform control conditions. </w:t>
            </w:r>
          </w:p>
        </w:tc>
      </w:tr>
      <w:tr w:rsidR="00B65EF0" w:rsidRPr="008B6BC5" w14:paraId="1349425D" w14:textId="77777777" w:rsidTr="00202DA2">
        <w:tc>
          <w:tcPr>
            <w:tcW w:w="1702" w:type="dxa"/>
          </w:tcPr>
          <w:p w14:paraId="75F27016" w14:textId="29B1D721"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5953" w:type="dxa"/>
          </w:tcPr>
          <w:p w14:paraId="00667D8A" w14:textId="699F170A" w:rsidR="00B65EF0" w:rsidRPr="008B6BC5" w:rsidRDefault="00B65EF0" w:rsidP="00B65EF0">
            <w:pPr>
              <w:pStyle w:val="NoSpacing"/>
              <w:rPr>
                <w:rFonts w:cs="Times New Roman"/>
                <w:sz w:val="20"/>
                <w:szCs w:val="20"/>
                <w:lang w:val="en-US"/>
              </w:rPr>
            </w:pPr>
            <w:r w:rsidRPr="008B6BC5">
              <w:rPr>
                <w:rFonts w:cs="Times New Roman"/>
                <w:sz w:val="20"/>
                <w:szCs w:val="20"/>
                <w:lang w:val="en-US"/>
              </w:rPr>
              <w:t>In a seminal trial, Dugas et al. (2009) randomized 65 adults with primary GAD to intolerance-of-uncertainty–focused CBT, applied relaxation (AR), or waitlist. Both CBT and AR consisted of 12 weekly individual sessions; both were superior to waitlist on worry (Penn State Worry Questionnaire) and clinician-rated GAD severity, with large between-</w:t>
            </w:r>
            <w:r w:rsidRPr="008B6BC5">
              <w:rPr>
                <w:rFonts w:cs="Times New Roman"/>
                <w:sz w:val="20"/>
                <w:szCs w:val="20"/>
                <w:lang w:val="en-US"/>
              </w:rPr>
              <w:lastRenderedPageBreak/>
              <w:t>group effects (Cohen’s d ≈ 0.90–1.10 vs waitlist). At 6-month follow-up, CBT showed somewhat stronger maintenance of gains, particularly for worry, relative to AR (Dugas et al., 2009).</w:t>
            </w:r>
          </w:p>
        </w:tc>
        <w:tc>
          <w:tcPr>
            <w:tcW w:w="4394" w:type="dxa"/>
          </w:tcPr>
          <w:p w14:paraId="76EACE80" w14:textId="6F3B2B13"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doi:10.1016/j.beth.2008.12.004.</w:t>
            </w:r>
          </w:p>
        </w:tc>
        <w:tc>
          <w:tcPr>
            <w:tcW w:w="709" w:type="dxa"/>
          </w:tcPr>
          <w:p w14:paraId="29010D9F" w14:textId="707B9825"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28745E10" w14:textId="5151A1E3"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AR was not significantly superior to waitlist control on worry and clinical-rated anxiety outcomes. </w:t>
            </w:r>
          </w:p>
        </w:tc>
      </w:tr>
      <w:tr w:rsidR="00B65EF0" w:rsidRPr="008B6BC5" w14:paraId="27C3BD36" w14:textId="77777777" w:rsidTr="00202DA2">
        <w:tc>
          <w:tcPr>
            <w:tcW w:w="1702" w:type="dxa"/>
          </w:tcPr>
          <w:p w14:paraId="7C83A640" w14:textId="2696D991"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5953" w:type="dxa"/>
          </w:tcPr>
          <w:p w14:paraId="4C8ACB29"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Earlier controlled trials similarly demonstrated that CBT or AR are clearly superior to nondirective or minimal-contact controls in reducing anxiety and normalizing functioning (Borkovec &amp; Costello, 1993).</w:t>
            </w:r>
          </w:p>
          <w:p w14:paraId="618DD57E" w14:textId="040CB22F" w:rsidR="00B65EF0" w:rsidRPr="008B6BC5" w:rsidRDefault="00B65EF0" w:rsidP="00B65EF0">
            <w:pPr>
              <w:pStyle w:val="NoSpacing"/>
              <w:rPr>
                <w:rFonts w:cs="Times New Roman"/>
                <w:sz w:val="20"/>
                <w:szCs w:val="20"/>
                <w:lang w:val="en-US"/>
              </w:rPr>
            </w:pPr>
          </w:p>
        </w:tc>
        <w:tc>
          <w:tcPr>
            <w:tcW w:w="4394" w:type="dxa"/>
          </w:tcPr>
          <w:p w14:paraId="19442083" w14:textId="773DA7D1"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10.1037//0022-006x.61.4.611</w:t>
            </w:r>
          </w:p>
        </w:tc>
        <w:tc>
          <w:tcPr>
            <w:tcW w:w="709" w:type="dxa"/>
          </w:tcPr>
          <w:p w14:paraId="659FFDFB" w14:textId="6F536E4E"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45DF6F75" w14:textId="6EBB8EC9"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63820E0E" w14:textId="77777777" w:rsidTr="00202DA2">
        <w:tc>
          <w:tcPr>
            <w:tcW w:w="1702" w:type="dxa"/>
          </w:tcPr>
          <w:p w14:paraId="1B3E9510" w14:textId="04255B95" w:rsidR="00B65EF0" w:rsidRPr="008B6BC5" w:rsidRDefault="00B65EF0" w:rsidP="00B65EF0">
            <w:pPr>
              <w:pStyle w:val="NoSpacing"/>
              <w:rPr>
                <w:rFonts w:cs="Times New Roman"/>
                <w:sz w:val="20"/>
                <w:szCs w:val="20"/>
                <w:lang w:val="en-US"/>
              </w:rPr>
            </w:pPr>
            <w:r w:rsidRPr="008B6BC5">
              <w:rPr>
                <w:rFonts w:cs="Times New Roman"/>
                <w:sz w:val="20"/>
                <w:szCs w:val="20"/>
                <w:lang w:val="en-US"/>
              </w:rPr>
              <w:t>5</w:t>
            </w:r>
          </w:p>
        </w:tc>
        <w:tc>
          <w:tcPr>
            <w:tcW w:w="5953" w:type="dxa"/>
          </w:tcPr>
          <w:p w14:paraId="0326B889"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An updated systematic review and meta-analysis of 20 RCTs of internet-delivered interventions for adult GAD (disorder-specific and transdiagnostic) reported large pooled effects for anxiety (Hedges’ g = 0.79) and worry (g = 0.75) at post-treatment when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was compared with waitlist or information-only controls (Eilert et al., 2021). Effect sizes for depressive symptoms and functioning were in the moderate-to-large range, with gains generally maintained at short-term follow-up (Eilert et al., 2021).</w:t>
            </w:r>
          </w:p>
          <w:p w14:paraId="4AE9557D" w14:textId="3C1A43EC" w:rsidR="00B65EF0" w:rsidRPr="008B6BC5" w:rsidRDefault="00B65EF0" w:rsidP="00B65EF0">
            <w:pPr>
              <w:pStyle w:val="NoSpacing"/>
              <w:rPr>
                <w:rFonts w:cs="Times New Roman"/>
                <w:sz w:val="20"/>
                <w:szCs w:val="20"/>
                <w:lang w:val="en-US"/>
              </w:rPr>
            </w:pPr>
          </w:p>
        </w:tc>
        <w:tc>
          <w:tcPr>
            <w:tcW w:w="4394" w:type="dxa"/>
          </w:tcPr>
          <w:p w14:paraId="74816B9B" w14:textId="416DE874"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10.1002/da.23115.</w:t>
            </w:r>
          </w:p>
        </w:tc>
        <w:tc>
          <w:tcPr>
            <w:tcW w:w="709" w:type="dxa"/>
          </w:tcPr>
          <w:p w14:paraId="240A194A" w14:textId="34D126DB"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3278E8A7" w14:textId="4EF32E0A"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Control groups extended beyond waitlists or information controls, also including cognitive bias modification placebos. </w:t>
            </w:r>
          </w:p>
        </w:tc>
      </w:tr>
      <w:tr w:rsidR="00B65EF0" w:rsidRPr="008B6BC5" w14:paraId="105FA66C" w14:textId="77777777" w:rsidTr="00202DA2">
        <w:tc>
          <w:tcPr>
            <w:tcW w:w="1702" w:type="dxa"/>
          </w:tcPr>
          <w:p w14:paraId="4EE6F79C"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6.1</w:t>
            </w:r>
          </w:p>
          <w:p w14:paraId="0F62228E" w14:textId="11FE8A0C" w:rsidR="00B65EF0" w:rsidRPr="008B6BC5" w:rsidRDefault="00B65EF0" w:rsidP="00B65EF0">
            <w:pPr>
              <w:pStyle w:val="NoSpacing"/>
              <w:rPr>
                <w:rFonts w:cs="Times New Roman"/>
                <w:sz w:val="20"/>
                <w:szCs w:val="20"/>
                <w:lang w:val="en-US"/>
              </w:rPr>
            </w:pPr>
            <w:r w:rsidRPr="008B6BC5">
              <w:rPr>
                <w:rFonts w:cs="Times New Roman"/>
                <w:sz w:val="20"/>
                <w:szCs w:val="20"/>
                <w:lang w:val="en-US"/>
              </w:rPr>
              <w:t>6.2</w:t>
            </w:r>
          </w:p>
        </w:tc>
        <w:tc>
          <w:tcPr>
            <w:tcW w:w="5953" w:type="dxa"/>
          </w:tcPr>
          <w:p w14:paraId="46AF322C"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Individual RCTs of guided </w:t>
            </w:r>
            <w:proofErr w:type="spellStart"/>
            <w:r w:rsidRPr="008B6BC5">
              <w:rPr>
                <w:rFonts w:cs="Times New Roman"/>
                <w:sz w:val="20"/>
                <w:szCs w:val="20"/>
                <w:lang w:val="en-US"/>
              </w:rPr>
              <w:t>iCBT</w:t>
            </w:r>
            <w:proofErr w:type="spellEnd"/>
            <w:r w:rsidRPr="008B6BC5">
              <w:rPr>
                <w:rFonts w:cs="Times New Roman"/>
                <w:sz w:val="20"/>
                <w:szCs w:val="20"/>
                <w:lang w:val="en-US"/>
              </w:rPr>
              <w:t>, typically involving 6–12 online CBT modules plus brief therapist messaging, have also reported large effects versus waitlist on GAD symptoms and worry in both community and student samples (</w:t>
            </w:r>
            <w:proofErr w:type="spellStart"/>
            <w:r w:rsidRPr="008B6BC5">
              <w:rPr>
                <w:rFonts w:cs="Times New Roman"/>
                <w:sz w:val="20"/>
                <w:szCs w:val="20"/>
                <w:lang w:val="en-US"/>
              </w:rPr>
              <w:t>Paxling</w:t>
            </w:r>
            <w:proofErr w:type="spellEnd"/>
            <w:r w:rsidRPr="008B6BC5">
              <w:rPr>
                <w:rFonts w:cs="Times New Roman"/>
                <w:sz w:val="20"/>
                <w:szCs w:val="20"/>
                <w:lang w:val="en-US"/>
              </w:rPr>
              <w:t xml:space="preserve"> et al., 2011; Richards et al., 2016).</w:t>
            </w:r>
          </w:p>
          <w:p w14:paraId="42D4518A" w14:textId="337C3F5F" w:rsidR="00B65EF0" w:rsidRPr="008B6BC5" w:rsidRDefault="00B65EF0" w:rsidP="00B65EF0">
            <w:pPr>
              <w:pStyle w:val="NoSpacing"/>
              <w:rPr>
                <w:rFonts w:cs="Times New Roman"/>
                <w:sz w:val="20"/>
                <w:szCs w:val="20"/>
                <w:lang w:val="en-US"/>
              </w:rPr>
            </w:pPr>
          </w:p>
        </w:tc>
        <w:tc>
          <w:tcPr>
            <w:tcW w:w="4394" w:type="dxa"/>
          </w:tcPr>
          <w:p w14:paraId="51A73A84" w14:textId="2CC37924" w:rsidR="00B65EF0" w:rsidRPr="008B6BC5" w:rsidRDefault="00B65EF0" w:rsidP="00B65EF0">
            <w:pPr>
              <w:pStyle w:val="NoSpacing"/>
              <w:rPr>
                <w:rFonts w:cs="Times New Roman"/>
                <w:sz w:val="20"/>
                <w:szCs w:val="20"/>
                <w:lang w:val="en-US"/>
              </w:rPr>
            </w:pPr>
            <w:hyperlink r:id="rId31" w:history="1">
              <w:r w:rsidRPr="008B6BC5">
                <w:rPr>
                  <w:rStyle w:val="Hyperlink"/>
                  <w:rFonts w:cs="Times New Roman"/>
                  <w:sz w:val="20"/>
                  <w:szCs w:val="20"/>
                  <w:lang w:val="en-US"/>
                </w:rPr>
                <w:t>https://doi.org/10.1080/16506073.2011.576699</w:t>
              </w:r>
            </w:hyperlink>
          </w:p>
          <w:p w14:paraId="6B0588E2" w14:textId="77777777" w:rsidR="00B65EF0" w:rsidRPr="008B6BC5" w:rsidRDefault="00B65EF0" w:rsidP="00B65EF0">
            <w:pPr>
              <w:pStyle w:val="NoSpacing"/>
              <w:rPr>
                <w:rFonts w:cs="Times New Roman"/>
                <w:sz w:val="20"/>
                <w:szCs w:val="20"/>
                <w:lang w:val="en-US"/>
              </w:rPr>
            </w:pPr>
          </w:p>
          <w:p w14:paraId="6648FE90" w14:textId="623A20B4"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http://dx.doi.org/10.1016/j.invent.2016.10.003</w:t>
            </w:r>
          </w:p>
        </w:tc>
        <w:tc>
          <w:tcPr>
            <w:tcW w:w="709" w:type="dxa"/>
          </w:tcPr>
          <w:p w14:paraId="6A12A583"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p w14:paraId="72582A55" w14:textId="77777777" w:rsidR="00B65EF0" w:rsidRPr="008B6BC5" w:rsidRDefault="00B65EF0" w:rsidP="00B65EF0">
            <w:pPr>
              <w:pStyle w:val="NoSpacing"/>
              <w:rPr>
                <w:rFonts w:cs="Times New Roman"/>
                <w:sz w:val="20"/>
                <w:szCs w:val="20"/>
                <w:lang w:val="en-US"/>
              </w:rPr>
            </w:pPr>
          </w:p>
          <w:p w14:paraId="195AB594" w14:textId="3B5CFEC8"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72DA4E7F"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No inaccuracies detected for </w:t>
            </w:r>
            <w:proofErr w:type="spellStart"/>
            <w:r w:rsidRPr="008B6BC5">
              <w:rPr>
                <w:rFonts w:cs="Times New Roman"/>
                <w:sz w:val="20"/>
                <w:szCs w:val="20"/>
                <w:lang w:val="en-US"/>
              </w:rPr>
              <w:t>Paxling</w:t>
            </w:r>
            <w:proofErr w:type="spellEnd"/>
            <w:r w:rsidRPr="008B6BC5">
              <w:rPr>
                <w:rFonts w:cs="Times New Roman"/>
                <w:sz w:val="20"/>
                <w:szCs w:val="20"/>
                <w:lang w:val="en-US"/>
              </w:rPr>
              <w:t xml:space="preserve"> 2011. </w:t>
            </w:r>
          </w:p>
          <w:p w14:paraId="3F9CBBF0" w14:textId="77777777" w:rsidR="00B65EF0" w:rsidRPr="008B6BC5" w:rsidRDefault="00B65EF0" w:rsidP="00B65EF0">
            <w:pPr>
              <w:pStyle w:val="NoSpacing"/>
              <w:rPr>
                <w:rFonts w:cs="Times New Roman"/>
                <w:sz w:val="20"/>
                <w:szCs w:val="20"/>
                <w:lang w:val="en-US"/>
              </w:rPr>
            </w:pPr>
          </w:p>
          <w:p w14:paraId="4FD0B44F" w14:textId="5CDB12B4"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Richards 2016 did not find any significant between-group differences on anxiety symptoms. </w:t>
            </w:r>
          </w:p>
          <w:p w14:paraId="47F4AB62" w14:textId="4D066388" w:rsidR="00B65EF0" w:rsidRPr="008B6BC5" w:rsidRDefault="00B65EF0" w:rsidP="00B65EF0">
            <w:pPr>
              <w:pStyle w:val="NoSpacing"/>
              <w:rPr>
                <w:rFonts w:cs="Times New Roman"/>
                <w:sz w:val="20"/>
                <w:szCs w:val="20"/>
                <w:lang w:val="en-US"/>
              </w:rPr>
            </w:pPr>
          </w:p>
        </w:tc>
      </w:tr>
      <w:tr w:rsidR="00B65EF0" w:rsidRPr="008B6BC5" w14:paraId="1D9CA0C1" w14:textId="77777777" w:rsidTr="00202DA2">
        <w:tc>
          <w:tcPr>
            <w:tcW w:w="1702" w:type="dxa"/>
          </w:tcPr>
          <w:p w14:paraId="40802C37" w14:textId="6D02A9B3" w:rsidR="00B65EF0" w:rsidRPr="008B6BC5" w:rsidRDefault="00B65EF0" w:rsidP="00B65EF0">
            <w:pPr>
              <w:pStyle w:val="NoSpacing"/>
              <w:rPr>
                <w:rFonts w:cs="Times New Roman"/>
                <w:sz w:val="20"/>
                <w:szCs w:val="20"/>
                <w:lang w:val="en-US"/>
              </w:rPr>
            </w:pPr>
            <w:r w:rsidRPr="008B6BC5">
              <w:rPr>
                <w:rFonts w:cs="Times New Roman"/>
                <w:sz w:val="20"/>
                <w:szCs w:val="20"/>
                <w:lang w:val="en-US"/>
              </w:rPr>
              <w:t>7</w:t>
            </w:r>
          </w:p>
        </w:tc>
        <w:tc>
          <w:tcPr>
            <w:tcW w:w="5953" w:type="dxa"/>
          </w:tcPr>
          <w:p w14:paraId="51AABB53"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a nationwide routine-care evaluation of a 12-session, therapist-supported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program for physician-referred adults with GAD (N = 1,099), Ritola et al. (2022) observed a large intention-to-treat pre–post effect size on GAD-7 (Cohen’s d = 0.97), with very large effects among treatment completers (d = 1.39). Approximately 54% of patients with baseline GAD-7 ≥ 10 met criteria for recovery at post-treatment, and only 3–4% showed reliable deterioration (Ritola et al., 2022).</w:t>
            </w:r>
          </w:p>
          <w:p w14:paraId="2BBA5856" w14:textId="77777777" w:rsidR="00B65EF0" w:rsidRPr="008B6BC5" w:rsidRDefault="00B65EF0" w:rsidP="00B65EF0">
            <w:pPr>
              <w:pStyle w:val="NoSpacing"/>
              <w:rPr>
                <w:rFonts w:cs="Times New Roman"/>
                <w:sz w:val="20"/>
                <w:szCs w:val="20"/>
                <w:lang w:val="en-US"/>
              </w:rPr>
            </w:pPr>
          </w:p>
        </w:tc>
        <w:tc>
          <w:tcPr>
            <w:tcW w:w="4394" w:type="dxa"/>
          </w:tcPr>
          <w:p w14:paraId="26DB92FE" w14:textId="294F302C"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doi:10.2196/29384</w:t>
            </w:r>
          </w:p>
        </w:tc>
        <w:tc>
          <w:tcPr>
            <w:tcW w:w="709" w:type="dxa"/>
          </w:tcPr>
          <w:p w14:paraId="50A2D325" w14:textId="09182FF4"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118B071D" w14:textId="726B180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47% of participants met criteria for recovery, not 54%, </w:t>
            </w:r>
          </w:p>
        </w:tc>
      </w:tr>
      <w:tr w:rsidR="00B65EF0" w:rsidRPr="008B6BC5" w14:paraId="00759F67" w14:textId="77777777" w:rsidTr="00202DA2">
        <w:tc>
          <w:tcPr>
            <w:tcW w:w="1702" w:type="dxa"/>
          </w:tcPr>
          <w:p w14:paraId="1CCFCEF4" w14:textId="1A3532D6" w:rsidR="00B65EF0" w:rsidRPr="008B6BC5" w:rsidRDefault="00B65EF0" w:rsidP="00B65EF0">
            <w:pPr>
              <w:pStyle w:val="NoSpacing"/>
              <w:rPr>
                <w:rFonts w:cs="Times New Roman"/>
                <w:sz w:val="20"/>
                <w:szCs w:val="20"/>
                <w:lang w:val="en-US"/>
              </w:rPr>
            </w:pPr>
            <w:r w:rsidRPr="008B6BC5">
              <w:rPr>
                <w:rFonts w:cs="Times New Roman"/>
                <w:sz w:val="20"/>
                <w:szCs w:val="20"/>
                <w:lang w:val="en-US"/>
              </w:rPr>
              <w:t>8</w:t>
            </w:r>
          </w:p>
        </w:tc>
        <w:tc>
          <w:tcPr>
            <w:tcW w:w="5953" w:type="dxa"/>
          </w:tcPr>
          <w:p w14:paraId="4F2D1C5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Arntz (2003) randomized 45 outpatients to 15 sessions of individual cognitive therapy (CT) targeting catastrophic misinterpretations of anxiety symptoms versus AR. Both produced medium to large within-group improvements (effect sizes 0.53–1.14 across anxiety and worry measures), with comparable rates of recovery at 6-month follow-up (55% recovered in CT, 53.3% in AR on the STAI-Trait) (Arntz, 2003). </w:t>
            </w:r>
          </w:p>
          <w:p w14:paraId="6B431B03" w14:textId="78ACD123" w:rsidR="00B65EF0" w:rsidRPr="008B6BC5" w:rsidRDefault="00B65EF0" w:rsidP="00B65EF0">
            <w:pPr>
              <w:pStyle w:val="NoSpacing"/>
              <w:rPr>
                <w:rFonts w:cs="Times New Roman"/>
                <w:sz w:val="20"/>
                <w:szCs w:val="20"/>
                <w:lang w:val="en-US"/>
              </w:rPr>
            </w:pPr>
          </w:p>
        </w:tc>
        <w:tc>
          <w:tcPr>
            <w:tcW w:w="4394" w:type="dxa"/>
          </w:tcPr>
          <w:p w14:paraId="08704106" w14:textId="742DBB65"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doi:10.1016/S0005-7967(02)00045-1</w:t>
            </w:r>
          </w:p>
        </w:tc>
        <w:tc>
          <w:tcPr>
            <w:tcW w:w="709" w:type="dxa"/>
          </w:tcPr>
          <w:p w14:paraId="557B2B44" w14:textId="50AAD0A4"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7137B05C" w14:textId="3F355CF9"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There was no worry-specific outcome construct but rather numerous anxiety-specific constructs. </w:t>
            </w:r>
          </w:p>
        </w:tc>
      </w:tr>
      <w:tr w:rsidR="00B65EF0" w:rsidRPr="008B6BC5" w14:paraId="48E7A4BD" w14:textId="77777777" w:rsidTr="00202DA2">
        <w:tc>
          <w:tcPr>
            <w:tcW w:w="1702" w:type="dxa"/>
          </w:tcPr>
          <w:p w14:paraId="3B70EE23" w14:textId="05EC0A7F"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9</w:t>
            </w:r>
          </w:p>
        </w:tc>
        <w:tc>
          <w:tcPr>
            <w:tcW w:w="5953" w:type="dxa"/>
          </w:tcPr>
          <w:p w14:paraId="1F9409EF"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Similarly, Öst and </w:t>
            </w:r>
            <w:proofErr w:type="spellStart"/>
            <w:r w:rsidRPr="008B6BC5">
              <w:rPr>
                <w:rFonts w:cs="Times New Roman"/>
                <w:sz w:val="20"/>
                <w:szCs w:val="20"/>
                <w:lang w:val="en-US"/>
              </w:rPr>
              <w:t>Breitholtz</w:t>
            </w:r>
            <w:proofErr w:type="spellEnd"/>
            <w:r w:rsidRPr="008B6BC5">
              <w:rPr>
                <w:rFonts w:cs="Times New Roman"/>
                <w:sz w:val="20"/>
                <w:szCs w:val="20"/>
                <w:lang w:val="en-US"/>
              </w:rPr>
              <w:t xml:space="preserve"> (2000) compared 12 sessions of CT versus AR in 36 adults with DSM-III-R GAD and found no significant between-group differences; both arms yielded large symptom reductions and 56–67% of patients met criteria for clinically significant improvement at 1-year follow-up.</w:t>
            </w:r>
          </w:p>
          <w:p w14:paraId="766C85A3" w14:textId="69413C4A" w:rsidR="00B65EF0" w:rsidRPr="008B6BC5" w:rsidRDefault="00B65EF0" w:rsidP="00B65EF0">
            <w:pPr>
              <w:pStyle w:val="NoSpacing"/>
              <w:rPr>
                <w:rFonts w:cs="Times New Roman"/>
                <w:sz w:val="20"/>
                <w:szCs w:val="20"/>
                <w:lang w:val="en-US"/>
              </w:rPr>
            </w:pPr>
          </w:p>
        </w:tc>
        <w:tc>
          <w:tcPr>
            <w:tcW w:w="4394" w:type="dxa"/>
          </w:tcPr>
          <w:p w14:paraId="3C4FAA1D" w14:textId="12816C4D"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10.1016/s0005-7967(99)00095-9</w:t>
            </w:r>
          </w:p>
        </w:tc>
        <w:tc>
          <w:tcPr>
            <w:tcW w:w="709" w:type="dxa"/>
          </w:tcPr>
          <w:p w14:paraId="573DE397" w14:textId="65531638"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7C50F583" w14:textId="3F885702"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1EAFA4FF" w14:textId="77777777" w:rsidTr="00202DA2">
        <w:tc>
          <w:tcPr>
            <w:tcW w:w="1702" w:type="dxa"/>
          </w:tcPr>
          <w:p w14:paraId="79A7D421" w14:textId="0A96480C" w:rsidR="00B65EF0" w:rsidRPr="008B6BC5" w:rsidRDefault="00B65EF0" w:rsidP="00B65EF0">
            <w:pPr>
              <w:pStyle w:val="NoSpacing"/>
              <w:rPr>
                <w:rFonts w:cs="Times New Roman"/>
                <w:sz w:val="20"/>
                <w:szCs w:val="20"/>
                <w:lang w:val="en-US"/>
              </w:rPr>
            </w:pPr>
            <w:r w:rsidRPr="008B6BC5">
              <w:rPr>
                <w:rFonts w:cs="Times New Roman"/>
                <w:sz w:val="20"/>
                <w:szCs w:val="20"/>
                <w:lang w:val="en-US"/>
              </w:rPr>
              <w:t>10</w:t>
            </w:r>
          </w:p>
        </w:tc>
        <w:tc>
          <w:tcPr>
            <w:tcW w:w="5953" w:type="dxa"/>
          </w:tcPr>
          <w:p w14:paraId="556FD28E"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Hayes-Skelton, Roemer, and Orsillo (2013) conducted a 16-session RCT comparing acceptance-based behavioral therapy (ABBT) to AR in 81 adults with GAD. Both conditions produced large reductions in interviewer-rated GAD severity and self-reported worry (Cohen’s d ≈ 0.80–1.00), with no statistically significant superiority of ABBT on primary outcomes at post-treatment or 6-month follow-up, although ABBT showed some advantages on measures of experiential avoidance and quality of life (Hayes-Skelton et al., 2013). </w:t>
            </w:r>
          </w:p>
          <w:p w14:paraId="3681DE4A" w14:textId="17543974" w:rsidR="00B65EF0" w:rsidRPr="008B6BC5" w:rsidRDefault="00B65EF0" w:rsidP="00B65EF0">
            <w:pPr>
              <w:pStyle w:val="NoSpacing"/>
              <w:rPr>
                <w:rFonts w:cs="Times New Roman"/>
                <w:sz w:val="20"/>
                <w:szCs w:val="20"/>
                <w:lang w:val="en-US"/>
              </w:rPr>
            </w:pPr>
          </w:p>
        </w:tc>
        <w:tc>
          <w:tcPr>
            <w:tcW w:w="4394" w:type="dxa"/>
          </w:tcPr>
          <w:p w14:paraId="2F3990BB" w14:textId="781F8723"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10.1037/a0032871</w:t>
            </w:r>
          </w:p>
        </w:tc>
        <w:tc>
          <w:tcPr>
            <w:tcW w:w="709" w:type="dxa"/>
          </w:tcPr>
          <w:p w14:paraId="4E721339" w14:textId="3E00CA35"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095861E1" w14:textId="142DC1D1"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ABBT was not significantly superior to applied relaxation on quality of life.  </w:t>
            </w:r>
          </w:p>
        </w:tc>
      </w:tr>
      <w:tr w:rsidR="00B65EF0" w:rsidRPr="008B6BC5" w14:paraId="6FBDDEF9" w14:textId="77777777" w:rsidTr="00202DA2">
        <w:tc>
          <w:tcPr>
            <w:tcW w:w="1702" w:type="dxa"/>
          </w:tcPr>
          <w:p w14:paraId="53597D36" w14:textId="12E45DBC" w:rsidR="00B65EF0" w:rsidRPr="008B6BC5" w:rsidRDefault="00B65EF0" w:rsidP="00B65EF0">
            <w:pPr>
              <w:pStyle w:val="NoSpacing"/>
              <w:rPr>
                <w:rFonts w:cs="Times New Roman"/>
                <w:sz w:val="20"/>
                <w:szCs w:val="20"/>
                <w:lang w:val="en-US"/>
              </w:rPr>
            </w:pPr>
            <w:r w:rsidRPr="008B6BC5">
              <w:rPr>
                <w:rFonts w:cs="Times New Roman"/>
                <w:sz w:val="20"/>
                <w:szCs w:val="20"/>
                <w:lang w:val="en-US"/>
              </w:rPr>
              <w:t>11</w:t>
            </w:r>
          </w:p>
        </w:tc>
        <w:tc>
          <w:tcPr>
            <w:tcW w:w="5953" w:type="dxa"/>
          </w:tcPr>
          <w:p w14:paraId="01092DDF"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an often-cited trial, Power et al. (1990) randomized 120 adults with GAD to CBT, diazepam, placebo, or combinations thereof. Short-term outcomes indicated that CBT, diazepam, and their combination all outperformed placebo on anxiety severity, but at 6-month follow-up CBT (alone or in combination) showed better maintenance of gains and lower reliance on medication than diazepam alone (Power et al., 1990). </w:t>
            </w:r>
          </w:p>
          <w:p w14:paraId="2B2571C3" w14:textId="722F4386" w:rsidR="00B65EF0" w:rsidRPr="008B6BC5" w:rsidRDefault="00B65EF0" w:rsidP="00B65EF0">
            <w:pPr>
              <w:pStyle w:val="NoSpacing"/>
              <w:rPr>
                <w:rFonts w:cs="Times New Roman"/>
                <w:sz w:val="20"/>
                <w:szCs w:val="20"/>
                <w:lang w:val="en-US"/>
              </w:rPr>
            </w:pPr>
          </w:p>
        </w:tc>
        <w:tc>
          <w:tcPr>
            <w:tcW w:w="4394" w:type="dxa"/>
          </w:tcPr>
          <w:p w14:paraId="568A03F4" w14:textId="761B985F"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https://doi.org/10.1016/0887-6185(90)90026-6</w:t>
            </w:r>
          </w:p>
        </w:tc>
        <w:tc>
          <w:tcPr>
            <w:tcW w:w="709" w:type="dxa"/>
          </w:tcPr>
          <w:p w14:paraId="07C697BD" w14:textId="41E6B641"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68B7D6F2" w14:textId="557D7AE6"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Diazepam alone did not significantly outperform the placebo on anxiety severity. </w:t>
            </w:r>
          </w:p>
        </w:tc>
      </w:tr>
      <w:tr w:rsidR="00B65EF0" w:rsidRPr="008B6BC5" w14:paraId="024C6C1C" w14:textId="77777777" w:rsidTr="00202DA2">
        <w:tc>
          <w:tcPr>
            <w:tcW w:w="1702" w:type="dxa"/>
          </w:tcPr>
          <w:p w14:paraId="621FE739" w14:textId="5BD41CEF" w:rsidR="00B65EF0" w:rsidRPr="008B6BC5" w:rsidRDefault="00B65EF0" w:rsidP="00B65EF0">
            <w:pPr>
              <w:pStyle w:val="NoSpacing"/>
              <w:rPr>
                <w:rFonts w:cs="Times New Roman"/>
                <w:sz w:val="20"/>
                <w:szCs w:val="20"/>
                <w:lang w:val="en-US"/>
              </w:rPr>
            </w:pPr>
            <w:r w:rsidRPr="008B6BC5">
              <w:rPr>
                <w:rFonts w:cs="Times New Roman"/>
                <w:sz w:val="20"/>
                <w:szCs w:val="20"/>
                <w:lang w:val="en-US"/>
              </w:rPr>
              <w:t>12</w:t>
            </w:r>
          </w:p>
        </w:tc>
        <w:tc>
          <w:tcPr>
            <w:tcW w:w="5953" w:type="dxa"/>
          </w:tcPr>
          <w:p w14:paraId="7568D00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More recently, Crits-Christoph et al. (2011) evaluated the added value of 16 sessions of CT to standard pharmacotherapy in adults with GAD already receiving antidepressants. Combined CT plus medication produced greater reductions in worry and clinician-rated GAD severity than medication alone (between-group effect sizes around d = 0.40–0.50), and a higher proportion of patients achieved high-end-state functioning (Crits-Christoph et al., 2011).</w:t>
            </w:r>
          </w:p>
          <w:p w14:paraId="7CF65DC7" w14:textId="67E8ACFB" w:rsidR="00B65EF0" w:rsidRPr="008B6BC5" w:rsidRDefault="00B65EF0" w:rsidP="00B65EF0">
            <w:pPr>
              <w:pStyle w:val="NoSpacing"/>
              <w:rPr>
                <w:rFonts w:cs="Times New Roman"/>
                <w:sz w:val="20"/>
                <w:szCs w:val="20"/>
                <w:lang w:val="en-US"/>
              </w:rPr>
            </w:pPr>
          </w:p>
        </w:tc>
        <w:tc>
          <w:tcPr>
            <w:tcW w:w="4394" w:type="dxa"/>
          </w:tcPr>
          <w:p w14:paraId="1278A6F6" w14:textId="49A7F1A2"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doi:10.1016/j.janxdis.2011.07.007.</w:t>
            </w:r>
          </w:p>
        </w:tc>
        <w:tc>
          <w:tcPr>
            <w:tcW w:w="709" w:type="dxa"/>
          </w:tcPr>
          <w:p w14:paraId="39A9F506" w14:textId="1A649C68"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4829AFDC" w14:textId="61EC4CE3"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Combined treatment did not significantly outperform medication alone, and rates of higher-end-state functioning (HAM-A recovery scores) were slightly higher for medication (71%) vs combined (65%). </w:t>
            </w:r>
          </w:p>
        </w:tc>
      </w:tr>
      <w:tr w:rsidR="00B65EF0" w:rsidRPr="008B6BC5" w14:paraId="68AF1725" w14:textId="77777777" w:rsidTr="00202DA2">
        <w:tc>
          <w:tcPr>
            <w:tcW w:w="1702" w:type="dxa"/>
          </w:tcPr>
          <w:p w14:paraId="48DC11D6" w14:textId="0CBFFEEA" w:rsidR="00B65EF0" w:rsidRPr="008B6BC5" w:rsidRDefault="00B65EF0" w:rsidP="00B65EF0">
            <w:pPr>
              <w:pStyle w:val="NoSpacing"/>
              <w:rPr>
                <w:rFonts w:cs="Times New Roman"/>
                <w:sz w:val="20"/>
                <w:szCs w:val="20"/>
                <w:lang w:val="en-US"/>
              </w:rPr>
            </w:pPr>
            <w:r w:rsidRPr="008B6BC5">
              <w:rPr>
                <w:rFonts w:cs="Times New Roman"/>
                <w:sz w:val="20"/>
                <w:szCs w:val="20"/>
                <w:lang w:val="en-US"/>
              </w:rPr>
              <w:t>13</w:t>
            </w:r>
          </w:p>
        </w:tc>
        <w:tc>
          <w:tcPr>
            <w:tcW w:w="5953" w:type="dxa"/>
          </w:tcPr>
          <w:p w14:paraId="1C660C3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In their disorder-specific meta-analysis, Cuijpers et al. (2014) noted that effect sizes for psychological treatments (g ≈ 0.84) were comparable to or somewhat larger than those reported in earlier pharmacotherapy meta-analyses for GAD,</w:t>
            </w:r>
          </w:p>
          <w:p w14:paraId="3DA52A44" w14:textId="013B6792" w:rsidR="00B65EF0" w:rsidRPr="008B6BC5" w:rsidRDefault="00B65EF0" w:rsidP="00B65EF0">
            <w:pPr>
              <w:pStyle w:val="NoSpacing"/>
              <w:rPr>
                <w:rFonts w:cs="Times New Roman"/>
                <w:sz w:val="20"/>
                <w:szCs w:val="20"/>
                <w:lang w:val="en-US"/>
              </w:rPr>
            </w:pPr>
          </w:p>
        </w:tc>
        <w:tc>
          <w:tcPr>
            <w:tcW w:w="4394" w:type="dxa"/>
          </w:tcPr>
          <w:p w14:paraId="0C21F15C" w14:textId="1BE80892"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10.1016/j.cpr.2014.01.002</w:t>
            </w:r>
          </w:p>
        </w:tc>
        <w:tc>
          <w:tcPr>
            <w:tcW w:w="709" w:type="dxa"/>
          </w:tcPr>
          <w:p w14:paraId="0D350ACD" w14:textId="1E6B6793"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46EC0CAD" w14:textId="197134CB"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5C944FAF" w14:textId="77777777" w:rsidTr="00202DA2">
        <w:tc>
          <w:tcPr>
            <w:tcW w:w="1702" w:type="dxa"/>
          </w:tcPr>
          <w:p w14:paraId="2017DF87" w14:textId="57D5B1B3" w:rsidR="00B65EF0" w:rsidRPr="008B6BC5" w:rsidRDefault="00B65EF0" w:rsidP="00B65EF0">
            <w:pPr>
              <w:pStyle w:val="NoSpacing"/>
              <w:rPr>
                <w:rFonts w:cs="Times New Roman"/>
                <w:sz w:val="20"/>
                <w:szCs w:val="20"/>
                <w:lang w:val="en-US"/>
              </w:rPr>
            </w:pPr>
            <w:r w:rsidRPr="008B6BC5">
              <w:rPr>
                <w:rFonts w:cs="Times New Roman"/>
                <w:sz w:val="20"/>
                <w:szCs w:val="20"/>
                <w:lang w:val="en-US"/>
              </w:rPr>
              <w:t>14</w:t>
            </w:r>
          </w:p>
        </w:tc>
        <w:tc>
          <w:tcPr>
            <w:tcW w:w="5953" w:type="dxa"/>
          </w:tcPr>
          <w:p w14:paraId="38BCCCA1"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Likewise, the NMA by Papola et al. (2024) suggested that the magnitude of benefit for CBT-based psychotherapies is at least on par with that </w:t>
            </w:r>
            <w:r w:rsidRPr="008B6BC5">
              <w:rPr>
                <w:rFonts w:cs="Times New Roman"/>
                <w:sz w:val="20"/>
                <w:szCs w:val="20"/>
                <w:lang w:val="en-US"/>
              </w:rPr>
              <w:lastRenderedPageBreak/>
              <w:t>observed for common pharmacological agents, albeit with different side-effect profiles and adherence patterns.</w:t>
            </w:r>
          </w:p>
          <w:p w14:paraId="4EE705E6" w14:textId="392FC4F8" w:rsidR="00B65EF0" w:rsidRPr="008B6BC5" w:rsidRDefault="00B65EF0" w:rsidP="00B65EF0">
            <w:pPr>
              <w:pStyle w:val="NoSpacing"/>
              <w:rPr>
                <w:rFonts w:cs="Times New Roman"/>
                <w:sz w:val="20"/>
                <w:szCs w:val="20"/>
                <w:lang w:val="en-US"/>
              </w:rPr>
            </w:pPr>
          </w:p>
        </w:tc>
        <w:tc>
          <w:tcPr>
            <w:tcW w:w="4394" w:type="dxa"/>
          </w:tcPr>
          <w:p w14:paraId="3F82E18F" w14:textId="42B80230"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doi:10.1001/jamapsychiatry.2023.3971</w:t>
            </w:r>
          </w:p>
        </w:tc>
        <w:tc>
          <w:tcPr>
            <w:tcW w:w="709" w:type="dxa"/>
          </w:tcPr>
          <w:p w14:paraId="1B14125A" w14:textId="7FB49C27"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6C10D3A5" w14:textId="11C9AF9B"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 authors make no reference to or compare against pharmacological agents </w:t>
            </w:r>
            <w:r w:rsidRPr="008B6BC5">
              <w:rPr>
                <w:rFonts w:cs="Times New Roman"/>
                <w:sz w:val="20"/>
                <w:szCs w:val="20"/>
                <w:lang w:val="en-US"/>
              </w:rPr>
              <w:lastRenderedPageBreak/>
              <w:t xml:space="preserve">with respect to adherence and side-effect profiles. </w:t>
            </w:r>
          </w:p>
        </w:tc>
      </w:tr>
      <w:tr w:rsidR="00B65EF0" w:rsidRPr="008B6BC5" w14:paraId="446136AF" w14:textId="77777777" w:rsidTr="00202DA2">
        <w:tc>
          <w:tcPr>
            <w:tcW w:w="1702" w:type="dxa"/>
          </w:tcPr>
          <w:p w14:paraId="40C1D865" w14:textId="24D1141E"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15</w:t>
            </w:r>
          </w:p>
        </w:tc>
        <w:tc>
          <w:tcPr>
            <w:tcW w:w="5953" w:type="dxa"/>
          </w:tcPr>
          <w:p w14:paraId="32312082"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In the Cuijpers et al. (2014) meta-analysis, attrition averaged about 18% across RCTs</w:t>
            </w:r>
          </w:p>
          <w:p w14:paraId="67978324" w14:textId="4CE635CF" w:rsidR="00B65EF0" w:rsidRPr="008B6BC5" w:rsidRDefault="00B65EF0" w:rsidP="00B65EF0">
            <w:pPr>
              <w:pStyle w:val="NoSpacing"/>
              <w:rPr>
                <w:rFonts w:cs="Times New Roman"/>
                <w:sz w:val="20"/>
                <w:szCs w:val="20"/>
                <w:lang w:val="en-US"/>
              </w:rPr>
            </w:pPr>
          </w:p>
        </w:tc>
        <w:tc>
          <w:tcPr>
            <w:tcW w:w="4394" w:type="dxa"/>
          </w:tcPr>
          <w:p w14:paraId="3A8EDDDC" w14:textId="1883F3EE"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10.1016/j.cpr.2014.01.002</w:t>
            </w:r>
          </w:p>
        </w:tc>
        <w:tc>
          <w:tcPr>
            <w:tcW w:w="709" w:type="dxa"/>
          </w:tcPr>
          <w:p w14:paraId="15E21C56" w14:textId="45D96441"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1E65D9CC" w14:textId="4CF60130" w:rsidR="00B65EF0" w:rsidRPr="008B6BC5" w:rsidRDefault="00B65EF0" w:rsidP="00B65EF0">
            <w:pPr>
              <w:pStyle w:val="NoSpacing"/>
              <w:rPr>
                <w:rFonts w:cs="Times New Roman"/>
                <w:sz w:val="20"/>
                <w:szCs w:val="20"/>
                <w:lang w:val="en-US"/>
              </w:rPr>
            </w:pPr>
            <w:r w:rsidRPr="008B6BC5">
              <w:rPr>
                <w:rFonts w:cs="Times New Roman"/>
                <w:sz w:val="20"/>
                <w:szCs w:val="20"/>
                <w:lang w:val="en-US"/>
              </w:rPr>
              <w:t>Attrition was never examined in this meta-analysis.</w:t>
            </w:r>
          </w:p>
        </w:tc>
      </w:tr>
      <w:tr w:rsidR="00B65EF0" w:rsidRPr="008B6BC5" w14:paraId="623BFAD0" w14:textId="77777777" w:rsidTr="00202DA2">
        <w:tc>
          <w:tcPr>
            <w:tcW w:w="1702" w:type="dxa"/>
          </w:tcPr>
          <w:p w14:paraId="607BADAA" w14:textId="2F623F26" w:rsidR="00B65EF0" w:rsidRPr="008B6BC5" w:rsidRDefault="00B65EF0" w:rsidP="00B65EF0">
            <w:pPr>
              <w:pStyle w:val="NoSpacing"/>
              <w:rPr>
                <w:rFonts w:cs="Times New Roman"/>
                <w:sz w:val="20"/>
                <w:szCs w:val="20"/>
                <w:lang w:val="en-US"/>
              </w:rPr>
            </w:pPr>
            <w:r w:rsidRPr="008B6BC5">
              <w:rPr>
                <w:rFonts w:cs="Times New Roman"/>
                <w:sz w:val="20"/>
                <w:szCs w:val="20"/>
                <w:lang w:val="en-US"/>
              </w:rPr>
              <w:t>16</w:t>
            </w:r>
          </w:p>
        </w:tc>
        <w:tc>
          <w:tcPr>
            <w:tcW w:w="5953" w:type="dxa"/>
          </w:tcPr>
          <w:p w14:paraId="4899603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 systematic review and meta-analysis focusing specifically on dropout from individual psychotherapy for GAD reported a mean premature termination rate of approximately 17%, with no consistent differences between CBT and AR or between research and clinical settings (Gersh et al., 2017). </w:t>
            </w:r>
          </w:p>
          <w:p w14:paraId="03C247A6" w14:textId="5F0CE4E3" w:rsidR="00B65EF0" w:rsidRPr="008B6BC5" w:rsidRDefault="00B65EF0" w:rsidP="00B65EF0">
            <w:pPr>
              <w:pStyle w:val="NoSpacing"/>
              <w:rPr>
                <w:rFonts w:cs="Times New Roman"/>
                <w:sz w:val="20"/>
                <w:szCs w:val="20"/>
                <w:lang w:val="en-US"/>
              </w:rPr>
            </w:pPr>
          </w:p>
        </w:tc>
        <w:tc>
          <w:tcPr>
            <w:tcW w:w="4394" w:type="dxa"/>
          </w:tcPr>
          <w:p w14:paraId="4F436C91" w14:textId="3F8A62B7"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http://dx.doi.org/10.1016/j.janxdis.2017.10.001</w:t>
            </w:r>
          </w:p>
        </w:tc>
        <w:tc>
          <w:tcPr>
            <w:tcW w:w="709" w:type="dxa"/>
          </w:tcPr>
          <w:p w14:paraId="68A8D888" w14:textId="130D75DF"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3087BBCA" w14:textId="066F99A6"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4723BDB3" w14:textId="77777777" w:rsidTr="00202DA2">
        <w:tc>
          <w:tcPr>
            <w:tcW w:w="1702" w:type="dxa"/>
          </w:tcPr>
          <w:p w14:paraId="3211F3E0" w14:textId="6E7289E3" w:rsidR="00B65EF0" w:rsidRPr="008B6BC5" w:rsidRDefault="00B65EF0" w:rsidP="00B65EF0">
            <w:pPr>
              <w:pStyle w:val="NoSpacing"/>
              <w:rPr>
                <w:rFonts w:cs="Times New Roman"/>
                <w:sz w:val="20"/>
                <w:szCs w:val="20"/>
                <w:lang w:val="en-US"/>
              </w:rPr>
            </w:pPr>
            <w:r w:rsidRPr="008B6BC5">
              <w:rPr>
                <w:rFonts w:cs="Times New Roman"/>
                <w:sz w:val="20"/>
                <w:szCs w:val="20"/>
                <w:lang w:val="en-US"/>
              </w:rPr>
              <w:t>17</w:t>
            </w:r>
          </w:p>
        </w:tc>
        <w:tc>
          <w:tcPr>
            <w:tcW w:w="5953" w:type="dxa"/>
          </w:tcPr>
          <w:p w14:paraId="1BBE652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Importantly, all-cause discontinuation, often used as a proxy for acceptability, did not differ markedly between psychotherapies in the NMA by Papola et al. (2024), indicating broadly comparable tolerability profiles.</w:t>
            </w:r>
          </w:p>
          <w:p w14:paraId="75C5AAF1" w14:textId="3568BF43" w:rsidR="00B65EF0" w:rsidRPr="008B6BC5" w:rsidRDefault="00B65EF0" w:rsidP="00B65EF0">
            <w:pPr>
              <w:pStyle w:val="NoSpacing"/>
              <w:rPr>
                <w:rFonts w:cs="Times New Roman"/>
                <w:sz w:val="20"/>
                <w:szCs w:val="20"/>
                <w:lang w:val="en-US"/>
              </w:rPr>
            </w:pPr>
          </w:p>
        </w:tc>
        <w:tc>
          <w:tcPr>
            <w:tcW w:w="4394" w:type="dxa"/>
          </w:tcPr>
          <w:p w14:paraId="3B3BE633" w14:textId="2C1F4C72"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doi:10.1001/jamapsychiatry.2023.3971</w:t>
            </w:r>
          </w:p>
        </w:tc>
        <w:tc>
          <w:tcPr>
            <w:tcW w:w="709" w:type="dxa"/>
          </w:tcPr>
          <w:p w14:paraId="03FAF5BE" w14:textId="2B0CD29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4DB22AE0" w14:textId="25F7C692"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3273C499" w14:textId="77777777" w:rsidTr="00202DA2">
        <w:tc>
          <w:tcPr>
            <w:tcW w:w="1702" w:type="dxa"/>
          </w:tcPr>
          <w:p w14:paraId="41314C33" w14:textId="731C3FEB" w:rsidR="00B65EF0" w:rsidRPr="008B6BC5" w:rsidRDefault="00B65EF0" w:rsidP="00B65EF0">
            <w:pPr>
              <w:pStyle w:val="NoSpacing"/>
              <w:rPr>
                <w:rFonts w:cs="Times New Roman"/>
                <w:sz w:val="20"/>
                <w:szCs w:val="20"/>
                <w:lang w:val="en-US"/>
              </w:rPr>
            </w:pPr>
            <w:r w:rsidRPr="008B6BC5">
              <w:rPr>
                <w:rFonts w:cs="Times New Roman"/>
                <w:sz w:val="20"/>
                <w:szCs w:val="20"/>
                <w:lang w:val="en-US"/>
              </w:rPr>
              <w:t>18</w:t>
            </w:r>
          </w:p>
        </w:tc>
        <w:tc>
          <w:tcPr>
            <w:tcW w:w="5953" w:type="dxa"/>
          </w:tcPr>
          <w:p w14:paraId="1B452802" w14:textId="34CB3BC8"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the nationwide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cohort of Ritola et al. (2022), only 44% of patients completed all 12 sessions, but 65% completed at least four sessions. Despite this, reliable symptom improvement occurred in about half of the intent-to-treat sample, and reliable deterioration in anxiety occurred in only 3–4% (Ritola et al., 2022). </w:t>
            </w:r>
          </w:p>
        </w:tc>
        <w:tc>
          <w:tcPr>
            <w:tcW w:w="4394" w:type="dxa"/>
          </w:tcPr>
          <w:p w14:paraId="471C8248" w14:textId="5EEAFCB6"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10.2196/29384</w:t>
            </w:r>
          </w:p>
        </w:tc>
        <w:tc>
          <w:tcPr>
            <w:tcW w:w="709" w:type="dxa"/>
          </w:tcPr>
          <w:p w14:paraId="2BBEEEC8" w14:textId="3F974E26"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56DB3457" w14:textId="2F960941"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33% not 65% completed at least four sessions. </w:t>
            </w:r>
          </w:p>
        </w:tc>
      </w:tr>
      <w:tr w:rsidR="00B65EF0" w:rsidRPr="008B6BC5" w14:paraId="5C539C82" w14:textId="77777777" w:rsidTr="00202DA2">
        <w:tc>
          <w:tcPr>
            <w:tcW w:w="1702" w:type="dxa"/>
          </w:tcPr>
          <w:p w14:paraId="1E49F701" w14:textId="5EB83FA3" w:rsidR="00B65EF0" w:rsidRPr="008B6BC5" w:rsidRDefault="00B65EF0" w:rsidP="00B65EF0">
            <w:pPr>
              <w:pStyle w:val="NoSpacing"/>
              <w:rPr>
                <w:rFonts w:cs="Times New Roman"/>
                <w:sz w:val="20"/>
                <w:szCs w:val="20"/>
                <w:lang w:val="en-US"/>
              </w:rPr>
            </w:pPr>
            <w:r w:rsidRPr="008B6BC5">
              <w:rPr>
                <w:rFonts w:cs="Times New Roman"/>
                <w:sz w:val="20"/>
                <w:szCs w:val="20"/>
                <w:lang w:val="en-US"/>
              </w:rPr>
              <w:t>19</w:t>
            </w:r>
          </w:p>
        </w:tc>
        <w:tc>
          <w:tcPr>
            <w:tcW w:w="5953" w:type="dxa"/>
          </w:tcPr>
          <w:p w14:paraId="1695978A" w14:textId="73C13E45"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These deterioration rates are similar to or lower than those reported for face-to-face CBT and clearly lower than deterioration on waitlist in anxiety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trials (Eilert et al., 2021).</w:t>
            </w:r>
          </w:p>
        </w:tc>
        <w:tc>
          <w:tcPr>
            <w:tcW w:w="4394" w:type="dxa"/>
          </w:tcPr>
          <w:p w14:paraId="03E34920" w14:textId="3320893F"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https://pediatrics.jmir.org/2022/2/e33551</w:t>
            </w:r>
          </w:p>
        </w:tc>
        <w:tc>
          <w:tcPr>
            <w:tcW w:w="709" w:type="dxa"/>
          </w:tcPr>
          <w:p w14:paraId="417908BF" w14:textId="3E5A6DBE"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5B516319" w14:textId="5BDEC7FD"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This meta-analysis never examined deterioration rates. </w:t>
            </w:r>
          </w:p>
        </w:tc>
      </w:tr>
      <w:tr w:rsidR="00B65EF0" w:rsidRPr="008B6BC5" w14:paraId="3025F03E" w14:textId="77777777" w:rsidTr="00202DA2">
        <w:tc>
          <w:tcPr>
            <w:tcW w:w="1702" w:type="dxa"/>
          </w:tcPr>
          <w:p w14:paraId="2854F587"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20.1</w:t>
            </w:r>
          </w:p>
          <w:p w14:paraId="0EA80CAF" w14:textId="2D59C85F" w:rsidR="00B65EF0" w:rsidRPr="008B6BC5" w:rsidRDefault="00B65EF0" w:rsidP="00B65EF0">
            <w:pPr>
              <w:pStyle w:val="NoSpacing"/>
              <w:rPr>
                <w:rFonts w:cs="Times New Roman"/>
                <w:sz w:val="20"/>
                <w:szCs w:val="20"/>
                <w:lang w:val="en-US"/>
              </w:rPr>
            </w:pPr>
            <w:r w:rsidRPr="008B6BC5">
              <w:rPr>
                <w:rFonts w:cs="Times New Roman"/>
                <w:sz w:val="20"/>
                <w:szCs w:val="20"/>
                <w:lang w:val="en-US"/>
              </w:rPr>
              <w:t>20.2</w:t>
            </w:r>
          </w:p>
        </w:tc>
        <w:tc>
          <w:tcPr>
            <w:tcW w:w="5953" w:type="dxa"/>
          </w:tcPr>
          <w:p w14:paraId="5FFB46CD" w14:textId="58443496"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RCTs of guided </w:t>
            </w:r>
            <w:proofErr w:type="spellStart"/>
            <w:r w:rsidRPr="008B6BC5">
              <w:rPr>
                <w:rFonts w:cs="Times New Roman"/>
                <w:sz w:val="20"/>
                <w:szCs w:val="20"/>
                <w:lang w:val="en-US"/>
              </w:rPr>
              <w:t>iCBT</w:t>
            </w:r>
            <w:proofErr w:type="spellEnd"/>
            <w:r w:rsidRPr="008B6BC5">
              <w:rPr>
                <w:rFonts w:cs="Times New Roman"/>
                <w:sz w:val="20"/>
                <w:szCs w:val="20"/>
                <w:lang w:val="en-US"/>
              </w:rPr>
              <w:t xml:space="preserve"> for GAD have reported small proportions of participants reporting negative effects (e.g., transient increases in anxiety during exposure or worry monitoring), with very few serious adverse events attributable to treatment (</w:t>
            </w:r>
            <w:proofErr w:type="spellStart"/>
            <w:r w:rsidRPr="008B6BC5">
              <w:rPr>
                <w:rFonts w:cs="Times New Roman"/>
                <w:sz w:val="20"/>
                <w:szCs w:val="20"/>
                <w:lang w:val="en-US"/>
              </w:rPr>
              <w:t>Paxling</w:t>
            </w:r>
            <w:proofErr w:type="spellEnd"/>
            <w:r w:rsidRPr="008B6BC5">
              <w:rPr>
                <w:rFonts w:cs="Times New Roman"/>
                <w:sz w:val="20"/>
                <w:szCs w:val="20"/>
                <w:lang w:val="en-US"/>
              </w:rPr>
              <w:t xml:space="preserve"> et al., 2011; Richards et al., 2016).</w:t>
            </w:r>
          </w:p>
        </w:tc>
        <w:tc>
          <w:tcPr>
            <w:tcW w:w="4394" w:type="dxa"/>
          </w:tcPr>
          <w:p w14:paraId="0E15C755" w14:textId="07D09A7E" w:rsidR="00B65EF0" w:rsidRPr="008B6BC5" w:rsidRDefault="00B65EF0" w:rsidP="00B65EF0">
            <w:pPr>
              <w:pStyle w:val="NoSpacing"/>
              <w:rPr>
                <w:rFonts w:cs="Times New Roman"/>
                <w:sz w:val="20"/>
                <w:szCs w:val="20"/>
                <w:lang w:val="en-US"/>
              </w:rPr>
            </w:pPr>
            <w:hyperlink r:id="rId32" w:history="1">
              <w:r w:rsidRPr="008B6BC5">
                <w:rPr>
                  <w:rStyle w:val="Hyperlink"/>
                  <w:rFonts w:cs="Times New Roman"/>
                  <w:sz w:val="20"/>
                  <w:szCs w:val="20"/>
                  <w:lang w:val="en-US"/>
                </w:rPr>
                <w:t>https://doi.org/10.1080/16506073.2011.576699</w:t>
              </w:r>
            </w:hyperlink>
          </w:p>
          <w:p w14:paraId="45D80D46" w14:textId="0918FB66"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http://dx.doi.org/10.1016/j.invent.2016.10.003</w:t>
            </w:r>
          </w:p>
        </w:tc>
        <w:tc>
          <w:tcPr>
            <w:tcW w:w="709" w:type="dxa"/>
          </w:tcPr>
          <w:p w14:paraId="63B4A0BA"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p w14:paraId="0C82185D" w14:textId="2386F1B0"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75ED6AC5" w14:textId="4A2CF368"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Both references never examined negative effects or adverse events. </w:t>
            </w:r>
          </w:p>
        </w:tc>
      </w:tr>
      <w:tr w:rsidR="00B65EF0" w:rsidRPr="008B6BC5" w14:paraId="028FAC29" w14:textId="77777777" w:rsidTr="00202DA2">
        <w:tc>
          <w:tcPr>
            <w:tcW w:w="1702" w:type="dxa"/>
          </w:tcPr>
          <w:p w14:paraId="0D0D9BA4"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21.1</w:t>
            </w:r>
          </w:p>
          <w:p w14:paraId="3A7E4AEC" w14:textId="5CDDDB6B" w:rsidR="00B65EF0" w:rsidRPr="008B6BC5" w:rsidRDefault="00B65EF0" w:rsidP="00B65EF0">
            <w:pPr>
              <w:pStyle w:val="NoSpacing"/>
              <w:rPr>
                <w:rFonts w:cs="Times New Roman"/>
                <w:sz w:val="20"/>
                <w:szCs w:val="20"/>
                <w:lang w:val="en-US"/>
              </w:rPr>
            </w:pPr>
            <w:r w:rsidRPr="008B6BC5">
              <w:rPr>
                <w:rFonts w:cs="Times New Roman"/>
                <w:sz w:val="20"/>
                <w:szCs w:val="20"/>
                <w:lang w:val="en-US"/>
              </w:rPr>
              <w:t>21.2</w:t>
            </w:r>
          </w:p>
        </w:tc>
        <w:tc>
          <w:tcPr>
            <w:tcW w:w="5953" w:type="dxa"/>
          </w:tcPr>
          <w:p w14:paraId="77B10C7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Most psychotherapy RCTs either report no serious treatment-related adverse events or note that such events are rare and comparable to rates in control conditions (Cuijpers et al., 2014; Papola et al., 2024).</w:t>
            </w:r>
          </w:p>
          <w:p w14:paraId="030854AD" w14:textId="77777777" w:rsidR="00B65EF0" w:rsidRPr="008B6BC5" w:rsidRDefault="00B65EF0" w:rsidP="00B65EF0">
            <w:pPr>
              <w:pStyle w:val="NoSpacing"/>
              <w:rPr>
                <w:rFonts w:cs="Times New Roman"/>
                <w:sz w:val="20"/>
                <w:szCs w:val="20"/>
                <w:lang w:val="en-US"/>
              </w:rPr>
            </w:pPr>
          </w:p>
        </w:tc>
        <w:tc>
          <w:tcPr>
            <w:tcW w:w="4394" w:type="dxa"/>
          </w:tcPr>
          <w:p w14:paraId="5B5F38C1" w14:textId="77777777"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10.1016/j.cpr.2014.01.002</w:t>
            </w:r>
          </w:p>
          <w:p w14:paraId="645E9921" w14:textId="377539C3"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doi:10.1001/jamapsychiatry.2023.3971</w:t>
            </w:r>
          </w:p>
        </w:tc>
        <w:tc>
          <w:tcPr>
            <w:tcW w:w="709" w:type="dxa"/>
          </w:tcPr>
          <w:p w14:paraId="22E664B9"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p w14:paraId="1C2583E5" w14:textId="7BB2E458"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6641BA29" w14:textId="18EF0DB1"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Both references never examined negative effects or adverse events. </w:t>
            </w:r>
          </w:p>
        </w:tc>
      </w:tr>
      <w:tr w:rsidR="00B65EF0" w:rsidRPr="008B6BC5" w14:paraId="7F4BD162" w14:textId="77777777" w:rsidTr="00202DA2">
        <w:tc>
          <w:tcPr>
            <w:tcW w:w="1702" w:type="dxa"/>
          </w:tcPr>
          <w:p w14:paraId="5CCC5EA2" w14:textId="5A344C37" w:rsidR="00B65EF0" w:rsidRPr="008B6BC5" w:rsidRDefault="00B65EF0" w:rsidP="00B65EF0">
            <w:pPr>
              <w:pStyle w:val="NoSpacing"/>
              <w:rPr>
                <w:rFonts w:cs="Times New Roman"/>
                <w:sz w:val="20"/>
                <w:szCs w:val="20"/>
                <w:lang w:val="en-US"/>
              </w:rPr>
            </w:pPr>
            <w:r w:rsidRPr="008B6BC5">
              <w:rPr>
                <w:rFonts w:cs="Times New Roman"/>
                <w:sz w:val="20"/>
                <w:szCs w:val="20"/>
                <w:lang w:val="en-US"/>
              </w:rPr>
              <w:t>22</w:t>
            </w:r>
          </w:p>
        </w:tc>
        <w:tc>
          <w:tcPr>
            <w:tcW w:w="5953" w:type="dxa"/>
          </w:tcPr>
          <w:p w14:paraId="3F74FF4E"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In terms of patient satisfaction, trials that have measured satisfaction or perceived helpfulness typically report high ratings for CBT, ABBT, and AR, including in older adults and primary care settings (Arntz, 2003; Hayes-Skelton et al., 2013).</w:t>
            </w:r>
          </w:p>
          <w:p w14:paraId="27576078" w14:textId="1391ACFD" w:rsidR="00B65EF0" w:rsidRPr="008B6BC5" w:rsidRDefault="00B65EF0" w:rsidP="00B65EF0">
            <w:pPr>
              <w:pStyle w:val="NoSpacing"/>
              <w:rPr>
                <w:rFonts w:cs="Times New Roman"/>
                <w:sz w:val="20"/>
                <w:szCs w:val="20"/>
                <w:lang w:val="en-US"/>
              </w:rPr>
            </w:pPr>
          </w:p>
        </w:tc>
        <w:tc>
          <w:tcPr>
            <w:tcW w:w="4394" w:type="dxa"/>
          </w:tcPr>
          <w:p w14:paraId="5E1CB07C" w14:textId="57142E06"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doi:10.1016/S0005-7967(02)00045-1</w:t>
            </w:r>
          </w:p>
        </w:tc>
        <w:tc>
          <w:tcPr>
            <w:tcW w:w="709" w:type="dxa"/>
          </w:tcPr>
          <w:p w14:paraId="1FB39B22"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p w14:paraId="0DAB7D89" w14:textId="48533AF9"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06FBA73F" w14:textId="64DCE5CE"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Both citations never reported or assessed satisfaction or helpfulness ratings. </w:t>
            </w:r>
          </w:p>
        </w:tc>
      </w:tr>
      <w:tr w:rsidR="00B65EF0" w:rsidRPr="008B6BC5" w14:paraId="76B36E5D" w14:textId="77777777" w:rsidTr="00202DA2">
        <w:tc>
          <w:tcPr>
            <w:tcW w:w="1702" w:type="dxa"/>
          </w:tcPr>
          <w:p w14:paraId="6F3602B9"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23.1</w:t>
            </w:r>
          </w:p>
          <w:p w14:paraId="1AAC90F8" w14:textId="3B17A8D4" w:rsidR="00B65EF0" w:rsidRPr="008B6BC5" w:rsidRDefault="00B65EF0" w:rsidP="00B65EF0">
            <w:pPr>
              <w:pStyle w:val="NoSpacing"/>
              <w:rPr>
                <w:rFonts w:cs="Times New Roman"/>
                <w:sz w:val="20"/>
                <w:szCs w:val="20"/>
                <w:lang w:val="en-US"/>
              </w:rPr>
            </w:pPr>
            <w:r w:rsidRPr="008B6BC5">
              <w:rPr>
                <w:rFonts w:cs="Times New Roman"/>
                <w:sz w:val="20"/>
                <w:szCs w:val="20"/>
                <w:lang w:val="en-US"/>
              </w:rPr>
              <w:t>23.2</w:t>
            </w:r>
          </w:p>
        </w:tc>
        <w:tc>
          <w:tcPr>
            <w:tcW w:w="5953" w:type="dxa"/>
          </w:tcPr>
          <w:p w14:paraId="2B5F45C3" w14:textId="3178A43F" w:rsidR="00B65EF0" w:rsidRPr="008B6BC5" w:rsidRDefault="00B65EF0" w:rsidP="00B65EF0">
            <w:pPr>
              <w:pStyle w:val="NoSpacing"/>
              <w:rPr>
                <w:rFonts w:cs="Times New Roman"/>
                <w:sz w:val="20"/>
                <w:szCs w:val="20"/>
                <w:lang w:val="en-US"/>
              </w:rPr>
            </w:pPr>
            <w:r w:rsidRPr="008B6BC5">
              <w:rPr>
                <w:rFonts w:cs="Times New Roman"/>
                <w:sz w:val="20"/>
                <w:szCs w:val="20"/>
                <w:lang w:val="en-US"/>
              </w:rPr>
              <w:t>Digital interventions similarly show high satisfaction among completers, despite higher attrition (Eilert et al., 2021; Ritola et al., 2022).</w:t>
            </w:r>
          </w:p>
        </w:tc>
        <w:tc>
          <w:tcPr>
            <w:tcW w:w="4394" w:type="dxa"/>
          </w:tcPr>
          <w:p w14:paraId="0E59E6D8" w14:textId="6043DF5D" w:rsidR="00B65EF0" w:rsidRPr="008B6BC5" w:rsidRDefault="00B65EF0" w:rsidP="00B65EF0">
            <w:pPr>
              <w:pStyle w:val="NoSpacing"/>
              <w:rPr>
                <w:rFonts w:cs="Times New Roman"/>
                <w:sz w:val="20"/>
                <w:szCs w:val="20"/>
                <w:lang w:val="en-US"/>
              </w:rPr>
            </w:pPr>
            <w:hyperlink r:id="rId33" w:history="1">
              <w:r w:rsidRPr="008B6BC5">
                <w:rPr>
                  <w:rStyle w:val="Hyperlink"/>
                  <w:rFonts w:cs="Times New Roman"/>
                  <w:sz w:val="20"/>
                  <w:szCs w:val="20"/>
                  <w:lang w:val="en-US"/>
                </w:rPr>
                <w:t>https://pediatrics.jmir.org/2022/2/e33551</w:t>
              </w:r>
            </w:hyperlink>
          </w:p>
          <w:p w14:paraId="0104257B" w14:textId="5E76AF6A"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10.2196/29384</w:t>
            </w:r>
          </w:p>
        </w:tc>
        <w:tc>
          <w:tcPr>
            <w:tcW w:w="709" w:type="dxa"/>
          </w:tcPr>
          <w:p w14:paraId="0EB6FFB5"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p w14:paraId="171E98C8" w14:textId="1D7C78EE"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0BD7F3DF" w14:textId="64FA0C40"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Both citations never reported or assessed satisfaction ratings. </w:t>
            </w:r>
          </w:p>
        </w:tc>
      </w:tr>
      <w:tr w:rsidR="00B65EF0" w:rsidRPr="008B6BC5" w14:paraId="17704662" w14:textId="77777777" w:rsidTr="00202DA2">
        <w:tc>
          <w:tcPr>
            <w:tcW w:w="1702" w:type="dxa"/>
          </w:tcPr>
          <w:p w14:paraId="183213C7" w14:textId="11220126" w:rsidR="00B65EF0" w:rsidRPr="008B6BC5" w:rsidRDefault="00B65EF0" w:rsidP="00B65EF0">
            <w:pPr>
              <w:pStyle w:val="NoSpacing"/>
              <w:rPr>
                <w:rFonts w:cs="Times New Roman"/>
                <w:sz w:val="20"/>
                <w:szCs w:val="20"/>
                <w:lang w:val="en-US"/>
              </w:rPr>
            </w:pPr>
            <w:r w:rsidRPr="008B6BC5">
              <w:rPr>
                <w:rFonts w:cs="Times New Roman"/>
                <w:sz w:val="20"/>
                <w:szCs w:val="20"/>
                <w:lang w:val="en-US"/>
              </w:rPr>
              <w:t>Pharmacotherapy</w:t>
            </w:r>
          </w:p>
        </w:tc>
        <w:tc>
          <w:tcPr>
            <w:tcW w:w="5953" w:type="dxa"/>
          </w:tcPr>
          <w:p w14:paraId="542D69EC" w14:textId="77777777" w:rsidR="00B65EF0" w:rsidRPr="008B6BC5" w:rsidRDefault="00B65EF0" w:rsidP="00B65EF0">
            <w:pPr>
              <w:pStyle w:val="NoSpacing"/>
              <w:rPr>
                <w:rFonts w:cs="Times New Roman"/>
                <w:sz w:val="20"/>
                <w:szCs w:val="20"/>
                <w:lang w:val="en-US"/>
              </w:rPr>
            </w:pPr>
          </w:p>
        </w:tc>
        <w:tc>
          <w:tcPr>
            <w:tcW w:w="4394" w:type="dxa"/>
          </w:tcPr>
          <w:p w14:paraId="6D455826" w14:textId="77777777" w:rsidR="00B65EF0" w:rsidRPr="008B6BC5" w:rsidRDefault="00B65EF0" w:rsidP="00B65EF0">
            <w:pPr>
              <w:pStyle w:val="NoSpacing"/>
            </w:pPr>
          </w:p>
        </w:tc>
        <w:tc>
          <w:tcPr>
            <w:tcW w:w="709" w:type="dxa"/>
          </w:tcPr>
          <w:p w14:paraId="1853ACB5" w14:textId="77777777" w:rsidR="00B65EF0" w:rsidRPr="008B6BC5" w:rsidRDefault="00B65EF0" w:rsidP="00B65EF0">
            <w:pPr>
              <w:pStyle w:val="NoSpacing"/>
              <w:rPr>
                <w:rFonts w:cs="Times New Roman"/>
                <w:sz w:val="20"/>
                <w:szCs w:val="20"/>
                <w:lang w:val="en-US"/>
              </w:rPr>
            </w:pPr>
          </w:p>
        </w:tc>
        <w:tc>
          <w:tcPr>
            <w:tcW w:w="3686" w:type="dxa"/>
          </w:tcPr>
          <w:p w14:paraId="5D155BD1" w14:textId="77777777" w:rsidR="00B65EF0" w:rsidRPr="008B6BC5" w:rsidRDefault="00B65EF0" w:rsidP="00B65EF0">
            <w:pPr>
              <w:pStyle w:val="NoSpacing"/>
              <w:rPr>
                <w:rFonts w:cs="Times New Roman"/>
                <w:sz w:val="20"/>
                <w:szCs w:val="20"/>
                <w:lang w:val="en-US"/>
              </w:rPr>
            </w:pPr>
          </w:p>
        </w:tc>
      </w:tr>
      <w:tr w:rsidR="00B65EF0" w:rsidRPr="008B6BC5" w14:paraId="294C7543" w14:textId="77777777" w:rsidTr="00202DA2">
        <w:tc>
          <w:tcPr>
            <w:tcW w:w="1702" w:type="dxa"/>
          </w:tcPr>
          <w:p w14:paraId="5F1894DB" w14:textId="797EFD91"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 1</w:t>
            </w:r>
          </w:p>
        </w:tc>
        <w:tc>
          <w:tcPr>
            <w:tcW w:w="5953" w:type="dxa"/>
          </w:tcPr>
          <w:p w14:paraId="4D137D09" w14:textId="68CC96FF"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 foundational meta-analysis by Baldwin et al. (2011) synthesized 27 placebo-controlled RCTs (n ≈ 7,000 adult outpatients with DSM/ICD GAD) and found that SSRIs, SNRIs, pregabalin, and benzodiazepines produced significantly greater reductions on the Hamilton Anxiety Rating Scale (HAM-A) than placebo, with standardized mean differences (SMDs) around 0.3–0.4 and response odds ratios (ORs) roughly 1.5–1.8 in </w:t>
            </w:r>
            <w:proofErr w:type="spellStart"/>
            <w:r w:rsidRPr="008B6BC5">
              <w:rPr>
                <w:rFonts w:cs="Times New Roman"/>
                <w:sz w:val="20"/>
                <w:szCs w:val="20"/>
                <w:lang w:val="en-US"/>
              </w:rPr>
              <w:t>favour</w:t>
            </w:r>
            <w:proofErr w:type="spellEnd"/>
            <w:r w:rsidRPr="008B6BC5">
              <w:rPr>
                <w:rFonts w:cs="Times New Roman"/>
                <w:sz w:val="20"/>
                <w:szCs w:val="20"/>
                <w:lang w:val="en-US"/>
              </w:rPr>
              <w:t xml:space="preserve"> of active drug. (Baldwin et al., 2011). </w:t>
            </w:r>
          </w:p>
        </w:tc>
        <w:tc>
          <w:tcPr>
            <w:tcW w:w="4394" w:type="dxa"/>
          </w:tcPr>
          <w:p w14:paraId="77E91D91" w14:textId="1D2431B7"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doi:10.1136/bmj.d1199</w:t>
            </w:r>
          </w:p>
        </w:tc>
        <w:tc>
          <w:tcPr>
            <w:tcW w:w="709" w:type="dxa"/>
          </w:tcPr>
          <w:p w14:paraId="45204800" w14:textId="1EDEB910"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0276F973" w14:textId="65575DB0"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SMDs were not reported in this paper; only ORs were. </w:t>
            </w:r>
          </w:p>
        </w:tc>
      </w:tr>
      <w:tr w:rsidR="00B65EF0" w:rsidRPr="008B6BC5" w14:paraId="448CF462" w14:textId="77777777" w:rsidTr="00202DA2">
        <w:tc>
          <w:tcPr>
            <w:tcW w:w="1702" w:type="dxa"/>
          </w:tcPr>
          <w:p w14:paraId="753B65ED" w14:textId="3FE05178" w:rsidR="00B65EF0" w:rsidRPr="008B6BC5" w:rsidRDefault="00BD3144" w:rsidP="00B65EF0">
            <w:pPr>
              <w:pStyle w:val="NoSpacing"/>
              <w:rPr>
                <w:rFonts w:cs="Times New Roman"/>
                <w:sz w:val="20"/>
                <w:szCs w:val="20"/>
                <w:lang w:val="en-US"/>
              </w:rPr>
            </w:pPr>
            <w:r w:rsidRPr="008B6BC5">
              <w:rPr>
                <w:rFonts w:cs="Times New Roman"/>
                <w:sz w:val="20"/>
                <w:szCs w:val="20"/>
                <w:lang w:val="en-US"/>
              </w:rPr>
              <w:t>2</w:t>
            </w:r>
          </w:p>
        </w:tc>
        <w:tc>
          <w:tcPr>
            <w:tcW w:w="5953" w:type="dxa"/>
          </w:tcPr>
          <w:p w14:paraId="02C23D19" w14:textId="20947FF5"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He et al. (2019) pooled 41 acute-phase RCTs of 11 first-line agents (SSRIs, SNRIs, pregabalin, buspirone, benzodiazepines, others) in adults with GAD and found all drugs except fluoxetine and vortioxetine were superior to placebo on HAM-A change. Escitalopram showed the largest mean difference (−3.2 points vs placebo, 95% </w:t>
            </w:r>
            <w:proofErr w:type="spellStart"/>
            <w:r w:rsidRPr="008B6BC5">
              <w:rPr>
                <w:rFonts w:cs="Times New Roman"/>
                <w:sz w:val="20"/>
                <w:szCs w:val="20"/>
                <w:lang w:val="en-US"/>
              </w:rPr>
              <w:t>CrI</w:t>
            </w:r>
            <w:proofErr w:type="spellEnd"/>
            <w:r w:rsidRPr="008B6BC5">
              <w:rPr>
                <w:rFonts w:cs="Times New Roman"/>
                <w:sz w:val="20"/>
                <w:szCs w:val="20"/>
                <w:lang w:val="en-US"/>
              </w:rPr>
              <w:t xml:space="preserve"> −4.2 to −2.2), with most other agents (e.g., venlafaxine, duloxetine, paroxetine, pregabalin) yielding mean differences of approximately −2 to −3 HAM-A points (He et al., 2019).</w:t>
            </w:r>
          </w:p>
        </w:tc>
        <w:tc>
          <w:tcPr>
            <w:tcW w:w="4394" w:type="dxa"/>
          </w:tcPr>
          <w:p w14:paraId="70AE8F44" w14:textId="65D5AB8A"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https://doi.org/10.1016/j.jpsychires.2019.08.009</w:t>
            </w:r>
          </w:p>
        </w:tc>
        <w:tc>
          <w:tcPr>
            <w:tcW w:w="709" w:type="dxa"/>
          </w:tcPr>
          <w:p w14:paraId="73BB23D4" w14:textId="32C1E37B"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6D5A8428" w14:textId="2DF6E85B"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While the authors searched for 11 first-line agents, only 8 were identified and included in the meta-analyses. </w:t>
            </w:r>
          </w:p>
        </w:tc>
      </w:tr>
      <w:tr w:rsidR="00B65EF0" w:rsidRPr="008B6BC5" w14:paraId="18F0ACCE" w14:textId="77777777" w:rsidTr="00202DA2">
        <w:tc>
          <w:tcPr>
            <w:tcW w:w="1702" w:type="dxa"/>
          </w:tcPr>
          <w:p w14:paraId="58F25BF6"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3.1</w:t>
            </w:r>
          </w:p>
          <w:p w14:paraId="6E882532" w14:textId="00C1FBF8" w:rsidR="00BD3144" w:rsidRPr="008B6BC5" w:rsidRDefault="00BD3144" w:rsidP="00B65EF0">
            <w:pPr>
              <w:pStyle w:val="NoSpacing"/>
              <w:rPr>
                <w:rFonts w:cs="Times New Roman"/>
                <w:sz w:val="20"/>
                <w:szCs w:val="20"/>
                <w:lang w:val="en-US"/>
              </w:rPr>
            </w:pPr>
            <w:r w:rsidRPr="008B6BC5">
              <w:rPr>
                <w:rFonts w:cs="Times New Roman"/>
                <w:sz w:val="20"/>
                <w:szCs w:val="20"/>
                <w:lang w:val="en-US"/>
              </w:rPr>
              <w:t>3.2</w:t>
            </w:r>
          </w:p>
        </w:tc>
        <w:tc>
          <w:tcPr>
            <w:tcW w:w="5953" w:type="dxa"/>
          </w:tcPr>
          <w:p w14:paraId="1BDA722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Kong et al. (2020) examined remission as the primary outcome in 89 double-blind RCTs (n = 25,000+) of pharmacologic treatments for adult GAD. Compared with placebo, venlafaxine (OR = 2.28), agomelatine (OR = 2.70), escitalopram (OR = 2.03), duloxetine (OR = 1.88), paroxetine (OR = 1.74), and quetiapine (OR = 1.88) all significantly increased remission rates, whereas vortioxetine did not differ from placebo and pregabalin showed only a non-significant advantage (Kong et al., 2020; Pae et al., 2015). </w:t>
            </w:r>
          </w:p>
          <w:p w14:paraId="7807E7F2" w14:textId="79E76053" w:rsidR="00B65EF0" w:rsidRPr="008B6BC5" w:rsidRDefault="00B65EF0" w:rsidP="00B65EF0">
            <w:pPr>
              <w:pStyle w:val="NoSpacing"/>
              <w:rPr>
                <w:rFonts w:cs="Times New Roman"/>
                <w:sz w:val="20"/>
                <w:szCs w:val="20"/>
                <w:lang w:val="en-US"/>
              </w:rPr>
            </w:pPr>
          </w:p>
        </w:tc>
        <w:tc>
          <w:tcPr>
            <w:tcW w:w="4394" w:type="dxa"/>
          </w:tcPr>
          <w:p w14:paraId="00AE1996" w14:textId="77777777"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p w14:paraId="625A279F" w14:textId="3AD6D841"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http://dx.doi.org/10.1016/j.jpsychires.2015.02.017</w:t>
            </w:r>
          </w:p>
        </w:tc>
        <w:tc>
          <w:tcPr>
            <w:tcW w:w="709" w:type="dxa"/>
          </w:tcPr>
          <w:p w14:paraId="6A22929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p w14:paraId="37AEF094" w14:textId="4B5D8257"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39670F8C" w14:textId="577B3759"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Kong et al (2020) included 32 trials with ~13,000 participants, not 89 trials with ~25,000 </w:t>
            </w:r>
            <w:r w:rsidR="006435FE" w:rsidRPr="008B6BC5">
              <w:rPr>
                <w:rFonts w:cs="Times New Roman"/>
                <w:sz w:val="20"/>
                <w:szCs w:val="20"/>
                <w:lang w:val="en-US"/>
              </w:rPr>
              <w:t>participants</w:t>
            </w:r>
            <w:r w:rsidRPr="008B6BC5">
              <w:rPr>
                <w:rFonts w:cs="Times New Roman"/>
                <w:sz w:val="20"/>
                <w:szCs w:val="20"/>
                <w:lang w:val="en-US"/>
              </w:rPr>
              <w:t xml:space="preserve">. </w:t>
            </w:r>
          </w:p>
          <w:p w14:paraId="51105BEE" w14:textId="77777777" w:rsidR="00B65EF0" w:rsidRPr="008B6BC5" w:rsidRDefault="00B65EF0" w:rsidP="00B65EF0">
            <w:pPr>
              <w:pStyle w:val="NoSpacing"/>
              <w:rPr>
                <w:rFonts w:cs="Times New Roman"/>
                <w:sz w:val="20"/>
                <w:szCs w:val="20"/>
                <w:lang w:val="en-US"/>
              </w:rPr>
            </w:pPr>
          </w:p>
          <w:p w14:paraId="4D50343B" w14:textId="20626A0C"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Pae et al (2015), vortioxetine did significantly outperform placebo groups. </w:t>
            </w:r>
          </w:p>
        </w:tc>
      </w:tr>
      <w:tr w:rsidR="00B65EF0" w:rsidRPr="008B6BC5" w14:paraId="0DF72001" w14:textId="77777777" w:rsidTr="00202DA2">
        <w:tc>
          <w:tcPr>
            <w:tcW w:w="1702" w:type="dxa"/>
          </w:tcPr>
          <w:p w14:paraId="6422077E" w14:textId="2CEC1962" w:rsidR="00B65EF0" w:rsidRPr="008B6BC5" w:rsidRDefault="00BD3144" w:rsidP="00B65EF0">
            <w:pPr>
              <w:pStyle w:val="NoSpacing"/>
              <w:rPr>
                <w:rFonts w:cs="Times New Roman"/>
                <w:sz w:val="20"/>
                <w:szCs w:val="20"/>
                <w:lang w:val="en-US"/>
              </w:rPr>
            </w:pPr>
            <w:r w:rsidRPr="008B6BC5">
              <w:rPr>
                <w:rFonts w:cs="Times New Roman"/>
                <w:sz w:val="20"/>
                <w:szCs w:val="20"/>
                <w:lang w:val="en-US"/>
              </w:rPr>
              <w:t>4</w:t>
            </w:r>
          </w:p>
        </w:tc>
        <w:tc>
          <w:tcPr>
            <w:tcW w:w="5953" w:type="dxa"/>
          </w:tcPr>
          <w:p w14:paraId="47669AE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Escitalopram 10–20 mg/day has demonstrated superiority to placebo in flexible-dose trials of adult outpatients with GAD over 8–12 weeks, with higher response and remission rates and clinically meaningful HAM-A improvements (Davidson et al., 2004).</w:t>
            </w:r>
          </w:p>
          <w:p w14:paraId="08865082" w14:textId="011522E3" w:rsidR="00B65EF0" w:rsidRPr="008B6BC5" w:rsidRDefault="00B65EF0" w:rsidP="00B65EF0">
            <w:pPr>
              <w:pStyle w:val="NoSpacing"/>
              <w:rPr>
                <w:rFonts w:cs="Times New Roman"/>
                <w:sz w:val="20"/>
                <w:szCs w:val="20"/>
                <w:lang w:val="en-US"/>
              </w:rPr>
            </w:pPr>
          </w:p>
        </w:tc>
        <w:tc>
          <w:tcPr>
            <w:tcW w:w="4394" w:type="dxa"/>
          </w:tcPr>
          <w:p w14:paraId="45D580B6" w14:textId="35692F44"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10.1002/da.10146</w:t>
            </w:r>
          </w:p>
        </w:tc>
        <w:tc>
          <w:tcPr>
            <w:tcW w:w="709" w:type="dxa"/>
          </w:tcPr>
          <w:p w14:paraId="2AB79F6F" w14:textId="4C4CCA35"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616C2C94" w14:textId="38F633B0"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571FCCEC" w14:textId="77777777" w:rsidTr="00202DA2">
        <w:tc>
          <w:tcPr>
            <w:tcW w:w="1702" w:type="dxa"/>
          </w:tcPr>
          <w:p w14:paraId="1C484F0F"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5.1</w:t>
            </w:r>
          </w:p>
          <w:p w14:paraId="5C9391F7" w14:textId="5E9B1D32" w:rsidR="00BD3144" w:rsidRPr="008B6BC5" w:rsidRDefault="00BD3144" w:rsidP="00B65EF0">
            <w:pPr>
              <w:pStyle w:val="NoSpacing"/>
              <w:rPr>
                <w:rFonts w:cs="Times New Roman"/>
                <w:sz w:val="20"/>
                <w:szCs w:val="20"/>
                <w:lang w:val="en-US"/>
              </w:rPr>
            </w:pPr>
            <w:r w:rsidRPr="008B6BC5">
              <w:rPr>
                <w:rFonts w:cs="Times New Roman"/>
                <w:sz w:val="20"/>
                <w:szCs w:val="20"/>
                <w:lang w:val="en-US"/>
              </w:rPr>
              <w:t>5.2</w:t>
            </w:r>
          </w:p>
        </w:tc>
        <w:tc>
          <w:tcPr>
            <w:tcW w:w="5953" w:type="dxa"/>
          </w:tcPr>
          <w:p w14:paraId="5AD8E404"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Sertraline 50–150 mg/day has shown similar benefits versus placebo in two independent trials, including a 12-week study in 326 adults where sertraline led to significantly greater HAM-A reductions and higher responder proportions (</w:t>
            </w:r>
            <w:proofErr w:type="spellStart"/>
            <w:r w:rsidRPr="008B6BC5">
              <w:rPr>
                <w:rFonts w:cs="Times New Roman"/>
                <w:sz w:val="20"/>
                <w:szCs w:val="20"/>
                <w:lang w:val="en-US"/>
              </w:rPr>
              <w:t>Allgulander</w:t>
            </w:r>
            <w:proofErr w:type="spellEnd"/>
            <w:r w:rsidRPr="008B6BC5">
              <w:rPr>
                <w:rFonts w:cs="Times New Roman"/>
                <w:sz w:val="20"/>
                <w:szCs w:val="20"/>
                <w:lang w:val="en-US"/>
              </w:rPr>
              <w:t xml:space="preserve"> et al., 2004; </w:t>
            </w:r>
            <w:proofErr w:type="spellStart"/>
            <w:r w:rsidRPr="008B6BC5">
              <w:rPr>
                <w:rFonts w:cs="Times New Roman"/>
                <w:sz w:val="20"/>
                <w:szCs w:val="20"/>
                <w:lang w:val="en-US"/>
              </w:rPr>
              <w:t>Brawman</w:t>
            </w:r>
            <w:proofErr w:type="spellEnd"/>
            <w:r w:rsidRPr="008B6BC5">
              <w:rPr>
                <w:rFonts w:cs="Times New Roman"/>
                <w:sz w:val="20"/>
                <w:szCs w:val="20"/>
                <w:lang w:val="en-US"/>
              </w:rPr>
              <w:t>-Mintzer et al., 2006).</w:t>
            </w:r>
          </w:p>
          <w:p w14:paraId="24539523" w14:textId="3DEDC63D" w:rsidR="00B65EF0" w:rsidRPr="008B6BC5" w:rsidRDefault="00B65EF0" w:rsidP="00B65EF0">
            <w:pPr>
              <w:pStyle w:val="NoSpacing"/>
              <w:rPr>
                <w:rFonts w:cs="Times New Roman"/>
                <w:sz w:val="20"/>
                <w:szCs w:val="20"/>
                <w:lang w:val="en-US"/>
              </w:rPr>
            </w:pPr>
          </w:p>
        </w:tc>
        <w:tc>
          <w:tcPr>
            <w:tcW w:w="4394" w:type="dxa"/>
          </w:tcPr>
          <w:p w14:paraId="52880A57"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DOI: 10.1176/appi.ajp.161.9.1642</w:t>
            </w:r>
          </w:p>
          <w:p w14:paraId="358D227A" w14:textId="6C3BA5DC"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10.4088/jcp.v67n0603</w:t>
            </w:r>
          </w:p>
        </w:tc>
        <w:tc>
          <w:tcPr>
            <w:tcW w:w="709" w:type="dxa"/>
          </w:tcPr>
          <w:p w14:paraId="37CE0C70" w14:textId="77777777" w:rsidR="00B65EF0" w:rsidRPr="008B6BC5" w:rsidRDefault="00953C2D" w:rsidP="00B65EF0">
            <w:pPr>
              <w:pStyle w:val="NoSpacing"/>
              <w:rPr>
                <w:rFonts w:cs="Times New Roman"/>
                <w:sz w:val="20"/>
                <w:szCs w:val="20"/>
                <w:lang w:val="en-US"/>
              </w:rPr>
            </w:pPr>
            <w:r w:rsidRPr="008B6BC5">
              <w:rPr>
                <w:rFonts w:cs="Times New Roman"/>
                <w:sz w:val="20"/>
                <w:szCs w:val="20"/>
                <w:lang w:val="en-US"/>
              </w:rPr>
              <w:t>4</w:t>
            </w:r>
          </w:p>
          <w:p w14:paraId="02707618" w14:textId="76BFF6E1" w:rsidR="00953C2D" w:rsidRPr="008B6BC5" w:rsidRDefault="00953C2D"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6FF4E2FC" w14:textId="7919A36F" w:rsidR="003F1583" w:rsidRPr="008B6BC5" w:rsidRDefault="003F1583" w:rsidP="00B65EF0">
            <w:pPr>
              <w:pStyle w:val="NoSpacing"/>
              <w:rPr>
                <w:rFonts w:cs="Times New Roman"/>
                <w:sz w:val="20"/>
                <w:szCs w:val="20"/>
                <w:lang w:val="en-US"/>
              </w:rPr>
            </w:pPr>
            <w:r w:rsidRPr="008B6BC5">
              <w:rPr>
                <w:rFonts w:cs="Times New Roman"/>
                <w:sz w:val="20"/>
                <w:szCs w:val="20"/>
                <w:lang w:val="en-US"/>
              </w:rPr>
              <w:t xml:space="preserve">No inaccuracies detected for </w:t>
            </w:r>
            <w:proofErr w:type="spellStart"/>
            <w:r w:rsidRPr="008B6BC5">
              <w:rPr>
                <w:rFonts w:cs="Times New Roman"/>
                <w:sz w:val="20"/>
                <w:szCs w:val="20"/>
                <w:lang w:val="en-US"/>
              </w:rPr>
              <w:t>Allgulander</w:t>
            </w:r>
            <w:proofErr w:type="spellEnd"/>
            <w:r w:rsidRPr="008B6BC5">
              <w:rPr>
                <w:rFonts w:cs="Times New Roman"/>
                <w:sz w:val="20"/>
                <w:szCs w:val="20"/>
                <w:lang w:val="en-US"/>
              </w:rPr>
              <w:t xml:space="preserve"> et al (2004).</w:t>
            </w:r>
          </w:p>
          <w:p w14:paraId="76750F4F" w14:textId="77777777" w:rsidR="003F1583" w:rsidRPr="008B6BC5" w:rsidRDefault="003F1583" w:rsidP="00B65EF0">
            <w:pPr>
              <w:pStyle w:val="NoSpacing"/>
              <w:rPr>
                <w:rFonts w:cs="Times New Roman"/>
                <w:sz w:val="20"/>
                <w:szCs w:val="20"/>
                <w:lang w:val="en-US"/>
              </w:rPr>
            </w:pPr>
          </w:p>
          <w:p w14:paraId="2E52D683" w14:textId="6CEA34B5" w:rsidR="00B65EF0" w:rsidRPr="008B6BC5" w:rsidRDefault="003F1583" w:rsidP="00B65EF0">
            <w:pPr>
              <w:pStyle w:val="NoSpacing"/>
              <w:rPr>
                <w:rFonts w:cs="Times New Roman"/>
                <w:sz w:val="20"/>
                <w:szCs w:val="20"/>
                <w:lang w:val="en-US"/>
              </w:rPr>
            </w:pPr>
            <w:r w:rsidRPr="008B6BC5">
              <w:rPr>
                <w:rFonts w:cs="Times New Roman"/>
                <w:sz w:val="20"/>
                <w:szCs w:val="20"/>
                <w:lang w:val="en-US"/>
              </w:rPr>
              <w:t xml:space="preserve">Dosage was 50-200mg for </w:t>
            </w:r>
            <w:proofErr w:type="spellStart"/>
            <w:r w:rsidRPr="008B6BC5">
              <w:rPr>
                <w:rFonts w:cs="Times New Roman"/>
                <w:sz w:val="20"/>
                <w:szCs w:val="20"/>
                <w:lang w:val="en-US"/>
              </w:rPr>
              <w:t>Brawman</w:t>
            </w:r>
            <w:proofErr w:type="spellEnd"/>
            <w:r w:rsidRPr="008B6BC5">
              <w:rPr>
                <w:rFonts w:cs="Times New Roman"/>
                <w:sz w:val="20"/>
                <w:szCs w:val="20"/>
                <w:lang w:val="en-US"/>
              </w:rPr>
              <w:t>-Mintzer et al (2006)</w:t>
            </w:r>
          </w:p>
          <w:p w14:paraId="773FD922" w14:textId="77777777" w:rsidR="003F1583" w:rsidRPr="008B6BC5" w:rsidRDefault="003F1583" w:rsidP="00B65EF0">
            <w:pPr>
              <w:pStyle w:val="NoSpacing"/>
              <w:rPr>
                <w:rFonts w:cs="Times New Roman"/>
                <w:sz w:val="20"/>
                <w:szCs w:val="20"/>
                <w:lang w:val="en-US"/>
              </w:rPr>
            </w:pPr>
          </w:p>
          <w:p w14:paraId="2F6F2D0B" w14:textId="1FBD9245" w:rsidR="003F1583" w:rsidRPr="008B6BC5" w:rsidRDefault="003F1583" w:rsidP="00B65EF0">
            <w:pPr>
              <w:pStyle w:val="NoSpacing"/>
              <w:rPr>
                <w:rFonts w:cs="Times New Roman"/>
                <w:sz w:val="20"/>
                <w:szCs w:val="20"/>
                <w:lang w:val="en-US"/>
              </w:rPr>
            </w:pPr>
          </w:p>
        </w:tc>
      </w:tr>
      <w:tr w:rsidR="00B65EF0" w:rsidRPr="008B6BC5" w14:paraId="0640C0D9" w14:textId="77777777" w:rsidTr="00202DA2">
        <w:tc>
          <w:tcPr>
            <w:tcW w:w="1702" w:type="dxa"/>
          </w:tcPr>
          <w:p w14:paraId="4B5D1C45"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lastRenderedPageBreak/>
              <w:t>6</w:t>
            </w:r>
            <w:r w:rsidR="00D71748" w:rsidRPr="008B6BC5">
              <w:rPr>
                <w:rFonts w:cs="Times New Roman"/>
                <w:sz w:val="20"/>
                <w:szCs w:val="20"/>
                <w:lang w:val="en-US"/>
              </w:rPr>
              <w:t>.1</w:t>
            </w:r>
          </w:p>
          <w:p w14:paraId="7A0566FA" w14:textId="217C2671" w:rsidR="008B499A" w:rsidRPr="008B6BC5" w:rsidRDefault="008B499A" w:rsidP="00B65EF0">
            <w:pPr>
              <w:pStyle w:val="NoSpacing"/>
              <w:rPr>
                <w:rFonts w:cs="Times New Roman"/>
                <w:sz w:val="20"/>
                <w:szCs w:val="20"/>
                <w:lang w:val="en-US"/>
              </w:rPr>
            </w:pPr>
            <w:r w:rsidRPr="008B6BC5">
              <w:rPr>
                <w:rFonts w:cs="Times New Roman"/>
                <w:sz w:val="20"/>
                <w:szCs w:val="20"/>
                <w:lang w:val="en-US"/>
              </w:rPr>
              <w:t>6.2</w:t>
            </w:r>
          </w:p>
        </w:tc>
        <w:tc>
          <w:tcPr>
            <w:tcW w:w="5953" w:type="dxa"/>
          </w:tcPr>
          <w:p w14:paraId="5DA0D40C" w14:textId="55911977" w:rsidR="00B65EF0" w:rsidRPr="008B6BC5" w:rsidRDefault="00B65EF0" w:rsidP="00B65EF0">
            <w:pPr>
              <w:pStyle w:val="NoSpacing"/>
              <w:rPr>
                <w:rFonts w:cs="Times New Roman"/>
                <w:sz w:val="20"/>
                <w:szCs w:val="20"/>
                <w:lang w:val="en-US"/>
              </w:rPr>
            </w:pPr>
            <w:r w:rsidRPr="008B6BC5">
              <w:rPr>
                <w:rFonts w:cs="Times New Roman"/>
                <w:sz w:val="20"/>
                <w:szCs w:val="20"/>
                <w:lang w:val="en-US"/>
              </w:rPr>
              <w:t>Duloxetine 60–120 mg/day has been efficacious in both mixed-age adult samples and in older adults; for example, Alaka et al. (2014) reported significantly greater HAM-A reductions and response rates versus placebo over 10 weeks in 291 patients aged ≥65 years.</w:t>
            </w:r>
          </w:p>
        </w:tc>
        <w:tc>
          <w:tcPr>
            <w:tcW w:w="4394" w:type="dxa"/>
          </w:tcPr>
          <w:p w14:paraId="7DF3B9DB" w14:textId="5618DE9D"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10.1002/gps.4088</w:t>
            </w:r>
          </w:p>
        </w:tc>
        <w:tc>
          <w:tcPr>
            <w:tcW w:w="709" w:type="dxa"/>
          </w:tcPr>
          <w:p w14:paraId="673DE7AD"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p w14:paraId="0A2DFD2C" w14:textId="4CEDCF0F"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0E6D8FD2"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No inaccuracies detected for </w:t>
            </w:r>
            <w:proofErr w:type="spellStart"/>
            <w:r w:rsidRPr="008B6BC5">
              <w:rPr>
                <w:rFonts w:cs="Times New Roman"/>
                <w:sz w:val="20"/>
                <w:szCs w:val="20"/>
                <w:lang w:val="en-US"/>
              </w:rPr>
              <w:t>Allgulander</w:t>
            </w:r>
            <w:proofErr w:type="spellEnd"/>
            <w:r w:rsidRPr="008B6BC5">
              <w:rPr>
                <w:rFonts w:cs="Times New Roman"/>
                <w:sz w:val="20"/>
                <w:szCs w:val="20"/>
                <w:lang w:val="en-US"/>
              </w:rPr>
              <w:t xml:space="preserve"> 2004. </w:t>
            </w:r>
          </w:p>
          <w:p w14:paraId="6FD13B24" w14:textId="77777777" w:rsidR="00B65EF0" w:rsidRPr="008B6BC5" w:rsidRDefault="00B65EF0" w:rsidP="00B65EF0">
            <w:pPr>
              <w:pStyle w:val="NoSpacing"/>
              <w:rPr>
                <w:rFonts w:cs="Times New Roman"/>
                <w:sz w:val="20"/>
                <w:szCs w:val="20"/>
                <w:lang w:val="en-US"/>
              </w:rPr>
            </w:pPr>
          </w:p>
          <w:p w14:paraId="21564924" w14:textId="761C84B2"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 dosage administered in </w:t>
            </w:r>
            <w:proofErr w:type="spellStart"/>
            <w:r w:rsidRPr="008B6BC5">
              <w:rPr>
                <w:rFonts w:cs="Times New Roman"/>
                <w:sz w:val="20"/>
                <w:szCs w:val="20"/>
                <w:lang w:val="en-US"/>
              </w:rPr>
              <w:t>Brawnman</w:t>
            </w:r>
            <w:proofErr w:type="spellEnd"/>
            <w:r w:rsidRPr="008B6BC5">
              <w:rPr>
                <w:rFonts w:cs="Times New Roman"/>
                <w:sz w:val="20"/>
                <w:szCs w:val="20"/>
                <w:lang w:val="en-US"/>
              </w:rPr>
              <w:t xml:space="preserve">-Mintzer 2006 ranged from 50-200 mg, not 60-120 mg. </w:t>
            </w:r>
          </w:p>
        </w:tc>
      </w:tr>
      <w:tr w:rsidR="00B65EF0" w:rsidRPr="008B6BC5" w14:paraId="6CB312D5" w14:textId="77777777" w:rsidTr="00202DA2">
        <w:tc>
          <w:tcPr>
            <w:tcW w:w="1702" w:type="dxa"/>
          </w:tcPr>
          <w:p w14:paraId="7D330558" w14:textId="69628A9D" w:rsidR="00B65EF0" w:rsidRPr="008B6BC5" w:rsidRDefault="00BD3144" w:rsidP="00B65EF0">
            <w:pPr>
              <w:pStyle w:val="NoSpacing"/>
              <w:rPr>
                <w:rFonts w:cs="Times New Roman"/>
                <w:sz w:val="20"/>
                <w:szCs w:val="20"/>
                <w:lang w:val="en-US"/>
              </w:rPr>
            </w:pPr>
            <w:r w:rsidRPr="008B6BC5">
              <w:rPr>
                <w:rFonts w:cs="Times New Roman"/>
                <w:sz w:val="20"/>
                <w:szCs w:val="20"/>
                <w:lang w:val="en-US"/>
              </w:rPr>
              <w:t>7</w:t>
            </w:r>
          </w:p>
        </w:tc>
        <w:tc>
          <w:tcPr>
            <w:tcW w:w="5953" w:type="dxa"/>
          </w:tcPr>
          <w:p w14:paraId="09062E01"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a 4-week multicenter trial (n = 276), Pande et al. (2003) compared pregabalin 150 or 600 mg/day, lorazepam 6 mg/day, and placebo in adults with GAD. Both pregabalin doses and lorazepam produced significantly greater HAM-A reductions than placebo by week 1, with effect sizes similar to benzodiazepine, and maintained at endpoint (Pande et al., 2003). </w:t>
            </w:r>
          </w:p>
          <w:p w14:paraId="05F8CEE1" w14:textId="77777777" w:rsidR="00B65EF0" w:rsidRPr="008B6BC5" w:rsidRDefault="00B65EF0" w:rsidP="00B65EF0">
            <w:pPr>
              <w:pStyle w:val="NoSpacing"/>
              <w:rPr>
                <w:rFonts w:cs="Times New Roman"/>
                <w:sz w:val="20"/>
                <w:szCs w:val="20"/>
                <w:lang w:val="en-US"/>
              </w:rPr>
            </w:pPr>
          </w:p>
        </w:tc>
        <w:tc>
          <w:tcPr>
            <w:tcW w:w="4394" w:type="dxa"/>
          </w:tcPr>
          <w:p w14:paraId="3525506D" w14:textId="3348D0A9"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10.1176/appi.ajp.160.3.533</w:t>
            </w:r>
          </w:p>
        </w:tc>
        <w:tc>
          <w:tcPr>
            <w:tcW w:w="709" w:type="dxa"/>
          </w:tcPr>
          <w:p w14:paraId="738B3265" w14:textId="10E9733A"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3E1953DD" w14:textId="2FCE60C2" w:rsidR="00B65EF0" w:rsidRPr="008B6BC5" w:rsidRDefault="00B65EF0" w:rsidP="00B65EF0">
            <w:pPr>
              <w:pStyle w:val="NoSpacing"/>
              <w:rPr>
                <w:rFonts w:cs="Times New Roman"/>
                <w:sz w:val="20"/>
                <w:szCs w:val="20"/>
                <w:lang w:val="en-US"/>
              </w:rPr>
            </w:pPr>
            <w:r w:rsidRPr="008B6BC5">
              <w:rPr>
                <w:rFonts w:cs="Times New Roman"/>
                <w:sz w:val="20"/>
                <w:szCs w:val="20"/>
                <w:lang w:val="en-US"/>
              </w:rPr>
              <w:t>The benzodiazepine diazepam (150mg) significantly outperformed pregabalin on HAM-A scores, contrary to the claim that effect size for pregabalin was similar.</w:t>
            </w:r>
          </w:p>
        </w:tc>
      </w:tr>
      <w:tr w:rsidR="00B65EF0" w:rsidRPr="008B6BC5" w14:paraId="2444CEE3" w14:textId="77777777" w:rsidTr="00202DA2">
        <w:tc>
          <w:tcPr>
            <w:tcW w:w="1702" w:type="dxa"/>
          </w:tcPr>
          <w:p w14:paraId="2CE67582" w14:textId="046C9FF3" w:rsidR="00B65EF0" w:rsidRPr="008B6BC5" w:rsidRDefault="00BD3144" w:rsidP="00B65EF0">
            <w:pPr>
              <w:pStyle w:val="NoSpacing"/>
              <w:rPr>
                <w:rFonts w:cs="Times New Roman"/>
                <w:sz w:val="20"/>
                <w:szCs w:val="20"/>
                <w:lang w:val="en-US"/>
              </w:rPr>
            </w:pPr>
            <w:r w:rsidRPr="008B6BC5">
              <w:rPr>
                <w:rFonts w:cs="Times New Roman"/>
                <w:sz w:val="20"/>
                <w:szCs w:val="20"/>
                <w:lang w:val="en-US"/>
              </w:rPr>
              <w:t>8</w:t>
            </w:r>
          </w:p>
        </w:tc>
        <w:tc>
          <w:tcPr>
            <w:tcW w:w="5953" w:type="dxa"/>
          </w:tcPr>
          <w:p w14:paraId="79D136A7"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Meta-analytic work and pooled analyses generally place pregabalin’s effect in the small-to-moderate range relative to placebo, but somewhat below that of the best-performing SSRIs/SNRIs (Kong et al., 2020). </w:t>
            </w:r>
          </w:p>
          <w:p w14:paraId="708035B6" w14:textId="77777777" w:rsidR="00B65EF0" w:rsidRPr="008B6BC5" w:rsidRDefault="00B65EF0" w:rsidP="00B65EF0">
            <w:pPr>
              <w:pStyle w:val="NoSpacing"/>
              <w:rPr>
                <w:rFonts w:cs="Times New Roman"/>
                <w:sz w:val="20"/>
                <w:szCs w:val="20"/>
                <w:lang w:val="en-US"/>
              </w:rPr>
            </w:pPr>
          </w:p>
        </w:tc>
        <w:tc>
          <w:tcPr>
            <w:tcW w:w="4394" w:type="dxa"/>
          </w:tcPr>
          <w:p w14:paraId="01997318" w14:textId="2540927B"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tc>
        <w:tc>
          <w:tcPr>
            <w:tcW w:w="709" w:type="dxa"/>
          </w:tcPr>
          <w:p w14:paraId="76E10973" w14:textId="193CCD1C"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323487A7" w14:textId="626C51E4"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5E585736" w14:textId="77777777" w:rsidTr="00202DA2">
        <w:tc>
          <w:tcPr>
            <w:tcW w:w="1702" w:type="dxa"/>
          </w:tcPr>
          <w:p w14:paraId="352B0614"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9.1</w:t>
            </w:r>
          </w:p>
          <w:p w14:paraId="7EC19D4C" w14:textId="6C327F18" w:rsidR="00BD3144" w:rsidRPr="008B6BC5" w:rsidRDefault="00BD3144" w:rsidP="00B65EF0">
            <w:pPr>
              <w:pStyle w:val="NoSpacing"/>
              <w:rPr>
                <w:rFonts w:cs="Times New Roman"/>
                <w:sz w:val="20"/>
                <w:szCs w:val="20"/>
                <w:lang w:val="en-US"/>
              </w:rPr>
            </w:pPr>
            <w:r w:rsidRPr="008B6BC5">
              <w:rPr>
                <w:rFonts w:cs="Times New Roman"/>
                <w:sz w:val="20"/>
                <w:szCs w:val="20"/>
                <w:lang w:val="en-US"/>
              </w:rPr>
              <w:t>9.2</w:t>
            </w:r>
          </w:p>
        </w:tc>
        <w:tc>
          <w:tcPr>
            <w:tcW w:w="5953" w:type="dxa"/>
          </w:tcPr>
          <w:p w14:paraId="4E4F18C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the network meta-analysis by He et al. (2019), escitalopram and duloxetine occupied the top ranks for efficacy, but credible intervals for most SSRI/SNRI comparisons overlapped substantially, implying largely similar acute symptom reduction. Vortioxetine, in contrast, showed better acceptability but significantly worse efficacy than several SSRIs/SNRIs (He et al., 2019; Pae et al., 2015). </w:t>
            </w:r>
          </w:p>
          <w:p w14:paraId="2BC9B7C2" w14:textId="77777777" w:rsidR="00B65EF0" w:rsidRPr="008B6BC5" w:rsidRDefault="00B65EF0" w:rsidP="00B65EF0">
            <w:pPr>
              <w:pStyle w:val="NoSpacing"/>
              <w:rPr>
                <w:rFonts w:cs="Times New Roman"/>
                <w:sz w:val="20"/>
                <w:szCs w:val="20"/>
                <w:lang w:val="en-US"/>
              </w:rPr>
            </w:pPr>
          </w:p>
        </w:tc>
        <w:tc>
          <w:tcPr>
            <w:tcW w:w="4394" w:type="dxa"/>
          </w:tcPr>
          <w:p w14:paraId="387D4773" w14:textId="36E302FC" w:rsidR="00B65EF0" w:rsidRPr="008B6BC5" w:rsidRDefault="00B65EF0" w:rsidP="00B65EF0">
            <w:pPr>
              <w:pStyle w:val="NoSpacing"/>
              <w:rPr>
                <w:rFonts w:cs="Times New Roman"/>
                <w:sz w:val="20"/>
                <w:szCs w:val="20"/>
                <w:lang w:val="en-US"/>
              </w:rPr>
            </w:pPr>
            <w:hyperlink r:id="rId34" w:history="1">
              <w:r w:rsidRPr="008B6BC5">
                <w:rPr>
                  <w:rStyle w:val="Hyperlink"/>
                  <w:rFonts w:cs="Times New Roman"/>
                  <w:sz w:val="20"/>
                  <w:szCs w:val="20"/>
                  <w:lang w:val="en-US"/>
                </w:rPr>
                <w:t>https://doi.org/10.1016/j.jpsychires.2019.08.009</w:t>
              </w:r>
            </w:hyperlink>
          </w:p>
          <w:p w14:paraId="082807FE" w14:textId="5E63D473"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http://dx.doi.org/10.1016/j.jpsychires.2015.02.017</w:t>
            </w:r>
          </w:p>
        </w:tc>
        <w:tc>
          <w:tcPr>
            <w:tcW w:w="709" w:type="dxa"/>
          </w:tcPr>
          <w:p w14:paraId="3001BA17"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p w14:paraId="02C73D38" w14:textId="4D4CDA73"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0310A7F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Vortioxetine outperformed only 1 other drug on acceptability measures in He et al (2019).</w:t>
            </w:r>
          </w:p>
          <w:p w14:paraId="2168BC1D" w14:textId="77777777" w:rsidR="00B65EF0" w:rsidRPr="008B6BC5" w:rsidRDefault="00B65EF0" w:rsidP="00B65EF0">
            <w:pPr>
              <w:pStyle w:val="NoSpacing"/>
              <w:rPr>
                <w:rFonts w:cs="Times New Roman"/>
                <w:sz w:val="20"/>
                <w:szCs w:val="20"/>
                <w:lang w:val="en-US"/>
              </w:rPr>
            </w:pPr>
          </w:p>
          <w:p w14:paraId="30844BAF" w14:textId="53844A44"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 Pae et al (2015) meta-analysis did not compare vortioxetine to other SSRIs/SNRIs, only placebos. </w:t>
            </w:r>
          </w:p>
        </w:tc>
      </w:tr>
      <w:tr w:rsidR="00B65EF0" w:rsidRPr="008B6BC5" w14:paraId="656B5099" w14:textId="77777777" w:rsidTr="00202DA2">
        <w:tc>
          <w:tcPr>
            <w:tcW w:w="1702" w:type="dxa"/>
          </w:tcPr>
          <w:p w14:paraId="2DC6C851"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10.1</w:t>
            </w:r>
          </w:p>
          <w:p w14:paraId="48A370B3" w14:textId="77777777" w:rsidR="00BD3144" w:rsidRPr="008B6BC5" w:rsidRDefault="00BD3144" w:rsidP="00B65EF0">
            <w:pPr>
              <w:pStyle w:val="NoSpacing"/>
              <w:rPr>
                <w:rFonts w:cs="Times New Roman"/>
                <w:sz w:val="20"/>
                <w:szCs w:val="20"/>
                <w:lang w:val="en-US"/>
              </w:rPr>
            </w:pPr>
            <w:r w:rsidRPr="008B6BC5">
              <w:rPr>
                <w:rFonts w:cs="Times New Roman"/>
                <w:sz w:val="20"/>
                <w:szCs w:val="20"/>
                <w:lang w:val="en-US"/>
              </w:rPr>
              <w:t>10.2</w:t>
            </w:r>
          </w:p>
          <w:p w14:paraId="7E168CE7" w14:textId="54A673DD" w:rsidR="00BD3144" w:rsidRPr="008B6BC5" w:rsidRDefault="00BD3144" w:rsidP="00B65EF0">
            <w:pPr>
              <w:pStyle w:val="NoSpacing"/>
              <w:rPr>
                <w:rFonts w:cs="Times New Roman"/>
                <w:sz w:val="20"/>
                <w:szCs w:val="20"/>
                <w:lang w:val="en-US"/>
              </w:rPr>
            </w:pPr>
            <w:r w:rsidRPr="008B6BC5">
              <w:rPr>
                <w:rFonts w:cs="Times New Roman"/>
                <w:sz w:val="20"/>
                <w:szCs w:val="20"/>
                <w:lang w:val="en-US"/>
              </w:rPr>
              <w:t>10.3</w:t>
            </w:r>
          </w:p>
        </w:tc>
        <w:tc>
          <w:tcPr>
            <w:tcW w:w="5953" w:type="dxa"/>
          </w:tcPr>
          <w:p w14:paraId="43264AD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Khan et al. (2011) and Merideth et al. (2012) randomized adults with GAD to quetiapine XR (usually 50–300 mg/day), escitalopram, and/or placebo over 8–10 weeks. Quetiapine XR produced greater anxiety reductions than placebo and, at doses 50–150 mg/day, yielded HAM-A improvements comparable to SSRIs; however, this came at the cost of higher discontinuation due to adverse events  (Khan et al., 2011; Merideth et al., 2012; </w:t>
            </w:r>
            <w:proofErr w:type="spellStart"/>
            <w:r w:rsidRPr="008B6BC5">
              <w:rPr>
                <w:rFonts w:cs="Times New Roman"/>
                <w:sz w:val="20"/>
                <w:szCs w:val="20"/>
                <w:lang w:val="en-US"/>
              </w:rPr>
              <w:t>Maneeton</w:t>
            </w:r>
            <w:proofErr w:type="spellEnd"/>
            <w:r w:rsidRPr="008B6BC5">
              <w:rPr>
                <w:rFonts w:cs="Times New Roman"/>
                <w:sz w:val="20"/>
                <w:szCs w:val="20"/>
                <w:lang w:val="en-US"/>
              </w:rPr>
              <w:t xml:space="preserve"> et al., 2016). </w:t>
            </w:r>
          </w:p>
          <w:p w14:paraId="42287566" w14:textId="0ECCC783" w:rsidR="00B65EF0" w:rsidRPr="008B6BC5" w:rsidRDefault="00B65EF0" w:rsidP="00B65EF0">
            <w:pPr>
              <w:pStyle w:val="NoSpacing"/>
              <w:rPr>
                <w:rFonts w:cs="Times New Roman"/>
                <w:sz w:val="20"/>
                <w:szCs w:val="20"/>
                <w:lang w:val="en-US"/>
              </w:rPr>
            </w:pPr>
          </w:p>
        </w:tc>
        <w:tc>
          <w:tcPr>
            <w:tcW w:w="4394" w:type="dxa"/>
          </w:tcPr>
          <w:p w14:paraId="18408FB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10.1097/JCP.0b013e318224864d</w:t>
            </w:r>
          </w:p>
          <w:p w14:paraId="7A48AB6C"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DOI: 10.1097/YIC.0b013e32834d9f49 </w:t>
            </w:r>
          </w:p>
          <w:p w14:paraId="3E92431A" w14:textId="6807E800" w:rsidR="00B65EF0" w:rsidRPr="008B6BC5" w:rsidRDefault="00B65EF0" w:rsidP="00B65EF0">
            <w:pPr>
              <w:pStyle w:val="NoSpacing"/>
              <w:rPr>
                <w:rFonts w:cs="Times New Roman"/>
                <w:sz w:val="20"/>
                <w:szCs w:val="20"/>
                <w:lang w:val="en-US"/>
              </w:rPr>
            </w:pPr>
            <w:hyperlink r:id="rId35" w:history="1">
              <w:r w:rsidRPr="008B6BC5">
                <w:rPr>
                  <w:rStyle w:val="Hyperlink"/>
                  <w:rFonts w:cs="Times New Roman"/>
                  <w:sz w:val="20"/>
                  <w:szCs w:val="20"/>
                  <w:lang w:val="en-US"/>
                </w:rPr>
                <w:t>https://doi.org/10.2147/DDDT.S89485</w:t>
              </w:r>
            </w:hyperlink>
            <w:r w:rsidRPr="008B6BC5">
              <w:rPr>
                <w:rFonts w:cs="Times New Roman"/>
                <w:sz w:val="20"/>
                <w:szCs w:val="20"/>
                <w:lang w:val="en-US"/>
              </w:rPr>
              <w:t xml:space="preserve"> </w:t>
            </w:r>
          </w:p>
        </w:tc>
        <w:tc>
          <w:tcPr>
            <w:tcW w:w="709" w:type="dxa"/>
          </w:tcPr>
          <w:p w14:paraId="6C1A4655"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p w14:paraId="4945EE3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p w14:paraId="0C25196F" w14:textId="1ACF76F0"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0D8AD4ED"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No inaccuracies detected for Khan et al (2011). </w:t>
            </w:r>
          </w:p>
          <w:p w14:paraId="7AAE5B26" w14:textId="77777777" w:rsidR="00B65EF0" w:rsidRPr="008B6BC5" w:rsidRDefault="00B65EF0" w:rsidP="00B65EF0">
            <w:pPr>
              <w:pStyle w:val="NoSpacing"/>
              <w:rPr>
                <w:rFonts w:cs="Times New Roman"/>
                <w:sz w:val="20"/>
                <w:szCs w:val="20"/>
                <w:lang w:val="en-US"/>
              </w:rPr>
            </w:pPr>
          </w:p>
          <w:p w14:paraId="1E7193AE"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Merideth et al (2012), Quetiapine XR significantly outperformed SSRIs. </w:t>
            </w:r>
          </w:p>
          <w:p w14:paraId="25B4B9CB" w14:textId="77777777" w:rsidR="00B65EF0" w:rsidRPr="008B6BC5" w:rsidRDefault="00B65EF0" w:rsidP="00B65EF0">
            <w:pPr>
              <w:pStyle w:val="NoSpacing"/>
              <w:rPr>
                <w:rFonts w:cs="Times New Roman"/>
                <w:sz w:val="20"/>
                <w:szCs w:val="20"/>
                <w:lang w:val="en-US"/>
              </w:rPr>
            </w:pPr>
          </w:p>
          <w:p w14:paraId="2806C298" w14:textId="3A35BE9C"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No inaccuracies detected for </w:t>
            </w:r>
            <w:proofErr w:type="spellStart"/>
            <w:r w:rsidRPr="008B6BC5">
              <w:rPr>
                <w:rFonts w:cs="Times New Roman"/>
                <w:sz w:val="20"/>
                <w:szCs w:val="20"/>
                <w:lang w:val="en-US"/>
              </w:rPr>
              <w:t>Maneeton</w:t>
            </w:r>
            <w:proofErr w:type="spellEnd"/>
            <w:r w:rsidRPr="008B6BC5">
              <w:rPr>
                <w:rFonts w:cs="Times New Roman"/>
                <w:sz w:val="20"/>
                <w:szCs w:val="20"/>
                <w:lang w:val="en-US"/>
              </w:rPr>
              <w:t xml:space="preserve"> et al (2016). </w:t>
            </w:r>
          </w:p>
          <w:p w14:paraId="064D7AC3" w14:textId="4CB21C1E" w:rsidR="00B65EF0" w:rsidRPr="008B6BC5" w:rsidRDefault="00B65EF0" w:rsidP="00B65EF0">
            <w:pPr>
              <w:pStyle w:val="NoSpacing"/>
              <w:rPr>
                <w:rFonts w:cs="Times New Roman"/>
                <w:sz w:val="20"/>
                <w:szCs w:val="20"/>
                <w:lang w:val="en-US"/>
              </w:rPr>
            </w:pPr>
          </w:p>
        </w:tc>
      </w:tr>
      <w:tr w:rsidR="00B65EF0" w:rsidRPr="008B6BC5" w14:paraId="71CA13FE" w14:textId="77777777" w:rsidTr="00202DA2">
        <w:tc>
          <w:tcPr>
            <w:tcW w:w="1702" w:type="dxa"/>
          </w:tcPr>
          <w:p w14:paraId="60FFDB8A" w14:textId="7306D8F3" w:rsidR="00B65EF0" w:rsidRPr="008B6BC5" w:rsidRDefault="00BD3144" w:rsidP="00B65EF0">
            <w:pPr>
              <w:pStyle w:val="NoSpacing"/>
              <w:rPr>
                <w:rFonts w:cs="Times New Roman"/>
                <w:sz w:val="20"/>
                <w:szCs w:val="20"/>
                <w:lang w:val="en-US"/>
              </w:rPr>
            </w:pPr>
            <w:r w:rsidRPr="008B6BC5">
              <w:rPr>
                <w:rFonts w:cs="Times New Roman"/>
                <w:sz w:val="20"/>
                <w:szCs w:val="20"/>
                <w:lang w:val="en-US"/>
              </w:rPr>
              <w:t>11</w:t>
            </w:r>
          </w:p>
        </w:tc>
        <w:tc>
          <w:tcPr>
            <w:tcW w:w="5953" w:type="dxa"/>
          </w:tcPr>
          <w:p w14:paraId="48E80079"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Chen et al. (2019) synthesized 91 RCTs (n ≈ 14,800 adults with GAD) and found that most pharmacological and psychological interventions (including face-to-face CBT, applied relaxation, and guided self-help) </w:t>
            </w:r>
            <w:r w:rsidRPr="008B6BC5">
              <w:rPr>
                <w:rFonts w:cs="Times New Roman"/>
                <w:sz w:val="20"/>
                <w:szCs w:val="20"/>
                <w:lang w:val="en-US"/>
              </w:rPr>
              <w:lastRenderedPageBreak/>
              <w:t xml:space="preserve">were superior to waitlist or psychological placebo, with SMDs generally in the 0.4–0.8 range relative to non-active controls. Although the network meta-analysis suggested SSRIs, SNRIs, buspirone, pregabalin, and benzodiazepines were more likely to be effective than some other drugs, no consistent superiority of pharmacotherapy over established psychotherapies emerged; effect sizes for CBT versus pill placebo or treatment-as-usual overlapped with those for first-line medications (Chen et al., 2019). </w:t>
            </w:r>
          </w:p>
          <w:p w14:paraId="529634CB" w14:textId="0CD4132C" w:rsidR="00B65EF0" w:rsidRPr="008B6BC5" w:rsidRDefault="00B65EF0" w:rsidP="00B65EF0">
            <w:pPr>
              <w:pStyle w:val="NoSpacing"/>
              <w:rPr>
                <w:rFonts w:cs="Times New Roman"/>
                <w:sz w:val="20"/>
                <w:szCs w:val="20"/>
                <w:lang w:val="en-US"/>
              </w:rPr>
            </w:pPr>
          </w:p>
        </w:tc>
        <w:tc>
          <w:tcPr>
            <w:tcW w:w="4394" w:type="dxa"/>
          </w:tcPr>
          <w:p w14:paraId="67742CA8" w14:textId="5FFDF429"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https://doi.org/10.1016/j.jpsychires.2019.08.014</w:t>
            </w:r>
          </w:p>
        </w:tc>
        <w:tc>
          <w:tcPr>
            <w:tcW w:w="709" w:type="dxa"/>
          </w:tcPr>
          <w:p w14:paraId="6EE20BDC" w14:textId="74394AAA"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70EDE729" w14:textId="59F5389B"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Many pooled effect sizes were greater than the 0.4-0.8 range stated. </w:t>
            </w:r>
          </w:p>
        </w:tc>
      </w:tr>
      <w:tr w:rsidR="00B65EF0" w:rsidRPr="008B6BC5" w14:paraId="11301CF1" w14:textId="77777777" w:rsidTr="00202DA2">
        <w:tc>
          <w:tcPr>
            <w:tcW w:w="1702" w:type="dxa"/>
          </w:tcPr>
          <w:p w14:paraId="44288C74"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12.1</w:t>
            </w:r>
          </w:p>
          <w:p w14:paraId="706DDA1A" w14:textId="71F638D4" w:rsidR="00BD3144" w:rsidRPr="008B6BC5" w:rsidRDefault="00BD3144" w:rsidP="00B65EF0">
            <w:pPr>
              <w:pStyle w:val="NoSpacing"/>
              <w:rPr>
                <w:rFonts w:cs="Times New Roman"/>
                <w:sz w:val="20"/>
                <w:szCs w:val="20"/>
                <w:lang w:val="en-US"/>
              </w:rPr>
            </w:pPr>
            <w:r w:rsidRPr="008B6BC5">
              <w:rPr>
                <w:rFonts w:cs="Times New Roman"/>
                <w:sz w:val="20"/>
                <w:szCs w:val="20"/>
                <w:lang w:val="en-US"/>
              </w:rPr>
              <w:t>12.2</w:t>
            </w:r>
          </w:p>
        </w:tc>
        <w:tc>
          <w:tcPr>
            <w:tcW w:w="5953" w:type="dxa"/>
          </w:tcPr>
          <w:p w14:paraId="0777BB85"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For example, Christensen et al. (2014) </w:t>
            </w:r>
            <w:proofErr w:type="spellStart"/>
            <w:r w:rsidRPr="008B6BC5">
              <w:rPr>
                <w:rFonts w:cs="Times New Roman"/>
                <w:sz w:val="20"/>
                <w:szCs w:val="20"/>
                <w:lang w:val="en-US"/>
              </w:rPr>
              <w:t>randomised</w:t>
            </w:r>
            <w:proofErr w:type="spellEnd"/>
            <w:r w:rsidRPr="008B6BC5">
              <w:rPr>
                <w:rFonts w:cs="Times New Roman"/>
                <w:sz w:val="20"/>
                <w:szCs w:val="20"/>
                <w:lang w:val="en-US"/>
              </w:rPr>
              <w:t xml:space="preserve"> adults with GAD to an online e-health program, sertraline, or an attention-placebo condition and found that both sertraline and the digital intervention produced significantly greater reductions in worry and anxiety relative to attention-placebo, with no clear differences between sertraline and the e-health program on primary outcomes at post-treatment (Chen et al., 2019). </w:t>
            </w:r>
          </w:p>
          <w:p w14:paraId="415507C3" w14:textId="22E606D9" w:rsidR="00B65EF0" w:rsidRPr="008B6BC5" w:rsidRDefault="00B65EF0" w:rsidP="00B65EF0">
            <w:pPr>
              <w:pStyle w:val="NoSpacing"/>
              <w:rPr>
                <w:rFonts w:cs="Times New Roman"/>
                <w:sz w:val="20"/>
                <w:szCs w:val="20"/>
                <w:lang w:val="en-US"/>
              </w:rPr>
            </w:pPr>
          </w:p>
        </w:tc>
        <w:tc>
          <w:tcPr>
            <w:tcW w:w="4394" w:type="dxa"/>
          </w:tcPr>
          <w:p w14:paraId="7DFF38E5" w14:textId="18F05D00" w:rsidR="00B65EF0" w:rsidRPr="008B6BC5" w:rsidRDefault="00B65EF0" w:rsidP="00B65EF0">
            <w:pPr>
              <w:pStyle w:val="NoSpacing"/>
              <w:rPr>
                <w:rFonts w:cs="Times New Roman"/>
                <w:sz w:val="20"/>
                <w:szCs w:val="20"/>
                <w:lang w:val="en-US"/>
              </w:rPr>
            </w:pPr>
            <w:hyperlink r:id="rId36" w:history="1">
              <w:r w:rsidRPr="008B6BC5">
                <w:rPr>
                  <w:rStyle w:val="Hyperlink"/>
                  <w:rFonts w:cs="Times New Roman"/>
                  <w:sz w:val="20"/>
                  <w:szCs w:val="20"/>
                  <w:lang w:val="en-US"/>
                </w:rPr>
                <w:t>https://doi.org/10.1016/j.invent.2014.08.002</w:t>
              </w:r>
            </w:hyperlink>
          </w:p>
          <w:p w14:paraId="7617A877" w14:textId="481FC5C1" w:rsidR="00B65EF0" w:rsidRPr="008B6BC5" w:rsidRDefault="00B65EF0" w:rsidP="00B65EF0">
            <w:pPr>
              <w:pStyle w:val="NoSpacing"/>
              <w:rPr>
                <w:rFonts w:cs="Times New Roman"/>
                <w:sz w:val="20"/>
                <w:szCs w:val="20"/>
                <w:lang w:val="en-US"/>
              </w:rPr>
            </w:pPr>
            <w:hyperlink r:id="rId37" w:history="1">
              <w:r w:rsidRPr="008B6BC5">
                <w:rPr>
                  <w:rStyle w:val="Hyperlink"/>
                  <w:rFonts w:cs="Times New Roman"/>
                  <w:sz w:val="20"/>
                  <w:szCs w:val="20"/>
                  <w:lang w:val="en-US"/>
                </w:rPr>
                <w:t>https://doi.org/10.1016/j.jpsychires.2019.08.014</w:t>
              </w:r>
            </w:hyperlink>
            <w:r w:rsidRPr="008B6BC5">
              <w:rPr>
                <w:rFonts w:cs="Times New Roman"/>
                <w:sz w:val="20"/>
                <w:szCs w:val="20"/>
                <w:lang w:val="en-US"/>
              </w:rPr>
              <w:t xml:space="preserve"> </w:t>
            </w:r>
          </w:p>
        </w:tc>
        <w:tc>
          <w:tcPr>
            <w:tcW w:w="709" w:type="dxa"/>
          </w:tcPr>
          <w:p w14:paraId="5C33593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p w14:paraId="04A6DB44" w14:textId="38F2AFE2"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06A63F5E"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There was no worry-specific outcome construct but rather numerous anxiety-specific constructs in Christensen et al (2014).</w:t>
            </w:r>
          </w:p>
          <w:p w14:paraId="62A69478" w14:textId="77777777" w:rsidR="00B65EF0" w:rsidRPr="008B6BC5" w:rsidRDefault="00B65EF0" w:rsidP="00B65EF0">
            <w:pPr>
              <w:pStyle w:val="NoSpacing"/>
              <w:rPr>
                <w:rFonts w:cs="Times New Roman"/>
                <w:sz w:val="20"/>
                <w:szCs w:val="20"/>
                <w:lang w:val="en-US"/>
              </w:rPr>
            </w:pPr>
          </w:p>
          <w:p w14:paraId="103660E6" w14:textId="040A8EAF"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Chen et al (2019) did not include any e-health intervention in their analyses. </w:t>
            </w:r>
          </w:p>
        </w:tc>
      </w:tr>
      <w:tr w:rsidR="00B65EF0" w:rsidRPr="008B6BC5" w14:paraId="660200F1" w14:textId="77777777" w:rsidTr="00202DA2">
        <w:tc>
          <w:tcPr>
            <w:tcW w:w="1702" w:type="dxa"/>
          </w:tcPr>
          <w:p w14:paraId="7DD304AA" w14:textId="2566CB60" w:rsidR="00B65EF0" w:rsidRPr="008B6BC5" w:rsidRDefault="00BD3144" w:rsidP="00B65EF0">
            <w:pPr>
              <w:pStyle w:val="NoSpacing"/>
              <w:rPr>
                <w:rFonts w:cs="Times New Roman"/>
                <w:sz w:val="20"/>
                <w:szCs w:val="20"/>
                <w:lang w:val="en-US"/>
              </w:rPr>
            </w:pPr>
            <w:r w:rsidRPr="008B6BC5">
              <w:rPr>
                <w:rFonts w:cs="Times New Roman"/>
                <w:sz w:val="20"/>
                <w:szCs w:val="20"/>
                <w:lang w:val="en-US"/>
              </w:rPr>
              <w:t>13</w:t>
            </w:r>
          </w:p>
        </w:tc>
        <w:tc>
          <w:tcPr>
            <w:tcW w:w="5953" w:type="dxa"/>
          </w:tcPr>
          <w:p w14:paraId="7CACCBA2"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Crits-Christoph et al. (2011) examined venlafaxine extended-release alone, CBT alone, and their combination in an adult outpatient GAD sample. All three conditions produced substantial symptom improvement by end of acute treatment; adding CBT to venlafaxine yielded small additional gains on some measures but effects were not consistently large or sustained across follow-up, suggesting only modest incremental benefit of combination over high-quality monotherapy (Crits-Christoph et al., 2011). </w:t>
            </w:r>
          </w:p>
          <w:p w14:paraId="2366FA07" w14:textId="65D2DFDE" w:rsidR="00B65EF0" w:rsidRPr="008B6BC5" w:rsidRDefault="00B65EF0" w:rsidP="00B65EF0">
            <w:pPr>
              <w:pStyle w:val="NoSpacing"/>
              <w:rPr>
                <w:rFonts w:cs="Times New Roman"/>
                <w:sz w:val="20"/>
                <w:szCs w:val="20"/>
                <w:lang w:val="en-US"/>
              </w:rPr>
            </w:pPr>
          </w:p>
        </w:tc>
        <w:tc>
          <w:tcPr>
            <w:tcW w:w="4394" w:type="dxa"/>
          </w:tcPr>
          <w:p w14:paraId="40929338" w14:textId="31738C38"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doi:10.1016/j.janxdis.2011.07.007. </w:t>
            </w:r>
          </w:p>
        </w:tc>
        <w:tc>
          <w:tcPr>
            <w:tcW w:w="709" w:type="dxa"/>
          </w:tcPr>
          <w:p w14:paraId="5226996B" w14:textId="7AC56258"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2DD8820D" w14:textId="3F46A94B" w:rsidR="00B65EF0" w:rsidRPr="008B6BC5" w:rsidRDefault="00B65EF0" w:rsidP="00B65EF0">
            <w:pPr>
              <w:pStyle w:val="NoSpacing"/>
              <w:rPr>
                <w:rFonts w:cs="Times New Roman"/>
                <w:sz w:val="20"/>
                <w:szCs w:val="20"/>
                <w:lang w:val="en-US"/>
              </w:rPr>
            </w:pPr>
            <w:r w:rsidRPr="008B6BC5">
              <w:rPr>
                <w:rFonts w:cs="Times New Roman"/>
                <w:sz w:val="20"/>
                <w:szCs w:val="20"/>
                <w:lang w:val="en-US"/>
              </w:rPr>
              <w:t>There was no CBT alone group; 2 groups improved, not 3; and medication alone produced descriptively larger effect sizes on numerous outcomes than CBT adjunct.</w:t>
            </w:r>
          </w:p>
        </w:tc>
      </w:tr>
      <w:tr w:rsidR="00B65EF0" w:rsidRPr="008B6BC5" w14:paraId="3FCB2CB9" w14:textId="77777777" w:rsidTr="00202DA2">
        <w:tc>
          <w:tcPr>
            <w:tcW w:w="1702" w:type="dxa"/>
          </w:tcPr>
          <w:p w14:paraId="75EAFDAE" w14:textId="34951825" w:rsidR="00B65EF0" w:rsidRPr="008B6BC5" w:rsidRDefault="00BD3144" w:rsidP="00B65EF0">
            <w:pPr>
              <w:pStyle w:val="NoSpacing"/>
              <w:rPr>
                <w:rFonts w:cs="Times New Roman"/>
                <w:sz w:val="20"/>
                <w:szCs w:val="20"/>
                <w:lang w:val="en-US"/>
              </w:rPr>
            </w:pPr>
            <w:r w:rsidRPr="008B6BC5">
              <w:rPr>
                <w:rFonts w:cs="Times New Roman"/>
                <w:sz w:val="20"/>
                <w:szCs w:val="20"/>
                <w:lang w:val="en-US"/>
              </w:rPr>
              <w:t>14</w:t>
            </w:r>
          </w:p>
        </w:tc>
        <w:tc>
          <w:tcPr>
            <w:tcW w:w="5953" w:type="dxa"/>
          </w:tcPr>
          <w:p w14:paraId="597EFE4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He et al.’s (2019) NMA of first-line drugs, all-cause discontinuation rates were generally similar to placebo, with the exception of vilazodone, which showed worse acceptability (OR for discontinuation = 1.7, 95% </w:t>
            </w:r>
            <w:proofErr w:type="spellStart"/>
            <w:r w:rsidRPr="008B6BC5">
              <w:rPr>
                <w:rFonts w:cs="Times New Roman"/>
                <w:sz w:val="20"/>
                <w:szCs w:val="20"/>
                <w:lang w:val="en-US"/>
              </w:rPr>
              <w:t>CrI</w:t>
            </w:r>
            <w:proofErr w:type="spellEnd"/>
            <w:r w:rsidRPr="008B6BC5">
              <w:rPr>
                <w:rFonts w:cs="Times New Roman"/>
                <w:sz w:val="20"/>
                <w:szCs w:val="20"/>
                <w:lang w:val="en-US"/>
              </w:rPr>
              <w:t xml:space="preserve"> 1.1–2.7). For most SSRIs and SNRIs, odds of treatment discontinuation did not differ significantly from placebo, suggesting reasonable short-term tolerability in adult outpatients (He et al., 2019)</w:t>
            </w:r>
          </w:p>
          <w:p w14:paraId="5312FE23" w14:textId="6BF50066" w:rsidR="00B65EF0" w:rsidRPr="008B6BC5" w:rsidRDefault="00B65EF0" w:rsidP="00B65EF0">
            <w:pPr>
              <w:pStyle w:val="NoSpacing"/>
              <w:rPr>
                <w:rFonts w:cs="Times New Roman"/>
                <w:sz w:val="20"/>
                <w:szCs w:val="20"/>
                <w:lang w:val="en-US"/>
              </w:rPr>
            </w:pPr>
          </w:p>
        </w:tc>
        <w:tc>
          <w:tcPr>
            <w:tcW w:w="4394" w:type="dxa"/>
          </w:tcPr>
          <w:p w14:paraId="61864153" w14:textId="7F06321C"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https://doi.org/10.1016/j.jpsychires.2019.08.009</w:t>
            </w:r>
          </w:p>
        </w:tc>
        <w:tc>
          <w:tcPr>
            <w:tcW w:w="709" w:type="dxa"/>
          </w:tcPr>
          <w:p w14:paraId="7685021D" w14:textId="5551BB46"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67AF0121" w14:textId="7D2A281C"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217D9D2F" w14:textId="77777777" w:rsidTr="00202DA2">
        <w:tc>
          <w:tcPr>
            <w:tcW w:w="1702" w:type="dxa"/>
          </w:tcPr>
          <w:p w14:paraId="707F97F6" w14:textId="703E5CCF" w:rsidR="00B65EF0" w:rsidRPr="008B6BC5" w:rsidRDefault="00BD3144" w:rsidP="00B65EF0">
            <w:pPr>
              <w:pStyle w:val="NoSpacing"/>
              <w:rPr>
                <w:rFonts w:cs="Times New Roman"/>
                <w:sz w:val="20"/>
                <w:szCs w:val="20"/>
                <w:lang w:val="en-US"/>
              </w:rPr>
            </w:pPr>
            <w:r w:rsidRPr="008B6BC5">
              <w:rPr>
                <w:rFonts w:cs="Times New Roman"/>
                <w:sz w:val="20"/>
                <w:szCs w:val="20"/>
                <w:lang w:val="en-US"/>
              </w:rPr>
              <w:t>15</w:t>
            </w:r>
          </w:p>
        </w:tc>
        <w:tc>
          <w:tcPr>
            <w:tcW w:w="5953" w:type="dxa"/>
          </w:tcPr>
          <w:p w14:paraId="705724A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Li et al. (2017) focused on venlafaxine XR in adults with GAD without comorbid major depression across six RCTs (n = 1,905). Venlafaxine XR significantly improved response and remission versus placebo, but was associated with higher discontinuation due to adverse events (OR = 2.80, 95% CI 1.38–5.69) and lower discontinuation due to lack of efficacy </w:t>
            </w:r>
            <w:r w:rsidRPr="008B6BC5">
              <w:rPr>
                <w:rFonts w:cs="Times New Roman"/>
                <w:sz w:val="20"/>
                <w:szCs w:val="20"/>
                <w:lang w:val="en-US"/>
              </w:rPr>
              <w:lastRenderedPageBreak/>
              <w:t xml:space="preserve">(OR = 0.26, 95% CI 0.15–0.45); overall discontinuation did not differ significantly (OR = 1.17, 95% CI 0.95–1.44) (Li et al., 2017). </w:t>
            </w:r>
          </w:p>
          <w:p w14:paraId="69F5A1A4" w14:textId="46DBD0D6" w:rsidR="00B65EF0" w:rsidRPr="008B6BC5" w:rsidRDefault="00B65EF0" w:rsidP="00B65EF0">
            <w:pPr>
              <w:pStyle w:val="NoSpacing"/>
              <w:rPr>
                <w:rFonts w:cs="Times New Roman"/>
                <w:sz w:val="20"/>
                <w:szCs w:val="20"/>
                <w:lang w:val="en-US"/>
              </w:rPr>
            </w:pPr>
          </w:p>
        </w:tc>
        <w:tc>
          <w:tcPr>
            <w:tcW w:w="4394" w:type="dxa"/>
          </w:tcPr>
          <w:p w14:paraId="0F46F25D" w14:textId="72E59797" w:rsidR="00B65EF0" w:rsidRPr="008B6BC5" w:rsidRDefault="00B65EF0" w:rsidP="00B65EF0">
            <w:pPr>
              <w:pStyle w:val="NoSpacing"/>
              <w:jc w:val="left"/>
              <w:rPr>
                <w:rFonts w:cs="Times New Roman"/>
                <w:sz w:val="20"/>
                <w:szCs w:val="20"/>
                <w:lang w:val="en-US"/>
              </w:rPr>
            </w:pPr>
            <w:r w:rsidRPr="008B6BC5">
              <w:rPr>
                <w:rFonts w:cs="Times New Roman"/>
                <w:sz w:val="20"/>
                <w:szCs w:val="20"/>
                <w:lang w:val="en-US"/>
              </w:rPr>
              <w:lastRenderedPageBreak/>
              <w:t xml:space="preserve">https://doi.org/ 10.1371/journal.pone.0185865 </w:t>
            </w:r>
          </w:p>
        </w:tc>
        <w:tc>
          <w:tcPr>
            <w:tcW w:w="709" w:type="dxa"/>
          </w:tcPr>
          <w:p w14:paraId="2FCC8ED6" w14:textId="3B8A4512"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5590724B" w14:textId="625386FB"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 95% CIs are not accurate. </w:t>
            </w:r>
          </w:p>
        </w:tc>
      </w:tr>
      <w:tr w:rsidR="00B65EF0" w:rsidRPr="008B6BC5" w14:paraId="4DC9FD51" w14:textId="77777777" w:rsidTr="00202DA2">
        <w:tc>
          <w:tcPr>
            <w:tcW w:w="1702" w:type="dxa"/>
          </w:tcPr>
          <w:p w14:paraId="6B03EA2A" w14:textId="4DDD7AA7" w:rsidR="00B65EF0" w:rsidRPr="008B6BC5" w:rsidRDefault="00BD3144" w:rsidP="00B65EF0">
            <w:pPr>
              <w:pStyle w:val="NoSpacing"/>
              <w:rPr>
                <w:rFonts w:cs="Times New Roman"/>
                <w:sz w:val="20"/>
                <w:szCs w:val="20"/>
                <w:lang w:val="en-US"/>
              </w:rPr>
            </w:pPr>
            <w:r w:rsidRPr="008B6BC5">
              <w:rPr>
                <w:rFonts w:cs="Times New Roman"/>
                <w:sz w:val="20"/>
                <w:szCs w:val="20"/>
                <w:lang w:val="en-US"/>
              </w:rPr>
              <w:t>16</w:t>
            </w:r>
          </w:p>
        </w:tc>
        <w:tc>
          <w:tcPr>
            <w:tcW w:w="5953" w:type="dxa"/>
          </w:tcPr>
          <w:p w14:paraId="29609D6A"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Similar patterns—slightly elevated adverse-event discontinuations but low inefficacy discontinuations—have been reported for duloxetine and some other SNRIs (Alaka et al., 2014). </w:t>
            </w:r>
          </w:p>
          <w:p w14:paraId="103B4226" w14:textId="4079F4EE" w:rsidR="00B65EF0" w:rsidRPr="008B6BC5" w:rsidRDefault="00B65EF0" w:rsidP="00B65EF0">
            <w:pPr>
              <w:pStyle w:val="NoSpacing"/>
              <w:rPr>
                <w:rFonts w:cs="Times New Roman"/>
                <w:sz w:val="20"/>
                <w:szCs w:val="20"/>
                <w:lang w:val="en-US"/>
              </w:rPr>
            </w:pPr>
          </w:p>
        </w:tc>
        <w:tc>
          <w:tcPr>
            <w:tcW w:w="4394" w:type="dxa"/>
          </w:tcPr>
          <w:p w14:paraId="4C656D11" w14:textId="301FBA51"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10.1002/gps.4088</w:t>
            </w:r>
          </w:p>
        </w:tc>
        <w:tc>
          <w:tcPr>
            <w:tcW w:w="709" w:type="dxa"/>
          </w:tcPr>
          <w:p w14:paraId="6A160708" w14:textId="499972DB"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6A18A049" w14:textId="43BAD9DE"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This reference only examined duloxetine; no other SNRIs were assessed. </w:t>
            </w:r>
          </w:p>
        </w:tc>
      </w:tr>
      <w:tr w:rsidR="00B65EF0" w:rsidRPr="008B6BC5" w14:paraId="08439250" w14:textId="77777777" w:rsidTr="00202DA2">
        <w:tc>
          <w:tcPr>
            <w:tcW w:w="1702" w:type="dxa"/>
          </w:tcPr>
          <w:p w14:paraId="5907DC60" w14:textId="43CE8EC0" w:rsidR="00B65EF0" w:rsidRPr="008B6BC5" w:rsidRDefault="00BD3144" w:rsidP="00B65EF0">
            <w:pPr>
              <w:pStyle w:val="NoSpacing"/>
              <w:rPr>
                <w:rFonts w:cs="Times New Roman"/>
                <w:sz w:val="20"/>
                <w:szCs w:val="20"/>
                <w:lang w:val="en-US"/>
              </w:rPr>
            </w:pPr>
            <w:r w:rsidRPr="008B6BC5">
              <w:rPr>
                <w:rFonts w:cs="Times New Roman"/>
                <w:sz w:val="20"/>
                <w:szCs w:val="20"/>
                <w:lang w:val="en-US"/>
              </w:rPr>
              <w:t>17</w:t>
            </w:r>
          </w:p>
        </w:tc>
        <w:tc>
          <w:tcPr>
            <w:tcW w:w="5953" w:type="dxa"/>
          </w:tcPr>
          <w:p w14:paraId="6C277FDD" w14:textId="77777777"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Maneeton</w:t>
            </w:r>
            <w:proofErr w:type="spellEnd"/>
            <w:r w:rsidRPr="008B6BC5">
              <w:rPr>
                <w:rFonts w:cs="Times New Roman"/>
                <w:sz w:val="20"/>
                <w:szCs w:val="20"/>
                <w:lang w:val="en-US"/>
              </w:rPr>
              <w:t xml:space="preserve"> et al. (2016) pooled three acute RCTs (n = 2,248 adults with GAD) and found that quetiapine XR significantly outperformed placebo on anxiety symptoms and produced response/remission rates comparable to SSRIs at doses of 50–150 mg/day.</w:t>
            </w:r>
          </w:p>
          <w:p w14:paraId="1D9E2173" w14:textId="64C49D2D" w:rsidR="00B65EF0" w:rsidRPr="008B6BC5" w:rsidRDefault="00B65EF0" w:rsidP="00B65EF0">
            <w:pPr>
              <w:pStyle w:val="NoSpacing"/>
              <w:rPr>
                <w:rFonts w:cs="Times New Roman"/>
                <w:sz w:val="20"/>
                <w:szCs w:val="20"/>
                <w:lang w:val="en-US"/>
              </w:rPr>
            </w:pPr>
          </w:p>
        </w:tc>
        <w:tc>
          <w:tcPr>
            <w:tcW w:w="4394" w:type="dxa"/>
          </w:tcPr>
          <w:p w14:paraId="5675F2B2" w14:textId="19CBC388" w:rsidR="00B65EF0" w:rsidRPr="008B6BC5" w:rsidRDefault="00B65EF0" w:rsidP="00B65EF0">
            <w:pPr>
              <w:pStyle w:val="NoSpacing"/>
              <w:rPr>
                <w:rFonts w:cs="Times New Roman"/>
                <w:sz w:val="20"/>
                <w:szCs w:val="20"/>
                <w:lang w:val="en-US"/>
              </w:rPr>
            </w:pPr>
            <w:r w:rsidRPr="008B6BC5">
              <w:rPr>
                <w:rFonts w:cs="Times New Roman"/>
                <w:sz w:val="20"/>
                <w:szCs w:val="20"/>
                <w:lang w:val="en-US"/>
              </w:rPr>
              <w:t>https://doi.org/10.2147/DDDT.S89485</w:t>
            </w:r>
          </w:p>
        </w:tc>
        <w:tc>
          <w:tcPr>
            <w:tcW w:w="709" w:type="dxa"/>
          </w:tcPr>
          <w:p w14:paraId="05EC802B" w14:textId="21BF5FB5"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5CFD9B81" w14:textId="45C755A1"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465AF94D" w14:textId="77777777" w:rsidTr="00202DA2">
        <w:tc>
          <w:tcPr>
            <w:tcW w:w="1702" w:type="dxa"/>
          </w:tcPr>
          <w:p w14:paraId="1168FE3B"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18.1</w:t>
            </w:r>
          </w:p>
          <w:p w14:paraId="0831877E" w14:textId="77777777" w:rsidR="00BD3144" w:rsidRPr="008B6BC5" w:rsidRDefault="00BD3144" w:rsidP="00B65EF0">
            <w:pPr>
              <w:pStyle w:val="NoSpacing"/>
              <w:rPr>
                <w:rFonts w:cs="Times New Roman"/>
                <w:sz w:val="20"/>
                <w:szCs w:val="20"/>
                <w:lang w:val="en-US"/>
              </w:rPr>
            </w:pPr>
            <w:r w:rsidRPr="008B6BC5">
              <w:rPr>
                <w:rFonts w:cs="Times New Roman"/>
                <w:sz w:val="20"/>
                <w:szCs w:val="20"/>
                <w:lang w:val="en-US"/>
              </w:rPr>
              <w:t>18.2</w:t>
            </w:r>
          </w:p>
          <w:p w14:paraId="2350B080" w14:textId="656C914F" w:rsidR="00BD3144" w:rsidRPr="008B6BC5" w:rsidRDefault="00BD3144" w:rsidP="00B65EF0">
            <w:pPr>
              <w:pStyle w:val="NoSpacing"/>
              <w:rPr>
                <w:rFonts w:cs="Times New Roman"/>
                <w:sz w:val="20"/>
                <w:szCs w:val="20"/>
                <w:lang w:val="en-US"/>
              </w:rPr>
            </w:pPr>
            <w:r w:rsidRPr="008B6BC5">
              <w:rPr>
                <w:rFonts w:cs="Times New Roman"/>
                <w:sz w:val="20"/>
                <w:szCs w:val="20"/>
                <w:lang w:val="en-US"/>
              </w:rPr>
              <w:t>18.3</w:t>
            </w:r>
          </w:p>
        </w:tc>
        <w:tc>
          <w:tcPr>
            <w:tcW w:w="5953" w:type="dxa"/>
          </w:tcPr>
          <w:p w14:paraId="588ADFA5"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However, overall discontinuation and discontinuation due to adverse events were significantly higher for quetiapine XR than placebo; only low doses (50–150 mg/day) had acceptability similar to SSRIs (</w:t>
            </w:r>
            <w:proofErr w:type="spellStart"/>
            <w:r w:rsidRPr="008B6BC5">
              <w:rPr>
                <w:rFonts w:cs="Times New Roman"/>
                <w:sz w:val="20"/>
                <w:szCs w:val="20"/>
                <w:lang w:val="en-US"/>
              </w:rPr>
              <w:t>Maneeton</w:t>
            </w:r>
            <w:proofErr w:type="spellEnd"/>
            <w:r w:rsidRPr="008B6BC5">
              <w:rPr>
                <w:rFonts w:cs="Times New Roman"/>
                <w:sz w:val="20"/>
                <w:szCs w:val="20"/>
                <w:lang w:val="en-US"/>
              </w:rPr>
              <w:t xml:space="preserve"> et al., 2016; Khan et al., 2011; Merideth et al., 2012)</w:t>
            </w:r>
          </w:p>
          <w:p w14:paraId="698FE322" w14:textId="4696D73E" w:rsidR="00B65EF0" w:rsidRPr="008B6BC5" w:rsidRDefault="00B65EF0" w:rsidP="00B65EF0">
            <w:pPr>
              <w:pStyle w:val="NoSpacing"/>
              <w:rPr>
                <w:rFonts w:cs="Times New Roman"/>
                <w:sz w:val="20"/>
                <w:szCs w:val="20"/>
                <w:lang w:val="en-US"/>
              </w:rPr>
            </w:pPr>
          </w:p>
        </w:tc>
        <w:tc>
          <w:tcPr>
            <w:tcW w:w="4394" w:type="dxa"/>
          </w:tcPr>
          <w:p w14:paraId="1ECEC4BC"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DOI: 10.1097/JCP.0b013e318224864d</w:t>
            </w:r>
          </w:p>
          <w:p w14:paraId="7D5E211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DOI: 10.1097/YIC.0b013e32834d9f49 </w:t>
            </w:r>
          </w:p>
          <w:p w14:paraId="500977E0" w14:textId="1F290D95" w:rsidR="00B65EF0" w:rsidRPr="008B6BC5" w:rsidRDefault="00B65EF0" w:rsidP="00B65EF0">
            <w:pPr>
              <w:pStyle w:val="NoSpacing"/>
              <w:rPr>
                <w:rFonts w:cs="Times New Roman"/>
                <w:sz w:val="20"/>
                <w:szCs w:val="20"/>
                <w:lang w:val="en-US"/>
              </w:rPr>
            </w:pPr>
            <w:hyperlink r:id="rId38" w:history="1">
              <w:r w:rsidRPr="008B6BC5">
                <w:rPr>
                  <w:rStyle w:val="Hyperlink"/>
                  <w:rFonts w:cs="Times New Roman"/>
                  <w:sz w:val="20"/>
                  <w:szCs w:val="20"/>
                  <w:lang w:val="en-US"/>
                </w:rPr>
                <w:t>https://doi.org/10.2147/DDDT.S89485</w:t>
              </w:r>
            </w:hyperlink>
          </w:p>
        </w:tc>
        <w:tc>
          <w:tcPr>
            <w:tcW w:w="709" w:type="dxa"/>
          </w:tcPr>
          <w:p w14:paraId="37F3588C"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p w14:paraId="65BBEDA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p w14:paraId="1648B521" w14:textId="75999A4D" w:rsidR="00B65EF0" w:rsidRPr="008B6BC5" w:rsidRDefault="00B65EF0" w:rsidP="00B65EF0">
            <w:pPr>
              <w:pStyle w:val="NoSpacing"/>
              <w:rPr>
                <w:rFonts w:cs="Times New Roman"/>
                <w:sz w:val="20"/>
                <w:szCs w:val="20"/>
                <w:lang w:val="en-US"/>
              </w:rPr>
            </w:pPr>
            <w:r w:rsidRPr="008B6BC5">
              <w:rPr>
                <w:rFonts w:cs="Times New Roman"/>
                <w:sz w:val="20"/>
                <w:szCs w:val="20"/>
                <w:lang w:val="en-US"/>
              </w:rPr>
              <w:t>2</w:t>
            </w:r>
          </w:p>
        </w:tc>
        <w:tc>
          <w:tcPr>
            <w:tcW w:w="3686" w:type="dxa"/>
          </w:tcPr>
          <w:p w14:paraId="6B44FCBB"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w:t>
            </w:r>
            <w:proofErr w:type="spellStart"/>
            <w:r w:rsidRPr="008B6BC5">
              <w:rPr>
                <w:rFonts w:cs="Times New Roman"/>
                <w:sz w:val="20"/>
                <w:szCs w:val="20"/>
                <w:lang w:val="en-US"/>
              </w:rPr>
              <w:t>Maneeton</w:t>
            </w:r>
            <w:proofErr w:type="spellEnd"/>
            <w:r w:rsidRPr="008B6BC5">
              <w:rPr>
                <w:rFonts w:cs="Times New Roman"/>
                <w:sz w:val="20"/>
                <w:szCs w:val="20"/>
                <w:lang w:val="en-US"/>
              </w:rPr>
              <w:t xml:space="preserve"> (2016), low doses of quetiapine XR (150 mg) did differ significantly to SSRIs on acceptability proxies.</w:t>
            </w:r>
          </w:p>
          <w:p w14:paraId="3921D0E9" w14:textId="77777777" w:rsidR="00B65EF0" w:rsidRPr="008B6BC5" w:rsidRDefault="00B65EF0" w:rsidP="00B65EF0">
            <w:pPr>
              <w:pStyle w:val="NoSpacing"/>
              <w:rPr>
                <w:rFonts w:cs="Times New Roman"/>
                <w:sz w:val="20"/>
                <w:szCs w:val="20"/>
                <w:lang w:val="en-US"/>
              </w:rPr>
            </w:pPr>
          </w:p>
          <w:p w14:paraId="36CEF2BC" w14:textId="1FC4647B" w:rsidR="00B65EF0" w:rsidRPr="008B6BC5" w:rsidRDefault="00B65EF0" w:rsidP="00B65EF0">
            <w:pPr>
              <w:pStyle w:val="NoSpacing"/>
              <w:rPr>
                <w:rFonts w:cs="Times New Roman"/>
                <w:sz w:val="20"/>
                <w:szCs w:val="20"/>
                <w:lang w:val="en-US"/>
              </w:rPr>
            </w:pPr>
            <w:r w:rsidRPr="008B6BC5">
              <w:rPr>
                <w:rFonts w:cs="Times New Roman"/>
                <w:sz w:val="20"/>
                <w:szCs w:val="20"/>
                <w:lang w:val="en-US"/>
              </w:rPr>
              <w:t>In Khan 2011, no SSRIs were compared with quetiapine XR</w:t>
            </w:r>
          </w:p>
          <w:p w14:paraId="6FFD5522" w14:textId="77777777" w:rsidR="00B65EF0" w:rsidRPr="008B6BC5" w:rsidRDefault="00B65EF0" w:rsidP="00B65EF0">
            <w:pPr>
              <w:pStyle w:val="NoSpacing"/>
              <w:rPr>
                <w:rFonts w:cs="Times New Roman"/>
                <w:sz w:val="20"/>
                <w:szCs w:val="20"/>
                <w:lang w:val="en-US"/>
              </w:rPr>
            </w:pPr>
          </w:p>
          <w:p w14:paraId="7E5963EA" w14:textId="51ACA0EA"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Merideth (2012), discontinuation due to AE was 18 vs 10% in quetiapine XR vs SSRI. </w:t>
            </w:r>
          </w:p>
        </w:tc>
      </w:tr>
      <w:tr w:rsidR="00B65EF0" w:rsidRPr="008B6BC5" w14:paraId="70C7DC9D" w14:textId="77777777" w:rsidTr="00202DA2">
        <w:trPr>
          <w:trHeight w:val="1350"/>
        </w:trPr>
        <w:tc>
          <w:tcPr>
            <w:tcW w:w="1702" w:type="dxa"/>
          </w:tcPr>
          <w:p w14:paraId="2B1ACB07" w14:textId="18AEE456" w:rsidR="00B65EF0" w:rsidRPr="008B6BC5" w:rsidRDefault="00BD3144" w:rsidP="00B65EF0">
            <w:pPr>
              <w:pStyle w:val="NoSpacing"/>
              <w:rPr>
                <w:rFonts w:cs="Times New Roman"/>
                <w:sz w:val="20"/>
                <w:szCs w:val="20"/>
                <w:lang w:val="en-US"/>
              </w:rPr>
            </w:pPr>
            <w:r w:rsidRPr="008B6BC5">
              <w:rPr>
                <w:rFonts w:cs="Times New Roman"/>
                <w:sz w:val="20"/>
                <w:szCs w:val="20"/>
                <w:lang w:val="en-US"/>
              </w:rPr>
              <w:t>19</w:t>
            </w:r>
          </w:p>
        </w:tc>
        <w:tc>
          <w:tcPr>
            <w:tcW w:w="5953" w:type="dxa"/>
          </w:tcPr>
          <w:p w14:paraId="40BBF876"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In the remission-focused NMA by Kong et al. (2020), lorazepam—representing benzodiazepines—showed the poorest tolerability, with markedly higher rates of adverse-event discontinuation (OR ≈ 5.98 relative to other drugs), and it was not clearly superior to placebo in remission</w:t>
            </w:r>
          </w:p>
          <w:p w14:paraId="108E3C4F" w14:textId="77777777" w:rsidR="00B65EF0" w:rsidRPr="008B6BC5" w:rsidRDefault="00B65EF0" w:rsidP="00B65EF0">
            <w:pPr>
              <w:pStyle w:val="NoSpacing"/>
              <w:rPr>
                <w:rFonts w:cs="Times New Roman"/>
                <w:sz w:val="20"/>
                <w:szCs w:val="20"/>
                <w:lang w:val="en-US"/>
              </w:rPr>
            </w:pPr>
          </w:p>
        </w:tc>
        <w:tc>
          <w:tcPr>
            <w:tcW w:w="4394" w:type="dxa"/>
          </w:tcPr>
          <w:p w14:paraId="5CE0349D" w14:textId="3CD0C2BB"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tc>
        <w:tc>
          <w:tcPr>
            <w:tcW w:w="709" w:type="dxa"/>
          </w:tcPr>
          <w:p w14:paraId="204F56C9" w14:textId="33EEDB90"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1EC11824" w14:textId="18834E93"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Incorrect OR was reported. </w:t>
            </w:r>
          </w:p>
        </w:tc>
      </w:tr>
      <w:tr w:rsidR="00B65EF0" w:rsidRPr="008B6BC5" w14:paraId="45F21E95" w14:textId="77777777" w:rsidTr="00202DA2">
        <w:tc>
          <w:tcPr>
            <w:tcW w:w="1702" w:type="dxa"/>
          </w:tcPr>
          <w:p w14:paraId="3E677470" w14:textId="5F5C3879" w:rsidR="00B65EF0" w:rsidRPr="008B6BC5" w:rsidRDefault="00BD3144" w:rsidP="00B65EF0">
            <w:pPr>
              <w:pStyle w:val="NoSpacing"/>
              <w:rPr>
                <w:rFonts w:cs="Times New Roman"/>
                <w:sz w:val="20"/>
                <w:szCs w:val="20"/>
                <w:lang w:val="en-US"/>
              </w:rPr>
            </w:pPr>
            <w:r w:rsidRPr="008B6BC5">
              <w:rPr>
                <w:rFonts w:cs="Times New Roman"/>
                <w:sz w:val="20"/>
                <w:szCs w:val="20"/>
                <w:lang w:val="en-US"/>
              </w:rPr>
              <w:t>20</w:t>
            </w:r>
          </w:p>
        </w:tc>
        <w:tc>
          <w:tcPr>
            <w:tcW w:w="5953" w:type="dxa"/>
          </w:tcPr>
          <w:p w14:paraId="21EABAD7" w14:textId="6034B1E4" w:rsidR="00B65EF0" w:rsidRPr="008B6BC5" w:rsidRDefault="00B65EF0" w:rsidP="00B65EF0">
            <w:pPr>
              <w:pStyle w:val="NoSpacing"/>
              <w:rPr>
                <w:rFonts w:cs="Times New Roman"/>
                <w:sz w:val="20"/>
                <w:szCs w:val="20"/>
                <w:lang w:val="en-US"/>
              </w:rPr>
            </w:pPr>
            <w:r w:rsidRPr="008B6BC5">
              <w:rPr>
                <w:rFonts w:cs="Times New Roman"/>
                <w:sz w:val="20"/>
                <w:szCs w:val="20"/>
                <w:lang w:val="en-US"/>
              </w:rPr>
              <w:t>Tiagabine also showed poor tolerability (Kong et al. 2020),</w:t>
            </w:r>
          </w:p>
        </w:tc>
        <w:tc>
          <w:tcPr>
            <w:tcW w:w="4394" w:type="dxa"/>
          </w:tcPr>
          <w:p w14:paraId="5A8C90ED" w14:textId="146877DC"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tc>
        <w:tc>
          <w:tcPr>
            <w:tcW w:w="709" w:type="dxa"/>
          </w:tcPr>
          <w:p w14:paraId="5DA0B49B" w14:textId="1536E6C0"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tc>
        <w:tc>
          <w:tcPr>
            <w:tcW w:w="3686" w:type="dxa"/>
          </w:tcPr>
          <w:p w14:paraId="793D7659" w14:textId="763F0AF8"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w:t>
            </w:r>
          </w:p>
        </w:tc>
      </w:tr>
      <w:tr w:rsidR="00B65EF0" w:rsidRPr="008B6BC5" w14:paraId="24FF0839" w14:textId="77777777" w:rsidTr="00202DA2">
        <w:tc>
          <w:tcPr>
            <w:tcW w:w="1702" w:type="dxa"/>
          </w:tcPr>
          <w:p w14:paraId="08BBEEDF"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21.1</w:t>
            </w:r>
          </w:p>
          <w:p w14:paraId="748C037B" w14:textId="614702C7" w:rsidR="00BD3144" w:rsidRPr="008B6BC5" w:rsidRDefault="00BD3144" w:rsidP="00B65EF0">
            <w:pPr>
              <w:pStyle w:val="NoSpacing"/>
              <w:rPr>
                <w:rFonts w:cs="Times New Roman"/>
                <w:sz w:val="20"/>
                <w:szCs w:val="20"/>
                <w:lang w:val="en-US"/>
              </w:rPr>
            </w:pPr>
            <w:r w:rsidRPr="008B6BC5">
              <w:rPr>
                <w:rFonts w:cs="Times New Roman"/>
                <w:sz w:val="20"/>
                <w:szCs w:val="20"/>
                <w:lang w:val="en-US"/>
              </w:rPr>
              <w:t>21.2</w:t>
            </w:r>
          </w:p>
        </w:tc>
        <w:tc>
          <w:tcPr>
            <w:tcW w:w="5953" w:type="dxa"/>
          </w:tcPr>
          <w:p w14:paraId="52A0362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contrast, agomelatine achieved relatively high remission rates with a more </w:t>
            </w:r>
            <w:proofErr w:type="spellStart"/>
            <w:r w:rsidRPr="008B6BC5">
              <w:rPr>
                <w:rFonts w:cs="Times New Roman"/>
                <w:sz w:val="20"/>
                <w:szCs w:val="20"/>
                <w:lang w:val="en-US"/>
              </w:rPr>
              <w:t>favourable</w:t>
            </w:r>
            <w:proofErr w:type="spellEnd"/>
            <w:r w:rsidRPr="008B6BC5">
              <w:rPr>
                <w:rFonts w:cs="Times New Roman"/>
                <w:sz w:val="20"/>
                <w:szCs w:val="20"/>
                <w:lang w:val="en-US"/>
              </w:rPr>
              <w:t xml:space="preserve"> discontinuation profile, and vortioxetine displayed very good acceptability but lacked efficacy advantages (Kong et al., 2020; Pae et al., 2015). </w:t>
            </w:r>
          </w:p>
          <w:p w14:paraId="3C1352CC" w14:textId="77777777" w:rsidR="00B65EF0" w:rsidRPr="008B6BC5" w:rsidRDefault="00B65EF0" w:rsidP="00B65EF0">
            <w:pPr>
              <w:pStyle w:val="NoSpacing"/>
              <w:rPr>
                <w:rFonts w:cs="Times New Roman"/>
                <w:sz w:val="20"/>
                <w:szCs w:val="20"/>
                <w:lang w:val="en-US"/>
              </w:rPr>
            </w:pPr>
          </w:p>
        </w:tc>
        <w:tc>
          <w:tcPr>
            <w:tcW w:w="4394" w:type="dxa"/>
          </w:tcPr>
          <w:p w14:paraId="69FE1635" w14:textId="77777777"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p w14:paraId="7E77A066" w14:textId="77777777" w:rsidR="00B65EF0" w:rsidRPr="008B6BC5" w:rsidRDefault="00B65EF0" w:rsidP="00B65EF0">
            <w:pPr>
              <w:pStyle w:val="NoSpacing"/>
              <w:rPr>
                <w:rFonts w:cs="Times New Roman"/>
                <w:sz w:val="20"/>
                <w:szCs w:val="20"/>
                <w:lang w:val="en-US"/>
              </w:rPr>
            </w:pPr>
            <w:hyperlink r:id="rId39" w:history="1">
              <w:r w:rsidRPr="008B6BC5">
                <w:rPr>
                  <w:rStyle w:val="Hyperlink"/>
                  <w:rFonts w:cs="Times New Roman"/>
                  <w:sz w:val="20"/>
                  <w:szCs w:val="20"/>
                  <w:lang w:val="en-US"/>
                </w:rPr>
                <w:t>http://dx.doi.org/10.1016/j.jpsychires.2015.02.017</w:t>
              </w:r>
            </w:hyperlink>
            <w:r w:rsidRPr="008B6BC5">
              <w:rPr>
                <w:rFonts w:cs="Times New Roman"/>
                <w:sz w:val="20"/>
                <w:szCs w:val="20"/>
                <w:lang w:val="en-US"/>
              </w:rPr>
              <w:t xml:space="preserve"> </w:t>
            </w:r>
          </w:p>
          <w:p w14:paraId="4C5C3294" w14:textId="1FEC7F87" w:rsidR="00B65EF0" w:rsidRPr="008B6BC5" w:rsidRDefault="00B65EF0" w:rsidP="00B65EF0">
            <w:pPr>
              <w:pStyle w:val="NoSpacing"/>
              <w:rPr>
                <w:rFonts w:cs="Times New Roman"/>
                <w:sz w:val="20"/>
                <w:szCs w:val="20"/>
                <w:lang w:val="en-US"/>
              </w:rPr>
            </w:pPr>
          </w:p>
        </w:tc>
        <w:tc>
          <w:tcPr>
            <w:tcW w:w="709" w:type="dxa"/>
          </w:tcPr>
          <w:p w14:paraId="001C662D"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p w14:paraId="080D22C6" w14:textId="5C886B5E"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52ABEDC1"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 for Kong (2020)</w:t>
            </w:r>
          </w:p>
          <w:p w14:paraId="7AFBB295" w14:textId="151443E3"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In Pae et al (2015), vortioxetine showed significantly higher discontinuation due to AEs relative to placebo, and was also more effective than placebo. </w:t>
            </w:r>
          </w:p>
        </w:tc>
      </w:tr>
      <w:tr w:rsidR="00B65EF0" w:rsidRPr="008B6BC5" w14:paraId="0A012F63" w14:textId="77777777" w:rsidTr="00202DA2">
        <w:tc>
          <w:tcPr>
            <w:tcW w:w="1702" w:type="dxa"/>
          </w:tcPr>
          <w:p w14:paraId="66EB438D" w14:textId="1DE9FC68" w:rsidR="00B65EF0" w:rsidRPr="008B6BC5" w:rsidRDefault="00BD3144" w:rsidP="00B65EF0">
            <w:pPr>
              <w:pStyle w:val="NoSpacing"/>
              <w:rPr>
                <w:rFonts w:cs="Times New Roman"/>
                <w:sz w:val="20"/>
                <w:szCs w:val="20"/>
                <w:lang w:val="en-US"/>
              </w:rPr>
            </w:pPr>
            <w:r w:rsidRPr="008B6BC5">
              <w:rPr>
                <w:rFonts w:cs="Times New Roman"/>
                <w:sz w:val="20"/>
                <w:szCs w:val="20"/>
                <w:lang w:val="en-US"/>
              </w:rPr>
              <w:t>22</w:t>
            </w:r>
          </w:p>
        </w:tc>
        <w:tc>
          <w:tcPr>
            <w:tcW w:w="5953" w:type="dxa"/>
          </w:tcPr>
          <w:p w14:paraId="7612A4A8"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For pregabalin, Pande et al. (2003) reported discontinuation rates due to adverse events in the range of 12–19% versus ~10% for placebo over </w:t>
            </w:r>
            <w:r w:rsidRPr="008B6BC5">
              <w:rPr>
                <w:rFonts w:cs="Times New Roman"/>
                <w:sz w:val="20"/>
                <w:szCs w:val="20"/>
                <w:lang w:val="en-US"/>
              </w:rPr>
              <w:lastRenderedPageBreak/>
              <w:t xml:space="preserve">four weeks, driven largely by dizziness and somnolence; serious adverse events were rare. </w:t>
            </w:r>
          </w:p>
          <w:p w14:paraId="03895FEC" w14:textId="77777777" w:rsidR="00B65EF0" w:rsidRPr="008B6BC5" w:rsidRDefault="00B65EF0" w:rsidP="00B65EF0">
            <w:pPr>
              <w:pStyle w:val="NoSpacing"/>
              <w:rPr>
                <w:rFonts w:cs="Times New Roman"/>
                <w:sz w:val="20"/>
                <w:szCs w:val="20"/>
                <w:lang w:val="en-US"/>
              </w:rPr>
            </w:pPr>
          </w:p>
        </w:tc>
        <w:tc>
          <w:tcPr>
            <w:tcW w:w="4394" w:type="dxa"/>
          </w:tcPr>
          <w:p w14:paraId="48318201" w14:textId="6CDCFD2F" w:rsidR="00B65EF0" w:rsidRPr="008B6BC5" w:rsidRDefault="00B65EF0" w:rsidP="00B65EF0">
            <w:pPr>
              <w:pStyle w:val="NoSpacing"/>
              <w:rPr>
                <w:rFonts w:cs="Times New Roman"/>
                <w:sz w:val="20"/>
                <w:szCs w:val="20"/>
                <w:lang w:val="en-US"/>
              </w:rPr>
            </w:pPr>
            <w:r w:rsidRPr="008B6BC5">
              <w:rPr>
                <w:rFonts w:cs="Times New Roman"/>
                <w:sz w:val="20"/>
                <w:szCs w:val="20"/>
                <w:lang w:val="en-US"/>
              </w:rPr>
              <w:lastRenderedPageBreak/>
              <w:t>DOI: 10.1176/appi.ajp.160.3.533</w:t>
            </w:r>
          </w:p>
        </w:tc>
        <w:tc>
          <w:tcPr>
            <w:tcW w:w="709" w:type="dxa"/>
          </w:tcPr>
          <w:p w14:paraId="2E552CB7" w14:textId="14A82EE9"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14A145D8" w14:textId="7F8A2795"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AE discontinuation was 2.9% for 150mg and 20% for 600mg dosage compared to 10% in the placebo. </w:t>
            </w:r>
          </w:p>
        </w:tc>
      </w:tr>
      <w:tr w:rsidR="00B65EF0" w:rsidRPr="008B6BC5" w14:paraId="6E9CF10F" w14:textId="77777777" w:rsidTr="00202DA2">
        <w:tc>
          <w:tcPr>
            <w:tcW w:w="1702" w:type="dxa"/>
          </w:tcPr>
          <w:p w14:paraId="4BDCCF93" w14:textId="77777777" w:rsidR="00B65EF0" w:rsidRPr="008B6BC5" w:rsidRDefault="00BD3144" w:rsidP="00B65EF0">
            <w:pPr>
              <w:pStyle w:val="NoSpacing"/>
              <w:rPr>
                <w:rFonts w:cs="Times New Roman"/>
                <w:sz w:val="20"/>
                <w:szCs w:val="20"/>
                <w:lang w:val="en-US"/>
              </w:rPr>
            </w:pPr>
            <w:r w:rsidRPr="008B6BC5">
              <w:rPr>
                <w:rFonts w:cs="Times New Roman"/>
                <w:sz w:val="20"/>
                <w:szCs w:val="20"/>
                <w:lang w:val="en-US"/>
              </w:rPr>
              <w:t>23.1</w:t>
            </w:r>
          </w:p>
          <w:p w14:paraId="6A839A1E" w14:textId="0176C419" w:rsidR="00BD3144" w:rsidRPr="008B6BC5" w:rsidRDefault="00BD3144" w:rsidP="00B65EF0">
            <w:pPr>
              <w:pStyle w:val="NoSpacing"/>
              <w:rPr>
                <w:rFonts w:cs="Times New Roman"/>
                <w:sz w:val="20"/>
                <w:szCs w:val="20"/>
                <w:lang w:val="en-US"/>
              </w:rPr>
            </w:pPr>
            <w:r w:rsidRPr="008B6BC5">
              <w:rPr>
                <w:rFonts w:cs="Times New Roman"/>
                <w:sz w:val="20"/>
                <w:szCs w:val="20"/>
                <w:lang w:val="en-US"/>
              </w:rPr>
              <w:t>23.2</w:t>
            </w:r>
          </w:p>
        </w:tc>
        <w:tc>
          <w:tcPr>
            <w:tcW w:w="5953" w:type="dxa"/>
          </w:tcPr>
          <w:p w14:paraId="393D85C2"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Similar tolerability patterns have been seen across other pregabalin trials, with sedation and weight gain as key longer-term concerns (Pande et al., 2003; Kong et al., 2020).</w:t>
            </w:r>
          </w:p>
          <w:p w14:paraId="3471FBFD" w14:textId="3683445F" w:rsidR="00B65EF0" w:rsidRPr="008B6BC5" w:rsidRDefault="00B65EF0" w:rsidP="00B65EF0">
            <w:pPr>
              <w:pStyle w:val="NoSpacing"/>
              <w:rPr>
                <w:rFonts w:cs="Times New Roman"/>
                <w:sz w:val="20"/>
                <w:szCs w:val="20"/>
                <w:lang w:val="en-US"/>
              </w:rPr>
            </w:pPr>
          </w:p>
        </w:tc>
        <w:tc>
          <w:tcPr>
            <w:tcW w:w="4394" w:type="dxa"/>
          </w:tcPr>
          <w:p w14:paraId="2F274187" w14:textId="77777777" w:rsidR="00B65EF0" w:rsidRPr="008B6BC5" w:rsidRDefault="00B65EF0" w:rsidP="00B65EF0">
            <w:pPr>
              <w:pStyle w:val="NoSpacing"/>
              <w:rPr>
                <w:rFonts w:cs="Times New Roman"/>
                <w:sz w:val="20"/>
                <w:szCs w:val="20"/>
              </w:rPr>
            </w:pPr>
            <w:r w:rsidRPr="008B6BC5">
              <w:rPr>
                <w:rFonts w:cs="Times New Roman"/>
                <w:sz w:val="20"/>
                <w:szCs w:val="20"/>
              </w:rPr>
              <w:t>DOI: </w:t>
            </w:r>
            <w:hyperlink r:id="rId40" w:tgtFrame="_blank" w:history="1">
              <w:r w:rsidRPr="008B6BC5">
                <w:rPr>
                  <w:rStyle w:val="Hyperlink"/>
                  <w:rFonts w:cs="Times New Roman"/>
                  <w:sz w:val="20"/>
                  <w:szCs w:val="20"/>
                </w:rPr>
                <w:t>10.1176/appi.ajp.160.3.533</w:t>
              </w:r>
            </w:hyperlink>
          </w:p>
          <w:p w14:paraId="1ADE6984" w14:textId="502C208B" w:rsidR="00B65EF0" w:rsidRPr="008B6BC5" w:rsidRDefault="00B65EF0" w:rsidP="00B65EF0">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10.3389/fphar.2020.580858</w:t>
            </w:r>
          </w:p>
        </w:tc>
        <w:tc>
          <w:tcPr>
            <w:tcW w:w="709" w:type="dxa"/>
          </w:tcPr>
          <w:p w14:paraId="0ABA1E4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4</w:t>
            </w:r>
          </w:p>
          <w:p w14:paraId="6182AB84" w14:textId="21272C88" w:rsidR="00B65EF0" w:rsidRPr="008B6BC5" w:rsidRDefault="00B65EF0" w:rsidP="00B65EF0">
            <w:pPr>
              <w:pStyle w:val="NoSpacing"/>
              <w:rPr>
                <w:rFonts w:cs="Times New Roman"/>
                <w:sz w:val="20"/>
                <w:szCs w:val="20"/>
                <w:lang w:val="en-US"/>
              </w:rPr>
            </w:pPr>
            <w:r w:rsidRPr="008B6BC5">
              <w:rPr>
                <w:rFonts w:cs="Times New Roman"/>
                <w:sz w:val="20"/>
                <w:szCs w:val="20"/>
                <w:lang w:val="en-US"/>
              </w:rPr>
              <w:t>1</w:t>
            </w:r>
          </w:p>
        </w:tc>
        <w:tc>
          <w:tcPr>
            <w:tcW w:w="3686" w:type="dxa"/>
          </w:tcPr>
          <w:p w14:paraId="3B064960" w14:textId="77777777" w:rsidR="00B65EF0" w:rsidRPr="008B6BC5" w:rsidRDefault="00B65EF0" w:rsidP="00B65EF0">
            <w:pPr>
              <w:pStyle w:val="NoSpacing"/>
              <w:rPr>
                <w:rFonts w:cs="Times New Roman"/>
                <w:sz w:val="20"/>
                <w:szCs w:val="20"/>
                <w:lang w:val="en-US"/>
              </w:rPr>
            </w:pPr>
            <w:r w:rsidRPr="008B6BC5">
              <w:rPr>
                <w:rFonts w:cs="Times New Roman"/>
                <w:sz w:val="20"/>
                <w:szCs w:val="20"/>
                <w:lang w:val="en-US"/>
              </w:rPr>
              <w:t>No inaccuracies detected for Pande et al (2003).</w:t>
            </w:r>
          </w:p>
          <w:p w14:paraId="4D20C7D3" w14:textId="77777777" w:rsidR="00B65EF0" w:rsidRPr="008B6BC5" w:rsidRDefault="00B65EF0" w:rsidP="00B65EF0">
            <w:pPr>
              <w:pStyle w:val="NoSpacing"/>
              <w:rPr>
                <w:rFonts w:cs="Times New Roman"/>
                <w:sz w:val="20"/>
                <w:szCs w:val="20"/>
                <w:lang w:val="en-US"/>
              </w:rPr>
            </w:pPr>
          </w:p>
          <w:p w14:paraId="6CFADA7D" w14:textId="20A615BE"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These side effects were not reported or mentioning in Kong et al (2020). </w:t>
            </w:r>
          </w:p>
        </w:tc>
      </w:tr>
      <w:tr w:rsidR="00B65EF0" w:rsidRPr="008B6BC5" w14:paraId="75886E1B" w14:textId="77777777" w:rsidTr="00202DA2">
        <w:tc>
          <w:tcPr>
            <w:tcW w:w="1702" w:type="dxa"/>
          </w:tcPr>
          <w:p w14:paraId="15D8ABD6" w14:textId="6EEDB0CC" w:rsidR="00B65EF0" w:rsidRPr="008B6BC5" w:rsidRDefault="00BD3144" w:rsidP="00B65EF0">
            <w:pPr>
              <w:pStyle w:val="NoSpacing"/>
              <w:rPr>
                <w:rFonts w:cs="Times New Roman"/>
                <w:sz w:val="20"/>
                <w:szCs w:val="20"/>
                <w:lang w:val="en-US"/>
              </w:rPr>
            </w:pPr>
            <w:r w:rsidRPr="008B6BC5">
              <w:rPr>
                <w:rFonts w:cs="Times New Roman"/>
                <w:sz w:val="20"/>
                <w:szCs w:val="20"/>
                <w:lang w:val="en-US"/>
              </w:rPr>
              <w:t>24</w:t>
            </w:r>
          </w:p>
        </w:tc>
        <w:tc>
          <w:tcPr>
            <w:tcW w:w="5953" w:type="dxa"/>
          </w:tcPr>
          <w:p w14:paraId="3444ED0F" w14:textId="6A2C5019" w:rsidR="00B65EF0" w:rsidRPr="008B6BC5" w:rsidRDefault="00B65EF0" w:rsidP="00B65EF0">
            <w:pPr>
              <w:pStyle w:val="NoSpacing"/>
              <w:rPr>
                <w:rFonts w:cs="Times New Roman"/>
                <w:sz w:val="20"/>
                <w:szCs w:val="20"/>
                <w:lang w:val="en-US"/>
              </w:rPr>
            </w:pPr>
            <w:r w:rsidRPr="008B6BC5">
              <w:rPr>
                <w:rFonts w:cs="Times New Roman"/>
                <w:sz w:val="20"/>
                <w:szCs w:val="20"/>
                <w:lang w:val="en-US"/>
              </w:rPr>
              <w:t>Roest et al. (2015) examined second-generation antidepressant trials for anxiety disorders (including GAD) and found substantial selective publication and outcome reporting; incorporating unpublished data attenuated pooled efficacy and altered harm estimates, underscoring that routine meta-analytic effect sizes likely represent upper-bound estimates of true benefit and possibly understate adverse events (Roest et al., 2015).</w:t>
            </w:r>
          </w:p>
        </w:tc>
        <w:tc>
          <w:tcPr>
            <w:tcW w:w="4394" w:type="dxa"/>
          </w:tcPr>
          <w:p w14:paraId="53473AC1" w14:textId="489404CC" w:rsidR="00B65EF0" w:rsidRPr="008B6BC5" w:rsidRDefault="00B65EF0" w:rsidP="00B65EF0">
            <w:pPr>
              <w:pStyle w:val="NoSpacing"/>
              <w:rPr>
                <w:rFonts w:cs="Times New Roman"/>
                <w:sz w:val="20"/>
                <w:szCs w:val="20"/>
                <w:lang w:val="en-US"/>
              </w:rPr>
            </w:pPr>
            <w:r w:rsidRPr="008B6BC5">
              <w:rPr>
                <w:rFonts w:cs="Times New Roman"/>
                <w:sz w:val="20"/>
                <w:szCs w:val="20"/>
                <w:lang w:val="en-US"/>
              </w:rPr>
              <w:t>doi:10.1001/jamapsychiatry.2015.15</w:t>
            </w:r>
          </w:p>
        </w:tc>
        <w:tc>
          <w:tcPr>
            <w:tcW w:w="709" w:type="dxa"/>
          </w:tcPr>
          <w:p w14:paraId="6EA5E3F0" w14:textId="1E9CE494" w:rsidR="00B65EF0" w:rsidRPr="008B6BC5" w:rsidRDefault="00B65EF0" w:rsidP="00B65EF0">
            <w:pPr>
              <w:pStyle w:val="NoSpacing"/>
              <w:rPr>
                <w:rFonts w:cs="Times New Roman"/>
                <w:sz w:val="20"/>
                <w:szCs w:val="20"/>
                <w:lang w:val="en-US"/>
              </w:rPr>
            </w:pPr>
            <w:r w:rsidRPr="008B6BC5">
              <w:rPr>
                <w:rFonts w:cs="Times New Roman"/>
                <w:sz w:val="20"/>
                <w:szCs w:val="20"/>
                <w:lang w:val="en-US"/>
              </w:rPr>
              <w:t>3</w:t>
            </w:r>
          </w:p>
        </w:tc>
        <w:tc>
          <w:tcPr>
            <w:tcW w:w="3686" w:type="dxa"/>
          </w:tcPr>
          <w:p w14:paraId="6D26689E" w14:textId="701F7F9B"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“positive” and “negative” findings were mentioned, but terminology related to harms was absent. </w:t>
            </w:r>
          </w:p>
        </w:tc>
      </w:tr>
      <w:tr w:rsidR="00B65EF0" w:rsidRPr="008B6BC5" w14:paraId="6BABBE64" w14:textId="77777777" w:rsidTr="00CF2D93">
        <w:tc>
          <w:tcPr>
            <w:tcW w:w="16444" w:type="dxa"/>
            <w:gridSpan w:val="5"/>
          </w:tcPr>
          <w:p w14:paraId="6C09927B" w14:textId="745EA7C0" w:rsidR="00B65EF0" w:rsidRPr="008B6BC5" w:rsidRDefault="00B65EF0" w:rsidP="00B65EF0">
            <w:pPr>
              <w:pStyle w:val="NoSpacing"/>
              <w:rPr>
                <w:rFonts w:cs="Times New Roman"/>
                <w:sz w:val="20"/>
                <w:szCs w:val="20"/>
                <w:lang w:val="en-US"/>
              </w:rPr>
            </w:pPr>
            <w:r w:rsidRPr="008B6BC5">
              <w:rPr>
                <w:rFonts w:cs="Times New Roman"/>
                <w:sz w:val="20"/>
                <w:szCs w:val="20"/>
                <w:lang w:val="en-US"/>
              </w:rPr>
              <w:t xml:space="preserve">1. ChatGPT cited “Zheng et al 2022” but this did not exist. Through a literature search, we suspected that ChatGPT was actually referring to Carl et al 2020 </w:t>
            </w:r>
          </w:p>
          <w:p w14:paraId="69D6ACB0" w14:textId="1A49246B" w:rsidR="00B65EF0" w:rsidRPr="008B6BC5" w:rsidRDefault="00B65EF0" w:rsidP="00B65EF0">
            <w:pPr>
              <w:pStyle w:val="NoSpacing"/>
              <w:rPr>
                <w:rFonts w:cs="Times New Roman"/>
                <w:sz w:val="20"/>
                <w:szCs w:val="20"/>
                <w:lang w:val="en-US"/>
              </w:rPr>
            </w:pPr>
          </w:p>
        </w:tc>
      </w:tr>
    </w:tbl>
    <w:p w14:paraId="673CC227" w14:textId="77777777" w:rsidR="00D62F63" w:rsidRPr="008B6BC5" w:rsidRDefault="00D62F63" w:rsidP="005C2C5C">
      <w:pPr>
        <w:pStyle w:val="NoSpacing"/>
        <w:spacing w:line="360" w:lineRule="auto"/>
        <w:rPr>
          <w:b/>
          <w:bCs/>
          <w:lang w:val="en-US"/>
        </w:rPr>
      </w:pPr>
    </w:p>
    <w:p w14:paraId="60546D56" w14:textId="77777777" w:rsidR="00D62F63" w:rsidRPr="008B6BC5" w:rsidRDefault="00D62F63" w:rsidP="005C2C5C">
      <w:pPr>
        <w:pStyle w:val="NoSpacing"/>
        <w:spacing w:line="360" w:lineRule="auto"/>
        <w:rPr>
          <w:b/>
          <w:bCs/>
          <w:lang w:val="en-US"/>
        </w:rPr>
      </w:pPr>
    </w:p>
    <w:p w14:paraId="04CE4DE8" w14:textId="77777777" w:rsidR="00202DA2" w:rsidRPr="008B6BC5" w:rsidRDefault="00202DA2" w:rsidP="005C2C5C">
      <w:pPr>
        <w:pStyle w:val="NoSpacing"/>
        <w:spacing w:line="360" w:lineRule="auto"/>
        <w:rPr>
          <w:b/>
          <w:bCs/>
          <w:lang w:val="en-US"/>
        </w:rPr>
      </w:pPr>
    </w:p>
    <w:p w14:paraId="0D3C274B" w14:textId="77777777" w:rsidR="00202DA2" w:rsidRPr="008B6BC5" w:rsidRDefault="00202DA2" w:rsidP="005C2C5C">
      <w:pPr>
        <w:pStyle w:val="NoSpacing"/>
        <w:spacing w:line="360" w:lineRule="auto"/>
        <w:rPr>
          <w:b/>
          <w:bCs/>
          <w:lang w:val="en-US"/>
        </w:rPr>
      </w:pPr>
    </w:p>
    <w:p w14:paraId="65DF611E" w14:textId="77777777" w:rsidR="00202DA2" w:rsidRPr="008B6BC5" w:rsidRDefault="00202DA2" w:rsidP="005C2C5C">
      <w:pPr>
        <w:pStyle w:val="NoSpacing"/>
        <w:spacing w:line="360" w:lineRule="auto"/>
        <w:rPr>
          <w:b/>
          <w:bCs/>
          <w:lang w:val="en-US"/>
        </w:rPr>
      </w:pPr>
    </w:p>
    <w:p w14:paraId="4F4BC2DC" w14:textId="77777777" w:rsidR="00202DA2" w:rsidRPr="008B6BC5" w:rsidRDefault="00202DA2" w:rsidP="005C2C5C">
      <w:pPr>
        <w:pStyle w:val="NoSpacing"/>
        <w:spacing w:line="360" w:lineRule="auto"/>
        <w:rPr>
          <w:b/>
          <w:bCs/>
          <w:lang w:val="en-US"/>
        </w:rPr>
      </w:pPr>
    </w:p>
    <w:p w14:paraId="353CD884" w14:textId="77777777" w:rsidR="00202DA2" w:rsidRPr="008B6BC5" w:rsidRDefault="00202DA2" w:rsidP="005C2C5C">
      <w:pPr>
        <w:pStyle w:val="NoSpacing"/>
        <w:spacing w:line="360" w:lineRule="auto"/>
        <w:rPr>
          <w:b/>
          <w:bCs/>
          <w:lang w:val="en-US"/>
        </w:rPr>
      </w:pPr>
    </w:p>
    <w:p w14:paraId="2AFEB6E4" w14:textId="77777777" w:rsidR="00202DA2" w:rsidRPr="008B6BC5" w:rsidRDefault="00202DA2" w:rsidP="005C2C5C">
      <w:pPr>
        <w:pStyle w:val="NoSpacing"/>
        <w:spacing w:line="360" w:lineRule="auto"/>
        <w:rPr>
          <w:b/>
          <w:bCs/>
          <w:lang w:val="en-US"/>
        </w:rPr>
      </w:pPr>
    </w:p>
    <w:p w14:paraId="0A0BFB63" w14:textId="77777777" w:rsidR="00202DA2" w:rsidRPr="008B6BC5" w:rsidRDefault="00202DA2" w:rsidP="005C2C5C">
      <w:pPr>
        <w:pStyle w:val="NoSpacing"/>
        <w:spacing w:line="360" w:lineRule="auto"/>
        <w:rPr>
          <w:b/>
          <w:bCs/>
          <w:lang w:val="en-US"/>
        </w:rPr>
      </w:pPr>
    </w:p>
    <w:p w14:paraId="0E283653" w14:textId="77777777" w:rsidR="00202DA2" w:rsidRPr="008B6BC5" w:rsidRDefault="00202DA2" w:rsidP="005C2C5C">
      <w:pPr>
        <w:pStyle w:val="NoSpacing"/>
        <w:spacing w:line="360" w:lineRule="auto"/>
        <w:rPr>
          <w:b/>
          <w:bCs/>
          <w:lang w:val="en-US"/>
        </w:rPr>
      </w:pPr>
    </w:p>
    <w:p w14:paraId="484A73BE" w14:textId="77777777" w:rsidR="00202DA2" w:rsidRPr="008B6BC5" w:rsidRDefault="00202DA2" w:rsidP="005C2C5C">
      <w:pPr>
        <w:pStyle w:val="NoSpacing"/>
        <w:spacing w:line="360" w:lineRule="auto"/>
        <w:rPr>
          <w:b/>
          <w:bCs/>
          <w:lang w:val="en-US"/>
        </w:rPr>
      </w:pPr>
    </w:p>
    <w:p w14:paraId="22F436BC" w14:textId="174CE415" w:rsidR="00202DA2" w:rsidRPr="008B6BC5" w:rsidRDefault="00202DA2">
      <w:pPr>
        <w:spacing w:line="278" w:lineRule="auto"/>
        <w:jc w:val="left"/>
        <w:rPr>
          <w:b/>
          <w:bCs/>
          <w:lang w:val="en-US"/>
        </w:rPr>
      </w:pPr>
      <w:r w:rsidRPr="008B6BC5">
        <w:rPr>
          <w:b/>
          <w:bCs/>
          <w:lang w:val="en-US"/>
        </w:rPr>
        <w:br w:type="page"/>
      </w:r>
    </w:p>
    <w:p w14:paraId="7BD6BF62" w14:textId="77777777" w:rsidR="00202DA2" w:rsidRPr="008B6BC5" w:rsidRDefault="00202DA2" w:rsidP="005C2C5C">
      <w:pPr>
        <w:pStyle w:val="NoSpacing"/>
        <w:spacing w:line="360" w:lineRule="auto"/>
        <w:rPr>
          <w:b/>
          <w:bCs/>
          <w:lang w:val="en-US"/>
        </w:rPr>
      </w:pPr>
    </w:p>
    <w:p w14:paraId="46ED9831" w14:textId="77777777" w:rsidR="00202DA2" w:rsidRPr="008B6BC5" w:rsidRDefault="00202DA2" w:rsidP="005C2C5C">
      <w:pPr>
        <w:pStyle w:val="NoSpacing"/>
        <w:spacing w:line="360" w:lineRule="auto"/>
        <w:rPr>
          <w:b/>
          <w:bCs/>
          <w:lang w:val="en-US"/>
        </w:rPr>
      </w:pPr>
    </w:p>
    <w:p w14:paraId="5CA30299" w14:textId="2DC38CB7" w:rsidR="00D62F63" w:rsidRPr="008B6BC5" w:rsidRDefault="00D62F63" w:rsidP="00D62F63">
      <w:pPr>
        <w:pStyle w:val="NoSpacing"/>
        <w:spacing w:line="360" w:lineRule="auto"/>
        <w:rPr>
          <w:b/>
          <w:bCs/>
          <w:lang w:val="en-US"/>
        </w:rPr>
      </w:pPr>
      <w:r w:rsidRPr="008B6BC5">
        <w:rPr>
          <w:b/>
          <w:bCs/>
          <w:lang w:val="en-US"/>
        </w:rPr>
        <w:t>Table S</w:t>
      </w:r>
      <w:r w:rsidR="00027F8C" w:rsidRPr="008B6BC5">
        <w:rPr>
          <w:b/>
          <w:bCs/>
          <w:lang w:val="en-US"/>
        </w:rPr>
        <w:t>4</w:t>
      </w:r>
      <w:r w:rsidR="00202DA2" w:rsidRPr="008B6BC5">
        <w:rPr>
          <w:b/>
          <w:bCs/>
          <w:lang w:val="en-US"/>
        </w:rPr>
        <w:t>:</w:t>
      </w:r>
      <w:r w:rsidRPr="008B6BC5">
        <w:rPr>
          <w:b/>
          <w:bCs/>
          <w:lang w:val="en-US"/>
        </w:rPr>
        <w:t xml:space="preserve"> Scores assigned to ChatGPT claims for reviews on Schizophrenia   </w:t>
      </w:r>
    </w:p>
    <w:tbl>
      <w:tblPr>
        <w:tblStyle w:val="TableGrid"/>
        <w:tblW w:w="16444" w:type="dxa"/>
        <w:tblInd w:w="-1281" w:type="dxa"/>
        <w:tblLook w:val="04A0" w:firstRow="1" w:lastRow="0" w:firstColumn="1" w:lastColumn="0" w:noHBand="0" w:noVBand="1"/>
      </w:tblPr>
      <w:tblGrid>
        <w:gridCol w:w="1418"/>
        <w:gridCol w:w="6237"/>
        <w:gridCol w:w="4203"/>
        <w:gridCol w:w="690"/>
        <w:gridCol w:w="3896"/>
      </w:tblGrid>
      <w:tr w:rsidR="00D62F63" w:rsidRPr="008B6BC5" w14:paraId="2BEA396C" w14:textId="77777777" w:rsidTr="00BD3144">
        <w:tc>
          <w:tcPr>
            <w:tcW w:w="1418" w:type="dxa"/>
          </w:tcPr>
          <w:p w14:paraId="74A79067" w14:textId="77777777" w:rsidR="00D62F63" w:rsidRPr="008B6BC5" w:rsidRDefault="00D62F63" w:rsidP="009074B7">
            <w:pPr>
              <w:pStyle w:val="NoSpacing"/>
              <w:jc w:val="left"/>
              <w:rPr>
                <w:b/>
                <w:bCs/>
                <w:sz w:val="20"/>
                <w:szCs w:val="20"/>
                <w:lang w:val="en-US"/>
              </w:rPr>
            </w:pPr>
            <w:r w:rsidRPr="008B6BC5">
              <w:rPr>
                <w:b/>
                <w:bCs/>
                <w:sz w:val="20"/>
                <w:szCs w:val="20"/>
                <w:lang w:val="en-US"/>
              </w:rPr>
              <w:t xml:space="preserve">Treatment </w:t>
            </w:r>
          </w:p>
        </w:tc>
        <w:tc>
          <w:tcPr>
            <w:tcW w:w="6237" w:type="dxa"/>
          </w:tcPr>
          <w:p w14:paraId="5B5BC40A" w14:textId="77777777" w:rsidR="00D62F63" w:rsidRPr="008B6BC5" w:rsidRDefault="00D62F63" w:rsidP="009074B7">
            <w:pPr>
              <w:pStyle w:val="NoSpacing"/>
              <w:jc w:val="left"/>
              <w:rPr>
                <w:b/>
                <w:bCs/>
                <w:sz w:val="20"/>
                <w:szCs w:val="20"/>
                <w:lang w:val="en-US"/>
              </w:rPr>
            </w:pPr>
            <w:r w:rsidRPr="008B6BC5">
              <w:rPr>
                <w:b/>
                <w:bCs/>
                <w:sz w:val="20"/>
                <w:szCs w:val="20"/>
                <w:lang w:val="en-US"/>
              </w:rPr>
              <w:t xml:space="preserve">ChatGPT claim </w:t>
            </w:r>
          </w:p>
        </w:tc>
        <w:tc>
          <w:tcPr>
            <w:tcW w:w="4203" w:type="dxa"/>
          </w:tcPr>
          <w:p w14:paraId="6A7CA0F3" w14:textId="77777777" w:rsidR="00D62F63" w:rsidRPr="008B6BC5" w:rsidRDefault="00D62F63" w:rsidP="009074B7">
            <w:pPr>
              <w:pStyle w:val="NoSpacing"/>
              <w:jc w:val="left"/>
              <w:rPr>
                <w:b/>
                <w:bCs/>
                <w:sz w:val="20"/>
                <w:szCs w:val="20"/>
                <w:lang w:val="en-US"/>
              </w:rPr>
            </w:pPr>
            <w:r w:rsidRPr="008B6BC5">
              <w:rPr>
                <w:b/>
                <w:bCs/>
                <w:sz w:val="20"/>
                <w:szCs w:val="20"/>
                <w:lang w:val="en-US"/>
              </w:rPr>
              <w:t>Identified citation</w:t>
            </w:r>
          </w:p>
        </w:tc>
        <w:tc>
          <w:tcPr>
            <w:tcW w:w="690" w:type="dxa"/>
          </w:tcPr>
          <w:p w14:paraId="4A378B01" w14:textId="77777777" w:rsidR="00D62F63" w:rsidRPr="008B6BC5" w:rsidRDefault="00D62F63" w:rsidP="009074B7">
            <w:pPr>
              <w:pStyle w:val="NoSpacing"/>
              <w:jc w:val="left"/>
              <w:rPr>
                <w:b/>
                <w:bCs/>
                <w:sz w:val="20"/>
                <w:szCs w:val="20"/>
                <w:lang w:val="en-US"/>
              </w:rPr>
            </w:pPr>
            <w:r w:rsidRPr="008B6BC5">
              <w:rPr>
                <w:b/>
                <w:bCs/>
                <w:sz w:val="20"/>
                <w:szCs w:val="20"/>
                <w:lang w:val="en-US"/>
              </w:rPr>
              <w:t xml:space="preserve">Score </w:t>
            </w:r>
          </w:p>
        </w:tc>
        <w:tc>
          <w:tcPr>
            <w:tcW w:w="3896" w:type="dxa"/>
          </w:tcPr>
          <w:p w14:paraId="595EFBAE" w14:textId="4BB9B801" w:rsidR="00D62F63" w:rsidRPr="008B6BC5" w:rsidRDefault="005853F6" w:rsidP="009074B7">
            <w:pPr>
              <w:pStyle w:val="NoSpacing"/>
              <w:jc w:val="left"/>
              <w:rPr>
                <w:b/>
                <w:bCs/>
                <w:sz w:val="20"/>
                <w:szCs w:val="20"/>
                <w:lang w:val="en-US"/>
              </w:rPr>
            </w:pPr>
            <w:r w:rsidRPr="008B6BC5">
              <w:rPr>
                <w:b/>
                <w:bCs/>
                <w:sz w:val="20"/>
                <w:szCs w:val="20"/>
                <w:lang w:val="en-US"/>
              </w:rPr>
              <w:t xml:space="preserve">Scoring justification </w:t>
            </w:r>
            <w:r>
              <w:rPr>
                <w:b/>
                <w:bCs/>
                <w:sz w:val="20"/>
                <w:szCs w:val="20"/>
                <w:lang w:val="en-US"/>
              </w:rPr>
              <w:t>(reason for lowest score received within the citation-claim</w:t>
            </w:r>
            <w:r w:rsidR="00D62F63" w:rsidRPr="008B6BC5">
              <w:rPr>
                <w:b/>
                <w:bCs/>
                <w:sz w:val="20"/>
                <w:szCs w:val="20"/>
                <w:lang w:val="en-US"/>
              </w:rPr>
              <w:t xml:space="preserve"> </w:t>
            </w:r>
          </w:p>
        </w:tc>
      </w:tr>
      <w:tr w:rsidR="00BD3144" w:rsidRPr="008B6BC5" w14:paraId="031036D2" w14:textId="77777777" w:rsidTr="00BD3144">
        <w:tc>
          <w:tcPr>
            <w:tcW w:w="1418" w:type="dxa"/>
          </w:tcPr>
          <w:p w14:paraId="3C5E95EF" w14:textId="1C100895" w:rsidR="00BD3144" w:rsidRPr="008B6BC5" w:rsidRDefault="00BD3144" w:rsidP="009074B7">
            <w:pPr>
              <w:pStyle w:val="NoSpacing"/>
              <w:jc w:val="left"/>
              <w:rPr>
                <w:b/>
                <w:bCs/>
                <w:sz w:val="20"/>
                <w:szCs w:val="20"/>
                <w:lang w:val="en-US"/>
              </w:rPr>
            </w:pPr>
            <w:r w:rsidRPr="008B6BC5">
              <w:rPr>
                <w:rFonts w:cs="Times New Roman"/>
                <w:sz w:val="20"/>
                <w:szCs w:val="20"/>
                <w:lang w:val="en-US"/>
              </w:rPr>
              <w:t>Digital mental health</w:t>
            </w:r>
          </w:p>
        </w:tc>
        <w:tc>
          <w:tcPr>
            <w:tcW w:w="6237" w:type="dxa"/>
          </w:tcPr>
          <w:p w14:paraId="13AABFC1" w14:textId="77777777" w:rsidR="00BD3144" w:rsidRPr="008B6BC5" w:rsidRDefault="00BD3144" w:rsidP="009074B7">
            <w:pPr>
              <w:pStyle w:val="NoSpacing"/>
              <w:jc w:val="left"/>
              <w:rPr>
                <w:b/>
                <w:bCs/>
                <w:sz w:val="20"/>
                <w:szCs w:val="20"/>
                <w:lang w:val="en-US"/>
              </w:rPr>
            </w:pPr>
          </w:p>
        </w:tc>
        <w:tc>
          <w:tcPr>
            <w:tcW w:w="4203" w:type="dxa"/>
          </w:tcPr>
          <w:p w14:paraId="188AFEFF" w14:textId="77777777" w:rsidR="00BD3144" w:rsidRPr="008B6BC5" w:rsidRDefault="00BD3144" w:rsidP="009074B7">
            <w:pPr>
              <w:pStyle w:val="NoSpacing"/>
              <w:jc w:val="left"/>
              <w:rPr>
                <w:b/>
                <w:bCs/>
                <w:sz w:val="20"/>
                <w:szCs w:val="20"/>
                <w:lang w:val="en-US"/>
              </w:rPr>
            </w:pPr>
          </w:p>
        </w:tc>
        <w:tc>
          <w:tcPr>
            <w:tcW w:w="690" w:type="dxa"/>
          </w:tcPr>
          <w:p w14:paraId="276532BD" w14:textId="77777777" w:rsidR="00BD3144" w:rsidRPr="008B6BC5" w:rsidRDefault="00BD3144" w:rsidP="009074B7">
            <w:pPr>
              <w:pStyle w:val="NoSpacing"/>
              <w:jc w:val="left"/>
              <w:rPr>
                <w:b/>
                <w:bCs/>
                <w:sz w:val="20"/>
                <w:szCs w:val="20"/>
                <w:lang w:val="en-US"/>
              </w:rPr>
            </w:pPr>
          </w:p>
        </w:tc>
        <w:tc>
          <w:tcPr>
            <w:tcW w:w="3896" w:type="dxa"/>
          </w:tcPr>
          <w:p w14:paraId="705835AE" w14:textId="77777777" w:rsidR="00BD3144" w:rsidRPr="008B6BC5" w:rsidRDefault="00BD3144" w:rsidP="009074B7">
            <w:pPr>
              <w:pStyle w:val="NoSpacing"/>
              <w:jc w:val="left"/>
              <w:rPr>
                <w:b/>
                <w:bCs/>
                <w:sz w:val="20"/>
                <w:szCs w:val="20"/>
                <w:lang w:val="en-US"/>
              </w:rPr>
            </w:pPr>
          </w:p>
        </w:tc>
      </w:tr>
      <w:tr w:rsidR="00D62F63" w:rsidRPr="008B6BC5" w14:paraId="13019211" w14:textId="77777777" w:rsidTr="00BD3144">
        <w:tc>
          <w:tcPr>
            <w:tcW w:w="1418" w:type="dxa"/>
          </w:tcPr>
          <w:p w14:paraId="53A9BDB3" w14:textId="5D3DF71C" w:rsidR="00D62F63" w:rsidRPr="008B6BC5" w:rsidRDefault="00BD3144" w:rsidP="009074B7">
            <w:pPr>
              <w:pStyle w:val="NoSpacing"/>
              <w:rPr>
                <w:rFonts w:cs="Times New Roman"/>
                <w:sz w:val="20"/>
                <w:szCs w:val="20"/>
                <w:lang w:val="en-US"/>
              </w:rPr>
            </w:pPr>
            <w:r w:rsidRPr="008B6BC5">
              <w:rPr>
                <w:rFonts w:cs="Times New Roman"/>
                <w:sz w:val="20"/>
                <w:szCs w:val="20"/>
                <w:lang w:val="en-US"/>
              </w:rPr>
              <w:t>1</w:t>
            </w:r>
          </w:p>
        </w:tc>
        <w:tc>
          <w:tcPr>
            <w:tcW w:w="6237" w:type="dxa"/>
          </w:tcPr>
          <w:p w14:paraId="561525D0" w14:textId="77777777" w:rsidR="006A168D" w:rsidRPr="008B6BC5" w:rsidRDefault="006A168D" w:rsidP="006A168D">
            <w:pPr>
              <w:pStyle w:val="NoSpacing"/>
              <w:rPr>
                <w:rFonts w:cs="Times New Roman"/>
                <w:sz w:val="20"/>
                <w:szCs w:val="20"/>
                <w:lang w:val="en-US"/>
              </w:rPr>
            </w:pPr>
            <w:r w:rsidRPr="008B6BC5">
              <w:rPr>
                <w:rFonts w:cs="Times New Roman"/>
                <w:sz w:val="20"/>
                <w:szCs w:val="20"/>
                <w:lang w:val="en-US"/>
              </w:rPr>
              <w:t>The most comprehensive synthesis to date is a recent systematic review and meta-analysis of 50 digital interventions targeting schizophrenia-spectrum disorders, which included 20 randomized controlled trials (RCTs) with clinical outcomes and a range of comparators (e.g., treatment-as-usual [TAU], waitlist, or minimal-contact controls) (</w:t>
            </w:r>
            <w:proofErr w:type="spellStart"/>
            <w:r w:rsidRPr="008B6BC5">
              <w:rPr>
                <w:rFonts w:cs="Times New Roman"/>
                <w:sz w:val="20"/>
                <w:szCs w:val="20"/>
                <w:lang w:val="en-US"/>
              </w:rPr>
              <w:t>Arnautovska</w:t>
            </w:r>
            <w:proofErr w:type="spellEnd"/>
            <w:r w:rsidRPr="008B6BC5">
              <w:rPr>
                <w:rFonts w:cs="Times New Roman"/>
                <w:sz w:val="20"/>
                <w:szCs w:val="20"/>
                <w:lang w:val="en-US"/>
              </w:rPr>
              <w:t xml:space="preserve"> et al., 2025). Across positive, negative, and general symptoms, functioning, quality of life, and relapse, pooled standardized mean differences were small and statistically non-significant, with wide confidence intervals; sensitivity analyses restricting to higher-quality trials did not alter this pattern (</w:t>
            </w:r>
            <w:proofErr w:type="spellStart"/>
            <w:r w:rsidRPr="008B6BC5">
              <w:rPr>
                <w:rFonts w:cs="Times New Roman"/>
                <w:sz w:val="20"/>
                <w:szCs w:val="20"/>
                <w:lang w:val="en-US"/>
              </w:rPr>
              <w:t>Arnautovska</w:t>
            </w:r>
            <w:proofErr w:type="spellEnd"/>
            <w:r w:rsidRPr="008B6BC5">
              <w:rPr>
                <w:rFonts w:cs="Times New Roman"/>
                <w:sz w:val="20"/>
                <w:szCs w:val="20"/>
                <w:lang w:val="en-US"/>
              </w:rPr>
              <w:t xml:space="preserve"> et al., 2025). </w:t>
            </w:r>
          </w:p>
          <w:p w14:paraId="67540025" w14:textId="77777777" w:rsidR="006A168D" w:rsidRPr="008B6BC5" w:rsidRDefault="006A168D" w:rsidP="006A168D">
            <w:pPr>
              <w:pStyle w:val="NoSpacing"/>
              <w:rPr>
                <w:rFonts w:cs="Times New Roman"/>
                <w:sz w:val="20"/>
                <w:szCs w:val="20"/>
                <w:lang w:val="en-US"/>
              </w:rPr>
            </w:pPr>
          </w:p>
          <w:p w14:paraId="31DF5139" w14:textId="2D7FADEF" w:rsidR="00D62F63" w:rsidRPr="008B6BC5" w:rsidRDefault="00D62F63" w:rsidP="006A168D">
            <w:pPr>
              <w:pStyle w:val="NoSpacing"/>
              <w:rPr>
                <w:rFonts w:cs="Times New Roman"/>
                <w:sz w:val="20"/>
                <w:szCs w:val="20"/>
                <w:lang w:val="en-US"/>
              </w:rPr>
            </w:pPr>
          </w:p>
        </w:tc>
        <w:tc>
          <w:tcPr>
            <w:tcW w:w="4203" w:type="dxa"/>
          </w:tcPr>
          <w:p w14:paraId="5F3BBF56" w14:textId="53A061C3" w:rsidR="00D62F63" w:rsidRPr="008B6BC5" w:rsidRDefault="00AD20BD" w:rsidP="009074B7">
            <w:pPr>
              <w:pStyle w:val="NoSpacing"/>
              <w:rPr>
                <w:rFonts w:cs="Times New Roman"/>
                <w:sz w:val="20"/>
                <w:szCs w:val="20"/>
                <w:lang w:val="en-US"/>
              </w:rPr>
            </w:pPr>
            <w:r w:rsidRPr="008B6BC5">
              <w:rPr>
                <w:rFonts w:cs="Times New Roman"/>
                <w:sz w:val="20"/>
                <w:szCs w:val="20"/>
                <w:lang w:val="en-US"/>
              </w:rPr>
              <w:t>https://doi.org/10.1093/schbul/sbae143</w:t>
            </w:r>
          </w:p>
        </w:tc>
        <w:tc>
          <w:tcPr>
            <w:tcW w:w="690" w:type="dxa"/>
          </w:tcPr>
          <w:p w14:paraId="122838F6" w14:textId="344B6F15" w:rsidR="00D62F63" w:rsidRPr="008B6BC5" w:rsidRDefault="008C6CB9" w:rsidP="009074B7">
            <w:pPr>
              <w:pStyle w:val="NoSpacing"/>
              <w:rPr>
                <w:rFonts w:cs="Times New Roman"/>
                <w:sz w:val="20"/>
                <w:szCs w:val="20"/>
                <w:lang w:val="en-US"/>
              </w:rPr>
            </w:pPr>
            <w:r w:rsidRPr="008B6BC5">
              <w:rPr>
                <w:rFonts w:cs="Times New Roman"/>
                <w:sz w:val="20"/>
                <w:szCs w:val="20"/>
                <w:lang w:val="en-US"/>
              </w:rPr>
              <w:t>1</w:t>
            </w:r>
          </w:p>
        </w:tc>
        <w:tc>
          <w:tcPr>
            <w:tcW w:w="3896" w:type="dxa"/>
          </w:tcPr>
          <w:p w14:paraId="2C1DEC5E" w14:textId="35F4D2EC" w:rsidR="00D62F63" w:rsidRPr="008B6BC5" w:rsidRDefault="008C6CB9" w:rsidP="009074B7">
            <w:pPr>
              <w:pStyle w:val="NoSpacing"/>
              <w:rPr>
                <w:rFonts w:cs="Times New Roman"/>
                <w:sz w:val="20"/>
                <w:szCs w:val="20"/>
                <w:lang w:val="en-US"/>
              </w:rPr>
            </w:pPr>
            <w:r w:rsidRPr="008B6BC5">
              <w:rPr>
                <w:rFonts w:cs="Times New Roman"/>
                <w:sz w:val="20"/>
                <w:szCs w:val="20"/>
                <w:lang w:val="en-US"/>
              </w:rPr>
              <w:t xml:space="preserve">The authors did not conduct any sensitivity analyses that controlled for risk of bias or trial quality. </w:t>
            </w:r>
          </w:p>
        </w:tc>
      </w:tr>
      <w:tr w:rsidR="00D62F63" w:rsidRPr="008B6BC5" w14:paraId="7F1FAE82" w14:textId="77777777" w:rsidTr="00BD3144">
        <w:tc>
          <w:tcPr>
            <w:tcW w:w="1418" w:type="dxa"/>
          </w:tcPr>
          <w:p w14:paraId="3E4D4754" w14:textId="2D3DE2D0" w:rsidR="00D62F63" w:rsidRPr="008B6BC5" w:rsidRDefault="00BD3144" w:rsidP="009074B7">
            <w:pPr>
              <w:pStyle w:val="NoSpacing"/>
              <w:rPr>
                <w:rFonts w:cs="Times New Roman"/>
                <w:sz w:val="20"/>
                <w:szCs w:val="20"/>
                <w:lang w:val="en-US"/>
              </w:rPr>
            </w:pPr>
            <w:r w:rsidRPr="008B6BC5">
              <w:rPr>
                <w:rFonts w:cs="Times New Roman"/>
                <w:sz w:val="20"/>
                <w:szCs w:val="20"/>
                <w:lang w:val="en-US"/>
              </w:rPr>
              <w:t>2</w:t>
            </w:r>
          </w:p>
        </w:tc>
        <w:tc>
          <w:tcPr>
            <w:tcW w:w="6237" w:type="dxa"/>
          </w:tcPr>
          <w:p w14:paraId="675508F7" w14:textId="77777777" w:rsidR="006A168D" w:rsidRPr="008B6BC5" w:rsidRDefault="006A168D" w:rsidP="006A168D">
            <w:pPr>
              <w:pStyle w:val="NoSpacing"/>
              <w:rPr>
                <w:rFonts w:cs="Times New Roman"/>
                <w:sz w:val="20"/>
                <w:szCs w:val="20"/>
                <w:lang w:val="en-US"/>
              </w:rPr>
            </w:pPr>
            <w:r w:rsidRPr="008B6BC5">
              <w:rPr>
                <w:rFonts w:cs="Times New Roman"/>
                <w:sz w:val="20"/>
                <w:szCs w:val="20"/>
                <w:lang w:val="en-US"/>
              </w:rPr>
              <w:t>Westermann et al. (2020) randomized 101 outpatients with schizophrenia-spectrum disorders to either an 8-week cognitive–</w:t>
            </w:r>
            <w:proofErr w:type="spellStart"/>
            <w:r w:rsidRPr="008B6BC5">
              <w:rPr>
                <w:rFonts w:cs="Times New Roman"/>
                <w:sz w:val="20"/>
                <w:szCs w:val="20"/>
                <w:lang w:val="en-US"/>
              </w:rPr>
              <w:t>behavioural</w:t>
            </w:r>
            <w:proofErr w:type="spellEnd"/>
            <w:r w:rsidRPr="008B6BC5">
              <w:rPr>
                <w:rFonts w:cs="Times New Roman"/>
                <w:sz w:val="20"/>
                <w:szCs w:val="20"/>
                <w:lang w:val="en-US"/>
              </w:rPr>
              <w:t>, internet-based intervention for psychosis or a waitlist plus usual care. The primary outcome was a composite of positive symptoms and hallucination/paranoia measures. The internet-based intervention produced a greater reduction in this composite than the waitlist condition (Time × Condition interaction, F(1, 87.28) = 4.04, p = .047), corresponding to a small between-group effect size (</w:t>
            </w:r>
            <w:proofErr w:type="spellStart"/>
            <w:r w:rsidRPr="008B6BC5">
              <w:rPr>
                <w:rFonts w:cs="Times New Roman"/>
                <w:sz w:val="20"/>
                <w:szCs w:val="20"/>
                <w:lang w:val="en-US"/>
              </w:rPr>
              <w:t>dbetween</w:t>
            </w:r>
            <w:proofErr w:type="spellEnd"/>
            <w:r w:rsidRPr="008B6BC5">
              <w:rPr>
                <w:rFonts w:cs="Times New Roman"/>
                <w:sz w:val="20"/>
                <w:szCs w:val="20"/>
                <w:lang w:val="en-US"/>
              </w:rPr>
              <w:t xml:space="preserve"> = 0.24, 95% CI [−0.15, 0.63]) at post-treatment, with further symptom improvement observed in the pooled sample over six-month follow-up (Westermann et al., 2020).</w:t>
            </w:r>
          </w:p>
          <w:p w14:paraId="35B6415A" w14:textId="368CA4DA" w:rsidR="00D62F63" w:rsidRPr="008B6BC5" w:rsidRDefault="00D62F63" w:rsidP="009074B7">
            <w:pPr>
              <w:pStyle w:val="NoSpacing"/>
              <w:rPr>
                <w:rFonts w:cs="Times New Roman"/>
                <w:sz w:val="20"/>
                <w:szCs w:val="20"/>
                <w:lang w:val="en-US"/>
              </w:rPr>
            </w:pPr>
          </w:p>
        </w:tc>
        <w:tc>
          <w:tcPr>
            <w:tcW w:w="4203" w:type="dxa"/>
          </w:tcPr>
          <w:p w14:paraId="2BF5D963" w14:textId="019AB899" w:rsidR="00D62F63" w:rsidRPr="008B6BC5" w:rsidRDefault="00AD20BD" w:rsidP="009074B7">
            <w:pPr>
              <w:pStyle w:val="NoSpacing"/>
              <w:rPr>
                <w:rFonts w:cs="Times New Roman"/>
                <w:sz w:val="20"/>
                <w:szCs w:val="20"/>
                <w:lang w:val="en-US"/>
              </w:rPr>
            </w:pPr>
            <w:r w:rsidRPr="008B6BC5">
              <w:rPr>
                <w:rFonts w:cs="Times New Roman"/>
                <w:sz w:val="20"/>
                <w:szCs w:val="20"/>
                <w:lang w:val="en-US"/>
              </w:rPr>
              <w:t>http://dx.doi.org/10.1037/ccp0000602</w:t>
            </w:r>
          </w:p>
        </w:tc>
        <w:tc>
          <w:tcPr>
            <w:tcW w:w="690" w:type="dxa"/>
          </w:tcPr>
          <w:p w14:paraId="11A16D94" w14:textId="31563AEA" w:rsidR="00D62F63" w:rsidRPr="008B6BC5" w:rsidRDefault="000627A2" w:rsidP="009074B7">
            <w:pPr>
              <w:pStyle w:val="NoSpacing"/>
              <w:rPr>
                <w:rFonts w:cs="Times New Roman"/>
                <w:sz w:val="20"/>
                <w:szCs w:val="20"/>
                <w:lang w:val="en-US"/>
              </w:rPr>
            </w:pPr>
            <w:r w:rsidRPr="008B6BC5">
              <w:rPr>
                <w:rFonts w:cs="Times New Roman"/>
                <w:sz w:val="20"/>
                <w:szCs w:val="20"/>
                <w:lang w:val="en-US"/>
              </w:rPr>
              <w:t>4</w:t>
            </w:r>
          </w:p>
        </w:tc>
        <w:tc>
          <w:tcPr>
            <w:tcW w:w="3896" w:type="dxa"/>
          </w:tcPr>
          <w:p w14:paraId="78F58C98" w14:textId="18772B5A" w:rsidR="00D62F63" w:rsidRPr="008B6BC5" w:rsidRDefault="000627A2" w:rsidP="009074B7">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4812C2" w:rsidRPr="008B6BC5" w14:paraId="3C203F21" w14:textId="77777777" w:rsidTr="00BD3144">
        <w:tc>
          <w:tcPr>
            <w:tcW w:w="1418" w:type="dxa"/>
          </w:tcPr>
          <w:p w14:paraId="7D76A4D6" w14:textId="3A32FFC8" w:rsidR="004812C2" w:rsidRPr="008B6BC5" w:rsidRDefault="00BD3144" w:rsidP="004812C2">
            <w:pPr>
              <w:pStyle w:val="NoSpacing"/>
              <w:rPr>
                <w:rFonts w:cs="Times New Roman"/>
                <w:sz w:val="20"/>
                <w:szCs w:val="20"/>
                <w:lang w:val="en-US"/>
              </w:rPr>
            </w:pPr>
            <w:r w:rsidRPr="008B6BC5">
              <w:rPr>
                <w:rFonts w:cs="Times New Roman"/>
                <w:sz w:val="20"/>
                <w:szCs w:val="20"/>
                <w:lang w:val="en-US"/>
              </w:rPr>
              <w:t>3</w:t>
            </w:r>
          </w:p>
        </w:tc>
        <w:tc>
          <w:tcPr>
            <w:tcW w:w="6237" w:type="dxa"/>
          </w:tcPr>
          <w:p w14:paraId="4EB380F4" w14:textId="77777777" w:rsidR="004812C2" w:rsidRPr="008B6BC5" w:rsidRDefault="004812C2" w:rsidP="004812C2">
            <w:pPr>
              <w:pStyle w:val="NoSpacing"/>
              <w:rPr>
                <w:rFonts w:cs="Times New Roman"/>
                <w:sz w:val="20"/>
                <w:szCs w:val="20"/>
                <w:lang w:val="en-US"/>
              </w:rPr>
            </w:pPr>
            <w:r w:rsidRPr="008B6BC5">
              <w:rPr>
                <w:rFonts w:cs="Times New Roman"/>
                <w:sz w:val="20"/>
                <w:szCs w:val="20"/>
                <w:lang w:val="en-US"/>
              </w:rPr>
              <w:t xml:space="preserve">The </w:t>
            </w:r>
            <w:proofErr w:type="spellStart"/>
            <w:r w:rsidRPr="008B6BC5">
              <w:rPr>
                <w:rFonts w:cs="Times New Roman"/>
                <w:sz w:val="20"/>
                <w:szCs w:val="20"/>
                <w:lang w:val="en-US"/>
              </w:rPr>
              <w:t>Horyzons</w:t>
            </w:r>
            <w:proofErr w:type="spellEnd"/>
            <w:r w:rsidRPr="008B6BC5">
              <w:rPr>
                <w:rFonts w:cs="Times New Roman"/>
                <w:sz w:val="20"/>
                <w:szCs w:val="20"/>
                <w:lang w:val="en-US"/>
              </w:rPr>
              <w:t xml:space="preserve"> trial randomized 170 young people with first-episode psychosis in remission to 18 months of a moderated online social therapy platform plus TAU versus TAU alone (Alvarez-Jimenez et al., 2021). The primary outcome, social functioning on the Personal and Social Performance scale at 18 months, did not differ between groups. However, participants allocated to </w:t>
            </w:r>
            <w:proofErr w:type="spellStart"/>
            <w:r w:rsidRPr="008B6BC5">
              <w:rPr>
                <w:rFonts w:cs="Times New Roman"/>
                <w:sz w:val="20"/>
                <w:szCs w:val="20"/>
                <w:lang w:val="en-US"/>
              </w:rPr>
              <w:t>Horyzons</w:t>
            </w:r>
            <w:proofErr w:type="spellEnd"/>
            <w:r w:rsidRPr="008B6BC5">
              <w:rPr>
                <w:rFonts w:cs="Times New Roman"/>
                <w:sz w:val="20"/>
                <w:szCs w:val="20"/>
                <w:lang w:val="en-US"/>
              </w:rPr>
              <w:t xml:space="preserve"> had substantially higher odds of being </w:t>
            </w:r>
            <w:r w:rsidRPr="008B6BC5">
              <w:rPr>
                <w:rFonts w:cs="Times New Roman"/>
                <w:sz w:val="20"/>
                <w:szCs w:val="20"/>
                <w:lang w:val="en-US"/>
              </w:rPr>
              <w:lastRenderedPageBreak/>
              <w:t>engaged in employment or education (OR = 5.55, 95% CI [1.09, 28.23]) and were less likely to attend emergency services (39% vs. 19%; OR = 0.31, 95% CI [0.11, 0.86], number needed to treat = 5) (Alvarez-Jimenez et al., 2021), indicating clinically relevant effects on vocational recovery and crisis service use despite null findings on the primary endpoint</w:t>
            </w:r>
          </w:p>
          <w:p w14:paraId="4B9EB06F" w14:textId="3FD976D5" w:rsidR="004812C2" w:rsidRPr="008B6BC5" w:rsidRDefault="004812C2" w:rsidP="004812C2">
            <w:pPr>
              <w:pStyle w:val="NoSpacing"/>
              <w:rPr>
                <w:rFonts w:cs="Times New Roman"/>
                <w:sz w:val="20"/>
                <w:szCs w:val="20"/>
                <w:lang w:val="en-US"/>
              </w:rPr>
            </w:pPr>
          </w:p>
        </w:tc>
        <w:tc>
          <w:tcPr>
            <w:tcW w:w="4203" w:type="dxa"/>
          </w:tcPr>
          <w:p w14:paraId="21E3748F" w14:textId="323DF008" w:rsidR="004812C2" w:rsidRPr="008B6BC5" w:rsidRDefault="004812C2" w:rsidP="004812C2">
            <w:pPr>
              <w:pStyle w:val="NoSpacing"/>
              <w:rPr>
                <w:rFonts w:cs="Times New Roman"/>
                <w:sz w:val="20"/>
                <w:szCs w:val="20"/>
                <w:lang w:val="en-US"/>
              </w:rPr>
            </w:pPr>
            <w:r w:rsidRPr="008B6BC5">
              <w:rPr>
                <w:rFonts w:cs="Times New Roman"/>
                <w:sz w:val="20"/>
                <w:szCs w:val="20"/>
                <w:lang w:val="en-US"/>
              </w:rPr>
              <w:lastRenderedPageBreak/>
              <w:t>DOI:10.1002/wps.20858</w:t>
            </w:r>
          </w:p>
        </w:tc>
        <w:tc>
          <w:tcPr>
            <w:tcW w:w="690" w:type="dxa"/>
          </w:tcPr>
          <w:p w14:paraId="2DFB4A72" w14:textId="2A2B9E29" w:rsidR="004812C2" w:rsidRPr="008B6BC5" w:rsidRDefault="004812C2" w:rsidP="004812C2">
            <w:pPr>
              <w:pStyle w:val="NoSpacing"/>
              <w:rPr>
                <w:rFonts w:cs="Times New Roman"/>
                <w:sz w:val="20"/>
                <w:szCs w:val="20"/>
                <w:lang w:val="en-US"/>
              </w:rPr>
            </w:pPr>
            <w:r w:rsidRPr="008B6BC5">
              <w:rPr>
                <w:rFonts w:cs="Times New Roman"/>
                <w:sz w:val="20"/>
                <w:szCs w:val="20"/>
                <w:lang w:val="en-US"/>
              </w:rPr>
              <w:t>4</w:t>
            </w:r>
          </w:p>
        </w:tc>
        <w:tc>
          <w:tcPr>
            <w:tcW w:w="3896" w:type="dxa"/>
          </w:tcPr>
          <w:p w14:paraId="1C63CF9B" w14:textId="665F482F" w:rsidR="004812C2" w:rsidRPr="008B6BC5" w:rsidRDefault="004812C2" w:rsidP="004812C2">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4812C2" w:rsidRPr="008B6BC5" w14:paraId="080056B3" w14:textId="77777777" w:rsidTr="00BD3144">
        <w:tc>
          <w:tcPr>
            <w:tcW w:w="1418" w:type="dxa"/>
          </w:tcPr>
          <w:p w14:paraId="3C22BC51" w14:textId="518B7AAA" w:rsidR="004812C2" w:rsidRPr="008B6BC5" w:rsidRDefault="00BD3144" w:rsidP="004812C2">
            <w:pPr>
              <w:pStyle w:val="NoSpacing"/>
              <w:rPr>
                <w:rFonts w:cs="Times New Roman"/>
                <w:sz w:val="20"/>
                <w:szCs w:val="20"/>
                <w:lang w:val="en-US"/>
              </w:rPr>
            </w:pPr>
            <w:r w:rsidRPr="008B6BC5">
              <w:rPr>
                <w:rFonts w:cs="Times New Roman"/>
                <w:sz w:val="20"/>
                <w:szCs w:val="20"/>
                <w:lang w:val="en-US"/>
              </w:rPr>
              <w:t>4</w:t>
            </w:r>
          </w:p>
        </w:tc>
        <w:tc>
          <w:tcPr>
            <w:tcW w:w="6237" w:type="dxa"/>
          </w:tcPr>
          <w:p w14:paraId="77D79049" w14:textId="77777777" w:rsidR="004812C2" w:rsidRPr="008B6BC5" w:rsidRDefault="004812C2" w:rsidP="004812C2">
            <w:pPr>
              <w:pStyle w:val="NoSpacing"/>
              <w:rPr>
                <w:rFonts w:cs="Times New Roman"/>
                <w:sz w:val="20"/>
                <w:szCs w:val="20"/>
                <w:lang w:val="en-US"/>
              </w:rPr>
            </w:pPr>
            <w:r w:rsidRPr="008B6BC5">
              <w:rPr>
                <w:rFonts w:cs="Times New Roman"/>
                <w:sz w:val="20"/>
                <w:szCs w:val="20"/>
                <w:lang w:val="en-US"/>
              </w:rPr>
              <w:t xml:space="preserve">A pilot implementation of </w:t>
            </w:r>
            <w:proofErr w:type="spellStart"/>
            <w:r w:rsidRPr="008B6BC5">
              <w:rPr>
                <w:rFonts w:cs="Times New Roman"/>
                <w:sz w:val="20"/>
                <w:szCs w:val="20"/>
                <w:lang w:val="en-US"/>
              </w:rPr>
              <w:t>Horyzons</w:t>
            </w:r>
            <w:proofErr w:type="spellEnd"/>
            <w:r w:rsidRPr="008B6BC5">
              <w:rPr>
                <w:rFonts w:cs="Times New Roman"/>
                <w:sz w:val="20"/>
                <w:szCs w:val="20"/>
                <w:lang w:val="en-US"/>
              </w:rPr>
              <w:t xml:space="preserve"> adapted for Canadian early psychosis services similarly reported high engagement and pre–post improvements in recovery-related outcomes, though without a control group (Lal et al., 2023).</w:t>
            </w:r>
          </w:p>
          <w:p w14:paraId="45D0C9A5" w14:textId="77777777" w:rsidR="004812C2" w:rsidRPr="008B6BC5" w:rsidRDefault="004812C2" w:rsidP="004812C2">
            <w:pPr>
              <w:pStyle w:val="NoSpacing"/>
              <w:rPr>
                <w:rFonts w:cs="Times New Roman"/>
                <w:sz w:val="20"/>
                <w:szCs w:val="20"/>
                <w:lang w:val="en-US"/>
              </w:rPr>
            </w:pPr>
          </w:p>
        </w:tc>
        <w:tc>
          <w:tcPr>
            <w:tcW w:w="4203" w:type="dxa"/>
          </w:tcPr>
          <w:p w14:paraId="75D4AA3C" w14:textId="2F2780BB" w:rsidR="004812C2" w:rsidRPr="008B6BC5" w:rsidRDefault="004812C2" w:rsidP="004812C2">
            <w:pPr>
              <w:pStyle w:val="NoSpacing"/>
              <w:rPr>
                <w:rFonts w:cs="Times New Roman"/>
                <w:sz w:val="20"/>
                <w:szCs w:val="20"/>
                <w:lang w:val="en-US"/>
              </w:rPr>
            </w:pPr>
            <w:r w:rsidRPr="008B6BC5">
              <w:rPr>
                <w:rFonts w:cs="Times New Roman"/>
                <w:sz w:val="20"/>
                <w:szCs w:val="20"/>
                <w:lang w:val="en-US"/>
              </w:rPr>
              <w:t>https://doi.org/10.1038/s41537-023-00352-1</w:t>
            </w:r>
          </w:p>
        </w:tc>
        <w:tc>
          <w:tcPr>
            <w:tcW w:w="690" w:type="dxa"/>
          </w:tcPr>
          <w:p w14:paraId="7A93C431" w14:textId="432DC16F" w:rsidR="004812C2" w:rsidRPr="008B6BC5" w:rsidRDefault="004812C2" w:rsidP="004812C2">
            <w:pPr>
              <w:pStyle w:val="NoSpacing"/>
              <w:rPr>
                <w:rFonts w:cs="Times New Roman"/>
                <w:sz w:val="20"/>
                <w:szCs w:val="20"/>
                <w:lang w:val="en-US"/>
              </w:rPr>
            </w:pPr>
            <w:r w:rsidRPr="008B6BC5">
              <w:rPr>
                <w:rFonts w:cs="Times New Roman"/>
                <w:sz w:val="20"/>
                <w:szCs w:val="20"/>
                <w:lang w:val="en-US"/>
              </w:rPr>
              <w:t>2</w:t>
            </w:r>
          </w:p>
        </w:tc>
        <w:tc>
          <w:tcPr>
            <w:tcW w:w="3896" w:type="dxa"/>
          </w:tcPr>
          <w:p w14:paraId="11DA8A82" w14:textId="12A0320F" w:rsidR="004812C2" w:rsidRPr="008B6BC5" w:rsidRDefault="004812C2" w:rsidP="004812C2">
            <w:pPr>
              <w:pStyle w:val="NoSpacing"/>
              <w:rPr>
                <w:rFonts w:cs="Times New Roman"/>
                <w:sz w:val="20"/>
                <w:szCs w:val="20"/>
                <w:lang w:val="en-US"/>
              </w:rPr>
            </w:pPr>
            <w:r w:rsidRPr="008B6BC5">
              <w:rPr>
                <w:rFonts w:cs="Times New Roman"/>
                <w:sz w:val="20"/>
                <w:szCs w:val="20"/>
                <w:lang w:val="en-US"/>
              </w:rPr>
              <w:t xml:space="preserve">Recovery outcomes did not significantly improve. </w:t>
            </w:r>
          </w:p>
        </w:tc>
      </w:tr>
      <w:tr w:rsidR="003C1210" w:rsidRPr="008B6BC5" w14:paraId="3DC46205" w14:textId="77777777" w:rsidTr="00BD3144">
        <w:tc>
          <w:tcPr>
            <w:tcW w:w="1418" w:type="dxa"/>
          </w:tcPr>
          <w:p w14:paraId="100AD0B8" w14:textId="6EEDB1E2" w:rsidR="003C1210" w:rsidRPr="008B6BC5" w:rsidRDefault="00BD3144" w:rsidP="003C1210">
            <w:pPr>
              <w:pStyle w:val="NoSpacing"/>
              <w:rPr>
                <w:rFonts w:cs="Times New Roman"/>
                <w:sz w:val="20"/>
                <w:szCs w:val="20"/>
                <w:lang w:val="en-US"/>
              </w:rPr>
            </w:pPr>
            <w:r w:rsidRPr="008B6BC5">
              <w:rPr>
                <w:rFonts w:cs="Times New Roman"/>
                <w:sz w:val="20"/>
                <w:szCs w:val="20"/>
                <w:lang w:val="en-US"/>
              </w:rPr>
              <w:t>5</w:t>
            </w:r>
          </w:p>
        </w:tc>
        <w:tc>
          <w:tcPr>
            <w:tcW w:w="6237" w:type="dxa"/>
          </w:tcPr>
          <w:p w14:paraId="0C8DCC44" w14:textId="77777777" w:rsidR="003C1210" w:rsidRPr="008B6BC5" w:rsidRDefault="003C1210" w:rsidP="003C1210">
            <w:pPr>
              <w:pStyle w:val="NoSpacing"/>
              <w:rPr>
                <w:rFonts w:cs="Times New Roman"/>
                <w:sz w:val="20"/>
                <w:szCs w:val="20"/>
                <w:lang w:val="en-US"/>
              </w:rPr>
            </w:pPr>
            <w:r w:rsidRPr="008B6BC5">
              <w:rPr>
                <w:rFonts w:cs="Times New Roman"/>
                <w:sz w:val="20"/>
                <w:szCs w:val="20"/>
                <w:lang w:val="en-US"/>
              </w:rPr>
              <w:t xml:space="preserve">In smartphone-delivered interventions, Ben-Zeev et al. (2014) conducted a one-month, single-group trial of the FOCUS smartphone self-management system in 33 individuals with schizophrenia or schizoaffective disorder. Participants used the app on 86.5% of days, with an average of 5.2 interactions per day, and paired t-tests showed significant reductions in psychotic symptoms, depression, and general psychopathology over the intervention period (Ben-Zeev et al., 2014). </w:t>
            </w:r>
          </w:p>
          <w:p w14:paraId="39707F56" w14:textId="77777777" w:rsidR="003C1210" w:rsidRPr="008B6BC5" w:rsidRDefault="003C1210" w:rsidP="003C1210">
            <w:pPr>
              <w:pStyle w:val="NoSpacing"/>
              <w:rPr>
                <w:rFonts w:cs="Times New Roman"/>
                <w:sz w:val="20"/>
                <w:szCs w:val="20"/>
                <w:lang w:val="en-US"/>
              </w:rPr>
            </w:pPr>
          </w:p>
        </w:tc>
        <w:tc>
          <w:tcPr>
            <w:tcW w:w="4203" w:type="dxa"/>
          </w:tcPr>
          <w:p w14:paraId="2BD1EB2C" w14:textId="06FE8F8B" w:rsidR="003C1210" w:rsidRPr="008B6BC5" w:rsidRDefault="003C1210" w:rsidP="003C1210">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/sbu033</w:t>
            </w:r>
          </w:p>
        </w:tc>
        <w:tc>
          <w:tcPr>
            <w:tcW w:w="690" w:type="dxa"/>
          </w:tcPr>
          <w:p w14:paraId="2F37C429" w14:textId="67DB7F96" w:rsidR="003C1210" w:rsidRPr="008B6BC5" w:rsidRDefault="003C1210" w:rsidP="003C1210">
            <w:pPr>
              <w:pStyle w:val="NoSpacing"/>
              <w:rPr>
                <w:rFonts w:cs="Times New Roman"/>
                <w:sz w:val="20"/>
                <w:szCs w:val="20"/>
                <w:lang w:val="en-US"/>
              </w:rPr>
            </w:pPr>
            <w:r w:rsidRPr="008B6BC5">
              <w:rPr>
                <w:rFonts w:cs="Times New Roman"/>
                <w:sz w:val="20"/>
                <w:szCs w:val="20"/>
                <w:lang w:val="en-US"/>
              </w:rPr>
              <w:t>4</w:t>
            </w:r>
          </w:p>
        </w:tc>
        <w:tc>
          <w:tcPr>
            <w:tcW w:w="3896" w:type="dxa"/>
          </w:tcPr>
          <w:p w14:paraId="096D362F" w14:textId="6ABA9D51" w:rsidR="003C1210" w:rsidRPr="008B6BC5" w:rsidRDefault="003C1210" w:rsidP="003C121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3C1210" w:rsidRPr="008B6BC5" w14:paraId="4693AE5D" w14:textId="77777777" w:rsidTr="00BD3144">
        <w:tc>
          <w:tcPr>
            <w:tcW w:w="1418" w:type="dxa"/>
          </w:tcPr>
          <w:p w14:paraId="31F13574" w14:textId="2FCE1B0C" w:rsidR="003C1210" w:rsidRPr="008B6BC5" w:rsidRDefault="00BD3144" w:rsidP="003C1210">
            <w:pPr>
              <w:pStyle w:val="NoSpacing"/>
              <w:rPr>
                <w:rFonts w:cs="Times New Roman"/>
                <w:sz w:val="20"/>
                <w:szCs w:val="20"/>
                <w:lang w:val="en-US"/>
              </w:rPr>
            </w:pPr>
            <w:r w:rsidRPr="008B6BC5">
              <w:rPr>
                <w:rFonts w:cs="Times New Roman"/>
                <w:sz w:val="20"/>
                <w:szCs w:val="20"/>
                <w:lang w:val="en-US"/>
              </w:rPr>
              <w:t>6</w:t>
            </w:r>
          </w:p>
        </w:tc>
        <w:tc>
          <w:tcPr>
            <w:tcW w:w="6237" w:type="dxa"/>
          </w:tcPr>
          <w:p w14:paraId="349987FE" w14:textId="77777777" w:rsidR="003C1210" w:rsidRPr="008B6BC5" w:rsidRDefault="003C1210" w:rsidP="003C1210">
            <w:pPr>
              <w:pStyle w:val="NoSpacing"/>
              <w:rPr>
                <w:rFonts w:cs="Times New Roman"/>
                <w:sz w:val="20"/>
                <w:szCs w:val="20"/>
                <w:lang w:val="en-US"/>
              </w:rPr>
            </w:pPr>
            <w:r w:rsidRPr="008B6BC5">
              <w:rPr>
                <w:rFonts w:cs="Times New Roman"/>
                <w:sz w:val="20"/>
                <w:szCs w:val="20"/>
                <w:lang w:val="en-US"/>
              </w:rPr>
              <w:t xml:space="preserve">In first-episode psychosis, a cluster RCT of a smartphone relapse-prevention system (EMPOWER) plus peer support versus TAU showed non-significant but directionally </w:t>
            </w:r>
            <w:proofErr w:type="spellStart"/>
            <w:r w:rsidRPr="008B6BC5">
              <w:rPr>
                <w:rFonts w:cs="Times New Roman"/>
                <w:sz w:val="20"/>
                <w:szCs w:val="20"/>
                <w:lang w:val="en-US"/>
              </w:rPr>
              <w:t>favourable</w:t>
            </w:r>
            <w:proofErr w:type="spellEnd"/>
            <w:r w:rsidRPr="008B6BC5">
              <w:rPr>
                <w:rFonts w:cs="Times New Roman"/>
                <w:sz w:val="20"/>
                <w:szCs w:val="20"/>
                <w:lang w:val="en-US"/>
              </w:rPr>
              <w:t xml:space="preserve"> effects on relapse rates and time to relapse but was underpowered to detect moderate effects (</w:t>
            </w:r>
            <w:proofErr w:type="spellStart"/>
            <w:r w:rsidRPr="008B6BC5">
              <w:rPr>
                <w:rFonts w:cs="Times New Roman"/>
                <w:sz w:val="20"/>
                <w:szCs w:val="20"/>
                <w:lang w:val="en-US"/>
              </w:rPr>
              <w:t>Gumley</w:t>
            </w:r>
            <w:proofErr w:type="spellEnd"/>
            <w:r w:rsidRPr="008B6BC5">
              <w:rPr>
                <w:rFonts w:cs="Times New Roman"/>
                <w:sz w:val="20"/>
                <w:szCs w:val="20"/>
                <w:lang w:val="en-US"/>
              </w:rPr>
              <w:t xml:space="preserve"> et al., 2022). </w:t>
            </w:r>
          </w:p>
          <w:p w14:paraId="484B1128" w14:textId="77777777" w:rsidR="003C1210" w:rsidRPr="008B6BC5" w:rsidRDefault="003C1210" w:rsidP="003C1210">
            <w:pPr>
              <w:pStyle w:val="NoSpacing"/>
              <w:rPr>
                <w:rFonts w:cs="Times New Roman"/>
                <w:sz w:val="20"/>
                <w:szCs w:val="20"/>
                <w:lang w:val="en-US"/>
              </w:rPr>
            </w:pPr>
          </w:p>
        </w:tc>
        <w:tc>
          <w:tcPr>
            <w:tcW w:w="4203" w:type="dxa"/>
          </w:tcPr>
          <w:p w14:paraId="02DE02C0" w14:textId="5EDD6FFB" w:rsidR="003C1210" w:rsidRPr="008B6BC5" w:rsidRDefault="003C1210" w:rsidP="003C1210">
            <w:pPr>
              <w:pStyle w:val="NoSpacing"/>
              <w:rPr>
                <w:rFonts w:cs="Times New Roman"/>
                <w:sz w:val="20"/>
                <w:szCs w:val="20"/>
                <w:lang w:val="en-US"/>
              </w:rPr>
            </w:pPr>
            <w:hyperlink r:id="rId41" w:history="1">
              <w:r w:rsidRPr="008B6BC5">
                <w:rPr>
                  <w:rStyle w:val="Hyperlink"/>
                  <w:rFonts w:cs="Times New Roman"/>
                  <w:sz w:val="20"/>
                  <w:szCs w:val="20"/>
                  <w:lang w:val="en-US"/>
                </w:rPr>
                <w:t>https://doi.org/10.26181/19972283</w:t>
              </w:r>
            </w:hyperlink>
            <w:r w:rsidRPr="008B6BC5">
              <w:rPr>
                <w:rFonts w:cs="Times New Roman"/>
                <w:sz w:val="20"/>
                <w:szCs w:val="20"/>
                <w:lang w:val="en-US"/>
              </w:rPr>
              <w:t xml:space="preserve"> </w:t>
            </w:r>
          </w:p>
        </w:tc>
        <w:tc>
          <w:tcPr>
            <w:tcW w:w="690" w:type="dxa"/>
          </w:tcPr>
          <w:p w14:paraId="1A1C43B6" w14:textId="47139FC1" w:rsidR="003C1210" w:rsidRPr="008B6BC5" w:rsidRDefault="00AC09BD" w:rsidP="003C1210">
            <w:pPr>
              <w:pStyle w:val="NoSpacing"/>
              <w:rPr>
                <w:rFonts w:cs="Times New Roman"/>
                <w:sz w:val="20"/>
                <w:szCs w:val="20"/>
                <w:lang w:val="en-US"/>
              </w:rPr>
            </w:pPr>
            <w:r w:rsidRPr="008B6BC5">
              <w:rPr>
                <w:rFonts w:cs="Times New Roman"/>
                <w:sz w:val="20"/>
                <w:szCs w:val="20"/>
                <w:lang w:val="en-US"/>
              </w:rPr>
              <w:t>2</w:t>
            </w:r>
          </w:p>
        </w:tc>
        <w:tc>
          <w:tcPr>
            <w:tcW w:w="3896" w:type="dxa"/>
          </w:tcPr>
          <w:p w14:paraId="495E6D4B" w14:textId="4DD20D7D" w:rsidR="003C1210" w:rsidRPr="008B6BC5" w:rsidRDefault="00AC09BD" w:rsidP="003C1210">
            <w:pPr>
              <w:pStyle w:val="NoSpacing"/>
              <w:rPr>
                <w:rFonts w:cs="Times New Roman"/>
                <w:sz w:val="20"/>
                <w:szCs w:val="20"/>
                <w:lang w:val="en-US"/>
              </w:rPr>
            </w:pPr>
            <w:r w:rsidRPr="008B6BC5">
              <w:rPr>
                <w:rFonts w:cs="Times New Roman"/>
                <w:sz w:val="20"/>
                <w:szCs w:val="20"/>
                <w:lang w:val="en-US"/>
              </w:rPr>
              <w:t>Supplementary analyses shows that the effects on relapse and time to relapse were statistically significant, favoring the digital intervention.</w:t>
            </w:r>
          </w:p>
        </w:tc>
      </w:tr>
      <w:tr w:rsidR="003C1210" w:rsidRPr="008B6BC5" w14:paraId="09FBE022" w14:textId="77777777" w:rsidTr="00BD3144">
        <w:tc>
          <w:tcPr>
            <w:tcW w:w="1418" w:type="dxa"/>
          </w:tcPr>
          <w:p w14:paraId="2A94F0A4" w14:textId="10F05D39" w:rsidR="003C1210" w:rsidRPr="008B6BC5" w:rsidRDefault="00BD3144" w:rsidP="003C1210">
            <w:pPr>
              <w:pStyle w:val="NoSpacing"/>
              <w:rPr>
                <w:rFonts w:cs="Times New Roman"/>
                <w:sz w:val="20"/>
                <w:szCs w:val="20"/>
                <w:lang w:val="en-US"/>
              </w:rPr>
            </w:pPr>
            <w:r w:rsidRPr="008B6BC5">
              <w:rPr>
                <w:rFonts w:cs="Times New Roman"/>
                <w:sz w:val="20"/>
                <w:szCs w:val="20"/>
                <w:lang w:val="en-US"/>
              </w:rPr>
              <w:t>7</w:t>
            </w:r>
          </w:p>
        </w:tc>
        <w:tc>
          <w:tcPr>
            <w:tcW w:w="6237" w:type="dxa"/>
          </w:tcPr>
          <w:p w14:paraId="318C5F1B" w14:textId="77777777" w:rsidR="003C1210" w:rsidRPr="008B6BC5" w:rsidRDefault="003C1210" w:rsidP="003C1210">
            <w:pPr>
              <w:pStyle w:val="NoSpacing"/>
              <w:rPr>
                <w:rFonts w:cs="Times New Roman"/>
                <w:sz w:val="20"/>
                <w:szCs w:val="20"/>
                <w:lang w:val="en-US"/>
              </w:rPr>
            </w:pPr>
            <w:r w:rsidRPr="008B6BC5">
              <w:rPr>
                <w:rFonts w:cs="Times New Roman"/>
                <w:sz w:val="20"/>
                <w:szCs w:val="20"/>
                <w:lang w:val="en-US"/>
              </w:rPr>
              <w:t>A separate BMJ Open trial examined a smartphone-delivered self-management intervention for first-episode psychosis compared with TAU; while primary clinical outcomes did not differ, there were positive effects on self-management processes and some secondary outcomes (</w:t>
            </w:r>
            <w:proofErr w:type="spellStart"/>
            <w:r w:rsidRPr="008B6BC5">
              <w:rPr>
                <w:rFonts w:cs="Times New Roman"/>
                <w:sz w:val="20"/>
                <w:szCs w:val="20"/>
                <w:lang w:val="en-US"/>
              </w:rPr>
              <w:t>Steare</w:t>
            </w:r>
            <w:proofErr w:type="spellEnd"/>
            <w:r w:rsidRPr="008B6BC5">
              <w:rPr>
                <w:rFonts w:cs="Times New Roman"/>
                <w:sz w:val="20"/>
                <w:szCs w:val="20"/>
                <w:lang w:val="en-US"/>
              </w:rPr>
              <w:t xml:space="preserve"> et al., 2020).</w:t>
            </w:r>
          </w:p>
          <w:p w14:paraId="76E7A75D" w14:textId="44CC4974" w:rsidR="003C1210" w:rsidRPr="008B6BC5" w:rsidRDefault="003C1210" w:rsidP="003C1210">
            <w:pPr>
              <w:pStyle w:val="NoSpacing"/>
              <w:rPr>
                <w:rFonts w:cs="Times New Roman"/>
                <w:sz w:val="20"/>
                <w:szCs w:val="20"/>
                <w:lang w:val="en-US"/>
              </w:rPr>
            </w:pPr>
          </w:p>
        </w:tc>
        <w:tc>
          <w:tcPr>
            <w:tcW w:w="4203" w:type="dxa"/>
          </w:tcPr>
          <w:p w14:paraId="300C912C" w14:textId="6544A575" w:rsidR="003C1210" w:rsidRPr="008B6BC5" w:rsidRDefault="003C1210" w:rsidP="003C1210">
            <w:pPr>
              <w:pStyle w:val="NoSpacing"/>
              <w:rPr>
                <w:rFonts w:cs="Times New Roman"/>
                <w:sz w:val="20"/>
                <w:szCs w:val="20"/>
                <w:lang w:val="en-US"/>
              </w:rPr>
            </w:pPr>
            <w:r w:rsidRPr="008B6BC5">
              <w:rPr>
                <w:rFonts w:cs="Times New Roman"/>
                <w:sz w:val="20"/>
                <w:szCs w:val="20"/>
                <w:lang w:val="en-US"/>
              </w:rPr>
              <w:t xml:space="preserve">(http:// dx. </w:t>
            </w:r>
            <w:proofErr w:type="spellStart"/>
            <w:r w:rsidRPr="008B6BC5">
              <w:rPr>
                <w:rFonts w:cs="Times New Roman"/>
                <w:sz w:val="20"/>
                <w:szCs w:val="20"/>
                <w:lang w:val="en-US"/>
              </w:rPr>
              <w:t>doi</w:t>
            </w:r>
            <w:proofErr w:type="spellEnd"/>
            <w:r w:rsidRPr="008B6BC5">
              <w:rPr>
                <w:rFonts w:cs="Times New Roman"/>
                <w:sz w:val="20"/>
                <w:szCs w:val="20"/>
                <w:lang w:val="en-US"/>
              </w:rPr>
              <w:t xml:space="preserve">. org/ 10. 1136/ </w:t>
            </w:r>
            <w:proofErr w:type="spellStart"/>
            <w:r w:rsidRPr="008B6BC5">
              <w:rPr>
                <w:rFonts w:cs="Times New Roman"/>
                <w:sz w:val="20"/>
                <w:szCs w:val="20"/>
                <w:lang w:val="en-US"/>
              </w:rPr>
              <w:t>bmjopen</w:t>
            </w:r>
            <w:proofErr w:type="spellEnd"/>
            <w:r w:rsidRPr="008B6BC5">
              <w:rPr>
                <w:rFonts w:cs="Times New Roman"/>
                <w:sz w:val="20"/>
                <w:szCs w:val="20"/>
                <w:lang w:val="en-US"/>
              </w:rPr>
              <w:t>- 2019034927</w:t>
            </w:r>
          </w:p>
        </w:tc>
        <w:tc>
          <w:tcPr>
            <w:tcW w:w="690" w:type="dxa"/>
          </w:tcPr>
          <w:p w14:paraId="6D2A1E85" w14:textId="17894961" w:rsidR="003C1210" w:rsidRPr="008B6BC5" w:rsidRDefault="00CE1C44" w:rsidP="003C1210">
            <w:pPr>
              <w:pStyle w:val="NoSpacing"/>
              <w:rPr>
                <w:rFonts w:cs="Times New Roman"/>
                <w:sz w:val="20"/>
                <w:szCs w:val="20"/>
                <w:lang w:val="en-US"/>
              </w:rPr>
            </w:pPr>
            <w:r w:rsidRPr="008B6BC5">
              <w:rPr>
                <w:rFonts w:cs="Times New Roman"/>
                <w:sz w:val="20"/>
                <w:szCs w:val="20"/>
                <w:lang w:val="en-US"/>
              </w:rPr>
              <w:t>2</w:t>
            </w:r>
          </w:p>
        </w:tc>
        <w:tc>
          <w:tcPr>
            <w:tcW w:w="3896" w:type="dxa"/>
          </w:tcPr>
          <w:p w14:paraId="03E1D6D8" w14:textId="477A4BB5" w:rsidR="003C1210" w:rsidRPr="008B6BC5" w:rsidRDefault="00CE1C44" w:rsidP="003C1210">
            <w:pPr>
              <w:pStyle w:val="NoSpacing"/>
              <w:rPr>
                <w:rFonts w:cs="Times New Roman"/>
                <w:sz w:val="20"/>
                <w:szCs w:val="20"/>
                <w:lang w:val="en-US"/>
              </w:rPr>
            </w:pPr>
            <w:r w:rsidRPr="008B6BC5">
              <w:rPr>
                <w:rFonts w:cs="Times New Roman"/>
                <w:sz w:val="20"/>
                <w:szCs w:val="20"/>
                <w:lang w:val="en-US"/>
              </w:rPr>
              <w:t xml:space="preserve">There were no significant between-group differences </w:t>
            </w:r>
            <w:r w:rsidR="006E79BA" w:rsidRPr="008B6BC5">
              <w:rPr>
                <w:rFonts w:cs="Times New Roman"/>
                <w:sz w:val="20"/>
                <w:szCs w:val="20"/>
                <w:lang w:val="en-US"/>
              </w:rPr>
              <w:t>in</w:t>
            </w:r>
            <w:r w:rsidRPr="008B6BC5">
              <w:rPr>
                <w:rFonts w:cs="Times New Roman"/>
                <w:sz w:val="20"/>
                <w:szCs w:val="20"/>
                <w:lang w:val="en-US"/>
              </w:rPr>
              <w:t xml:space="preserve"> any outcome, including self-management processes and secondary outcomes. </w:t>
            </w:r>
          </w:p>
        </w:tc>
      </w:tr>
      <w:tr w:rsidR="00832371" w:rsidRPr="008B6BC5" w14:paraId="7AA640B3" w14:textId="77777777" w:rsidTr="00BD3144">
        <w:tc>
          <w:tcPr>
            <w:tcW w:w="1418" w:type="dxa"/>
          </w:tcPr>
          <w:p w14:paraId="1ED22CA7" w14:textId="70352095" w:rsidR="00832371" w:rsidRPr="008B6BC5" w:rsidRDefault="00BD3144" w:rsidP="00832371">
            <w:pPr>
              <w:pStyle w:val="NoSpacing"/>
              <w:rPr>
                <w:rFonts w:cs="Times New Roman"/>
                <w:sz w:val="20"/>
                <w:szCs w:val="20"/>
                <w:lang w:val="en-US"/>
              </w:rPr>
            </w:pPr>
            <w:r w:rsidRPr="008B6BC5">
              <w:rPr>
                <w:rFonts w:cs="Times New Roman"/>
                <w:sz w:val="20"/>
                <w:szCs w:val="20"/>
                <w:lang w:val="en-US"/>
              </w:rPr>
              <w:t>8</w:t>
            </w:r>
          </w:p>
        </w:tc>
        <w:tc>
          <w:tcPr>
            <w:tcW w:w="6237" w:type="dxa"/>
          </w:tcPr>
          <w:p w14:paraId="213B967C" w14:textId="22671BCB" w:rsidR="00832371" w:rsidRPr="008B6BC5" w:rsidRDefault="00832371" w:rsidP="00832371">
            <w:pPr>
              <w:pStyle w:val="NoSpacing"/>
              <w:rPr>
                <w:rFonts w:cs="Times New Roman"/>
                <w:sz w:val="20"/>
                <w:szCs w:val="20"/>
                <w:lang w:val="en-US"/>
              </w:rPr>
            </w:pPr>
            <w:r w:rsidRPr="008B6BC5">
              <w:rPr>
                <w:rFonts w:cs="Times New Roman"/>
                <w:sz w:val="20"/>
                <w:szCs w:val="20"/>
                <w:lang w:val="en-US"/>
              </w:rPr>
              <w:t xml:space="preserve">The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program is a cognitive–</w:t>
            </w:r>
            <w:proofErr w:type="spellStart"/>
            <w:r w:rsidRPr="008B6BC5">
              <w:rPr>
                <w:rFonts w:cs="Times New Roman"/>
                <w:sz w:val="20"/>
                <w:szCs w:val="20"/>
                <w:lang w:val="en-US"/>
              </w:rPr>
              <w:t>behavioural</w:t>
            </w:r>
            <w:proofErr w:type="spellEnd"/>
            <w:r w:rsidRPr="008B6BC5">
              <w:rPr>
                <w:rFonts w:cs="Times New Roman"/>
                <w:sz w:val="20"/>
                <w:szCs w:val="20"/>
                <w:lang w:val="en-US"/>
              </w:rPr>
              <w:t xml:space="preserve"> therapy (CBT)-informed smartphone app targeting key relapse domains (voices, suspicious thoughts, </w:t>
            </w:r>
            <w:proofErr w:type="spellStart"/>
            <w:r w:rsidRPr="008B6BC5">
              <w:rPr>
                <w:rFonts w:cs="Times New Roman"/>
                <w:sz w:val="20"/>
                <w:szCs w:val="20"/>
                <w:lang w:val="en-US"/>
              </w:rPr>
              <w:t>socialisation</w:t>
            </w:r>
            <w:proofErr w:type="spellEnd"/>
            <w:r w:rsidRPr="008B6BC5">
              <w:rPr>
                <w:rFonts w:cs="Times New Roman"/>
                <w:sz w:val="20"/>
                <w:szCs w:val="20"/>
                <w:lang w:val="en-US"/>
              </w:rPr>
              <w:t xml:space="preserve">, criticism, cannabis use) in early psychosis. In a proof-of-concept RCT, 36 early psychosis patients were randomized 2:1 to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plus TAU or to an active control condition comprising a symptom-monitoring app (</w:t>
            </w:r>
            <w:proofErr w:type="spellStart"/>
            <w:r w:rsidRPr="008B6BC5">
              <w:rPr>
                <w:rFonts w:cs="Times New Roman"/>
                <w:sz w:val="20"/>
                <w:szCs w:val="20"/>
                <w:lang w:val="en-US"/>
              </w:rPr>
              <w:t>ClinTouch</w:t>
            </w:r>
            <w:proofErr w:type="spellEnd"/>
            <w:r w:rsidRPr="008B6BC5">
              <w:rPr>
                <w:rFonts w:cs="Times New Roman"/>
                <w:sz w:val="20"/>
                <w:szCs w:val="20"/>
                <w:lang w:val="en-US"/>
              </w:rPr>
              <w:t xml:space="preserve">) plus TAU over 12 weeks (Bucci et al., 2018). Both groups showed improvements in psychotic symptoms and functioning; the trial was primarily designed to evaluate feasibility and was </w:t>
            </w:r>
            <w:r w:rsidRPr="008B6BC5">
              <w:rPr>
                <w:rFonts w:cs="Times New Roman"/>
                <w:sz w:val="20"/>
                <w:szCs w:val="20"/>
                <w:lang w:val="en-US"/>
              </w:rPr>
              <w:lastRenderedPageBreak/>
              <w:t xml:space="preserve">underpowered for definitive efficacy comparisons, although some secondary outcomes (e.g., negative symptoms) numerically </w:t>
            </w:r>
            <w:proofErr w:type="spellStart"/>
            <w:r w:rsidRPr="008B6BC5">
              <w:rPr>
                <w:rFonts w:cs="Times New Roman"/>
                <w:sz w:val="20"/>
                <w:szCs w:val="20"/>
                <w:lang w:val="en-US"/>
              </w:rPr>
              <w:t>favoured</w:t>
            </w:r>
            <w:proofErr w:type="spellEnd"/>
            <w:r w:rsidRPr="008B6BC5">
              <w:rPr>
                <w:rFonts w:cs="Times New Roman"/>
                <w:sz w:val="20"/>
                <w:szCs w:val="20"/>
                <w:lang w:val="en-US"/>
              </w:rPr>
              <w:t xml:space="preserve">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(Bucci et al., 2018).</w:t>
            </w:r>
          </w:p>
          <w:p w14:paraId="0007D445" w14:textId="409E9ED2" w:rsidR="00832371" w:rsidRPr="008B6BC5" w:rsidRDefault="00832371" w:rsidP="00832371">
            <w:pPr>
              <w:pStyle w:val="NoSpacing"/>
              <w:rPr>
                <w:rFonts w:cs="Times New Roman"/>
                <w:sz w:val="20"/>
                <w:szCs w:val="20"/>
                <w:lang w:val="en-US"/>
              </w:rPr>
            </w:pPr>
          </w:p>
        </w:tc>
        <w:tc>
          <w:tcPr>
            <w:tcW w:w="4203" w:type="dxa"/>
          </w:tcPr>
          <w:p w14:paraId="47670720" w14:textId="2D4E915C" w:rsidR="00832371" w:rsidRPr="008B6BC5" w:rsidRDefault="00832371" w:rsidP="00832371">
            <w:pPr>
              <w:pStyle w:val="NoSpacing"/>
              <w:rPr>
                <w:rFonts w:cs="Times New Roman"/>
                <w:sz w:val="20"/>
                <w:szCs w:val="20"/>
                <w:lang w:val="en-US"/>
              </w:rPr>
            </w:pPr>
            <w:r w:rsidRPr="008B6BC5">
              <w:rPr>
                <w:rFonts w:cs="Times New Roman"/>
                <w:sz w:val="20"/>
                <w:szCs w:val="20"/>
                <w:lang w:val="en-US"/>
              </w:rPr>
              <w:lastRenderedPageBreak/>
              <w:t>doi:10.1093/</w:t>
            </w:r>
            <w:proofErr w:type="spellStart"/>
            <w:r w:rsidRPr="008B6BC5">
              <w:rPr>
                <w:rFonts w:cs="Times New Roman"/>
                <w:sz w:val="20"/>
                <w:szCs w:val="20"/>
                <w:lang w:val="en-US"/>
              </w:rPr>
              <w:t>schbul</w:t>
            </w:r>
            <w:proofErr w:type="spellEnd"/>
            <w:r w:rsidRPr="008B6BC5">
              <w:rPr>
                <w:rFonts w:cs="Times New Roman"/>
                <w:sz w:val="20"/>
                <w:szCs w:val="20"/>
                <w:lang w:val="en-US"/>
              </w:rPr>
              <w:t xml:space="preserve">/sby032 </w:t>
            </w:r>
          </w:p>
        </w:tc>
        <w:tc>
          <w:tcPr>
            <w:tcW w:w="690" w:type="dxa"/>
          </w:tcPr>
          <w:p w14:paraId="568928F9" w14:textId="74B40C22" w:rsidR="00832371" w:rsidRPr="008B6BC5" w:rsidRDefault="00832371" w:rsidP="00832371">
            <w:pPr>
              <w:pStyle w:val="NoSpacing"/>
              <w:rPr>
                <w:rFonts w:cs="Times New Roman"/>
                <w:sz w:val="20"/>
                <w:szCs w:val="20"/>
                <w:lang w:val="en-US"/>
              </w:rPr>
            </w:pPr>
            <w:r w:rsidRPr="008B6BC5">
              <w:rPr>
                <w:rFonts w:cs="Times New Roman"/>
                <w:sz w:val="20"/>
                <w:szCs w:val="20"/>
                <w:lang w:val="en-US"/>
              </w:rPr>
              <w:t>4</w:t>
            </w:r>
          </w:p>
        </w:tc>
        <w:tc>
          <w:tcPr>
            <w:tcW w:w="3896" w:type="dxa"/>
          </w:tcPr>
          <w:p w14:paraId="66F5B178" w14:textId="3A427B39" w:rsidR="00832371" w:rsidRPr="008B6BC5" w:rsidRDefault="00832371" w:rsidP="0083237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603D4" w:rsidRPr="008B6BC5" w14:paraId="0FEF3ADE" w14:textId="77777777" w:rsidTr="00BD3144">
        <w:tc>
          <w:tcPr>
            <w:tcW w:w="1418" w:type="dxa"/>
          </w:tcPr>
          <w:p w14:paraId="570D19BF" w14:textId="412FDBE8" w:rsidR="00C603D4" w:rsidRPr="008B6BC5" w:rsidRDefault="00BD3144" w:rsidP="00C603D4">
            <w:pPr>
              <w:pStyle w:val="NoSpacing"/>
              <w:rPr>
                <w:rFonts w:cs="Times New Roman"/>
                <w:sz w:val="20"/>
                <w:szCs w:val="20"/>
                <w:lang w:val="en-US"/>
              </w:rPr>
            </w:pPr>
            <w:r w:rsidRPr="008B6BC5">
              <w:rPr>
                <w:rFonts w:cs="Times New Roman"/>
                <w:sz w:val="20"/>
                <w:szCs w:val="20"/>
                <w:lang w:val="en-US"/>
              </w:rPr>
              <w:t>9</w:t>
            </w:r>
          </w:p>
        </w:tc>
        <w:tc>
          <w:tcPr>
            <w:tcW w:w="6237" w:type="dxa"/>
          </w:tcPr>
          <w:p w14:paraId="00E82DAD" w14:textId="77777777"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In a larger, powered trial, 172 individuals within five years of psychosis onset were randomized to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plus TAU versus </w:t>
            </w:r>
            <w:proofErr w:type="spellStart"/>
            <w:r w:rsidRPr="008B6BC5">
              <w:rPr>
                <w:rFonts w:cs="Times New Roman"/>
                <w:sz w:val="20"/>
                <w:szCs w:val="20"/>
                <w:lang w:val="en-US"/>
              </w:rPr>
              <w:t>ClinTouch</w:t>
            </w:r>
            <w:proofErr w:type="spellEnd"/>
            <w:r w:rsidRPr="008B6BC5">
              <w:rPr>
                <w:rFonts w:cs="Times New Roman"/>
                <w:sz w:val="20"/>
                <w:szCs w:val="20"/>
                <w:lang w:val="en-US"/>
              </w:rPr>
              <w:t xml:space="preserve"> plus TAU (Bucci et al., 2024). The primary outcome, total symptoms on the Positive and Negative Syndrome Scale at 12 weeks, improved significantly over time in both arms, but there were no between-group differences on primary or secondary outcomes (Bucci et al., 2024). </w:t>
            </w:r>
          </w:p>
          <w:p w14:paraId="5991C92C" w14:textId="77777777" w:rsidR="00C603D4" w:rsidRPr="008B6BC5" w:rsidRDefault="00C603D4" w:rsidP="00C603D4">
            <w:pPr>
              <w:pStyle w:val="NoSpacing"/>
              <w:rPr>
                <w:rFonts w:cs="Times New Roman"/>
                <w:sz w:val="20"/>
                <w:szCs w:val="20"/>
                <w:lang w:val="en-US"/>
              </w:rPr>
            </w:pPr>
          </w:p>
        </w:tc>
        <w:tc>
          <w:tcPr>
            <w:tcW w:w="4203" w:type="dxa"/>
          </w:tcPr>
          <w:p w14:paraId="48DF9060" w14:textId="14CFA285" w:rsidR="00C603D4" w:rsidRPr="008B6BC5" w:rsidRDefault="00C603D4" w:rsidP="00C603D4">
            <w:pPr>
              <w:pStyle w:val="NoSpacing"/>
              <w:rPr>
                <w:rFonts w:cs="Times New Roman"/>
                <w:sz w:val="20"/>
                <w:szCs w:val="20"/>
                <w:lang w:val="en-US"/>
              </w:rPr>
            </w:pPr>
            <w:r w:rsidRPr="008B6BC5">
              <w:rPr>
                <w:rFonts w:cs="Times New Roman"/>
                <w:sz w:val="20"/>
                <w:szCs w:val="20"/>
                <w:lang w:val="en-US"/>
              </w:rPr>
              <w:t>https://doi.org/10.1016/j.psychres.2024.116025</w:t>
            </w:r>
          </w:p>
        </w:tc>
        <w:tc>
          <w:tcPr>
            <w:tcW w:w="690" w:type="dxa"/>
          </w:tcPr>
          <w:p w14:paraId="43B28239" w14:textId="0BC6B5F9" w:rsidR="00C603D4" w:rsidRPr="008B6BC5" w:rsidRDefault="00C603D4" w:rsidP="00C603D4">
            <w:pPr>
              <w:pStyle w:val="NoSpacing"/>
              <w:rPr>
                <w:rFonts w:cs="Times New Roman"/>
                <w:sz w:val="20"/>
                <w:szCs w:val="20"/>
                <w:lang w:val="en-US"/>
              </w:rPr>
            </w:pPr>
            <w:r w:rsidRPr="008B6BC5">
              <w:rPr>
                <w:rFonts w:cs="Times New Roman"/>
                <w:sz w:val="20"/>
                <w:szCs w:val="20"/>
                <w:lang w:val="en-US"/>
              </w:rPr>
              <w:t>4</w:t>
            </w:r>
          </w:p>
        </w:tc>
        <w:tc>
          <w:tcPr>
            <w:tcW w:w="3896" w:type="dxa"/>
          </w:tcPr>
          <w:p w14:paraId="323AAC42" w14:textId="613FC72E"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603D4" w:rsidRPr="008B6BC5" w14:paraId="77C2DF79" w14:textId="77777777" w:rsidTr="00BD3144">
        <w:tc>
          <w:tcPr>
            <w:tcW w:w="1418" w:type="dxa"/>
          </w:tcPr>
          <w:p w14:paraId="67B216C9" w14:textId="72A12C20" w:rsidR="00C603D4" w:rsidRPr="008B6BC5" w:rsidRDefault="00BD3144" w:rsidP="00C603D4">
            <w:pPr>
              <w:pStyle w:val="NoSpacing"/>
              <w:rPr>
                <w:rFonts w:cs="Times New Roman"/>
                <w:sz w:val="20"/>
                <w:szCs w:val="20"/>
                <w:lang w:val="en-US"/>
              </w:rPr>
            </w:pPr>
            <w:r w:rsidRPr="008B6BC5">
              <w:rPr>
                <w:rFonts w:cs="Times New Roman"/>
                <w:sz w:val="20"/>
                <w:szCs w:val="20"/>
                <w:lang w:val="en-US"/>
              </w:rPr>
              <w:t>10</w:t>
            </w:r>
          </w:p>
        </w:tc>
        <w:tc>
          <w:tcPr>
            <w:tcW w:w="6237" w:type="dxa"/>
          </w:tcPr>
          <w:p w14:paraId="62008C38" w14:textId="5173E1AC" w:rsidR="00C603D4" w:rsidRPr="008B6BC5" w:rsidRDefault="00C603D4" w:rsidP="00C603D4">
            <w:pPr>
              <w:pStyle w:val="NoSpacing"/>
              <w:rPr>
                <w:rFonts w:cs="Times New Roman"/>
                <w:sz w:val="20"/>
                <w:szCs w:val="20"/>
                <w:lang w:val="en-US"/>
              </w:rPr>
            </w:pPr>
            <w:r w:rsidRPr="008B6BC5">
              <w:rPr>
                <w:rFonts w:cs="Times New Roman"/>
                <w:sz w:val="20"/>
                <w:szCs w:val="20"/>
                <w:lang w:val="en-US"/>
              </w:rPr>
              <w:t>Ben-Zeev et al. (2018) randomized 163 adults with serious mental illness—many with schizophrenia or schizoaffective disorder—to either the FOCUS smartphone-based self-management intervention plus brief phone support or to a clinic-based Wellness Recovery Action Plan (WRAP) group program. Over a six-month period, both groups showed significant improvements in symptoms, recovery, and quality of life, with no significant between-group differences on primary clinical outcomes…. (Ben-Zeev et al., 2018). Importantly, initiation and ongoing engagement were higher in the mobile arm, demonstrating comparative advantages in reach and adherence.</w:t>
            </w:r>
          </w:p>
          <w:p w14:paraId="2C740786" w14:textId="77777777" w:rsidR="00C603D4" w:rsidRPr="008B6BC5" w:rsidRDefault="00C603D4" w:rsidP="00C603D4">
            <w:pPr>
              <w:pStyle w:val="NoSpacing"/>
              <w:rPr>
                <w:rFonts w:cs="Times New Roman"/>
                <w:sz w:val="20"/>
                <w:szCs w:val="20"/>
                <w:lang w:val="en-US"/>
              </w:rPr>
            </w:pPr>
          </w:p>
        </w:tc>
        <w:tc>
          <w:tcPr>
            <w:tcW w:w="4203" w:type="dxa"/>
          </w:tcPr>
          <w:p w14:paraId="7A51607D" w14:textId="13764A41" w:rsidR="00C603D4" w:rsidRPr="008B6BC5" w:rsidRDefault="00C603D4" w:rsidP="00C603D4">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10.1176/appi.ps.201800063</w:t>
            </w:r>
          </w:p>
        </w:tc>
        <w:tc>
          <w:tcPr>
            <w:tcW w:w="690" w:type="dxa"/>
          </w:tcPr>
          <w:p w14:paraId="1EEFA02F" w14:textId="266350AB" w:rsidR="00C603D4" w:rsidRPr="008B6BC5" w:rsidRDefault="00C603D4" w:rsidP="00C603D4">
            <w:pPr>
              <w:pStyle w:val="NoSpacing"/>
              <w:rPr>
                <w:rFonts w:cs="Times New Roman"/>
                <w:sz w:val="20"/>
                <w:szCs w:val="20"/>
                <w:lang w:val="en-US"/>
              </w:rPr>
            </w:pPr>
            <w:r w:rsidRPr="008B6BC5">
              <w:rPr>
                <w:rFonts w:cs="Times New Roman"/>
                <w:sz w:val="20"/>
                <w:szCs w:val="20"/>
                <w:lang w:val="en-US"/>
              </w:rPr>
              <w:t>4</w:t>
            </w:r>
          </w:p>
        </w:tc>
        <w:tc>
          <w:tcPr>
            <w:tcW w:w="3896" w:type="dxa"/>
          </w:tcPr>
          <w:p w14:paraId="69E0FFD1" w14:textId="4B1A834B"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603D4" w:rsidRPr="008B6BC5" w14:paraId="3BC7843E" w14:textId="77777777" w:rsidTr="00BD3144">
        <w:tc>
          <w:tcPr>
            <w:tcW w:w="1418" w:type="dxa"/>
          </w:tcPr>
          <w:p w14:paraId="0A040A0A" w14:textId="63630913" w:rsidR="00C603D4" w:rsidRPr="008B6BC5" w:rsidRDefault="00BD3144" w:rsidP="00C603D4">
            <w:pPr>
              <w:pStyle w:val="NoSpacing"/>
              <w:rPr>
                <w:rFonts w:cs="Times New Roman"/>
                <w:sz w:val="20"/>
                <w:szCs w:val="20"/>
                <w:lang w:val="en-US"/>
              </w:rPr>
            </w:pPr>
            <w:r w:rsidRPr="008B6BC5">
              <w:rPr>
                <w:rFonts w:cs="Times New Roman"/>
                <w:sz w:val="20"/>
                <w:szCs w:val="20"/>
                <w:lang w:val="en-US"/>
              </w:rPr>
              <w:t>11</w:t>
            </w:r>
          </w:p>
        </w:tc>
        <w:tc>
          <w:tcPr>
            <w:tcW w:w="6237" w:type="dxa"/>
          </w:tcPr>
          <w:p w14:paraId="2E61A5E2" w14:textId="77777777" w:rsidR="00C603D4" w:rsidRPr="008B6BC5" w:rsidRDefault="00C603D4" w:rsidP="00C603D4">
            <w:pPr>
              <w:pStyle w:val="NoSpacing"/>
              <w:rPr>
                <w:rFonts w:cs="Times New Roman"/>
                <w:sz w:val="20"/>
                <w:szCs w:val="20"/>
                <w:lang w:val="en-US"/>
              </w:rPr>
            </w:pPr>
            <w:r w:rsidRPr="008B6BC5">
              <w:rPr>
                <w:rFonts w:cs="Times New Roman"/>
                <w:sz w:val="20"/>
                <w:szCs w:val="20"/>
                <w:lang w:val="en-US"/>
              </w:rPr>
              <w:t>In the fully remote CORE trial, Ben-Zeev et al. (2021) evaluated a smartphone-based cognitive coping skills program against a web-based psychoeducational control in 315 adults with serious mental illness (including psychotic disorders). The intervention group experienced greater reductions in overall psychiatric symptom severity and disability and improved recovery and self-esteem relative to the digital control, with effect sizes in the small-to-moderate range, although retention was challenging (Ben-Zeev et al., 2021).</w:t>
            </w:r>
          </w:p>
          <w:p w14:paraId="598D2284" w14:textId="77777777" w:rsidR="00C603D4" w:rsidRPr="008B6BC5" w:rsidRDefault="00C603D4" w:rsidP="00C603D4">
            <w:pPr>
              <w:pStyle w:val="NoSpacing"/>
              <w:rPr>
                <w:rFonts w:cs="Times New Roman"/>
                <w:sz w:val="20"/>
                <w:szCs w:val="20"/>
                <w:lang w:val="en-US"/>
              </w:rPr>
            </w:pPr>
          </w:p>
        </w:tc>
        <w:tc>
          <w:tcPr>
            <w:tcW w:w="4203" w:type="dxa"/>
          </w:tcPr>
          <w:p w14:paraId="1671FDE5" w14:textId="356F6E0B" w:rsidR="00C603D4" w:rsidRPr="008B6BC5" w:rsidRDefault="00C603D4" w:rsidP="00C603D4">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10.2196/29201</w:t>
            </w:r>
          </w:p>
        </w:tc>
        <w:tc>
          <w:tcPr>
            <w:tcW w:w="690" w:type="dxa"/>
          </w:tcPr>
          <w:p w14:paraId="2E25E8CC" w14:textId="6F8212A4" w:rsidR="00C603D4" w:rsidRPr="008B6BC5" w:rsidRDefault="00C603D4" w:rsidP="00C603D4">
            <w:pPr>
              <w:pStyle w:val="NoSpacing"/>
              <w:rPr>
                <w:rFonts w:cs="Times New Roman"/>
                <w:sz w:val="20"/>
                <w:szCs w:val="20"/>
                <w:lang w:val="en-US"/>
              </w:rPr>
            </w:pPr>
            <w:r w:rsidRPr="008B6BC5">
              <w:rPr>
                <w:rFonts w:cs="Times New Roman"/>
                <w:sz w:val="20"/>
                <w:szCs w:val="20"/>
                <w:lang w:val="en-US"/>
              </w:rPr>
              <w:t>2</w:t>
            </w:r>
          </w:p>
        </w:tc>
        <w:tc>
          <w:tcPr>
            <w:tcW w:w="3896" w:type="dxa"/>
          </w:tcPr>
          <w:p w14:paraId="7F60B332" w14:textId="4C6DAA90"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The control group was a waitlist, not a web-based psychoeducation control. </w:t>
            </w:r>
          </w:p>
        </w:tc>
      </w:tr>
      <w:tr w:rsidR="00C603D4" w:rsidRPr="008B6BC5" w14:paraId="3B1EBCF4" w14:textId="77777777" w:rsidTr="00BD3144">
        <w:tc>
          <w:tcPr>
            <w:tcW w:w="1418" w:type="dxa"/>
          </w:tcPr>
          <w:p w14:paraId="70291AC2" w14:textId="266FEEFE" w:rsidR="00C603D4" w:rsidRPr="008B6BC5" w:rsidRDefault="00BD3144" w:rsidP="00C603D4">
            <w:pPr>
              <w:pStyle w:val="NoSpacing"/>
              <w:rPr>
                <w:rFonts w:cs="Times New Roman"/>
                <w:sz w:val="20"/>
                <w:szCs w:val="20"/>
                <w:lang w:val="en-US"/>
              </w:rPr>
            </w:pPr>
            <w:r w:rsidRPr="008B6BC5">
              <w:rPr>
                <w:rFonts w:cs="Times New Roman"/>
                <w:sz w:val="20"/>
                <w:szCs w:val="20"/>
                <w:lang w:val="en-US"/>
              </w:rPr>
              <w:t>12</w:t>
            </w:r>
          </w:p>
        </w:tc>
        <w:tc>
          <w:tcPr>
            <w:tcW w:w="6237" w:type="dxa"/>
          </w:tcPr>
          <w:p w14:paraId="369C9874" w14:textId="77777777"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Earlier work with interactive text messaging (Mobile Assessment and Treatment for Schizophrenia; MATS) found that daily SMS-based prompts for symptom monitoring and coping were associated with greater improvements in medication adherence and some symptom domains compared with usual care or minimal-contact conditions (Granholm et al., 2012). </w:t>
            </w:r>
          </w:p>
          <w:p w14:paraId="0445938C" w14:textId="77777777" w:rsidR="00C603D4" w:rsidRPr="008B6BC5" w:rsidRDefault="00C603D4" w:rsidP="00C603D4">
            <w:pPr>
              <w:pStyle w:val="NoSpacing"/>
              <w:rPr>
                <w:rFonts w:cs="Times New Roman"/>
                <w:sz w:val="20"/>
                <w:szCs w:val="20"/>
                <w:lang w:val="en-US"/>
              </w:rPr>
            </w:pPr>
          </w:p>
        </w:tc>
        <w:tc>
          <w:tcPr>
            <w:tcW w:w="4203" w:type="dxa"/>
          </w:tcPr>
          <w:p w14:paraId="7C3A23B8" w14:textId="67F8F137" w:rsidR="00C603D4" w:rsidRPr="008B6BC5" w:rsidRDefault="00C603D4" w:rsidP="00C603D4">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/sbr155</w:t>
            </w:r>
          </w:p>
        </w:tc>
        <w:tc>
          <w:tcPr>
            <w:tcW w:w="690" w:type="dxa"/>
          </w:tcPr>
          <w:p w14:paraId="5D793D15" w14:textId="29204067" w:rsidR="00C603D4" w:rsidRPr="008B6BC5" w:rsidRDefault="00D4508E" w:rsidP="00C603D4">
            <w:pPr>
              <w:pStyle w:val="NoSpacing"/>
              <w:rPr>
                <w:rFonts w:cs="Times New Roman"/>
                <w:sz w:val="20"/>
                <w:szCs w:val="20"/>
                <w:lang w:val="en-US"/>
              </w:rPr>
            </w:pPr>
            <w:r w:rsidRPr="008B6BC5">
              <w:rPr>
                <w:rFonts w:cs="Times New Roman"/>
                <w:sz w:val="20"/>
                <w:szCs w:val="20"/>
                <w:lang w:val="en-US"/>
              </w:rPr>
              <w:t>2</w:t>
            </w:r>
          </w:p>
        </w:tc>
        <w:tc>
          <w:tcPr>
            <w:tcW w:w="3896" w:type="dxa"/>
          </w:tcPr>
          <w:p w14:paraId="0F29368F" w14:textId="2DF31AD6" w:rsidR="00C603D4" w:rsidRPr="008B6BC5" w:rsidRDefault="00D4508E" w:rsidP="00C603D4">
            <w:pPr>
              <w:pStyle w:val="NoSpacing"/>
              <w:rPr>
                <w:rFonts w:cs="Times New Roman"/>
                <w:sz w:val="20"/>
                <w:szCs w:val="20"/>
                <w:lang w:val="en-US"/>
              </w:rPr>
            </w:pPr>
            <w:r w:rsidRPr="008B6BC5">
              <w:rPr>
                <w:rFonts w:cs="Times New Roman"/>
                <w:sz w:val="20"/>
                <w:szCs w:val="20"/>
                <w:lang w:val="en-US"/>
              </w:rPr>
              <w:t xml:space="preserve">There was no control group administered in this study. </w:t>
            </w:r>
          </w:p>
        </w:tc>
      </w:tr>
      <w:tr w:rsidR="00C603D4" w:rsidRPr="008B6BC5" w14:paraId="0B900DAB" w14:textId="77777777" w:rsidTr="00BD3144">
        <w:tc>
          <w:tcPr>
            <w:tcW w:w="1418" w:type="dxa"/>
          </w:tcPr>
          <w:p w14:paraId="2543AE8A" w14:textId="6B4C0814" w:rsidR="00C603D4" w:rsidRPr="008B6BC5" w:rsidRDefault="00BD3144" w:rsidP="00C603D4">
            <w:pPr>
              <w:pStyle w:val="NoSpacing"/>
              <w:rPr>
                <w:rFonts w:cs="Times New Roman"/>
                <w:sz w:val="20"/>
                <w:szCs w:val="20"/>
                <w:lang w:val="en-US"/>
              </w:rPr>
            </w:pPr>
            <w:r w:rsidRPr="008B6BC5">
              <w:rPr>
                <w:rFonts w:cs="Times New Roman"/>
                <w:sz w:val="20"/>
                <w:szCs w:val="20"/>
                <w:lang w:val="en-US"/>
              </w:rPr>
              <w:lastRenderedPageBreak/>
              <w:t>13</w:t>
            </w:r>
          </w:p>
        </w:tc>
        <w:tc>
          <w:tcPr>
            <w:tcW w:w="6237" w:type="dxa"/>
          </w:tcPr>
          <w:p w14:paraId="7954CA09" w14:textId="0380BCED" w:rsidR="00C603D4" w:rsidRPr="008B6BC5" w:rsidRDefault="00C603D4" w:rsidP="00C603D4">
            <w:pPr>
              <w:pStyle w:val="NoSpacing"/>
              <w:rPr>
                <w:rFonts w:cs="Times New Roman"/>
                <w:sz w:val="20"/>
                <w:szCs w:val="20"/>
                <w:lang w:val="en-US"/>
              </w:rPr>
            </w:pPr>
            <w:r w:rsidRPr="008B6BC5">
              <w:rPr>
                <w:rFonts w:cs="Times New Roman"/>
                <w:sz w:val="20"/>
                <w:szCs w:val="20"/>
                <w:lang w:val="en-US"/>
              </w:rPr>
              <w:t xml:space="preserve">In the meta-analysis by </w:t>
            </w:r>
            <w:proofErr w:type="spellStart"/>
            <w:r w:rsidRPr="008B6BC5">
              <w:rPr>
                <w:rFonts w:cs="Times New Roman"/>
                <w:sz w:val="20"/>
                <w:szCs w:val="20"/>
                <w:lang w:val="en-US"/>
              </w:rPr>
              <w:t>Arnautovska</w:t>
            </w:r>
            <w:proofErr w:type="spellEnd"/>
            <w:r w:rsidRPr="008B6BC5">
              <w:rPr>
                <w:rFonts w:cs="Times New Roman"/>
                <w:sz w:val="20"/>
                <w:szCs w:val="20"/>
                <w:lang w:val="en-US"/>
              </w:rPr>
              <w:t xml:space="preserve"> et al. (2025), few studies reported intervention-related serious adverse events, and overall dropout rates were comparable between digital and control arms, although reporting was inconsistent.</w:t>
            </w:r>
          </w:p>
        </w:tc>
        <w:tc>
          <w:tcPr>
            <w:tcW w:w="4203" w:type="dxa"/>
          </w:tcPr>
          <w:p w14:paraId="44D7AE82" w14:textId="20FFF54E" w:rsidR="00C603D4" w:rsidRPr="008B6BC5" w:rsidRDefault="00C603D4" w:rsidP="00C603D4">
            <w:pPr>
              <w:pStyle w:val="NoSpacing"/>
              <w:rPr>
                <w:rFonts w:cs="Times New Roman"/>
                <w:sz w:val="20"/>
                <w:szCs w:val="20"/>
                <w:lang w:val="en-US"/>
              </w:rPr>
            </w:pPr>
            <w:r w:rsidRPr="008B6BC5">
              <w:rPr>
                <w:rFonts w:cs="Times New Roman"/>
                <w:sz w:val="20"/>
                <w:szCs w:val="20"/>
                <w:lang w:val="en-US"/>
              </w:rPr>
              <w:t>https://doi.org/10.1093/schbul/sbae143</w:t>
            </w:r>
          </w:p>
        </w:tc>
        <w:tc>
          <w:tcPr>
            <w:tcW w:w="690" w:type="dxa"/>
          </w:tcPr>
          <w:p w14:paraId="214E9928" w14:textId="43EED1B1" w:rsidR="00C603D4" w:rsidRPr="008B6BC5" w:rsidRDefault="00B111C4" w:rsidP="00C603D4">
            <w:pPr>
              <w:pStyle w:val="NoSpacing"/>
              <w:rPr>
                <w:rFonts w:cs="Times New Roman"/>
                <w:sz w:val="20"/>
                <w:szCs w:val="20"/>
                <w:lang w:val="en-US"/>
              </w:rPr>
            </w:pPr>
            <w:r w:rsidRPr="008B6BC5">
              <w:rPr>
                <w:rFonts w:cs="Times New Roman"/>
                <w:sz w:val="20"/>
                <w:szCs w:val="20"/>
                <w:lang w:val="en-US"/>
              </w:rPr>
              <w:t>1</w:t>
            </w:r>
          </w:p>
        </w:tc>
        <w:tc>
          <w:tcPr>
            <w:tcW w:w="3896" w:type="dxa"/>
          </w:tcPr>
          <w:p w14:paraId="5F564488" w14:textId="76E82AC9" w:rsidR="00C603D4" w:rsidRPr="008B6BC5" w:rsidRDefault="00EC64EF" w:rsidP="00C603D4">
            <w:pPr>
              <w:pStyle w:val="NoSpacing"/>
              <w:rPr>
                <w:rFonts w:cs="Times New Roman"/>
                <w:sz w:val="20"/>
                <w:szCs w:val="20"/>
                <w:lang w:val="en-US"/>
              </w:rPr>
            </w:pPr>
            <w:r w:rsidRPr="008B6BC5">
              <w:rPr>
                <w:rFonts w:cs="Times New Roman"/>
                <w:sz w:val="20"/>
                <w:szCs w:val="20"/>
                <w:lang w:val="en-US"/>
              </w:rPr>
              <w:t xml:space="preserve">This meta-analysis did not mention, report or analyze AEs. </w:t>
            </w:r>
          </w:p>
        </w:tc>
      </w:tr>
      <w:tr w:rsidR="00FC39FB" w:rsidRPr="008B6BC5" w14:paraId="78EF7D5A" w14:textId="77777777" w:rsidTr="00BD3144">
        <w:tc>
          <w:tcPr>
            <w:tcW w:w="1418" w:type="dxa"/>
          </w:tcPr>
          <w:p w14:paraId="3069210E" w14:textId="2740657B" w:rsidR="00FC39FB" w:rsidRPr="008B6BC5" w:rsidRDefault="00BD3144" w:rsidP="00FC39FB">
            <w:pPr>
              <w:pStyle w:val="NoSpacing"/>
              <w:rPr>
                <w:rFonts w:cs="Times New Roman"/>
                <w:sz w:val="20"/>
                <w:szCs w:val="20"/>
                <w:lang w:val="en-US"/>
              </w:rPr>
            </w:pPr>
            <w:r w:rsidRPr="008B6BC5">
              <w:rPr>
                <w:rFonts w:cs="Times New Roman"/>
                <w:sz w:val="20"/>
                <w:szCs w:val="20"/>
                <w:lang w:val="en-US"/>
              </w:rPr>
              <w:t>14</w:t>
            </w:r>
          </w:p>
        </w:tc>
        <w:tc>
          <w:tcPr>
            <w:tcW w:w="6237" w:type="dxa"/>
          </w:tcPr>
          <w:p w14:paraId="5B6B5C96" w14:textId="77777777" w:rsidR="00FC39FB" w:rsidRPr="008B6BC5" w:rsidRDefault="00FC39FB" w:rsidP="00FC39FB">
            <w:pPr>
              <w:pStyle w:val="NoSpacing"/>
              <w:rPr>
                <w:rFonts w:cs="Times New Roman"/>
                <w:sz w:val="20"/>
                <w:szCs w:val="20"/>
                <w:lang w:val="en-US"/>
              </w:rPr>
            </w:pPr>
            <w:r w:rsidRPr="008B6BC5">
              <w:rPr>
                <w:rFonts w:cs="Times New Roman"/>
                <w:sz w:val="20"/>
                <w:szCs w:val="20"/>
                <w:lang w:val="en-US"/>
              </w:rPr>
              <w:t xml:space="preserve">In the Westermann et al. (2020) internet-based CBT trial, adverse events occurred in 4.9% of participants and were not judged to be caused by the intervention; 89% of participants reported being satisfied with the program, and around half completed at least four modules (Westermann et al., 2020). </w:t>
            </w:r>
          </w:p>
          <w:p w14:paraId="62DA5227" w14:textId="77777777" w:rsidR="00FC39FB" w:rsidRPr="008B6BC5" w:rsidRDefault="00FC39FB" w:rsidP="00FC39FB">
            <w:pPr>
              <w:pStyle w:val="NoSpacing"/>
              <w:rPr>
                <w:rFonts w:cs="Times New Roman"/>
                <w:sz w:val="20"/>
                <w:szCs w:val="20"/>
                <w:lang w:val="en-US"/>
              </w:rPr>
            </w:pPr>
          </w:p>
        </w:tc>
        <w:tc>
          <w:tcPr>
            <w:tcW w:w="4203" w:type="dxa"/>
          </w:tcPr>
          <w:p w14:paraId="6C8E89F1" w14:textId="62D34463" w:rsidR="00FC39FB" w:rsidRPr="008B6BC5" w:rsidRDefault="00FC39FB" w:rsidP="00FC39FB">
            <w:pPr>
              <w:pStyle w:val="NoSpacing"/>
              <w:rPr>
                <w:rFonts w:cs="Times New Roman"/>
                <w:sz w:val="20"/>
                <w:szCs w:val="20"/>
                <w:lang w:val="en-US"/>
              </w:rPr>
            </w:pPr>
            <w:r w:rsidRPr="008B6BC5">
              <w:rPr>
                <w:rFonts w:cs="Times New Roman"/>
                <w:sz w:val="20"/>
                <w:szCs w:val="20"/>
                <w:lang w:val="en-US"/>
              </w:rPr>
              <w:t>http://dx.doi.org/10.1037/ccp0000602</w:t>
            </w:r>
          </w:p>
        </w:tc>
        <w:tc>
          <w:tcPr>
            <w:tcW w:w="690" w:type="dxa"/>
          </w:tcPr>
          <w:p w14:paraId="334ED258" w14:textId="2B8D76D9" w:rsidR="00FC39FB" w:rsidRPr="008B6BC5" w:rsidRDefault="00FC39FB" w:rsidP="00FC39FB">
            <w:pPr>
              <w:pStyle w:val="NoSpacing"/>
              <w:rPr>
                <w:rFonts w:cs="Times New Roman"/>
                <w:sz w:val="20"/>
                <w:szCs w:val="20"/>
                <w:lang w:val="en-US"/>
              </w:rPr>
            </w:pPr>
            <w:r w:rsidRPr="008B6BC5">
              <w:rPr>
                <w:rFonts w:cs="Times New Roman"/>
                <w:sz w:val="20"/>
                <w:szCs w:val="20"/>
                <w:lang w:val="en-US"/>
              </w:rPr>
              <w:t>4</w:t>
            </w:r>
          </w:p>
        </w:tc>
        <w:tc>
          <w:tcPr>
            <w:tcW w:w="3896" w:type="dxa"/>
          </w:tcPr>
          <w:p w14:paraId="71E8541B" w14:textId="6D152105" w:rsidR="00FC39FB" w:rsidRPr="008B6BC5" w:rsidRDefault="00FC39FB" w:rsidP="00FC39F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FC39FB" w:rsidRPr="008B6BC5" w14:paraId="6BD87C03" w14:textId="77777777" w:rsidTr="00BD3144">
        <w:tc>
          <w:tcPr>
            <w:tcW w:w="1418" w:type="dxa"/>
          </w:tcPr>
          <w:p w14:paraId="3BEDC987" w14:textId="77777777" w:rsidR="00FC39FB" w:rsidRPr="008B6BC5" w:rsidRDefault="00BD3144" w:rsidP="00FC39FB">
            <w:pPr>
              <w:pStyle w:val="NoSpacing"/>
              <w:rPr>
                <w:rFonts w:cs="Times New Roman"/>
                <w:sz w:val="20"/>
                <w:szCs w:val="20"/>
                <w:lang w:val="en-US"/>
              </w:rPr>
            </w:pPr>
            <w:r w:rsidRPr="008B6BC5">
              <w:rPr>
                <w:rFonts w:cs="Times New Roman"/>
                <w:sz w:val="20"/>
                <w:szCs w:val="20"/>
                <w:lang w:val="en-US"/>
              </w:rPr>
              <w:t>15.1</w:t>
            </w:r>
          </w:p>
          <w:p w14:paraId="16A8D51E" w14:textId="09E4B9AA" w:rsidR="00BD3144" w:rsidRPr="008B6BC5" w:rsidRDefault="00BD3144" w:rsidP="00FC39FB">
            <w:pPr>
              <w:pStyle w:val="NoSpacing"/>
              <w:rPr>
                <w:rFonts w:cs="Times New Roman"/>
                <w:sz w:val="20"/>
                <w:szCs w:val="20"/>
                <w:lang w:val="en-US"/>
              </w:rPr>
            </w:pPr>
            <w:r w:rsidRPr="008B6BC5">
              <w:rPr>
                <w:rFonts w:cs="Times New Roman"/>
                <w:sz w:val="20"/>
                <w:szCs w:val="20"/>
                <w:lang w:val="en-US"/>
              </w:rPr>
              <w:t>15.2</w:t>
            </w:r>
          </w:p>
        </w:tc>
        <w:tc>
          <w:tcPr>
            <w:tcW w:w="6237" w:type="dxa"/>
          </w:tcPr>
          <w:p w14:paraId="1C5BE9A7" w14:textId="77777777" w:rsidR="00FC39FB" w:rsidRPr="008B6BC5" w:rsidRDefault="00FC39FB" w:rsidP="00FC39FB">
            <w:pPr>
              <w:pStyle w:val="NoSpacing"/>
              <w:rPr>
                <w:rFonts w:cs="Times New Roman"/>
                <w:sz w:val="20"/>
                <w:szCs w:val="20"/>
                <w:lang w:val="en-US"/>
              </w:rPr>
            </w:pPr>
            <w:r w:rsidRPr="008B6BC5">
              <w:rPr>
                <w:rFonts w:cs="Times New Roman"/>
                <w:sz w:val="20"/>
                <w:szCs w:val="20"/>
                <w:lang w:val="en-US"/>
              </w:rPr>
              <w:t xml:space="preserve">In the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program of early psychosis, both the pilot and the larger RCT reported no serious adverse reactions and similar rates of psychiatric </w:t>
            </w:r>
            <w:proofErr w:type="spellStart"/>
            <w:r w:rsidRPr="008B6BC5">
              <w:rPr>
                <w:rFonts w:cs="Times New Roman"/>
                <w:sz w:val="20"/>
                <w:szCs w:val="20"/>
                <w:lang w:val="en-US"/>
              </w:rPr>
              <w:t>hospitalisation</w:t>
            </w:r>
            <w:proofErr w:type="spellEnd"/>
            <w:r w:rsidRPr="008B6BC5">
              <w:rPr>
                <w:rFonts w:cs="Times New Roman"/>
                <w:sz w:val="20"/>
                <w:szCs w:val="20"/>
                <w:lang w:val="en-US"/>
              </w:rPr>
              <w:t xml:space="preserve"> between </w:t>
            </w:r>
            <w:proofErr w:type="spellStart"/>
            <w:r w:rsidRPr="008B6BC5">
              <w:rPr>
                <w:rFonts w:cs="Times New Roman"/>
                <w:sz w:val="20"/>
                <w:szCs w:val="20"/>
                <w:lang w:val="en-US"/>
              </w:rPr>
              <w:t>Actissist</w:t>
            </w:r>
            <w:proofErr w:type="spellEnd"/>
            <w:r w:rsidRPr="008B6BC5">
              <w:rPr>
                <w:rFonts w:cs="Times New Roman"/>
                <w:sz w:val="20"/>
                <w:szCs w:val="20"/>
                <w:lang w:val="en-US"/>
              </w:rPr>
              <w:t xml:space="preserve"> and the symptom-monitoring control (Bucci et al., 2018; Bucci et al., 2024)</w:t>
            </w:r>
          </w:p>
          <w:p w14:paraId="592C14D2" w14:textId="77777777" w:rsidR="00FC39FB" w:rsidRPr="008B6BC5" w:rsidRDefault="00FC39FB" w:rsidP="00FC39FB">
            <w:pPr>
              <w:pStyle w:val="NoSpacing"/>
              <w:rPr>
                <w:rFonts w:cs="Times New Roman"/>
                <w:sz w:val="20"/>
                <w:szCs w:val="20"/>
                <w:lang w:val="en-US"/>
              </w:rPr>
            </w:pPr>
          </w:p>
        </w:tc>
        <w:tc>
          <w:tcPr>
            <w:tcW w:w="4203" w:type="dxa"/>
          </w:tcPr>
          <w:p w14:paraId="2E79D501" w14:textId="77777777" w:rsidR="00FC39FB" w:rsidRPr="008B6BC5" w:rsidRDefault="00FC39FB" w:rsidP="00FC39FB">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/sby032</w:t>
            </w:r>
          </w:p>
          <w:p w14:paraId="0B27A591" w14:textId="365B5EB1" w:rsidR="00FC39FB" w:rsidRPr="008B6BC5" w:rsidRDefault="00FC39FB" w:rsidP="00FC39FB">
            <w:pPr>
              <w:pStyle w:val="NoSpacing"/>
              <w:rPr>
                <w:rFonts w:cs="Times New Roman"/>
                <w:sz w:val="20"/>
                <w:szCs w:val="20"/>
                <w:lang w:val="en-US"/>
              </w:rPr>
            </w:pPr>
            <w:r w:rsidRPr="008B6BC5">
              <w:rPr>
                <w:rFonts w:cs="Times New Roman"/>
                <w:sz w:val="20"/>
                <w:szCs w:val="20"/>
                <w:lang w:val="en-US"/>
              </w:rPr>
              <w:t>https://doi.org/10.1016/j.psychres.2024.116025</w:t>
            </w:r>
          </w:p>
        </w:tc>
        <w:tc>
          <w:tcPr>
            <w:tcW w:w="690" w:type="dxa"/>
          </w:tcPr>
          <w:p w14:paraId="24941EF3" w14:textId="77777777" w:rsidR="00FC39FB" w:rsidRPr="008B6BC5" w:rsidRDefault="00FC39FB" w:rsidP="00FC39FB">
            <w:pPr>
              <w:pStyle w:val="NoSpacing"/>
              <w:rPr>
                <w:rFonts w:cs="Times New Roman"/>
                <w:sz w:val="20"/>
                <w:szCs w:val="20"/>
                <w:lang w:val="en-US"/>
              </w:rPr>
            </w:pPr>
            <w:r w:rsidRPr="008B6BC5">
              <w:rPr>
                <w:rFonts w:cs="Times New Roman"/>
                <w:sz w:val="20"/>
                <w:szCs w:val="20"/>
                <w:lang w:val="en-US"/>
              </w:rPr>
              <w:t>1</w:t>
            </w:r>
          </w:p>
          <w:p w14:paraId="0B076706" w14:textId="61740EEA" w:rsidR="00FC39FB" w:rsidRPr="008B6BC5" w:rsidRDefault="00FC39FB" w:rsidP="00FC39FB">
            <w:pPr>
              <w:pStyle w:val="NoSpacing"/>
              <w:rPr>
                <w:rFonts w:cs="Times New Roman"/>
                <w:sz w:val="20"/>
                <w:szCs w:val="20"/>
                <w:lang w:val="en-US"/>
              </w:rPr>
            </w:pPr>
            <w:r w:rsidRPr="008B6BC5">
              <w:rPr>
                <w:rFonts w:cs="Times New Roman"/>
                <w:sz w:val="20"/>
                <w:szCs w:val="20"/>
                <w:lang w:val="en-US"/>
              </w:rPr>
              <w:t>1</w:t>
            </w:r>
          </w:p>
        </w:tc>
        <w:tc>
          <w:tcPr>
            <w:tcW w:w="3896" w:type="dxa"/>
          </w:tcPr>
          <w:p w14:paraId="3607FF43" w14:textId="2145612E" w:rsidR="00FC39FB" w:rsidRPr="008B6BC5" w:rsidRDefault="00FC39FB" w:rsidP="00FC39FB">
            <w:pPr>
              <w:pStyle w:val="NoSpacing"/>
              <w:rPr>
                <w:rFonts w:cs="Times New Roman"/>
                <w:sz w:val="20"/>
                <w:szCs w:val="20"/>
                <w:lang w:val="en-US"/>
              </w:rPr>
            </w:pPr>
            <w:r w:rsidRPr="008B6BC5">
              <w:rPr>
                <w:rFonts w:cs="Times New Roman"/>
                <w:sz w:val="20"/>
                <w:szCs w:val="20"/>
                <w:lang w:val="en-US"/>
              </w:rPr>
              <w:t xml:space="preserve">In both </w:t>
            </w:r>
            <w:r w:rsidR="009B5672" w:rsidRPr="008B6BC5">
              <w:rPr>
                <w:rFonts w:cs="Times New Roman"/>
                <w:sz w:val="20"/>
                <w:szCs w:val="20"/>
                <w:lang w:val="en-US"/>
              </w:rPr>
              <w:t xml:space="preserve">citations, psychiatric hospitalizations were never a reported outcome. </w:t>
            </w:r>
          </w:p>
        </w:tc>
      </w:tr>
      <w:tr w:rsidR="00A776E7" w:rsidRPr="008B6BC5" w14:paraId="1B9E3B1E" w14:textId="77777777" w:rsidTr="00BD3144">
        <w:tc>
          <w:tcPr>
            <w:tcW w:w="1418" w:type="dxa"/>
          </w:tcPr>
          <w:p w14:paraId="6B1A74A6" w14:textId="4B818152" w:rsidR="00A776E7" w:rsidRPr="008B6BC5" w:rsidRDefault="00BD3144" w:rsidP="00A776E7">
            <w:pPr>
              <w:pStyle w:val="NoSpacing"/>
              <w:rPr>
                <w:rFonts w:cs="Times New Roman"/>
                <w:sz w:val="20"/>
                <w:szCs w:val="20"/>
                <w:lang w:val="en-US"/>
              </w:rPr>
            </w:pPr>
            <w:r w:rsidRPr="008B6BC5">
              <w:rPr>
                <w:rFonts w:cs="Times New Roman"/>
                <w:sz w:val="20"/>
                <w:szCs w:val="20"/>
                <w:lang w:val="en-US"/>
              </w:rPr>
              <w:t>16</w:t>
            </w:r>
          </w:p>
        </w:tc>
        <w:tc>
          <w:tcPr>
            <w:tcW w:w="6237" w:type="dxa"/>
          </w:tcPr>
          <w:p w14:paraId="0BB76FED" w14:textId="77777777" w:rsidR="00A776E7" w:rsidRPr="008B6BC5" w:rsidRDefault="00A776E7" w:rsidP="00A776E7">
            <w:pPr>
              <w:pStyle w:val="NoSpacing"/>
              <w:rPr>
                <w:rFonts w:cs="Times New Roman"/>
                <w:sz w:val="20"/>
                <w:szCs w:val="20"/>
                <w:lang w:val="en-US"/>
              </w:rPr>
            </w:pPr>
            <w:r w:rsidRPr="008B6BC5">
              <w:rPr>
                <w:rFonts w:cs="Times New Roman"/>
                <w:sz w:val="20"/>
                <w:szCs w:val="20"/>
                <w:lang w:val="en-US"/>
              </w:rPr>
              <w:t>Engagement analyses indicated that roughly half of users responded to at least a third of prompts during the active period (Hassan et al., 2023).</w:t>
            </w:r>
          </w:p>
          <w:p w14:paraId="4286013B" w14:textId="77777777" w:rsidR="00A776E7" w:rsidRPr="008B6BC5" w:rsidRDefault="00A776E7" w:rsidP="00A776E7">
            <w:pPr>
              <w:pStyle w:val="NoSpacing"/>
              <w:rPr>
                <w:rFonts w:cs="Times New Roman"/>
                <w:sz w:val="20"/>
                <w:szCs w:val="20"/>
                <w:lang w:val="en-US"/>
              </w:rPr>
            </w:pPr>
          </w:p>
        </w:tc>
        <w:tc>
          <w:tcPr>
            <w:tcW w:w="4203" w:type="dxa"/>
          </w:tcPr>
          <w:p w14:paraId="29EA1D1C" w14:textId="6A873CD9" w:rsidR="00A776E7" w:rsidRPr="008B6BC5" w:rsidRDefault="00A776E7" w:rsidP="00A776E7">
            <w:pPr>
              <w:pStyle w:val="NoSpacing"/>
              <w:rPr>
                <w:rFonts w:cs="Times New Roman"/>
                <w:sz w:val="20"/>
                <w:szCs w:val="20"/>
                <w:lang w:val="en-US"/>
              </w:rPr>
            </w:pPr>
            <w:r w:rsidRPr="008B6BC5">
              <w:rPr>
                <w:rFonts w:cs="Times New Roman"/>
                <w:sz w:val="20"/>
                <w:szCs w:val="20"/>
                <w:lang w:val="en-US"/>
              </w:rPr>
              <w:t>https://doi.org/10.1016/j.psychres.2023.115536</w:t>
            </w:r>
          </w:p>
        </w:tc>
        <w:tc>
          <w:tcPr>
            <w:tcW w:w="690" w:type="dxa"/>
          </w:tcPr>
          <w:p w14:paraId="156B8B7F" w14:textId="7AC116F1" w:rsidR="00A776E7" w:rsidRPr="008B6BC5" w:rsidRDefault="00A776E7" w:rsidP="00A776E7">
            <w:pPr>
              <w:pStyle w:val="NoSpacing"/>
              <w:rPr>
                <w:rFonts w:cs="Times New Roman"/>
                <w:sz w:val="20"/>
                <w:szCs w:val="20"/>
                <w:lang w:val="en-US"/>
              </w:rPr>
            </w:pPr>
            <w:r w:rsidRPr="008B6BC5">
              <w:rPr>
                <w:rFonts w:cs="Times New Roman"/>
                <w:sz w:val="20"/>
                <w:szCs w:val="20"/>
                <w:lang w:val="en-US"/>
              </w:rPr>
              <w:t>4</w:t>
            </w:r>
          </w:p>
        </w:tc>
        <w:tc>
          <w:tcPr>
            <w:tcW w:w="3896" w:type="dxa"/>
          </w:tcPr>
          <w:p w14:paraId="59D3562F" w14:textId="5C9A2438" w:rsidR="00A776E7" w:rsidRPr="008B6BC5" w:rsidRDefault="00A776E7" w:rsidP="00A776E7">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A776E7" w:rsidRPr="008B6BC5" w14:paraId="113BA6A4" w14:textId="77777777" w:rsidTr="00BD3144">
        <w:tc>
          <w:tcPr>
            <w:tcW w:w="1418" w:type="dxa"/>
          </w:tcPr>
          <w:p w14:paraId="2B6D67F0" w14:textId="53A8C38C" w:rsidR="00A776E7" w:rsidRPr="008B6BC5" w:rsidRDefault="00BD3144" w:rsidP="00A776E7">
            <w:pPr>
              <w:pStyle w:val="NoSpacing"/>
              <w:rPr>
                <w:rFonts w:cs="Times New Roman"/>
                <w:sz w:val="20"/>
                <w:szCs w:val="20"/>
                <w:lang w:val="en-US"/>
              </w:rPr>
            </w:pPr>
            <w:r w:rsidRPr="008B6BC5">
              <w:rPr>
                <w:rFonts w:cs="Times New Roman"/>
                <w:sz w:val="20"/>
                <w:szCs w:val="20"/>
                <w:lang w:val="en-US"/>
              </w:rPr>
              <w:t>17</w:t>
            </w:r>
          </w:p>
        </w:tc>
        <w:tc>
          <w:tcPr>
            <w:tcW w:w="6237" w:type="dxa"/>
          </w:tcPr>
          <w:p w14:paraId="7CDC97C5" w14:textId="77777777" w:rsidR="00A776E7" w:rsidRPr="008B6BC5" w:rsidRDefault="00A776E7" w:rsidP="00A776E7">
            <w:pPr>
              <w:pStyle w:val="NoSpacing"/>
              <w:rPr>
                <w:rFonts w:cs="Times New Roman"/>
                <w:sz w:val="20"/>
                <w:szCs w:val="20"/>
                <w:lang w:val="en-US"/>
              </w:rPr>
            </w:pPr>
            <w:r w:rsidRPr="008B6BC5">
              <w:rPr>
                <w:rFonts w:cs="Times New Roman"/>
                <w:sz w:val="20"/>
                <w:szCs w:val="20"/>
                <w:lang w:val="en-US"/>
              </w:rPr>
              <w:t xml:space="preserve">The FOCUS pilot study found that 32 of 33 participants completed the one-month intervention, with no phones lost or damaged and no digital-specific adverse events reported (Ben-Zeev et al., 2014). Participants used the app on most days and rated usability and helpfulness highly, with approximately 90% endorsing the system as acceptable (Ben-Zeev et al., 2014). </w:t>
            </w:r>
          </w:p>
          <w:p w14:paraId="1F3922B4" w14:textId="77777777" w:rsidR="00A776E7" w:rsidRPr="008B6BC5" w:rsidRDefault="00A776E7" w:rsidP="00A776E7">
            <w:pPr>
              <w:pStyle w:val="NoSpacing"/>
              <w:rPr>
                <w:rFonts w:cs="Times New Roman"/>
                <w:sz w:val="20"/>
                <w:szCs w:val="20"/>
                <w:lang w:val="en-US"/>
              </w:rPr>
            </w:pPr>
          </w:p>
        </w:tc>
        <w:tc>
          <w:tcPr>
            <w:tcW w:w="4203" w:type="dxa"/>
          </w:tcPr>
          <w:p w14:paraId="6DF515ED" w14:textId="308395B6" w:rsidR="00A776E7" w:rsidRPr="008B6BC5" w:rsidRDefault="00A776E7" w:rsidP="00A776E7">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/sbu033</w:t>
            </w:r>
          </w:p>
        </w:tc>
        <w:tc>
          <w:tcPr>
            <w:tcW w:w="690" w:type="dxa"/>
          </w:tcPr>
          <w:p w14:paraId="6E570A53" w14:textId="06E57BF9" w:rsidR="00A776E7" w:rsidRPr="008B6BC5" w:rsidRDefault="00A776E7" w:rsidP="00A776E7">
            <w:pPr>
              <w:pStyle w:val="NoSpacing"/>
              <w:rPr>
                <w:rFonts w:cs="Times New Roman"/>
                <w:sz w:val="20"/>
                <w:szCs w:val="20"/>
                <w:lang w:val="en-US"/>
              </w:rPr>
            </w:pPr>
            <w:r w:rsidRPr="008B6BC5">
              <w:rPr>
                <w:rFonts w:cs="Times New Roman"/>
                <w:sz w:val="20"/>
                <w:szCs w:val="20"/>
                <w:lang w:val="en-US"/>
              </w:rPr>
              <w:t>1</w:t>
            </w:r>
          </w:p>
        </w:tc>
        <w:tc>
          <w:tcPr>
            <w:tcW w:w="3896" w:type="dxa"/>
          </w:tcPr>
          <w:p w14:paraId="1C33FB47" w14:textId="5B221F92" w:rsidR="00A776E7" w:rsidRPr="008B6BC5" w:rsidRDefault="00640FA2" w:rsidP="00A776E7">
            <w:pPr>
              <w:pStyle w:val="NoSpacing"/>
              <w:rPr>
                <w:rFonts w:cs="Times New Roman"/>
                <w:sz w:val="20"/>
                <w:szCs w:val="20"/>
                <w:lang w:val="en-US"/>
              </w:rPr>
            </w:pPr>
            <w:r w:rsidRPr="008B6BC5">
              <w:rPr>
                <w:rFonts w:cs="Times New Roman"/>
                <w:sz w:val="20"/>
                <w:szCs w:val="20"/>
                <w:lang w:val="en-US"/>
              </w:rPr>
              <w:t xml:space="preserve">The authors reported that the one drop-out did in fact lose 2 phones, contrary to the claim reported here. </w:t>
            </w:r>
          </w:p>
        </w:tc>
      </w:tr>
      <w:tr w:rsidR="001062F8" w:rsidRPr="008B6BC5" w14:paraId="37333042" w14:textId="77777777" w:rsidTr="00BD3144">
        <w:tc>
          <w:tcPr>
            <w:tcW w:w="1418" w:type="dxa"/>
          </w:tcPr>
          <w:p w14:paraId="774EED72" w14:textId="3F846DA8" w:rsidR="001062F8" w:rsidRPr="008B6BC5" w:rsidRDefault="00BD3144" w:rsidP="001062F8">
            <w:pPr>
              <w:pStyle w:val="NoSpacing"/>
              <w:rPr>
                <w:rFonts w:cs="Times New Roman"/>
                <w:sz w:val="20"/>
                <w:szCs w:val="20"/>
                <w:lang w:val="en-US"/>
              </w:rPr>
            </w:pPr>
            <w:r w:rsidRPr="008B6BC5">
              <w:rPr>
                <w:rFonts w:cs="Times New Roman"/>
                <w:sz w:val="20"/>
                <w:szCs w:val="20"/>
                <w:lang w:val="en-US"/>
              </w:rPr>
              <w:t>18</w:t>
            </w:r>
          </w:p>
        </w:tc>
        <w:tc>
          <w:tcPr>
            <w:tcW w:w="6237" w:type="dxa"/>
          </w:tcPr>
          <w:p w14:paraId="16407428" w14:textId="77777777" w:rsidR="001062F8" w:rsidRPr="008B6BC5" w:rsidRDefault="001062F8" w:rsidP="001062F8">
            <w:pPr>
              <w:pStyle w:val="NoSpacing"/>
              <w:rPr>
                <w:rFonts w:cs="Times New Roman"/>
                <w:sz w:val="20"/>
                <w:szCs w:val="20"/>
                <w:lang w:val="en-US"/>
              </w:rPr>
            </w:pPr>
            <w:r w:rsidRPr="008B6BC5">
              <w:rPr>
                <w:rFonts w:cs="Times New Roman"/>
                <w:sz w:val="20"/>
                <w:szCs w:val="20"/>
                <w:lang w:val="en-US"/>
              </w:rPr>
              <w:t>In the later mHealth vs. WRAP RCT, patient satisfaction with both interventions was high, and dropout did not differ significantly between groups (Ben-Zeev et al., 2018).</w:t>
            </w:r>
          </w:p>
          <w:p w14:paraId="29F82600" w14:textId="02400B50" w:rsidR="001062F8" w:rsidRPr="008B6BC5" w:rsidRDefault="001062F8" w:rsidP="001062F8">
            <w:pPr>
              <w:pStyle w:val="NoSpacing"/>
              <w:rPr>
                <w:rFonts w:cs="Times New Roman"/>
                <w:sz w:val="20"/>
                <w:szCs w:val="20"/>
                <w:lang w:val="en-US"/>
              </w:rPr>
            </w:pPr>
          </w:p>
        </w:tc>
        <w:tc>
          <w:tcPr>
            <w:tcW w:w="4203" w:type="dxa"/>
          </w:tcPr>
          <w:p w14:paraId="2FD6A3F2" w14:textId="0AB77771" w:rsidR="001062F8" w:rsidRPr="008B6BC5" w:rsidRDefault="001062F8" w:rsidP="001062F8">
            <w:pPr>
              <w:pStyle w:val="NoSpacing"/>
              <w:rPr>
                <w:rFonts w:cs="Times New Roman"/>
                <w:sz w:val="20"/>
                <w:szCs w:val="20"/>
                <w:lang w:val="en-US"/>
              </w:rPr>
            </w:pPr>
            <w:hyperlink r:id="rId42" w:history="1">
              <w:r w:rsidRPr="008B6BC5">
                <w:rPr>
                  <w:rStyle w:val="Hyperlink"/>
                  <w:rFonts w:cs="Times New Roman"/>
                  <w:sz w:val="20"/>
                  <w:szCs w:val="20"/>
                </w:rPr>
                <w:t>https://doi.org/10.1176/appi.ps.201800063</w:t>
              </w:r>
            </w:hyperlink>
          </w:p>
        </w:tc>
        <w:tc>
          <w:tcPr>
            <w:tcW w:w="690" w:type="dxa"/>
          </w:tcPr>
          <w:p w14:paraId="585C3B80" w14:textId="4138395C" w:rsidR="001062F8" w:rsidRPr="008B6BC5" w:rsidRDefault="001062F8" w:rsidP="001062F8">
            <w:pPr>
              <w:pStyle w:val="NoSpacing"/>
              <w:rPr>
                <w:rFonts w:cs="Times New Roman"/>
                <w:sz w:val="20"/>
                <w:szCs w:val="20"/>
                <w:lang w:val="en-US"/>
              </w:rPr>
            </w:pPr>
            <w:r w:rsidRPr="008B6BC5">
              <w:rPr>
                <w:rFonts w:cs="Times New Roman"/>
                <w:sz w:val="20"/>
                <w:szCs w:val="20"/>
                <w:lang w:val="en-US"/>
              </w:rPr>
              <w:t>4</w:t>
            </w:r>
          </w:p>
        </w:tc>
        <w:tc>
          <w:tcPr>
            <w:tcW w:w="3896" w:type="dxa"/>
          </w:tcPr>
          <w:p w14:paraId="65638D5E" w14:textId="24FD50C5" w:rsidR="001062F8" w:rsidRPr="008B6BC5" w:rsidRDefault="001062F8" w:rsidP="001062F8">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1062F8" w:rsidRPr="008B6BC5" w14:paraId="46281AC1" w14:textId="77777777" w:rsidTr="00BD3144">
        <w:tc>
          <w:tcPr>
            <w:tcW w:w="1418" w:type="dxa"/>
          </w:tcPr>
          <w:p w14:paraId="289877B6" w14:textId="14D34E7C" w:rsidR="001062F8" w:rsidRPr="008B6BC5" w:rsidRDefault="00BD3144" w:rsidP="001062F8">
            <w:pPr>
              <w:pStyle w:val="NoSpacing"/>
              <w:rPr>
                <w:rFonts w:cs="Times New Roman"/>
                <w:sz w:val="20"/>
                <w:szCs w:val="20"/>
                <w:lang w:val="en-US"/>
              </w:rPr>
            </w:pPr>
            <w:r w:rsidRPr="008B6BC5">
              <w:rPr>
                <w:rFonts w:cs="Times New Roman"/>
                <w:sz w:val="20"/>
                <w:szCs w:val="20"/>
                <w:lang w:val="en-US"/>
              </w:rPr>
              <w:t>19</w:t>
            </w:r>
          </w:p>
        </w:tc>
        <w:tc>
          <w:tcPr>
            <w:tcW w:w="6237" w:type="dxa"/>
          </w:tcPr>
          <w:p w14:paraId="0EF488CC" w14:textId="77777777" w:rsidR="001062F8" w:rsidRPr="008B6BC5" w:rsidRDefault="001062F8" w:rsidP="001062F8">
            <w:pPr>
              <w:pStyle w:val="NoSpacing"/>
              <w:rPr>
                <w:rFonts w:cs="Times New Roman"/>
                <w:sz w:val="20"/>
                <w:szCs w:val="20"/>
                <w:lang w:val="en-US"/>
              </w:rPr>
            </w:pPr>
            <w:proofErr w:type="spellStart"/>
            <w:r w:rsidRPr="008B6BC5">
              <w:rPr>
                <w:rFonts w:cs="Times New Roman"/>
                <w:sz w:val="20"/>
                <w:szCs w:val="20"/>
                <w:lang w:val="en-US"/>
              </w:rPr>
              <w:t>Horyzons</w:t>
            </w:r>
            <w:proofErr w:type="spellEnd"/>
            <w:r w:rsidRPr="008B6BC5">
              <w:rPr>
                <w:rFonts w:cs="Times New Roman"/>
                <w:sz w:val="20"/>
                <w:szCs w:val="20"/>
                <w:lang w:val="en-US"/>
              </w:rPr>
              <w:t xml:space="preserve"> likewise demonstrated good tolerability: more than half of participants in the digital arm logged on for at least six months, almost half for nine months, and the intervention did not increase emergency contacts or hospitalizations; in fact, emergency service use was lower than TAU (Alvarez-Jimenez et al., 2021)</w:t>
            </w:r>
          </w:p>
          <w:p w14:paraId="7C354AEB" w14:textId="77777777" w:rsidR="001062F8" w:rsidRPr="008B6BC5" w:rsidRDefault="001062F8" w:rsidP="001062F8">
            <w:pPr>
              <w:pStyle w:val="NoSpacing"/>
              <w:rPr>
                <w:rFonts w:cs="Times New Roman"/>
                <w:sz w:val="20"/>
                <w:szCs w:val="20"/>
                <w:lang w:val="en-US"/>
              </w:rPr>
            </w:pPr>
          </w:p>
        </w:tc>
        <w:tc>
          <w:tcPr>
            <w:tcW w:w="4203" w:type="dxa"/>
          </w:tcPr>
          <w:p w14:paraId="2388165B" w14:textId="299F78FB" w:rsidR="001062F8" w:rsidRPr="008B6BC5" w:rsidRDefault="001062F8" w:rsidP="001062F8">
            <w:pPr>
              <w:pStyle w:val="NoSpacing"/>
              <w:rPr>
                <w:rFonts w:cs="Times New Roman"/>
                <w:sz w:val="20"/>
                <w:szCs w:val="20"/>
                <w:lang w:val="en-US"/>
              </w:rPr>
            </w:pPr>
            <w:r w:rsidRPr="008B6BC5">
              <w:rPr>
                <w:rFonts w:cs="Times New Roman"/>
                <w:sz w:val="20"/>
                <w:szCs w:val="20"/>
                <w:lang w:val="en-US"/>
              </w:rPr>
              <w:t>DOI:10.1002/wps.20858</w:t>
            </w:r>
          </w:p>
        </w:tc>
        <w:tc>
          <w:tcPr>
            <w:tcW w:w="690" w:type="dxa"/>
          </w:tcPr>
          <w:p w14:paraId="36CE53A3" w14:textId="251060F2" w:rsidR="001062F8" w:rsidRPr="008B6BC5" w:rsidRDefault="001062F8" w:rsidP="001062F8">
            <w:pPr>
              <w:pStyle w:val="NoSpacing"/>
              <w:rPr>
                <w:rFonts w:cs="Times New Roman"/>
                <w:sz w:val="20"/>
                <w:szCs w:val="20"/>
                <w:lang w:val="en-US"/>
              </w:rPr>
            </w:pPr>
            <w:r w:rsidRPr="008B6BC5">
              <w:rPr>
                <w:rFonts w:cs="Times New Roman"/>
                <w:sz w:val="20"/>
                <w:szCs w:val="20"/>
                <w:lang w:val="en-US"/>
              </w:rPr>
              <w:t>4</w:t>
            </w:r>
          </w:p>
        </w:tc>
        <w:tc>
          <w:tcPr>
            <w:tcW w:w="3896" w:type="dxa"/>
          </w:tcPr>
          <w:p w14:paraId="246B5EFF" w14:textId="0063F36B" w:rsidR="001062F8" w:rsidRPr="008B6BC5" w:rsidRDefault="001062F8" w:rsidP="001062F8">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1062F8" w:rsidRPr="008B6BC5" w14:paraId="0E794EA3" w14:textId="77777777" w:rsidTr="00BD3144">
        <w:tc>
          <w:tcPr>
            <w:tcW w:w="1418" w:type="dxa"/>
          </w:tcPr>
          <w:p w14:paraId="204EB2E9" w14:textId="2AB43DED" w:rsidR="001062F8" w:rsidRPr="008B6BC5" w:rsidRDefault="00BD3144" w:rsidP="001062F8">
            <w:pPr>
              <w:pStyle w:val="NoSpacing"/>
              <w:rPr>
                <w:rFonts w:cs="Times New Roman"/>
                <w:sz w:val="20"/>
                <w:szCs w:val="20"/>
                <w:lang w:val="en-US"/>
              </w:rPr>
            </w:pPr>
            <w:r w:rsidRPr="008B6BC5">
              <w:rPr>
                <w:rFonts w:cs="Times New Roman"/>
                <w:sz w:val="20"/>
                <w:szCs w:val="20"/>
                <w:lang w:val="en-US"/>
              </w:rPr>
              <w:t>20</w:t>
            </w:r>
          </w:p>
        </w:tc>
        <w:tc>
          <w:tcPr>
            <w:tcW w:w="6237" w:type="dxa"/>
          </w:tcPr>
          <w:p w14:paraId="39F0FFD8" w14:textId="77777777" w:rsidR="001062F8" w:rsidRPr="008B6BC5" w:rsidRDefault="001062F8" w:rsidP="001062F8">
            <w:pPr>
              <w:pStyle w:val="NoSpacing"/>
              <w:rPr>
                <w:rFonts w:cs="Times New Roman"/>
                <w:sz w:val="20"/>
                <w:szCs w:val="20"/>
                <w:lang w:val="en-US"/>
              </w:rPr>
            </w:pPr>
            <w:proofErr w:type="spellStart"/>
            <w:r w:rsidRPr="008B6BC5">
              <w:rPr>
                <w:rFonts w:cs="Times New Roman"/>
                <w:sz w:val="20"/>
                <w:szCs w:val="20"/>
                <w:lang w:val="en-US"/>
              </w:rPr>
              <w:t>Horyzons</w:t>
            </w:r>
            <w:proofErr w:type="spellEnd"/>
            <w:r w:rsidRPr="008B6BC5">
              <w:rPr>
                <w:rFonts w:cs="Times New Roman"/>
                <w:sz w:val="20"/>
                <w:szCs w:val="20"/>
                <w:lang w:val="en-US"/>
              </w:rPr>
              <w:t xml:space="preserve">-Canada similarly reported high acceptability and no safety concerns across its pilot phases (Lal et al., 2023). </w:t>
            </w:r>
          </w:p>
          <w:p w14:paraId="53B1EBAA" w14:textId="77777777" w:rsidR="001062F8" w:rsidRPr="008B6BC5" w:rsidRDefault="001062F8" w:rsidP="001062F8">
            <w:pPr>
              <w:pStyle w:val="NoSpacing"/>
              <w:rPr>
                <w:rFonts w:cs="Times New Roman"/>
                <w:sz w:val="20"/>
                <w:szCs w:val="20"/>
                <w:lang w:val="en-US"/>
              </w:rPr>
            </w:pPr>
          </w:p>
        </w:tc>
        <w:tc>
          <w:tcPr>
            <w:tcW w:w="4203" w:type="dxa"/>
          </w:tcPr>
          <w:p w14:paraId="6BAAB1EC" w14:textId="0D96EEA0" w:rsidR="001062F8" w:rsidRPr="008B6BC5" w:rsidRDefault="001062F8" w:rsidP="001062F8">
            <w:pPr>
              <w:pStyle w:val="NoSpacing"/>
              <w:rPr>
                <w:rFonts w:cs="Times New Roman"/>
                <w:sz w:val="20"/>
                <w:szCs w:val="20"/>
                <w:lang w:val="en-US"/>
              </w:rPr>
            </w:pPr>
            <w:r w:rsidRPr="008B6BC5">
              <w:rPr>
                <w:rFonts w:cs="Times New Roman"/>
                <w:sz w:val="20"/>
                <w:szCs w:val="20"/>
                <w:lang w:val="en-US"/>
              </w:rPr>
              <w:t>https://doi.org/10.1038/s41537-023-00352-1</w:t>
            </w:r>
          </w:p>
        </w:tc>
        <w:tc>
          <w:tcPr>
            <w:tcW w:w="690" w:type="dxa"/>
          </w:tcPr>
          <w:p w14:paraId="0E788A6C" w14:textId="157DF8A3" w:rsidR="001062F8" w:rsidRPr="008B6BC5" w:rsidRDefault="001062F8" w:rsidP="001062F8">
            <w:pPr>
              <w:pStyle w:val="NoSpacing"/>
              <w:rPr>
                <w:rFonts w:cs="Times New Roman"/>
                <w:sz w:val="20"/>
                <w:szCs w:val="20"/>
                <w:lang w:val="en-US"/>
              </w:rPr>
            </w:pPr>
            <w:r w:rsidRPr="008B6BC5">
              <w:rPr>
                <w:rFonts w:cs="Times New Roman"/>
                <w:sz w:val="20"/>
                <w:szCs w:val="20"/>
                <w:lang w:val="en-US"/>
              </w:rPr>
              <w:t>4</w:t>
            </w:r>
          </w:p>
        </w:tc>
        <w:tc>
          <w:tcPr>
            <w:tcW w:w="3896" w:type="dxa"/>
          </w:tcPr>
          <w:p w14:paraId="41630310" w14:textId="1CB83180" w:rsidR="001062F8" w:rsidRPr="008B6BC5" w:rsidRDefault="001062F8" w:rsidP="001062F8">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1062F8" w:rsidRPr="008B6BC5" w14:paraId="532ADE07" w14:textId="77777777" w:rsidTr="00BD3144">
        <w:tc>
          <w:tcPr>
            <w:tcW w:w="1418" w:type="dxa"/>
          </w:tcPr>
          <w:p w14:paraId="5ECA842D" w14:textId="41CD7D03" w:rsidR="001062F8" w:rsidRPr="008B6BC5" w:rsidRDefault="00BD3144" w:rsidP="001062F8">
            <w:pPr>
              <w:pStyle w:val="NoSpacing"/>
              <w:rPr>
                <w:rFonts w:cs="Times New Roman"/>
                <w:sz w:val="20"/>
                <w:szCs w:val="20"/>
                <w:lang w:val="en-US"/>
              </w:rPr>
            </w:pPr>
            <w:r w:rsidRPr="008B6BC5">
              <w:rPr>
                <w:rFonts w:cs="Times New Roman"/>
                <w:sz w:val="20"/>
                <w:szCs w:val="20"/>
                <w:lang w:val="en-US"/>
              </w:rPr>
              <w:lastRenderedPageBreak/>
              <w:t>21</w:t>
            </w:r>
          </w:p>
        </w:tc>
        <w:tc>
          <w:tcPr>
            <w:tcW w:w="6237" w:type="dxa"/>
          </w:tcPr>
          <w:p w14:paraId="2026C0E6" w14:textId="2BBE262B" w:rsidR="001062F8" w:rsidRPr="008B6BC5" w:rsidRDefault="001062F8" w:rsidP="001062F8">
            <w:pPr>
              <w:pStyle w:val="NoSpacing"/>
              <w:rPr>
                <w:rFonts w:cs="Times New Roman"/>
                <w:sz w:val="20"/>
                <w:szCs w:val="20"/>
                <w:lang w:val="en-US"/>
              </w:rPr>
            </w:pPr>
            <w:r w:rsidRPr="008B6BC5">
              <w:rPr>
                <w:rFonts w:cs="Times New Roman"/>
                <w:sz w:val="20"/>
                <w:szCs w:val="20"/>
                <w:lang w:val="en-US"/>
              </w:rPr>
              <w:t>The fully remote CORE trial showed that it is feasible to recruit, randomize, and treat individuals with serious mental illness entirely online, although attrition was substantial (Ben-Zeev et al., 2021).</w:t>
            </w:r>
          </w:p>
          <w:p w14:paraId="1A3D9EB2" w14:textId="67C70BDB" w:rsidR="001062F8" w:rsidRPr="008B6BC5" w:rsidRDefault="001062F8" w:rsidP="001062F8">
            <w:pPr>
              <w:pStyle w:val="NoSpacing"/>
              <w:rPr>
                <w:rFonts w:cs="Times New Roman"/>
                <w:sz w:val="20"/>
                <w:szCs w:val="20"/>
                <w:lang w:val="en-US"/>
              </w:rPr>
            </w:pPr>
          </w:p>
        </w:tc>
        <w:tc>
          <w:tcPr>
            <w:tcW w:w="4203" w:type="dxa"/>
          </w:tcPr>
          <w:p w14:paraId="48FDDF2A" w14:textId="0014BFAF" w:rsidR="001062F8" w:rsidRPr="008B6BC5" w:rsidRDefault="001062F8" w:rsidP="001062F8">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10.2196/29201</w:t>
            </w:r>
          </w:p>
        </w:tc>
        <w:tc>
          <w:tcPr>
            <w:tcW w:w="690" w:type="dxa"/>
          </w:tcPr>
          <w:p w14:paraId="4E67398E" w14:textId="614FCAC1" w:rsidR="001062F8" w:rsidRPr="008B6BC5" w:rsidRDefault="001062F8" w:rsidP="001062F8">
            <w:pPr>
              <w:pStyle w:val="NoSpacing"/>
              <w:rPr>
                <w:rFonts w:cs="Times New Roman"/>
                <w:sz w:val="20"/>
                <w:szCs w:val="20"/>
                <w:lang w:val="en-US"/>
              </w:rPr>
            </w:pPr>
            <w:r w:rsidRPr="008B6BC5">
              <w:rPr>
                <w:rFonts w:cs="Times New Roman"/>
                <w:sz w:val="20"/>
                <w:szCs w:val="20"/>
                <w:lang w:val="en-US"/>
              </w:rPr>
              <w:t>4</w:t>
            </w:r>
          </w:p>
        </w:tc>
        <w:tc>
          <w:tcPr>
            <w:tcW w:w="3896" w:type="dxa"/>
          </w:tcPr>
          <w:p w14:paraId="6917DA9E" w14:textId="4D223690" w:rsidR="001062F8" w:rsidRPr="008B6BC5" w:rsidRDefault="001062F8" w:rsidP="001062F8">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A776E7" w:rsidRPr="008B6BC5" w14:paraId="553FDB1F" w14:textId="77777777" w:rsidTr="00BD3144">
        <w:tc>
          <w:tcPr>
            <w:tcW w:w="1418" w:type="dxa"/>
          </w:tcPr>
          <w:p w14:paraId="3B1B6632" w14:textId="0912F27A" w:rsidR="00A776E7" w:rsidRPr="008B6BC5" w:rsidRDefault="00BD3144" w:rsidP="00A776E7">
            <w:pPr>
              <w:pStyle w:val="NoSpacing"/>
              <w:rPr>
                <w:rFonts w:cs="Times New Roman"/>
                <w:sz w:val="20"/>
                <w:szCs w:val="20"/>
                <w:lang w:val="en-US"/>
              </w:rPr>
            </w:pPr>
            <w:r w:rsidRPr="008B6BC5">
              <w:rPr>
                <w:rFonts w:cs="Times New Roman"/>
                <w:sz w:val="20"/>
                <w:szCs w:val="20"/>
                <w:lang w:val="en-US"/>
              </w:rPr>
              <w:t>22</w:t>
            </w:r>
          </w:p>
        </w:tc>
        <w:tc>
          <w:tcPr>
            <w:tcW w:w="6237" w:type="dxa"/>
          </w:tcPr>
          <w:p w14:paraId="252C5512" w14:textId="38CB1BEF" w:rsidR="00A776E7" w:rsidRPr="008B6BC5" w:rsidRDefault="00A776E7" w:rsidP="00A776E7">
            <w:pPr>
              <w:pStyle w:val="NoSpacing"/>
              <w:rPr>
                <w:rFonts w:cs="Times New Roman"/>
                <w:sz w:val="20"/>
                <w:szCs w:val="20"/>
                <w:lang w:val="en-US"/>
              </w:rPr>
            </w:pPr>
            <w:r w:rsidRPr="008B6BC5">
              <w:rPr>
                <w:rFonts w:cs="Times New Roman"/>
                <w:sz w:val="20"/>
                <w:szCs w:val="20"/>
                <w:lang w:val="en-US"/>
              </w:rPr>
              <w:t>However, engagement is variable and often suboptimal, and adverse events and suicidality are inconsistently monitored and reported (</w:t>
            </w:r>
            <w:proofErr w:type="spellStart"/>
            <w:r w:rsidRPr="008B6BC5">
              <w:rPr>
                <w:rFonts w:cs="Times New Roman"/>
                <w:sz w:val="20"/>
                <w:szCs w:val="20"/>
                <w:lang w:val="en-US"/>
              </w:rPr>
              <w:t>Arnautovska</w:t>
            </w:r>
            <w:proofErr w:type="spellEnd"/>
            <w:r w:rsidRPr="008B6BC5">
              <w:rPr>
                <w:rFonts w:cs="Times New Roman"/>
                <w:sz w:val="20"/>
                <w:szCs w:val="20"/>
                <w:lang w:val="en-US"/>
              </w:rPr>
              <w:t xml:space="preserve"> et al., 2025).</w:t>
            </w:r>
          </w:p>
        </w:tc>
        <w:tc>
          <w:tcPr>
            <w:tcW w:w="4203" w:type="dxa"/>
          </w:tcPr>
          <w:p w14:paraId="30C86344" w14:textId="4110191C" w:rsidR="00A776E7" w:rsidRPr="008B6BC5" w:rsidRDefault="00A776E7" w:rsidP="00A776E7">
            <w:pPr>
              <w:pStyle w:val="NoSpacing"/>
              <w:rPr>
                <w:rFonts w:cs="Times New Roman"/>
                <w:sz w:val="20"/>
                <w:szCs w:val="20"/>
                <w:lang w:val="en-US"/>
              </w:rPr>
            </w:pPr>
            <w:r w:rsidRPr="008B6BC5">
              <w:rPr>
                <w:rFonts w:cs="Times New Roman"/>
                <w:sz w:val="20"/>
                <w:szCs w:val="20"/>
                <w:lang w:val="en-US"/>
              </w:rPr>
              <w:t>https://doi.org/10.1093/schbul/sbae143</w:t>
            </w:r>
          </w:p>
        </w:tc>
        <w:tc>
          <w:tcPr>
            <w:tcW w:w="690" w:type="dxa"/>
          </w:tcPr>
          <w:p w14:paraId="1294E55F" w14:textId="6D782A76" w:rsidR="00A776E7" w:rsidRPr="008B6BC5" w:rsidRDefault="001062F8" w:rsidP="00A776E7">
            <w:pPr>
              <w:pStyle w:val="NoSpacing"/>
              <w:rPr>
                <w:rFonts w:cs="Times New Roman"/>
                <w:sz w:val="20"/>
                <w:szCs w:val="20"/>
                <w:lang w:val="en-US"/>
              </w:rPr>
            </w:pPr>
            <w:r w:rsidRPr="008B6BC5">
              <w:rPr>
                <w:rFonts w:cs="Times New Roman"/>
                <w:sz w:val="20"/>
                <w:szCs w:val="20"/>
                <w:lang w:val="en-US"/>
              </w:rPr>
              <w:t>1</w:t>
            </w:r>
          </w:p>
        </w:tc>
        <w:tc>
          <w:tcPr>
            <w:tcW w:w="3896" w:type="dxa"/>
          </w:tcPr>
          <w:p w14:paraId="753033CB" w14:textId="47715119" w:rsidR="00A776E7" w:rsidRPr="008B6BC5" w:rsidRDefault="00F121B2" w:rsidP="00A776E7">
            <w:pPr>
              <w:pStyle w:val="NoSpacing"/>
              <w:rPr>
                <w:rFonts w:cs="Times New Roman"/>
                <w:sz w:val="20"/>
                <w:szCs w:val="20"/>
                <w:lang w:val="en-US"/>
              </w:rPr>
            </w:pPr>
            <w:r w:rsidRPr="008B6BC5">
              <w:rPr>
                <w:rFonts w:cs="Times New Roman"/>
                <w:sz w:val="20"/>
                <w:szCs w:val="20"/>
                <w:lang w:val="en-US"/>
              </w:rPr>
              <w:t xml:space="preserve">This paper does not mention, report or analyze AEs or suicidality. </w:t>
            </w:r>
          </w:p>
        </w:tc>
      </w:tr>
      <w:tr w:rsidR="00BD3144" w:rsidRPr="008B6BC5" w14:paraId="2789F9D3" w14:textId="77777777" w:rsidTr="00BD3144">
        <w:tc>
          <w:tcPr>
            <w:tcW w:w="1418" w:type="dxa"/>
          </w:tcPr>
          <w:p w14:paraId="3A2FA4E7" w14:textId="25471DE2" w:rsidR="00BD3144" w:rsidRPr="008B6BC5" w:rsidRDefault="00BD3144" w:rsidP="00A776E7">
            <w:pPr>
              <w:pStyle w:val="NoSpacing"/>
              <w:rPr>
                <w:rFonts w:cs="Times New Roman"/>
                <w:sz w:val="20"/>
                <w:szCs w:val="20"/>
                <w:lang w:val="en-US"/>
              </w:rPr>
            </w:pPr>
            <w:r w:rsidRPr="008B6BC5">
              <w:rPr>
                <w:rFonts w:cs="Times New Roman"/>
                <w:sz w:val="20"/>
                <w:szCs w:val="20"/>
                <w:lang w:val="en-US"/>
              </w:rPr>
              <w:t>Psychotherapy</w:t>
            </w:r>
          </w:p>
        </w:tc>
        <w:tc>
          <w:tcPr>
            <w:tcW w:w="6237" w:type="dxa"/>
          </w:tcPr>
          <w:p w14:paraId="50D6059D" w14:textId="77777777" w:rsidR="00BD3144" w:rsidRPr="008B6BC5" w:rsidRDefault="00BD3144" w:rsidP="00A776E7">
            <w:pPr>
              <w:pStyle w:val="NoSpacing"/>
              <w:rPr>
                <w:rFonts w:cs="Times New Roman"/>
                <w:sz w:val="20"/>
                <w:szCs w:val="20"/>
                <w:lang w:val="en-US"/>
              </w:rPr>
            </w:pPr>
          </w:p>
        </w:tc>
        <w:tc>
          <w:tcPr>
            <w:tcW w:w="4203" w:type="dxa"/>
          </w:tcPr>
          <w:p w14:paraId="3DA22DC1" w14:textId="77777777" w:rsidR="00BD3144" w:rsidRPr="008B6BC5" w:rsidRDefault="00BD3144" w:rsidP="00A776E7">
            <w:pPr>
              <w:pStyle w:val="NoSpacing"/>
              <w:rPr>
                <w:rFonts w:cs="Times New Roman"/>
                <w:sz w:val="20"/>
                <w:szCs w:val="20"/>
                <w:lang w:val="en-US"/>
              </w:rPr>
            </w:pPr>
          </w:p>
        </w:tc>
        <w:tc>
          <w:tcPr>
            <w:tcW w:w="690" w:type="dxa"/>
          </w:tcPr>
          <w:p w14:paraId="11C2172A" w14:textId="77777777" w:rsidR="00BD3144" w:rsidRPr="008B6BC5" w:rsidRDefault="00BD3144" w:rsidP="00A776E7">
            <w:pPr>
              <w:pStyle w:val="NoSpacing"/>
              <w:rPr>
                <w:rFonts w:cs="Times New Roman"/>
                <w:sz w:val="20"/>
                <w:szCs w:val="20"/>
                <w:lang w:val="en-US"/>
              </w:rPr>
            </w:pPr>
          </w:p>
        </w:tc>
        <w:tc>
          <w:tcPr>
            <w:tcW w:w="3896" w:type="dxa"/>
          </w:tcPr>
          <w:p w14:paraId="5DFF55C3" w14:textId="77777777" w:rsidR="00BD3144" w:rsidRPr="008B6BC5" w:rsidRDefault="00BD3144" w:rsidP="00A776E7">
            <w:pPr>
              <w:pStyle w:val="NoSpacing"/>
              <w:rPr>
                <w:rFonts w:cs="Times New Roman"/>
                <w:sz w:val="20"/>
                <w:szCs w:val="20"/>
                <w:lang w:val="en-US"/>
              </w:rPr>
            </w:pPr>
          </w:p>
        </w:tc>
      </w:tr>
      <w:tr w:rsidR="005329CB" w:rsidRPr="008B6BC5" w14:paraId="362EBB9A" w14:textId="77777777" w:rsidTr="00BD3144">
        <w:tc>
          <w:tcPr>
            <w:tcW w:w="1418" w:type="dxa"/>
          </w:tcPr>
          <w:p w14:paraId="2E948B56" w14:textId="4FA6D0D9" w:rsidR="005329CB" w:rsidRPr="008B6BC5" w:rsidRDefault="00BD3144" w:rsidP="005329CB">
            <w:pPr>
              <w:pStyle w:val="NoSpacing"/>
              <w:rPr>
                <w:rFonts w:cs="Times New Roman"/>
                <w:sz w:val="20"/>
                <w:szCs w:val="20"/>
                <w:lang w:val="en-US"/>
              </w:rPr>
            </w:pPr>
            <w:r w:rsidRPr="008B6BC5">
              <w:rPr>
                <w:rFonts w:cs="Times New Roman"/>
                <w:sz w:val="20"/>
                <w:szCs w:val="20"/>
                <w:lang w:val="en-US"/>
              </w:rPr>
              <w:t>1</w:t>
            </w:r>
          </w:p>
        </w:tc>
        <w:tc>
          <w:tcPr>
            <w:tcW w:w="6237" w:type="dxa"/>
          </w:tcPr>
          <w:p w14:paraId="433AFCC1" w14:textId="77777777" w:rsidR="005329CB" w:rsidRPr="008B6BC5" w:rsidRDefault="005329CB" w:rsidP="005329CB">
            <w:pPr>
              <w:pStyle w:val="NoSpacing"/>
              <w:rPr>
                <w:rFonts w:cs="Times New Roman"/>
                <w:sz w:val="20"/>
                <w:szCs w:val="20"/>
                <w:lang w:val="en-US"/>
              </w:rPr>
            </w:pPr>
            <w:r w:rsidRPr="008B6BC5">
              <w:rPr>
                <w:rFonts w:cs="Times New Roman"/>
                <w:sz w:val="20"/>
                <w:szCs w:val="20"/>
                <w:lang w:val="en-US"/>
              </w:rPr>
              <w:t xml:space="preserve">A landmark meta-analysis of 34 RCTs (n ≈ 3,000) found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superior to control conditions (treatment-as-usual, TAU, or inactive controls such as befriending or waitlist) for overall symptoms (SMD = −0.33, 95% CI −0.47 to −0.19), positive symptoms (SMD = −0.25), and to a lesser extent negative symptoms (SMD = −0.13) (Jauhar et al., 2014). Effect sizes decreased when only blinded outcomes were considered (overall symptoms SMD ≈ −0.15), highlighting risk-of-bias issues.</w:t>
            </w:r>
          </w:p>
          <w:p w14:paraId="1B23355E" w14:textId="76B2B4AA" w:rsidR="005329CB" w:rsidRPr="008B6BC5" w:rsidRDefault="005329CB" w:rsidP="005329CB">
            <w:pPr>
              <w:pStyle w:val="NoSpacing"/>
              <w:rPr>
                <w:rFonts w:cs="Times New Roman"/>
                <w:sz w:val="20"/>
                <w:szCs w:val="20"/>
                <w:lang w:val="en-US"/>
              </w:rPr>
            </w:pPr>
          </w:p>
          <w:p w14:paraId="335F555A" w14:textId="72700F34" w:rsidR="005329CB" w:rsidRPr="008B6BC5" w:rsidRDefault="005329CB" w:rsidP="005329CB">
            <w:pPr>
              <w:pStyle w:val="NoSpacing"/>
              <w:rPr>
                <w:rFonts w:cs="Times New Roman"/>
                <w:sz w:val="20"/>
                <w:szCs w:val="20"/>
                <w:lang w:val="en-US"/>
              </w:rPr>
            </w:pPr>
          </w:p>
        </w:tc>
        <w:tc>
          <w:tcPr>
            <w:tcW w:w="4203" w:type="dxa"/>
          </w:tcPr>
          <w:p w14:paraId="6B5A26AC" w14:textId="10397AA2" w:rsidR="005329CB" w:rsidRPr="008B6BC5" w:rsidRDefault="005329CB" w:rsidP="005329CB">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10.1192/bjp.bp.112.116285</w:t>
            </w:r>
          </w:p>
        </w:tc>
        <w:tc>
          <w:tcPr>
            <w:tcW w:w="690" w:type="dxa"/>
          </w:tcPr>
          <w:p w14:paraId="7C8A9189" w14:textId="3255341C" w:rsidR="005329CB" w:rsidRPr="008B6BC5" w:rsidRDefault="005329CB" w:rsidP="005329CB">
            <w:pPr>
              <w:pStyle w:val="NoSpacing"/>
              <w:rPr>
                <w:rFonts w:cs="Times New Roman"/>
                <w:sz w:val="20"/>
                <w:szCs w:val="20"/>
                <w:lang w:val="en-US"/>
              </w:rPr>
            </w:pPr>
            <w:r w:rsidRPr="008B6BC5">
              <w:rPr>
                <w:rFonts w:cs="Times New Roman"/>
                <w:sz w:val="20"/>
                <w:szCs w:val="20"/>
                <w:lang w:val="en-US"/>
              </w:rPr>
              <w:t>4</w:t>
            </w:r>
          </w:p>
        </w:tc>
        <w:tc>
          <w:tcPr>
            <w:tcW w:w="3896" w:type="dxa"/>
          </w:tcPr>
          <w:p w14:paraId="6AFE3B1D" w14:textId="09BCD950" w:rsidR="005329CB" w:rsidRPr="008B6BC5" w:rsidRDefault="005329CB" w:rsidP="005329C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329CB" w:rsidRPr="008B6BC5" w14:paraId="5A133585" w14:textId="77777777" w:rsidTr="00BD3144">
        <w:tc>
          <w:tcPr>
            <w:tcW w:w="1418" w:type="dxa"/>
          </w:tcPr>
          <w:p w14:paraId="39DFC45C" w14:textId="4DA6EB86" w:rsidR="005329CB" w:rsidRPr="008B6BC5" w:rsidRDefault="00BD3144" w:rsidP="005329CB">
            <w:pPr>
              <w:pStyle w:val="NoSpacing"/>
              <w:rPr>
                <w:rFonts w:cs="Times New Roman"/>
                <w:sz w:val="20"/>
                <w:szCs w:val="20"/>
                <w:lang w:val="en-US"/>
              </w:rPr>
            </w:pPr>
            <w:r w:rsidRPr="008B6BC5">
              <w:rPr>
                <w:rFonts w:cs="Times New Roman"/>
                <w:sz w:val="20"/>
                <w:szCs w:val="20"/>
                <w:lang w:val="en-US"/>
              </w:rPr>
              <w:t>2</w:t>
            </w:r>
          </w:p>
        </w:tc>
        <w:tc>
          <w:tcPr>
            <w:tcW w:w="6237" w:type="dxa"/>
          </w:tcPr>
          <w:p w14:paraId="4FE44B0C" w14:textId="77777777" w:rsidR="005329CB" w:rsidRPr="008B6BC5" w:rsidRDefault="005329CB" w:rsidP="005329CB">
            <w:pPr>
              <w:pStyle w:val="NoSpacing"/>
              <w:rPr>
                <w:rFonts w:cs="Times New Roman"/>
                <w:sz w:val="20"/>
                <w:szCs w:val="20"/>
                <w:lang w:val="en-US"/>
              </w:rPr>
            </w:pPr>
            <w:r w:rsidRPr="008B6BC5">
              <w:rPr>
                <w:rFonts w:cs="Times New Roman"/>
                <w:sz w:val="20"/>
                <w:szCs w:val="20"/>
                <w:lang w:val="en-US"/>
              </w:rPr>
              <w:t xml:space="preserve">A large network meta-analysis of 53 RCTs (n = 4,068) in adults with schizophrenia receiving antipsychotics showed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reduced positive symptoms compared with inactive control (SMD = −0.29, 95% CI −0.55 to −0.03), TAU (SMD = −0.30, 95% CI −0.45 to −0.14), and supportive therapy (SMD = −0.47, 95% CI −0.91 to −0.03) (</w:t>
            </w:r>
            <w:proofErr w:type="spellStart"/>
            <w:r w:rsidRPr="008B6BC5">
              <w:rPr>
                <w:rFonts w:cs="Times New Roman"/>
                <w:sz w:val="20"/>
                <w:szCs w:val="20"/>
                <w:lang w:val="en-US"/>
              </w:rPr>
              <w:t>Bighelli</w:t>
            </w:r>
            <w:proofErr w:type="spellEnd"/>
            <w:r w:rsidRPr="008B6BC5">
              <w:rPr>
                <w:rFonts w:cs="Times New Roman"/>
                <w:sz w:val="20"/>
                <w:szCs w:val="20"/>
                <w:lang w:val="en-US"/>
              </w:rPr>
              <w:t xml:space="preserve"> et al., 2018). </w:t>
            </w:r>
          </w:p>
          <w:p w14:paraId="45E57356" w14:textId="77777777" w:rsidR="005329CB" w:rsidRPr="008B6BC5" w:rsidRDefault="005329CB" w:rsidP="005329CB">
            <w:pPr>
              <w:pStyle w:val="NoSpacing"/>
              <w:rPr>
                <w:rFonts w:cs="Times New Roman"/>
                <w:sz w:val="20"/>
                <w:szCs w:val="20"/>
                <w:lang w:val="en-US"/>
              </w:rPr>
            </w:pPr>
          </w:p>
        </w:tc>
        <w:tc>
          <w:tcPr>
            <w:tcW w:w="4203" w:type="dxa"/>
          </w:tcPr>
          <w:p w14:paraId="0E86716D" w14:textId="6129F2E7" w:rsidR="005329CB" w:rsidRPr="008B6BC5" w:rsidRDefault="005329CB" w:rsidP="005329CB">
            <w:pPr>
              <w:pStyle w:val="NoSpacing"/>
              <w:rPr>
                <w:rFonts w:cs="Times New Roman"/>
                <w:sz w:val="20"/>
                <w:szCs w:val="20"/>
                <w:lang w:val="en-US"/>
              </w:rPr>
            </w:pPr>
            <w:r w:rsidRPr="008B6BC5">
              <w:rPr>
                <w:rFonts w:cs="Times New Roman"/>
                <w:sz w:val="20"/>
                <w:szCs w:val="20"/>
                <w:lang w:val="en-US"/>
              </w:rPr>
              <w:t>DOI:10.1002/wps.20577</w:t>
            </w:r>
          </w:p>
        </w:tc>
        <w:tc>
          <w:tcPr>
            <w:tcW w:w="690" w:type="dxa"/>
          </w:tcPr>
          <w:p w14:paraId="56BA2B80" w14:textId="590F11BF" w:rsidR="005329CB" w:rsidRPr="008B6BC5" w:rsidRDefault="005329CB" w:rsidP="005329CB">
            <w:pPr>
              <w:pStyle w:val="NoSpacing"/>
              <w:rPr>
                <w:rFonts w:cs="Times New Roman"/>
                <w:sz w:val="20"/>
                <w:szCs w:val="20"/>
                <w:lang w:val="en-US"/>
              </w:rPr>
            </w:pPr>
            <w:r w:rsidRPr="008B6BC5">
              <w:rPr>
                <w:rFonts w:cs="Times New Roman"/>
                <w:sz w:val="20"/>
                <w:szCs w:val="20"/>
                <w:lang w:val="en-US"/>
              </w:rPr>
              <w:t>4</w:t>
            </w:r>
          </w:p>
        </w:tc>
        <w:tc>
          <w:tcPr>
            <w:tcW w:w="3896" w:type="dxa"/>
          </w:tcPr>
          <w:p w14:paraId="3F23C396" w14:textId="3228BB35" w:rsidR="005329CB" w:rsidRPr="008B6BC5" w:rsidRDefault="005329CB" w:rsidP="005329C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C59BC" w:rsidRPr="008B6BC5" w14:paraId="2D1668B4" w14:textId="77777777" w:rsidTr="00BD3144">
        <w:tc>
          <w:tcPr>
            <w:tcW w:w="1418" w:type="dxa"/>
          </w:tcPr>
          <w:p w14:paraId="2DF91BF7" w14:textId="17A65397" w:rsidR="00BC59BC" w:rsidRPr="008B6BC5" w:rsidRDefault="00BD3144" w:rsidP="00BC59BC">
            <w:pPr>
              <w:pStyle w:val="NoSpacing"/>
              <w:rPr>
                <w:rFonts w:cs="Times New Roman"/>
                <w:sz w:val="20"/>
                <w:szCs w:val="20"/>
                <w:lang w:val="en-US"/>
              </w:rPr>
            </w:pPr>
            <w:r w:rsidRPr="008B6BC5">
              <w:rPr>
                <w:rFonts w:cs="Times New Roman"/>
                <w:sz w:val="20"/>
                <w:szCs w:val="20"/>
                <w:lang w:val="en-US"/>
              </w:rPr>
              <w:t>3</w:t>
            </w:r>
          </w:p>
        </w:tc>
        <w:tc>
          <w:tcPr>
            <w:tcW w:w="6237" w:type="dxa"/>
          </w:tcPr>
          <w:p w14:paraId="37ED559D" w14:textId="77777777" w:rsidR="00BC59BC" w:rsidRPr="008B6BC5" w:rsidRDefault="00BC59BC" w:rsidP="00BC59BC">
            <w:pPr>
              <w:pStyle w:val="NoSpacing"/>
              <w:rPr>
                <w:rFonts w:cs="Times New Roman"/>
                <w:sz w:val="20"/>
                <w:szCs w:val="20"/>
                <w:lang w:val="en-US"/>
              </w:rPr>
            </w:pPr>
            <w:r w:rsidRPr="008B6BC5">
              <w:rPr>
                <w:rFonts w:cs="Times New Roman"/>
                <w:sz w:val="20"/>
                <w:szCs w:val="20"/>
                <w:lang w:val="en-US"/>
              </w:rPr>
              <w:t xml:space="preserve">A companion analysis focusing on functioning (58 RCTs; n = 5,048) found psychological interventions overall improved functioning versus control (SMD = −0.37, 95% CI −0.49 to −0.25);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specifically showed SMD = −0.26 (95% CI −0.39 to −0.12) and third-wave CBT (e.g., mindfulness, acceptance/compassion-focused) SMD = −0.60 (</w:t>
            </w:r>
            <w:proofErr w:type="spellStart"/>
            <w:r w:rsidRPr="008B6BC5">
              <w:rPr>
                <w:rFonts w:cs="Times New Roman"/>
                <w:sz w:val="20"/>
                <w:szCs w:val="20"/>
                <w:lang w:val="en-US"/>
              </w:rPr>
              <w:t>Bighelli</w:t>
            </w:r>
            <w:proofErr w:type="spellEnd"/>
            <w:r w:rsidRPr="008B6BC5">
              <w:rPr>
                <w:rFonts w:cs="Times New Roman"/>
                <w:sz w:val="20"/>
                <w:szCs w:val="20"/>
                <w:lang w:val="en-US"/>
              </w:rPr>
              <w:t xml:space="preserve"> et al., 2023).</w:t>
            </w:r>
          </w:p>
          <w:p w14:paraId="48B294BE" w14:textId="19E9EEB3" w:rsidR="00BC59BC" w:rsidRPr="008B6BC5" w:rsidRDefault="00BC59BC" w:rsidP="00BC59BC">
            <w:pPr>
              <w:pStyle w:val="NoSpacing"/>
              <w:rPr>
                <w:rFonts w:cs="Times New Roman"/>
                <w:sz w:val="20"/>
                <w:szCs w:val="20"/>
                <w:lang w:val="en-US"/>
              </w:rPr>
            </w:pPr>
          </w:p>
        </w:tc>
        <w:tc>
          <w:tcPr>
            <w:tcW w:w="4203" w:type="dxa"/>
          </w:tcPr>
          <w:p w14:paraId="060117D7" w14:textId="2858A7B2" w:rsidR="00BC59BC" w:rsidRPr="008B6BC5" w:rsidRDefault="00BC59BC" w:rsidP="00BC59BC">
            <w:pPr>
              <w:pStyle w:val="NoSpacing"/>
              <w:rPr>
                <w:rFonts w:cs="Times New Roman"/>
                <w:sz w:val="20"/>
                <w:szCs w:val="20"/>
                <w:lang w:val="en-US"/>
              </w:rPr>
            </w:pPr>
            <w:r w:rsidRPr="008B6BC5">
              <w:rPr>
                <w:rFonts w:cs="Times New Roman"/>
                <w:sz w:val="20"/>
                <w:szCs w:val="20"/>
                <w:lang w:val="en-US"/>
              </w:rPr>
              <w:t>https://doi.org/10.1007/s00406-022-01526-1</w:t>
            </w:r>
          </w:p>
        </w:tc>
        <w:tc>
          <w:tcPr>
            <w:tcW w:w="690" w:type="dxa"/>
          </w:tcPr>
          <w:p w14:paraId="72FC4C46" w14:textId="6F37C4A0" w:rsidR="00BC59BC" w:rsidRPr="008B6BC5" w:rsidRDefault="00BC59BC" w:rsidP="00BC59BC">
            <w:pPr>
              <w:pStyle w:val="NoSpacing"/>
              <w:rPr>
                <w:rFonts w:cs="Times New Roman"/>
                <w:sz w:val="20"/>
                <w:szCs w:val="20"/>
                <w:lang w:val="en-US"/>
              </w:rPr>
            </w:pPr>
            <w:r w:rsidRPr="008B6BC5">
              <w:rPr>
                <w:rFonts w:cs="Times New Roman"/>
                <w:sz w:val="20"/>
                <w:szCs w:val="20"/>
                <w:lang w:val="en-US"/>
              </w:rPr>
              <w:t>4</w:t>
            </w:r>
          </w:p>
        </w:tc>
        <w:tc>
          <w:tcPr>
            <w:tcW w:w="3896" w:type="dxa"/>
          </w:tcPr>
          <w:p w14:paraId="540709F9" w14:textId="497F238A" w:rsidR="00BC59BC" w:rsidRPr="008B6BC5" w:rsidRDefault="00BC59BC" w:rsidP="00BC59BC">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C59BC" w:rsidRPr="008B6BC5" w14:paraId="7DBC5167" w14:textId="77777777" w:rsidTr="00BD3144">
        <w:tc>
          <w:tcPr>
            <w:tcW w:w="1418" w:type="dxa"/>
          </w:tcPr>
          <w:p w14:paraId="4100A78F" w14:textId="77777777" w:rsidR="00BC59BC" w:rsidRPr="008B6BC5" w:rsidRDefault="00BD3144" w:rsidP="00BC59BC">
            <w:pPr>
              <w:pStyle w:val="NoSpacing"/>
              <w:rPr>
                <w:rFonts w:cs="Times New Roman"/>
                <w:sz w:val="20"/>
                <w:szCs w:val="20"/>
                <w:lang w:val="en-US"/>
              </w:rPr>
            </w:pPr>
            <w:r w:rsidRPr="008B6BC5">
              <w:rPr>
                <w:rFonts w:cs="Times New Roman"/>
                <w:sz w:val="20"/>
                <w:szCs w:val="20"/>
                <w:lang w:val="en-US"/>
              </w:rPr>
              <w:t>4.1</w:t>
            </w:r>
          </w:p>
          <w:p w14:paraId="4FBB93A9" w14:textId="572FA0F1" w:rsidR="00BD3144" w:rsidRPr="008B6BC5" w:rsidRDefault="00BD3144" w:rsidP="00BC59BC">
            <w:pPr>
              <w:pStyle w:val="NoSpacing"/>
              <w:rPr>
                <w:rFonts w:cs="Times New Roman"/>
                <w:sz w:val="20"/>
                <w:szCs w:val="20"/>
                <w:lang w:val="en-US"/>
              </w:rPr>
            </w:pPr>
            <w:r w:rsidRPr="008B6BC5">
              <w:rPr>
                <w:rFonts w:cs="Times New Roman"/>
                <w:sz w:val="20"/>
                <w:szCs w:val="20"/>
                <w:lang w:val="en-US"/>
              </w:rPr>
              <w:t>4.2</w:t>
            </w:r>
          </w:p>
        </w:tc>
        <w:tc>
          <w:tcPr>
            <w:tcW w:w="6237" w:type="dxa"/>
          </w:tcPr>
          <w:p w14:paraId="0EDCD72B" w14:textId="77777777" w:rsidR="00BC59BC" w:rsidRPr="008B6BC5" w:rsidRDefault="00BC59BC" w:rsidP="00BC59BC">
            <w:pPr>
              <w:pStyle w:val="NoSpacing"/>
              <w:rPr>
                <w:rFonts w:cs="Times New Roman"/>
                <w:sz w:val="20"/>
                <w:szCs w:val="20"/>
                <w:lang w:val="en-US"/>
              </w:rPr>
            </w:pPr>
            <w:r w:rsidRPr="008B6BC5">
              <w:rPr>
                <w:rFonts w:cs="Times New Roman"/>
                <w:sz w:val="20"/>
                <w:szCs w:val="20"/>
                <w:lang w:val="en-US"/>
              </w:rPr>
              <w:t xml:space="preserve">More recent syntheses integrating overlapping RCTs and meta-analyses conclude that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produces small to small-to-medium improvements in general and positive symptoms and functioning, with relatively weaker evidence for negative symptoms (Sitko et al., 2020; Berendsen et al., 2024).</w:t>
            </w:r>
          </w:p>
          <w:p w14:paraId="67F9363D" w14:textId="77777777" w:rsidR="00BC59BC" w:rsidRPr="008B6BC5" w:rsidRDefault="00BC59BC" w:rsidP="00BC59BC">
            <w:pPr>
              <w:pStyle w:val="NoSpacing"/>
              <w:rPr>
                <w:rFonts w:cs="Times New Roman"/>
                <w:sz w:val="20"/>
                <w:szCs w:val="20"/>
                <w:lang w:val="en-US"/>
              </w:rPr>
            </w:pPr>
          </w:p>
        </w:tc>
        <w:tc>
          <w:tcPr>
            <w:tcW w:w="4203" w:type="dxa"/>
          </w:tcPr>
          <w:p w14:paraId="7310A636" w14:textId="77777777" w:rsidR="00BC59BC" w:rsidRPr="008B6BC5" w:rsidRDefault="00BC59BC" w:rsidP="00BC59BC">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schizbullopen</w:t>
            </w:r>
            <w:proofErr w:type="spellEnd"/>
            <w:r w:rsidRPr="008B6BC5">
              <w:rPr>
                <w:rFonts w:cs="Times New Roman"/>
                <w:sz w:val="20"/>
                <w:szCs w:val="20"/>
                <w:lang w:val="en-US"/>
              </w:rPr>
              <w:t>/sgaa023</w:t>
            </w:r>
          </w:p>
          <w:p w14:paraId="5EA2B746" w14:textId="0DE4A7A8" w:rsidR="00BC59BC" w:rsidRPr="008B6BC5" w:rsidRDefault="00BC59BC" w:rsidP="00BC59BC">
            <w:pPr>
              <w:pStyle w:val="NoSpacing"/>
              <w:rPr>
                <w:rFonts w:cs="Times New Roman"/>
                <w:sz w:val="20"/>
                <w:szCs w:val="20"/>
                <w:lang w:val="en-US"/>
              </w:rPr>
            </w:pPr>
            <w:r w:rsidRPr="008B6BC5">
              <w:rPr>
                <w:rFonts w:cs="Times New Roman"/>
                <w:sz w:val="20"/>
                <w:szCs w:val="20"/>
                <w:lang w:val="en-US"/>
              </w:rPr>
              <w:t>https://doi.org/10. 1016/j.eclinm.2023. 102392</w:t>
            </w:r>
          </w:p>
        </w:tc>
        <w:tc>
          <w:tcPr>
            <w:tcW w:w="690" w:type="dxa"/>
          </w:tcPr>
          <w:p w14:paraId="65D33D4D" w14:textId="77777777" w:rsidR="00BC59BC" w:rsidRPr="008B6BC5" w:rsidRDefault="00BC59BC" w:rsidP="00BC59BC">
            <w:pPr>
              <w:pStyle w:val="NoSpacing"/>
              <w:rPr>
                <w:rFonts w:cs="Times New Roman"/>
                <w:sz w:val="20"/>
                <w:szCs w:val="20"/>
                <w:lang w:val="en-US"/>
              </w:rPr>
            </w:pPr>
            <w:r w:rsidRPr="008B6BC5">
              <w:rPr>
                <w:rFonts w:cs="Times New Roman"/>
                <w:sz w:val="20"/>
                <w:szCs w:val="20"/>
                <w:lang w:val="en-US"/>
              </w:rPr>
              <w:t>1</w:t>
            </w:r>
          </w:p>
          <w:p w14:paraId="235DCE99" w14:textId="73E39BB8" w:rsidR="00BC59BC" w:rsidRPr="008B6BC5" w:rsidRDefault="00BC59BC" w:rsidP="00BC59BC">
            <w:pPr>
              <w:pStyle w:val="NoSpacing"/>
              <w:rPr>
                <w:rFonts w:cs="Times New Roman"/>
                <w:sz w:val="20"/>
                <w:szCs w:val="20"/>
                <w:lang w:val="en-US"/>
              </w:rPr>
            </w:pPr>
            <w:r w:rsidRPr="008B6BC5">
              <w:rPr>
                <w:rFonts w:cs="Times New Roman"/>
                <w:sz w:val="20"/>
                <w:szCs w:val="20"/>
                <w:lang w:val="en-US"/>
              </w:rPr>
              <w:t>4</w:t>
            </w:r>
          </w:p>
        </w:tc>
        <w:tc>
          <w:tcPr>
            <w:tcW w:w="3896" w:type="dxa"/>
          </w:tcPr>
          <w:p w14:paraId="15AD1BFF" w14:textId="2EFE4881" w:rsidR="00BC59BC" w:rsidRPr="008B6BC5" w:rsidRDefault="00BC59BC" w:rsidP="00BC59BC">
            <w:pPr>
              <w:pStyle w:val="NoSpacing"/>
              <w:rPr>
                <w:rFonts w:cs="Times New Roman"/>
                <w:sz w:val="20"/>
                <w:szCs w:val="20"/>
                <w:lang w:val="en-US"/>
              </w:rPr>
            </w:pPr>
            <w:r w:rsidRPr="008B6BC5">
              <w:rPr>
                <w:rFonts w:cs="Times New Roman"/>
                <w:sz w:val="20"/>
                <w:szCs w:val="20"/>
                <w:lang w:val="en-US"/>
              </w:rPr>
              <w:t xml:space="preserve">Functioning outcomes were never assessed in </w:t>
            </w:r>
            <w:r w:rsidR="00586EF4" w:rsidRPr="008B6BC5">
              <w:rPr>
                <w:rFonts w:cs="Times New Roman"/>
                <w:sz w:val="20"/>
                <w:szCs w:val="20"/>
                <w:lang w:val="en-US"/>
              </w:rPr>
              <w:t xml:space="preserve">Sitko’s (2020) meta-analysis. </w:t>
            </w:r>
          </w:p>
          <w:p w14:paraId="14786317" w14:textId="77777777" w:rsidR="00586EF4" w:rsidRPr="008B6BC5" w:rsidRDefault="00586EF4" w:rsidP="00BC59BC">
            <w:pPr>
              <w:pStyle w:val="NoSpacing"/>
              <w:rPr>
                <w:rFonts w:cs="Times New Roman"/>
                <w:sz w:val="20"/>
                <w:szCs w:val="20"/>
                <w:lang w:val="en-US"/>
              </w:rPr>
            </w:pPr>
          </w:p>
          <w:p w14:paraId="1BDDF360" w14:textId="6BF64B1B" w:rsidR="00586EF4" w:rsidRPr="008B6BC5" w:rsidRDefault="00586EF4" w:rsidP="00BC59BC">
            <w:pPr>
              <w:pStyle w:val="NoSpacing"/>
              <w:rPr>
                <w:rFonts w:cs="Times New Roman"/>
                <w:sz w:val="20"/>
                <w:szCs w:val="20"/>
                <w:lang w:val="en-US"/>
              </w:rPr>
            </w:pPr>
            <w:r w:rsidRPr="008B6BC5">
              <w:rPr>
                <w:rFonts w:cs="Times New Roman"/>
                <w:sz w:val="20"/>
                <w:szCs w:val="20"/>
                <w:lang w:val="en-US"/>
              </w:rPr>
              <w:t xml:space="preserve">No inaccuracies identified for Berendsen (2024). </w:t>
            </w:r>
          </w:p>
          <w:p w14:paraId="60CB9913" w14:textId="53AB99E8" w:rsidR="00586EF4" w:rsidRPr="008B6BC5" w:rsidRDefault="00586EF4" w:rsidP="00BC59BC">
            <w:pPr>
              <w:pStyle w:val="NoSpacing"/>
              <w:rPr>
                <w:rFonts w:cs="Times New Roman"/>
                <w:sz w:val="20"/>
                <w:szCs w:val="20"/>
                <w:lang w:val="en-US"/>
              </w:rPr>
            </w:pPr>
          </w:p>
        </w:tc>
      </w:tr>
      <w:tr w:rsidR="002B37BB" w:rsidRPr="008B6BC5" w14:paraId="2CD217FB" w14:textId="77777777" w:rsidTr="00BD3144">
        <w:tc>
          <w:tcPr>
            <w:tcW w:w="1418" w:type="dxa"/>
          </w:tcPr>
          <w:p w14:paraId="3C8BE503" w14:textId="593E1F68" w:rsidR="002B37BB" w:rsidRPr="008B6BC5" w:rsidRDefault="00BD3144" w:rsidP="002B37BB">
            <w:pPr>
              <w:pStyle w:val="NoSpacing"/>
              <w:rPr>
                <w:rFonts w:cs="Times New Roman"/>
                <w:sz w:val="20"/>
                <w:szCs w:val="20"/>
                <w:lang w:val="en-US"/>
              </w:rPr>
            </w:pPr>
            <w:r w:rsidRPr="008B6BC5">
              <w:rPr>
                <w:rFonts w:cs="Times New Roman"/>
                <w:sz w:val="20"/>
                <w:szCs w:val="20"/>
                <w:lang w:val="en-US"/>
              </w:rPr>
              <w:t>5</w:t>
            </w:r>
          </w:p>
        </w:tc>
        <w:tc>
          <w:tcPr>
            <w:tcW w:w="6237" w:type="dxa"/>
          </w:tcPr>
          <w:p w14:paraId="556C59D9" w14:textId="77777777" w:rsidR="002B37BB" w:rsidRPr="008B6BC5" w:rsidRDefault="002B37BB" w:rsidP="002B37BB">
            <w:pPr>
              <w:pStyle w:val="NoSpacing"/>
              <w:rPr>
                <w:rFonts w:cs="Times New Roman"/>
                <w:sz w:val="20"/>
                <w:szCs w:val="20"/>
                <w:lang w:val="en-US"/>
              </w:rPr>
            </w:pPr>
            <w:r w:rsidRPr="008B6BC5">
              <w:rPr>
                <w:rFonts w:cs="Times New Roman"/>
                <w:sz w:val="20"/>
                <w:szCs w:val="20"/>
                <w:lang w:val="en-US"/>
              </w:rPr>
              <w:t xml:space="preserve">A comprehensive meta-analysis of 130 RCTs (n = 8,851) comparing CR to any control (active or TAU) in schizophrenia spectrum disorders found significant benefits for global cognition (Cohen’s d = 0.29, 95% CI 0.24 to </w:t>
            </w:r>
            <w:r w:rsidRPr="008B6BC5">
              <w:rPr>
                <w:rFonts w:cs="Times New Roman"/>
                <w:sz w:val="20"/>
                <w:szCs w:val="20"/>
                <w:lang w:val="en-US"/>
              </w:rPr>
              <w:lastRenderedPageBreak/>
              <w:t xml:space="preserve">0.34) and global functioning (d = 0.22, 95% CI 0.16 to 0.29) (Vita et al., 2021). Effects were larger when CR included an active therapist, structured cognitive strategy training, and integration with psychiatric rehabilitation. </w:t>
            </w:r>
          </w:p>
          <w:p w14:paraId="15F85C57" w14:textId="77777777" w:rsidR="002B37BB" w:rsidRPr="008B6BC5" w:rsidRDefault="002B37BB" w:rsidP="002B37BB">
            <w:pPr>
              <w:pStyle w:val="NoSpacing"/>
              <w:rPr>
                <w:rFonts w:cs="Times New Roman"/>
                <w:sz w:val="20"/>
                <w:szCs w:val="20"/>
                <w:lang w:val="en-US"/>
              </w:rPr>
            </w:pPr>
          </w:p>
        </w:tc>
        <w:tc>
          <w:tcPr>
            <w:tcW w:w="4203" w:type="dxa"/>
          </w:tcPr>
          <w:p w14:paraId="73FB434E" w14:textId="5948186A" w:rsidR="002B37BB" w:rsidRPr="008B6BC5" w:rsidRDefault="002B37BB" w:rsidP="002B37BB">
            <w:pPr>
              <w:pStyle w:val="NoSpacing"/>
              <w:rPr>
                <w:rFonts w:cs="Times New Roman"/>
                <w:sz w:val="20"/>
                <w:szCs w:val="20"/>
                <w:lang w:val="en-US"/>
              </w:rPr>
            </w:pPr>
            <w:r w:rsidRPr="008B6BC5">
              <w:rPr>
                <w:rFonts w:cs="Times New Roman"/>
                <w:sz w:val="20"/>
                <w:szCs w:val="20"/>
                <w:lang w:val="en-US"/>
              </w:rPr>
              <w:lastRenderedPageBreak/>
              <w:t>doi:10.1001/jamapsychiatry.2021.0620</w:t>
            </w:r>
          </w:p>
        </w:tc>
        <w:tc>
          <w:tcPr>
            <w:tcW w:w="690" w:type="dxa"/>
          </w:tcPr>
          <w:p w14:paraId="0951EF0A" w14:textId="579AC77E" w:rsidR="002B37BB" w:rsidRPr="008B6BC5" w:rsidRDefault="002B37BB" w:rsidP="002B37BB">
            <w:pPr>
              <w:pStyle w:val="NoSpacing"/>
              <w:rPr>
                <w:rFonts w:cs="Times New Roman"/>
                <w:sz w:val="20"/>
                <w:szCs w:val="20"/>
                <w:lang w:val="en-US"/>
              </w:rPr>
            </w:pPr>
            <w:r w:rsidRPr="008B6BC5">
              <w:rPr>
                <w:rFonts w:cs="Times New Roman"/>
                <w:sz w:val="20"/>
                <w:szCs w:val="20"/>
                <w:lang w:val="en-US"/>
              </w:rPr>
              <w:t>4</w:t>
            </w:r>
          </w:p>
        </w:tc>
        <w:tc>
          <w:tcPr>
            <w:tcW w:w="3896" w:type="dxa"/>
          </w:tcPr>
          <w:p w14:paraId="274C1519" w14:textId="67E40F3A" w:rsidR="002B37BB" w:rsidRPr="008B6BC5" w:rsidRDefault="002B37BB" w:rsidP="002B37BB">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2B37BB" w:rsidRPr="008B6BC5" w14:paraId="23BC96BF" w14:textId="77777777" w:rsidTr="00BD3144">
        <w:tc>
          <w:tcPr>
            <w:tcW w:w="1418" w:type="dxa"/>
          </w:tcPr>
          <w:p w14:paraId="12EEBEFE" w14:textId="3F47BB2A" w:rsidR="002B37BB" w:rsidRPr="008B6BC5" w:rsidRDefault="00BD3144" w:rsidP="002B37BB">
            <w:pPr>
              <w:pStyle w:val="NoSpacing"/>
              <w:rPr>
                <w:rFonts w:cs="Times New Roman"/>
                <w:sz w:val="20"/>
                <w:szCs w:val="20"/>
                <w:lang w:val="en-US"/>
              </w:rPr>
            </w:pPr>
            <w:r w:rsidRPr="008B6BC5">
              <w:rPr>
                <w:rFonts w:cs="Times New Roman"/>
                <w:sz w:val="20"/>
                <w:szCs w:val="20"/>
                <w:lang w:val="en-US"/>
              </w:rPr>
              <w:t>6</w:t>
            </w:r>
          </w:p>
        </w:tc>
        <w:tc>
          <w:tcPr>
            <w:tcW w:w="6237" w:type="dxa"/>
          </w:tcPr>
          <w:p w14:paraId="0C1C29BB" w14:textId="77777777" w:rsidR="002B37BB" w:rsidRPr="008B6BC5" w:rsidRDefault="002B37BB" w:rsidP="002B37BB">
            <w:pPr>
              <w:pStyle w:val="NoSpacing"/>
              <w:rPr>
                <w:rFonts w:cs="Times New Roman"/>
                <w:sz w:val="20"/>
                <w:szCs w:val="20"/>
                <w:lang w:val="en-US"/>
              </w:rPr>
            </w:pPr>
            <w:r w:rsidRPr="008B6BC5">
              <w:rPr>
                <w:rFonts w:cs="Times New Roman"/>
                <w:sz w:val="20"/>
                <w:szCs w:val="20"/>
                <w:lang w:val="en-US"/>
              </w:rPr>
              <w:t xml:space="preserve">A partially overlapping meta-analysis focusing on trials from 2011 onward similarly identified significant effects of CR on cognition and functioning, with typical SMDs in the 0.3–0.4 range (Lejeune et al., 2021). </w:t>
            </w:r>
          </w:p>
          <w:p w14:paraId="6B02D15B" w14:textId="77777777" w:rsidR="002B37BB" w:rsidRPr="008B6BC5" w:rsidRDefault="002B37BB" w:rsidP="002B37BB">
            <w:pPr>
              <w:pStyle w:val="NoSpacing"/>
              <w:rPr>
                <w:rFonts w:cs="Times New Roman"/>
                <w:sz w:val="20"/>
                <w:szCs w:val="20"/>
                <w:lang w:val="en-US"/>
              </w:rPr>
            </w:pPr>
          </w:p>
        </w:tc>
        <w:tc>
          <w:tcPr>
            <w:tcW w:w="4203" w:type="dxa"/>
          </w:tcPr>
          <w:p w14:paraId="6BFB5FD1" w14:textId="265EF60F" w:rsidR="002B37BB" w:rsidRPr="008B6BC5" w:rsidRDefault="002B37BB" w:rsidP="002B37BB">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/sbab022</w:t>
            </w:r>
          </w:p>
        </w:tc>
        <w:tc>
          <w:tcPr>
            <w:tcW w:w="690" w:type="dxa"/>
          </w:tcPr>
          <w:p w14:paraId="2597B416" w14:textId="60EF8B38" w:rsidR="002B37BB" w:rsidRPr="008B6BC5" w:rsidRDefault="00371972" w:rsidP="002B37BB">
            <w:pPr>
              <w:pStyle w:val="NoSpacing"/>
              <w:rPr>
                <w:rFonts w:cs="Times New Roman"/>
                <w:sz w:val="20"/>
                <w:szCs w:val="20"/>
                <w:lang w:val="en-US"/>
              </w:rPr>
            </w:pPr>
            <w:r w:rsidRPr="008B6BC5">
              <w:rPr>
                <w:rFonts w:cs="Times New Roman"/>
                <w:sz w:val="20"/>
                <w:szCs w:val="20"/>
                <w:lang w:val="en-US"/>
              </w:rPr>
              <w:t>2</w:t>
            </w:r>
          </w:p>
        </w:tc>
        <w:tc>
          <w:tcPr>
            <w:tcW w:w="3896" w:type="dxa"/>
          </w:tcPr>
          <w:p w14:paraId="47E47DD8" w14:textId="788D9ABF" w:rsidR="002B37BB" w:rsidRPr="008B6BC5" w:rsidRDefault="00371972" w:rsidP="002B37BB">
            <w:pPr>
              <w:pStyle w:val="NoSpacing"/>
              <w:rPr>
                <w:rFonts w:cs="Times New Roman"/>
                <w:sz w:val="20"/>
                <w:szCs w:val="20"/>
                <w:lang w:val="en-US"/>
              </w:rPr>
            </w:pPr>
            <w:r w:rsidRPr="008B6BC5">
              <w:rPr>
                <w:rFonts w:cs="Times New Roman"/>
                <w:sz w:val="20"/>
                <w:szCs w:val="20"/>
                <w:lang w:val="en-US"/>
              </w:rPr>
              <w:t xml:space="preserve">The authors did not focus on trials from 2011 onwards; they included trials from </w:t>
            </w:r>
            <w:r w:rsidR="00E10137" w:rsidRPr="008B6BC5">
              <w:rPr>
                <w:rFonts w:cs="Times New Roman"/>
                <w:sz w:val="20"/>
                <w:szCs w:val="20"/>
                <w:lang w:val="en-US"/>
              </w:rPr>
              <w:t>1980.</w:t>
            </w:r>
          </w:p>
        </w:tc>
      </w:tr>
      <w:tr w:rsidR="00E10137" w:rsidRPr="008B6BC5" w14:paraId="750E8BBA" w14:textId="77777777" w:rsidTr="00BD3144">
        <w:tc>
          <w:tcPr>
            <w:tcW w:w="1418" w:type="dxa"/>
          </w:tcPr>
          <w:p w14:paraId="14EFD79C" w14:textId="3DE400B1" w:rsidR="00E10137" w:rsidRPr="008B6BC5" w:rsidRDefault="00BD3144" w:rsidP="00E10137">
            <w:pPr>
              <w:pStyle w:val="NoSpacing"/>
              <w:rPr>
                <w:rFonts w:cs="Times New Roman"/>
                <w:sz w:val="20"/>
                <w:szCs w:val="20"/>
                <w:lang w:val="en-US"/>
              </w:rPr>
            </w:pPr>
            <w:r w:rsidRPr="008B6BC5">
              <w:rPr>
                <w:rFonts w:cs="Times New Roman"/>
                <w:sz w:val="20"/>
                <w:szCs w:val="20"/>
                <w:lang w:val="en-US"/>
              </w:rPr>
              <w:t>7</w:t>
            </w:r>
          </w:p>
        </w:tc>
        <w:tc>
          <w:tcPr>
            <w:tcW w:w="6237" w:type="dxa"/>
          </w:tcPr>
          <w:p w14:paraId="070906CE" w14:textId="77777777" w:rsidR="00E10137" w:rsidRPr="008B6BC5" w:rsidRDefault="00E10137" w:rsidP="00E10137">
            <w:pPr>
              <w:pStyle w:val="NoSpacing"/>
              <w:rPr>
                <w:rFonts w:cs="Times New Roman"/>
                <w:sz w:val="20"/>
                <w:szCs w:val="20"/>
                <w:lang w:val="en-US"/>
              </w:rPr>
            </w:pPr>
            <w:r w:rsidRPr="008B6BC5">
              <w:rPr>
                <w:rFonts w:cs="Times New Roman"/>
                <w:sz w:val="20"/>
                <w:szCs w:val="20"/>
                <w:lang w:val="en-US"/>
              </w:rPr>
              <w:t>A follow-up meta-analysis restricted to RCTs with post-treatment follow-up found that gains in cognition (d = 0.23) and functioning (d = 0.26) persisted over months to years (Vita et al., 2024).</w:t>
            </w:r>
          </w:p>
          <w:p w14:paraId="3DF6ED8E" w14:textId="77777777" w:rsidR="00E10137" w:rsidRPr="008B6BC5" w:rsidRDefault="00E10137" w:rsidP="00E10137">
            <w:pPr>
              <w:pStyle w:val="NoSpacing"/>
              <w:rPr>
                <w:rFonts w:cs="Times New Roman"/>
                <w:sz w:val="20"/>
                <w:szCs w:val="20"/>
                <w:lang w:val="en-US"/>
              </w:rPr>
            </w:pPr>
          </w:p>
        </w:tc>
        <w:tc>
          <w:tcPr>
            <w:tcW w:w="4203" w:type="dxa"/>
          </w:tcPr>
          <w:p w14:paraId="45042A2A" w14:textId="06487D09" w:rsidR="00E10137" w:rsidRPr="008B6BC5" w:rsidRDefault="00E10137" w:rsidP="00E10137">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10.1176/appi.ajp.20230396</w:t>
            </w:r>
          </w:p>
        </w:tc>
        <w:tc>
          <w:tcPr>
            <w:tcW w:w="690" w:type="dxa"/>
          </w:tcPr>
          <w:p w14:paraId="4BD27555" w14:textId="773CE927" w:rsidR="00E10137" w:rsidRPr="008B6BC5" w:rsidRDefault="00E10137" w:rsidP="00E10137">
            <w:pPr>
              <w:pStyle w:val="NoSpacing"/>
              <w:rPr>
                <w:rFonts w:cs="Times New Roman"/>
                <w:sz w:val="20"/>
                <w:szCs w:val="20"/>
                <w:lang w:val="en-US"/>
              </w:rPr>
            </w:pPr>
            <w:r w:rsidRPr="008B6BC5">
              <w:rPr>
                <w:rFonts w:cs="Times New Roman"/>
                <w:sz w:val="20"/>
                <w:szCs w:val="20"/>
                <w:lang w:val="en-US"/>
              </w:rPr>
              <w:t>4</w:t>
            </w:r>
          </w:p>
        </w:tc>
        <w:tc>
          <w:tcPr>
            <w:tcW w:w="3896" w:type="dxa"/>
          </w:tcPr>
          <w:p w14:paraId="63EC232E" w14:textId="76C97DBE" w:rsidR="00E10137" w:rsidRPr="008B6BC5" w:rsidRDefault="00E10137" w:rsidP="00E10137">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72DCE" w:rsidRPr="008B6BC5" w14:paraId="20D2CC07" w14:textId="77777777" w:rsidTr="00BD3144">
        <w:tc>
          <w:tcPr>
            <w:tcW w:w="1418" w:type="dxa"/>
          </w:tcPr>
          <w:p w14:paraId="4A134D9D" w14:textId="6EFB563F" w:rsidR="00C72DCE" w:rsidRPr="008B6BC5" w:rsidRDefault="00BD3144" w:rsidP="00C72DCE">
            <w:pPr>
              <w:pStyle w:val="NoSpacing"/>
              <w:rPr>
                <w:rFonts w:cs="Times New Roman"/>
                <w:sz w:val="20"/>
                <w:szCs w:val="20"/>
                <w:lang w:val="en-US"/>
              </w:rPr>
            </w:pPr>
            <w:r w:rsidRPr="008B6BC5">
              <w:rPr>
                <w:rFonts w:cs="Times New Roman"/>
                <w:sz w:val="20"/>
                <w:szCs w:val="20"/>
                <w:lang w:val="en-US"/>
              </w:rPr>
              <w:t>8</w:t>
            </w:r>
          </w:p>
        </w:tc>
        <w:tc>
          <w:tcPr>
            <w:tcW w:w="6237" w:type="dxa"/>
          </w:tcPr>
          <w:p w14:paraId="1EF5F244" w14:textId="77777777" w:rsidR="00C72DCE" w:rsidRPr="008B6BC5" w:rsidRDefault="00C72DCE" w:rsidP="00C72DCE">
            <w:pPr>
              <w:pStyle w:val="NoSpacing"/>
              <w:rPr>
                <w:rFonts w:cs="Times New Roman"/>
                <w:sz w:val="20"/>
                <w:szCs w:val="20"/>
                <w:lang w:val="en-US"/>
              </w:rPr>
            </w:pPr>
            <w:r w:rsidRPr="008B6BC5">
              <w:rPr>
                <w:rFonts w:cs="Times New Roman"/>
                <w:sz w:val="20"/>
                <w:szCs w:val="20"/>
                <w:lang w:val="en-US"/>
              </w:rPr>
              <w:t>A large network meta-analysis of 79 RCTs (n ≈ 10,000) comparing psychosocial interventions for relapse prevention in adults with schizophrenia found that family interventions significantly reduced relapse versus TAU, with odds ratios for relapse generally below 1 (often around 0.4–0.6), indicating roughly halving of relapse risk over 12 months (</w:t>
            </w:r>
            <w:proofErr w:type="spellStart"/>
            <w:r w:rsidRPr="008B6BC5">
              <w:rPr>
                <w:rFonts w:cs="Times New Roman"/>
                <w:sz w:val="20"/>
                <w:szCs w:val="20"/>
                <w:lang w:val="en-US"/>
              </w:rPr>
              <w:t>Bighelli</w:t>
            </w:r>
            <w:proofErr w:type="spellEnd"/>
            <w:r w:rsidRPr="008B6BC5">
              <w:rPr>
                <w:rFonts w:cs="Times New Roman"/>
                <w:sz w:val="20"/>
                <w:szCs w:val="20"/>
                <w:lang w:val="en-US"/>
              </w:rPr>
              <w:t xml:space="preserve"> et al., 2021).</w:t>
            </w:r>
          </w:p>
          <w:p w14:paraId="3AC52B1D" w14:textId="77777777" w:rsidR="00C72DCE" w:rsidRPr="008B6BC5" w:rsidRDefault="00C72DCE" w:rsidP="00C72DCE">
            <w:pPr>
              <w:pStyle w:val="NoSpacing"/>
              <w:rPr>
                <w:rFonts w:cs="Times New Roman"/>
                <w:sz w:val="20"/>
                <w:szCs w:val="20"/>
                <w:lang w:val="en-US"/>
              </w:rPr>
            </w:pPr>
          </w:p>
        </w:tc>
        <w:tc>
          <w:tcPr>
            <w:tcW w:w="4203" w:type="dxa"/>
          </w:tcPr>
          <w:p w14:paraId="3913DAD1" w14:textId="21D265BB" w:rsidR="00C72DCE" w:rsidRPr="008B6BC5" w:rsidRDefault="00C72DCE" w:rsidP="00C72DCE">
            <w:pPr>
              <w:pStyle w:val="NoSpacing"/>
              <w:rPr>
                <w:rFonts w:cs="Times New Roman"/>
                <w:sz w:val="20"/>
                <w:szCs w:val="20"/>
                <w:lang w:val="en-US"/>
              </w:rPr>
            </w:pPr>
            <w:r w:rsidRPr="008B6BC5">
              <w:rPr>
                <w:rFonts w:cs="Times New Roman"/>
                <w:sz w:val="20"/>
                <w:szCs w:val="20"/>
                <w:lang w:val="en-US"/>
              </w:rPr>
              <w:t>https://doi.org/10.1016/ S2215-0366(21)00243-1</w:t>
            </w:r>
          </w:p>
        </w:tc>
        <w:tc>
          <w:tcPr>
            <w:tcW w:w="690" w:type="dxa"/>
          </w:tcPr>
          <w:p w14:paraId="49BE5140" w14:textId="2A4C126B" w:rsidR="00C72DCE" w:rsidRPr="008B6BC5" w:rsidRDefault="00C72DCE" w:rsidP="00C72DCE">
            <w:pPr>
              <w:pStyle w:val="NoSpacing"/>
              <w:rPr>
                <w:rFonts w:cs="Times New Roman"/>
                <w:sz w:val="20"/>
                <w:szCs w:val="20"/>
                <w:lang w:val="en-US"/>
              </w:rPr>
            </w:pPr>
            <w:r w:rsidRPr="008B6BC5">
              <w:rPr>
                <w:rFonts w:cs="Times New Roman"/>
                <w:sz w:val="20"/>
                <w:szCs w:val="20"/>
                <w:lang w:val="en-US"/>
              </w:rPr>
              <w:t>4</w:t>
            </w:r>
          </w:p>
        </w:tc>
        <w:tc>
          <w:tcPr>
            <w:tcW w:w="3896" w:type="dxa"/>
          </w:tcPr>
          <w:p w14:paraId="253FEF79" w14:textId="436B6092" w:rsidR="00C72DCE" w:rsidRPr="008B6BC5" w:rsidRDefault="00C72DCE" w:rsidP="00C72DCE">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72DCE" w:rsidRPr="008B6BC5" w14:paraId="51C819FC" w14:textId="77777777" w:rsidTr="00BD3144">
        <w:tc>
          <w:tcPr>
            <w:tcW w:w="1418" w:type="dxa"/>
          </w:tcPr>
          <w:p w14:paraId="51E9DE91" w14:textId="3B28A7D2" w:rsidR="00C72DCE" w:rsidRPr="008B6BC5" w:rsidRDefault="00BD3144" w:rsidP="00C72DCE">
            <w:pPr>
              <w:pStyle w:val="NoSpacing"/>
              <w:rPr>
                <w:rFonts w:cs="Times New Roman"/>
                <w:sz w:val="20"/>
                <w:szCs w:val="20"/>
                <w:lang w:val="en-US"/>
              </w:rPr>
            </w:pPr>
            <w:r w:rsidRPr="008B6BC5">
              <w:rPr>
                <w:rFonts w:cs="Times New Roman"/>
                <w:sz w:val="20"/>
                <w:szCs w:val="20"/>
                <w:lang w:val="en-US"/>
              </w:rPr>
              <w:t>9</w:t>
            </w:r>
          </w:p>
        </w:tc>
        <w:tc>
          <w:tcPr>
            <w:tcW w:w="6237" w:type="dxa"/>
          </w:tcPr>
          <w:p w14:paraId="275BDA56" w14:textId="77777777" w:rsidR="00C72DCE" w:rsidRPr="008B6BC5" w:rsidRDefault="00C72DCE" w:rsidP="00C72DCE">
            <w:pPr>
              <w:pStyle w:val="NoSpacing"/>
              <w:rPr>
                <w:rFonts w:cs="Times New Roman"/>
                <w:sz w:val="20"/>
                <w:szCs w:val="20"/>
                <w:lang w:val="en-US"/>
              </w:rPr>
            </w:pPr>
            <w:r w:rsidRPr="008B6BC5">
              <w:rPr>
                <w:rFonts w:cs="Times New Roman"/>
                <w:sz w:val="20"/>
                <w:szCs w:val="20"/>
                <w:lang w:val="en-US"/>
              </w:rPr>
              <w:t xml:space="preserve">A more fine-grained network meta-analysis that included variations in intensity and delivery formats similarly concluded that family interventions were among the most effective relapse-prevention strategies, with robust reductions in </w:t>
            </w:r>
            <w:proofErr w:type="spellStart"/>
            <w:r w:rsidRPr="008B6BC5">
              <w:rPr>
                <w:rFonts w:cs="Times New Roman"/>
                <w:sz w:val="20"/>
                <w:szCs w:val="20"/>
                <w:lang w:val="en-US"/>
              </w:rPr>
              <w:t>rehospitalisation</w:t>
            </w:r>
            <w:proofErr w:type="spellEnd"/>
            <w:r w:rsidRPr="008B6BC5">
              <w:rPr>
                <w:rFonts w:cs="Times New Roman"/>
                <w:sz w:val="20"/>
                <w:szCs w:val="20"/>
                <w:lang w:val="en-US"/>
              </w:rPr>
              <w:t xml:space="preserve"> as well (Rodolico et al., 2022).</w:t>
            </w:r>
          </w:p>
          <w:p w14:paraId="33F70E15" w14:textId="77777777" w:rsidR="00C72DCE" w:rsidRPr="008B6BC5" w:rsidRDefault="00C72DCE" w:rsidP="00C72DCE">
            <w:pPr>
              <w:pStyle w:val="NoSpacing"/>
              <w:rPr>
                <w:rFonts w:cs="Times New Roman"/>
                <w:sz w:val="20"/>
                <w:szCs w:val="20"/>
                <w:lang w:val="en-US"/>
              </w:rPr>
            </w:pPr>
          </w:p>
        </w:tc>
        <w:tc>
          <w:tcPr>
            <w:tcW w:w="4203" w:type="dxa"/>
          </w:tcPr>
          <w:p w14:paraId="27E41698" w14:textId="4B764668" w:rsidR="00C72DCE" w:rsidRPr="008B6BC5" w:rsidRDefault="00C72DCE" w:rsidP="00C72DCE">
            <w:pPr>
              <w:pStyle w:val="NoSpacing"/>
              <w:rPr>
                <w:rFonts w:cs="Times New Roman"/>
                <w:sz w:val="20"/>
                <w:szCs w:val="20"/>
                <w:lang w:val="en-US"/>
              </w:rPr>
            </w:pPr>
            <w:r w:rsidRPr="008B6BC5">
              <w:rPr>
                <w:rFonts w:cs="Times New Roman"/>
                <w:sz w:val="20"/>
                <w:szCs w:val="20"/>
                <w:lang w:val="en-US"/>
              </w:rPr>
              <w:t>https://doi.org/10.1016/ S2215-0366(21)00437-5</w:t>
            </w:r>
          </w:p>
        </w:tc>
        <w:tc>
          <w:tcPr>
            <w:tcW w:w="690" w:type="dxa"/>
          </w:tcPr>
          <w:p w14:paraId="74438C53" w14:textId="5C941727" w:rsidR="00C72DCE" w:rsidRPr="008B6BC5" w:rsidRDefault="00C72DCE" w:rsidP="00C72DCE">
            <w:pPr>
              <w:pStyle w:val="NoSpacing"/>
              <w:rPr>
                <w:rFonts w:cs="Times New Roman"/>
                <w:sz w:val="20"/>
                <w:szCs w:val="20"/>
                <w:lang w:val="en-US"/>
              </w:rPr>
            </w:pPr>
            <w:r w:rsidRPr="008B6BC5">
              <w:rPr>
                <w:rFonts w:cs="Times New Roman"/>
                <w:sz w:val="20"/>
                <w:szCs w:val="20"/>
                <w:lang w:val="en-US"/>
              </w:rPr>
              <w:t>4</w:t>
            </w:r>
          </w:p>
        </w:tc>
        <w:tc>
          <w:tcPr>
            <w:tcW w:w="3896" w:type="dxa"/>
          </w:tcPr>
          <w:p w14:paraId="5E6B3473" w14:textId="38492762" w:rsidR="00C72DCE" w:rsidRPr="008B6BC5" w:rsidRDefault="00C72DCE" w:rsidP="00C72DCE">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72DCE" w:rsidRPr="008B6BC5" w14:paraId="0CD33827" w14:textId="77777777" w:rsidTr="00BD3144">
        <w:tc>
          <w:tcPr>
            <w:tcW w:w="1418" w:type="dxa"/>
          </w:tcPr>
          <w:p w14:paraId="0499BC35" w14:textId="65048716" w:rsidR="00C72DCE" w:rsidRPr="008B6BC5" w:rsidRDefault="00BD3144" w:rsidP="00C72DCE">
            <w:pPr>
              <w:pStyle w:val="NoSpacing"/>
              <w:rPr>
                <w:rFonts w:cs="Times New Roman"/>
                <w:sz w:val="20"/>
                <w:szCs w:val="20"/>
                <w:lang w:val="en-US"/>
              </w:rPr>
            </w:pPr>
            <w:r w:rsidRPr="008B6BC5">
              <w:rPr>
                <w:rFonts w:cs="Times New Roman"/>
                <w:sz w:val="20"/>
                <w:szCs w:val="20"/>
                <w:lang w:val="en-US"/>
              </w:rPr>
              <w:t>10</w:t>
            </w:r>
          </w:p>
        </w:tc>
        <w:tc>
          <w:tcPr>
            <w:tcW w:w="6237" w:type="dxa"/>
          </w:tcPr>
          <w:p w14:paraId="21878690" w14:textId="77777777" w:rsidR="00C72DCE" w:rsidRPr="008B6BC5" w:rsidRDefault="00C72DCE" w:rsidP="00C72DCE">
            <w:pPr>
              <w:pStyle w:val="NoSpacing"/>
              <w:rPr>
                <w:rFonts w:cs="Times New Roman"/>
                <w:sz w:val="20"/>
                <w:szCs w:val="20"/>
                <w:lang w:val="en-US"/>
              </w:rPr>
            </w:pPr>
            <w:r w:rsidRPr="008B6BC5">
              <w:rPr>
                <w:rFonts w:cs="Times New Roman"/>
                <w:sz w:val="20"/>
                <w:szCs w:val="20"/>
                <w:lang w:val="en-US"/>
              </w:rPr>
              <w:t>A meta-analysis of psychological interventions for psychosis across 48 RCTs (n = 3,295) found that social skills training ranked as one of the more efficacious modalities for negative and general symptoms, with small-to-medium advantages over control (Turner et al., 2014).</w:t>
            </w:r>
          </w:p>
          <w:p w14:paraId="6019E348" w14:textId="77777777" w:rsidR="00C72DCE" w:rsidRPr="008B6BC5" w:rsidRDefault="00C72DCE" w:rsidP="00C72DCE">
            <w:pPr>
              <w:pStyle w:val="NoSpacing"/>
              <w:rPr>
                <w:rFonts w:cs="Times New Roman"/>
                <w:sz w:val="20"/>
                <w:szCs w:val="20"/>
                <w:lang w:val="en-US"/>
              </w:rPr>
            </w:pPr>
          </w:p>
        </w:tc>
        <w:tc>
          <w:tcPr>
            <w:tcW w:w="4203" w:type="dxa"/>
          </w:tcPr>
          <w:p w14:paraId="5C311A18" w14:textId="4AC516F6" w:rsidR="00C72DCE" w:rsidRPr="008B6BC5" w:rsidRDefault="00C72DCE" w:rsidP="00C72DCE">
            <w:pPr>
              <w:pStyle w:val="NoSpacing"/>
              <w:rPr>
                <w:rFonts w:cs="Times New Roman"/>
                <w:sz w:val="20"/>
                <w:szCs w:val="20"/>
                <w:lang w:val="en-US"/>
              </w:rPr>
            </w:pPr>
            <w:r w:rsidRPr="008B6BC5">
              <w:rPr>
                <w:rFonts w:cs="Times New Roman"/>
                <w:sz w:val="20"/>
                <w:szCs w:val="20"/>
                <w:lang w:val="en-US"/>
              </w:rPr>
              <w:t>DOI: 10.1176/appi.ajp.2013.13081159</w:t>
            </w:r>
          </w:p>
        </w:tc>
        <w:tc>
          <w:tcPr>
            <w:tcW w:w="690" w:type="dxa"/>
          </w:tcPr>
          <w:p w14:paraId="62C2FBDC" w14:textId="25518BC4" w:rsidR="00C72DCE" w:rsidRPr="008B6BC5" w:rsidRDefault="00C72DCE" w:rsidP="00C72DCE">
            <w:pPr>
              <w:pStyle w:val="NoSpacing"/>
              <w:rPr>
                <w:rFonts w:cs="Times New Roman"/>
                <w:sz w:val="20"/>
                <w:szCs w:val="20"/>
                <w:lang w:val="en-US"/>
              </w:rPr>
            </w:pPr>
            <w:r w:rsidRPr="008B6BC5">
              <w:rPr>
                <w:rFonts w:cs="Times New Roman"/>
                <w:sz w:val="20"/>
                <w:szCs w:val="20"/>
                <w:lang w:val="en-US"/>
              </w:rPr>
              <w:t>1</w:t>
            </w:r>
          </w:p>
        </w:tc>
        <w:tc>
          <w:tcPr>
            <w:tcW w:w="3896" w:type="dxa"/>
          </w:tcPr>
          <w:p w14:paraId="6D450B66" w14:textId="16988746" w:rsidR="00C72DCE" w:rsidRPr="008B6BC5" w:rsidRDefault="00C72DCE" w:rsidP="00C72DCE">
            <w:pPr>
              <w:pStyle w:val="NoSpacing"/>
              <w:rPr>
                <w:rFonts w:cs="Times New Roman"/>
                <w:sz w:val="20"/>
                <w:szCs w:val="20"/>
                <w:lang w:val="en-US"/>
              </w:rPr>
            </w:pPr>
            <w:r w:rsidRPr="008B6BC5">
              <w:rPr>
                <w:rFonts w:cs="Times New Roman"/>
                <w:sz w:val="20"/>
                <w:szCs w:val="20"/>
                <w:lang w:val="en-US"/>
              </w:rPr>
              <w:t>The authors did not co</w:t>
            </w:r>
            <w:r w:rsidR="008209A6" w:rsidRPr="008B6BC5">
              <w:rPr>
                <w:rFonts w:cs="Times New Roman"/>
                <w:sz w:val="20"/>
                <w:szCs w:val="20"/>
                <w:lang w:val="en-US"/>
              </w:rPr>
              <w:t xml:space="preserve">nduct meta-analyses on general symptoms for social skills training; social skills training was not compared to control groups but was compared to other active therapies. </w:t>
            </w:r>
          </w:p>
        </w:tc>
      </w:tr>
      <w:tr w:rsidR="00C72DCE" w:rsidRPr="008B6BC5" w14:paraId="46B38EA1" w14:textId="77777777" w:rsidTr="00BD3144">
        <w:tc>
          <w:tcPr>
            <w:tcW w:w="1418" w:type="dxa"/>
          </w:tcPr>
          <w:p w14:paraId="1E1DD975" w14:textId="39F18853" w:rsidR="00C72DCE" w:rsidRPr="008B6BC5" w:rsidRDefault="00BD3144" w:rsidP="00C72DCE">
            <w:pPr>
              <w:pStyle w:val="NoSpacing"/>
              <w:rPr>
                <w:rFonts w:cs="Times New Roman"/>
                <w:sz w:val="20"/>
                <w:szCs w:val="20"/>
                <w:lang w:val="en-US"/>
              </w:rPr>
            </w:pPr>
            <w:r w:rsidRPr="008B6BC5">
              <w:rPr>
                <w:rFonts w:cs="Times New Roman"/>
                <w:sz w:val="20"/>
                <w:szCs w:val="20"/>
                <w:lang w:val="en-US"/>
              </w:rPr>
              <w:t>11</w:t>
            </w:r>
          </w:p>
        </w:tc>
        <w:tc>
          <w:tcPr>
            <w:tcW w:w="6237" w:type="dxa"/>
          </w:tcPr>
          <w:p w14:paraId="5086EF94" w14:textId="77777777" w:rsidR="00C72DCE" w:rsidRPr="008B6BC5" w:rsidRDefault="00C72DCE" w:rsidP="00C72DCE">
            <w:pPr>
              <w:pStyle w:val="NoSpacing"/>
              <w:rPr>
                <w:rFonts w:cs="Times New Roman"/>
                <w:sz w:val="20"/>
                <w:szCs w:val="20"/>
                <w:lang w:val="en-US"/>
              </w:rPr>
            </w:pPr>
            <w:r w:rsidRPr="008B6BC5">
              <w:rPr>
                <w:rFonts w:cs="Times New Roman"/>
                <w:sz w:val="20"/>
                <w:szCs w:val="20"/>
                <w:lang w:val="en-US"/>
              </w:rPr>
              <w:t xml:space="preserve">In a pivotal RCT of 90 outpatients with chronic schizophrenia and persistent positive symptoms receiving antipsychotics, individual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over 9 months was compared with befriending;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produced greater reductions in overall and negative symptoms at end-treatment and these gains were maintained at 5-year follow-up (</w:t>
            </w:r>
            <w:proofErr w:type="spellStart"/>
            <w:r w:rsidRPr="008B6BC5">
              <w:rPr>
                <w:rFonts w:cs="Times New Roman"/>
                <w:sz w:val="20"/>
                <w:szCs w:val="20"/>
                <w:lang w:val="en-US"/>
              </w:rPr>
              <w:t>Sensky</w:t>
            </w:r>
            <w:proofErr w:type="spellEnd"/>
            <w:r w:rsidRPr="008B6BC5">
              <w:rPr>
                <w:rFonts w:cs="Times New Roman"/>
                <w:sz w:val="20"/>
                <w:szCs w:val="20"/>
                <w:lang w:val="en-US"/>
              </w:rPr>
              <w:t xml:space="preserve"> et al., 2000).</w:t>
            </w:r>
          </w:p>
          <w:p w14:paraId="080FD94C" w14:textId="77777777" w:rsidR="00C72DCE" w:rsidRPr="008B6BC5" w:rsidRDefault="00C72DCE" w:rsidP="00C72DCE">
            <w:pPr>
              <w:pStyle w:val="NoSpacing"/>
              <w:rPr>
                <w:rFonts w:cs="Times New Roman"/>
                <w:sz w:val="20"/>
                <w:szCs w:val="20"/>
                <w:lang w:val="en-US"/>
              </w:rPr>
            </w:pPr>
          </w:p>
        </w:tc>
        <w:tc>
          <w:tcPr>
            <w:tcW w:w="4203" w:type="dxa"/>
          </w:tcPr>
          <w:p w14:paraId="630FFA52" w14:textId="3B7928EF" w:rsidR="00C72DCE" w:rsidRPr="008B6BC5" w:rsidRDefault="00C72DCE" w:rsidP="00C72DCE">
            <w:pPr>
              <w:pStyle w:val="NoSpacing"/>
              <w:rPr>
                <w:rFonts w:cs="Times New Roman"/>
                <w:sz w:val="20"/>
                <w:szCs w:val="20"/>
                <w:lang w:val="en-US"/>
              </w:rPr>
            </w:pPr>
            <w:r w:rsidRPr="008B6BC5">
              <w:rPr>
                <w:rFonts w:cs="Times New Roman"/>
                <w:sz w:val="20"/>
                <w:szCs w:val="20"/>
                <w:lang w:val="en-US"/>
              </w:rPr>
              <w:t>DOI: 10.1001/archpsyc.57.2.165</w:t>
            </w:r>
          </w:p>
        </w:tc>
        <w:tc>
          <w:tcPr>
            <w:tcW w:w="690" w:type="dxa"/>
          </w:tcPr>
          <w:p w14:paraId="77030117" w14:textId="4566C6F7" w:rsidR="00C72DCE" w:rsidRPr="008B6BC5" w:rsidRDefault="009C1A65" w:rsidP="00C72DCE">
            <w:pPr>
              <w:pStyle w:val="NoSpacing"/>
              <w:rPr>
                <w:rFonts w:cs="Times New Roman"/>
                <w:sz w:val="20"/>
                <w:szCs w:val="20"/>
                <w:lang w:val="en-US"/>
              </w:rPr>
            </w:pPr>
            <w:r w:rsidRPr="008B6BC5">
              <w:rPr>
                <w:rFonts w:cs="Times New Roman"/>
                <w:sz w:val="20"/>
                <w:szCs w:val="20"/>
                <w:lang w:val="en-US"/>
              </w:rPr>
              <w:t>2</w:t>
            </w:r>
          </w:p>
        </w:tc>
        <w:tc>
          <w:tcPr>
            <w:tcW w:w="3896" w:type="dxa"/>
          </w:tcPr>
          <w:p w14:paraId="494DBF5F" w14:textId="0819AE75" w:rsidR="00C72DCE" w:rsidRPr="008B6BC5" w:rsidRDefault="00426E99" w:rsidP="00C72DCE">
            <w:pPr>
              <w:pStyle w:val="NoSpacing"/>
              <w:rPr>
                <w:rFonts w:cs="Times New Roman"/>
                <w:sz w:val="20"/>
                <w:szCs w:val="20"/>
                <w:lang w:val="en-US"/>
              </w:rPr>
            </w:pPr>
            <w:r w:rsidRPr="008B6BC5">
              <w:rPr>
                <w:rFonts w:cs="Times New Roman"/>
                <w:sz w:val="20"/>
                <w:szCs w:val="20"/>
                <w:lang w:val="en-US"/>
              </w:rPr>
              <w:t xml:space="preserve">There were no significant between-group differences in overall and negative symptoms at end-of-treatment. </w:t>
            </w:r>
            <w:r w:rsidR="00784828" w:rsidRPr="008B6BC5">
              <w:rPr>
                <w:rFonts w:cs="Times New Roman"/>
                <w:sz w:val="20"/>
                <w:szCs w:val="20"/>
                <w:lang w:val="en-US"/>
              </w:rPr>
              <w:t xml:space="preserve">Follow-up was 9 months. </w:t>
            </w:r>
          </w:p>
        </w:tc>
      </w:tr>
      <w:tr w:rsidR="00C72DCE" w:rsidRPr="008B6BC5" w14:paraId="6F6CE585" w14:textId="77777777" w:rsidTr="00BD3144">
        <w:tc>
          <w:tcPr>
            <w:tcW w:w="1418" w:type="dxa"/>
          </w:tcPr>
          <w:p w14:paraId="71739EA3" w14:textId="794D5116" w:rsidR="00C72DCE" w:rsidRPr="008B6BC5" w:rsidRDefault="00BD3144" w:rsidP="00C72DCE">
            <w:pPr>
              <w:pStyle w:val="NoSpacing"/>
              <w:rPr>
                <w:rFonts w:cs="Times New Roman"/>
                <w:sz w:val="20"/>
                <w:szCs w:val="20"/>
                <w:lang w:val="en-US"/>
              </w:rPr>
            </w:pPr>
            <w:r w:rsidRPr="008B6BC5">
              <w:rPr>
                <w:rFonts w:cs="Times New Roman"/>
                <w:sz w:val="20"/>
                <w:szCs w:val="20"/>
                <w:lang w:val="en-US"/>
              </w:rPr>
              <w:t>12</w:t>
            </w:r>
          </w:p>
        </w:tc>
        <w:tc>
          <w:tcPr>
            <w:tcW w:w="6237" w:type="dxa"/>
          </w:tcPr>
          <w:p w14:paraId="488F0F11" w14:textId="77777777" w:rsidR="00C72DCE" w:rsidRPr="008B6BC5" w:rsidRDefault="00C72DCE" w:rsidP="00C72DCE">
            <w:pPr>
              <w:pStyle w:val="NoSpacing"/>
              <w:rPr>
                <w:rFonts w:cs="Times New Roman"/>
                <w:sz w:val="20"/>
                <w:szCs w:val="20"/>
                <w:lang w:val="en-US"/>
              </w:rPr>
            </w:pPr>
            <w:r w:rsidRPr="008B6BC5">
              <w:rPr>
                <w:rFonts w:cs="Times New Roman"/>
                <w:sz w:val="20"/>
                <w:szCs w:val="20"/>
                <w:lang w:val="en-US"/>
              </w:rPr>
              <w:t xml:space="preserve">At the meta-analytic level, Turner et al. (2014) </w:t>
            </w:r>
            <w:proofErr w:type="spellStart"/>
            <w:r w:rsidRPr="008B6BC5">
              <w:rPr>
                <w:rFonts w:cs="Times New Roman"/>
                <w:sz w:val="20"/>
                <w:szCs w:val="20"/>
                <w:lang w:val="en-US"/>
              </w:rPr>
              <w:t>synthesised</w:t>
            </w:r>
            <w:proofErr w:type="spellEnd"/>
            <w:r w:rsidRPr="008B6BC5">
              <w:rPr>
                <w:rFonts w:cs="Times New Roman"/>
                <w:sz w:val="20"/>
                <w:szCs w:val="20"/>
                <w:lang w:val="en-US"/>
              </w:rPr>
              <w:t xml:space="preserve"> head-to-head trials among six psychological interventions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SST, CR, family interventions, psychoeducation, and supportive therapy). Differences </w:t>
            </w:r>
            <w:r w:rsidRPr="008B6BC5">
              <w:rPr>
                <w:rFonts w:cs="Times New Roman"/>
                <w:sz w:val="20"/>
                <w:szCs w:val="20"/>
                <w:lang w:val="en-US"/>
              </w:rPr>
              <w:lastRenderedPageBreak/>
              <w:t xml:space="preserve">between modalities were generally small, although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showed some advantages for positive symptoms and SST for negative/general symptoms.</w:t>
            </w:r>
          </w:p>
          <w:p w14:paraId="5453E405" w14:textId="77777777" w:rsidR="00C72DCE" w:rsidRPr="008B6BC5" w:rsidRDefault="00C72DCE" w:rsidP="00C72DCE">
            <w:pPr>
              <w:pStyle w:val="NoSpacing"/>
              <w:rPr>
                <w:rFonts w:cs="Times New Roman"/>
                <w:sz w:val="20"/>
                <w:szCs w:val="20"/>
                <w:lang w:val="en-US"/>
              </w:rPr>
            </w:pPr>
          </w:p>
        </w:tc>
        <w:tc>
          <w:tcPr>
            <w:tcW w:w="4203" w:type="dxa"/>
          </w:tcPr>
          <w:p w14:paraId="315F63EA" w14:textId="330BBD2C" w:rsidR="00C72DCE" w:rsidRPr="008B6BC5" w:rsidRDefault="00C72DCE" w:rsidP="00C72DCE">
            <w:pPr>
              <w:pStyle w:val="NoSpacing"/>
              <w:rPr>
                <w:rFonts w:cs="Times New Roman"/>
                <w:sz w:val="20"/>
                <w:szCs w:val="20"/>
                <w:lang w:val="en-US"/>
              </w:rPr>
            </w:pPr>
            <w:r w:rsidRPr="008B6BC5">
              <w:rPr>
                <w:rFonts w:cs="Times New Roman"/>
                <w:sz w:val="20"/>
                <w:szCs w:val="20"/>
                <w:lang w:val="en-US"/>
              </w:rPr>
              <w:lastRenderedPageBreak/>
              <w:t>DOI: 10.1176/appi.ajp.2013.13081159</w:t>
            </w:r>
          </w:p>
        </w:tc>
        <w:tc>
          <w:tcPr>
            <w:tcW w:w="690" w:type="dxa"/>
          </w:tcPr>
          <w:p w14:paraId="3388E884" w14:textId="5C4683F6" w:rsidR="00C72DCE" w:rsidRPr="008B6BC5" w:rsidRDefault="00784828" w:rsidP="00C72DCE">
            <w:pPr>
              <w:pStyle w:val="NoSpacing"/>
              <w:rPr>
                <w:rFonts w:cs="Times New Roman"/>
                <w:sz w:val="20"/>
                <w:szCs w:val="20"/>
                <w:lang w:val="en-US"/>
              </w:rPr>
            </w:pPr>
            <w:r w:rsidRPr="008B6BC5">
              <w:rPr>
                <w:rFonts w:cs="Times New Roman"/>
                <w:sz w:val="20"/>
                <w:szCs w:val="20"/>
                <w:lang w:val="en-US"/>
              </w:rPr>
              <w:t>1</w:t>
            </w:r>
          </w:p>
        </w:tc>
        <w:tc>
          <w:tcPr>
            <w:tcW w:w="3896" w:type="dxa"/>
          </w:tcPr>
          <w:p w14:paraId="264CE7FF" w14:textId="6E5215DC" w:rsidR="00C72DCE" w:rsidRPr="008B6BC5" w:rsidRDefault="005827E2" w:rsidP="00C72DCE">
            <w:pPr>
              <w:pStyle w:val="NoSpacing"/>
              <w:rPr>
                <w:rFonts w:cs="Times New Roman"/>
                <w:sz w:val="20"/>
                <w:szCs w:val="20"/>
                <w:lang w:val="en-US"/>
              </w:rPr>
            </w:pPr>
            <w:r w:rsidRPr="008B6BC5">
              <w:rPr>
                <w:rFonts w:cs="Times New Roman"/>
                <w:sz w:val="20"/>
                <w:szCs w:val="20"/>
                <w:lang w:val="en-US"/>
              </w:rPr>
              <w:t xml:space="preserve">Meta-analyses on general symptoms were not performed for </w:t>
            </w:r>
            <w:proofErr w:type="spellStart"/>
            <w:r w:rsidR="00B513E1" w:rsidRPr="008B6BC5">
              <w:rPr>
                <w:rFonts w:cs="Times New Roman"/>
                <w:sz w:val="20"/>
                <w:szCs w:val="20"/>
                <w:lang w:val="en-US"/>
              </w:rPr>
              <w:t>CBTp</w:t>
            </w:r>
            <w:proofErr w:type="spellEnd"/>
            <w:r w:rsidR="00B513E1" w:rsidRPr="008B6BC5">
              <w:rPr>
                <w:rFonts w:cs="Times New Roman"/>
                <w:sz w:val="20"/>
                <w:szCs w:val="20"/>
                <w:lang w:val="en-US"/>
              </w:rPr>
              <w:t xml:space="preserve">. Family interventions were not included in this meta-analysis. </w:t>
            </w:r>
          </w:p>
        </w:tc>
      </w:tr>
      <w:tr w:rsidR="00B513E1" w:rsidRPr="008B6BC5" w14:paraId="45F0CCDA" w14:textId="77777777" w:rsidTr="00BD3144">
        <w:tc>
          <w:tcPr>
            <w:tcW w:w="1418" w:type="dxa"/>
          </w:tcPr>
          <w:p w14:paraId="3FAE0EE3" w14:textId="19098709" w:rsidR="00B513E1" w:rsidRPr="008B6BC5" w:rsidRDefault="00BD3144" w:rsidP="00B513E1">
            <w:pPr>
              <w:pStyle w:val="NoSpacing"/>
              <w:rPr>
                <w:rFonts w:cs="Times New Roman"/>
                <w:sz w:val="20"/>
                <w:szCs w:val="20"/>
                <w:lang w:val="en-US"/>
              </w:rPr>
            </w:pPr>
            <w:r w:rsidRPr="008B6BC5">
              <w:rPr>
                <w:rFonts w:cs="Times New Roman"/>
                <w:sz w:val="20"/>
                <w:szCs w:val="20"/>
                <w:lang w:val="en-US"/>
              </w:rPr>
              <w:t>13</w:t>
            </w:r>
          </w:p>
        </w:tc>
        <w:tc>
          <w:tcPr>
            <w:tcW w:w="6237" w:type="dxa"/>
          </w:tcPr>
          <w:p w14:paraId="5BC13DC2" w14:textId="77777777" w:rsidR="00B513E1" w:rsidRPr="008B6BC5" w:rsidRDefault="00B513E1" w:rsidP="00B513E1">
            <w:pPr>
              <w:pStyle w:val="NoSpacing"/>
              <w:rPr>
                <w:rFonts w:cs="Times New Roman"/>
                <w:sz w:val="20"/>
                <w:szCs w:val="20"/>
                <w:lang w:val="en-US"/>
              </w:rPr>
            </w:pPr>
            <w:r w:rsidRPr="008B6BC5">
              <w:rPr>
                <w:rFonts w:cs="Times New Roman"/>
                <w:sz w:val="20"/>
                <w:szCs w:val="20"/>
                <w:lang w:val="en-US"/>
              </w:rPr>
              <w:t xml:space="preserve">An individual-participant data meta-analysis (14 RCTs; n = 898) comparing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with other psychological interventions (e.g., supportive counselling, SST, psychoeducation) found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to be superior for total psychotic symptoms and PANSS general symptoms, with no clear moderators by baseline severity or demographics (Turner et al., 2020).</w:t>
            </w:r>
          </w:p>
          <w:p w14:paraId="5EFE8971" w14:textId="77777777" w:rsidR="00B513E1" w:rsidRPr="008B6BC5" w:rsidRDefault="00B513E1" w:rsidP="00B513E1">
            <w:pPr>
              <w:pStyle w:val="NoSpacing"/>
              <w:rPr>
                <w:rFonts w:cs="Times New Roman"/>
                <w:sz w:val="20"/>
                <w:szCs w:val="20"/>
                <w:lang w:val="en-US"/>
              </w:rPr>
            </w:pPr>
          </w:p>
        </w:tc>
        <w:tc>
          <w:tcPr>
            <w:tcW w:w="4203" w:type="dxa"/>
          </w:tcPr>
          <w:p w14:paraId="65EB9E13" w14:textId="7DE0524F" w:rsidR="00B513E1" w:rsidRPr="008B6BC5" w:rsidRDefault="00B513E1" w:rsidP="00B513E1">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10.3389/fpsyt.2020.00402</w:t>
            </w:r>
          </w:p>
        </w:tc>
        <w:tc>
          <w:tcPr>
            <w:tcW w:w="690" w:type="dxa"/>
          </w:tcPr>
          <w:p w14:paraId="1B1C1991" w14:textId="3E00FA25" w:rsidR="00B513E1" w:rsidRPr="008B6BC5" w:rsidRDefault="00B513E1" w:rsidP="00B513E1">
            <w:pPr>
              <w:pStyle w:val="NoSpacing"/>
              <w:rPr>
                <w:rFonts w:cs="Times New Roman"/>
                <w:sz w:val="20"/>
                <w:szCs w:val="20"/>
                <w:lang w:val="en-US"/>
              </w:rPr>
            </w:pPr>
            <w:r w:rsidRPr="008B6BC5">
              <w:rPr>
                <w:rFonts w:cs="Times New Roman"/>
                <w:sz w:val="20"/>
                <w:szCs w:val="20"/>
                <w:lang w:val="en-US"/>
              </w:rPr>
              <w:t>4</w:t>
            </w:r>
          </w:p>
        </w:tc>
        <w:tc>
          <w:tcPr>
            <w:tcW w:w="3896" w:type="dxa"/>
          </w:tcPr>
          <w:p w14:paraId="200DA146" w14:textId="46892D2A" w:rsidR="00B513E1" w:rsidRPr="008B6BC5" w:rsidRDefault="00B513E1" w:rsidP="00B513E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513E1" w:rsidRPr="008B6BC5" w14:paraId="10A302AF" w14:textId="77777777" w:rsidTr="00BD3144">
        <w:tc>
          <w:tcPr>
            <w:tcW w:w="1418" w:type="dxa"/>
          </w:tcPr>
          <w:p w14:paraId="41EF998B" w14:textId="72D24249" w:rsidR="00B513E1" w:rsidRPr="008B6BC5" w:rsidRDefault="00BD3144" w:rsidP="00B513E1">
            <w:pPr>
              <w:pStyle w:val="NoSpacing"/>
              <w:rPr>
                <w:rFonts w:cs="Times New Roman"/>
                <w:sz w:val="20"/>
                <w:szCs w:val="20"/>
                <w:lang w:val="en-US"/>
              </w:rPr>
            </w:pPr>
            <w:r w:rsidRPr="008B6BC5">
              <w:rPr>
                <w:rFonts w:cs="Times New Roman"/>
                <w:sz w:val="20"/>
                <w:szCs w:val="20"/>
                <w:lang w:val="en-US"/>
              </w:rPr>
              <w:t>14</w:t>
            </w:r>
          </w:p>
        </w:tc>
        <w:tc>
          <w:tcPr>
            <w:tcW w:w="6237" w:type="dxa"/>
          </w:tcPr>
          <w:p w14:paraId="76B82B43" w14:textId="77777777" w:rsidR="00B513E1" w:rsidRPr="008B6BC5" w:rsidRDefault="00B513E1" w:rsidP="00B513E1">
            <w:pPr>
              <w:pStyle w:val="NoSpacing"/>
              <w:rPr>
                <w:rFonts w:cs="Times New Roman"/>
                <w:sz w:val="20"/>
                <w:szCs w:val="20"/>
                <w:lang w:val="en-US"/>
              </w:rPr>
            </w:pPr>
            <w:r w:rsidRPr="008B6BC5">
              <w:rPr>
                <w:rFonts w:cs="Times New Roman"/>
                <w:sz w:val="20"/>
                <w:szCs w:val="20"/>
                <w:lang w:val="en-US"/>
              </w:rPr>
              <w:t xml:space="preserve">Network meta-analyses focusing on total symptom change also suggest that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and SST occupy the top ranks among psychological interventions, though with overlapping credible intervals and small absolute differences (</w:t>
            </w:r>
            <w:proofErr w:type="spellStart"/>
            <w:r w:rsidRPr="008B6BC5">
              <w:rPr>
                <w:rFonts w:cs="Times New Roman"/>
                <w:sz w:val="20"/>
                <w:szCs w:val="20"/>
                <w:lang w:val="en-US"/>
              </w:rPr>
              <w:t>McGlanaghy</w:t>
            </w:r>
            <w:proofErr w:type="spellEnd"/>
            <w:r w:rsidRPr="008B6BC5">
              <w:rPr>
                <w:rFonts w:cs="Times New Roman"/>
                <w:sz w:val="20"/>
                <w:szCs w:val="20"/>
                <w:lang w:val="en-US"/>
              </w:rPr>
              <w:t xml:space="preserve"> et al., 2021).</w:t>
            </w:r>
          </w:p>
          <w:p w14:paraId="441344E0" w14:textId="77777777" w:rsidR="00B513E1" w:rsidRPr="008B6BC5" w:rsidRDefault="00B513E1" w:rsidP="00B513E1">
            <w:pPr>
              <w:pStyle w:val="NoSpacing"/>
              <w:rPr>
                <w:rFonts w:cs="Times New Roman"/>
                <w:sz w:val="20"/>
                <w:szCs w:val="20"/>
                <w:lang w:val="en-US"/>
              </w:rPr>
            </w:pPr>
          </w:p>
        </w:tc>
        <w:tc>
          <w:tcPr>
            <w:tcW w:w="4203" w:type="dxa"/>
          </w:tcPr>
          <w:p w14:paraId="32461480" w14:textId="3E397CAD" w:rsidR="00B513E1" w:rsidRPr="008B6BC5" w:rsidRDefault="00B513E1" w:rsidP="00B513E1">
            <w:pPr>
              <w:pStyle w:val="NoSpacing"/>
              <w:rPr>
                <w:rFonts w:cs="Times New Roman"/>
                <w:sz w:val="20"/>
                <w:szCs w:val="20"/>
                <w:lang w:val="en-US"/>
              </w:rPr>
            </w:pPr>
            <w:r w:rsidRPr="008B6BC5">
              <w:rPr>
                <w:rFonts w:cs="Times New Roman"/>
                <w:sz w:val="20"/>
                <w:szCs w:val="20"/>
                <w:lang w:val="en-US"/>
              </w:rPr>
              <w:t>https://doi.org/10.1016/j.schres.2020.12.036</w:t>
            </w:r>
          </w:p>
        </w:tc>
        <w:tc>
          <w:tcPr>
            <w:tcW w:w="690" w:type="dxa"/>
          </w:tcPr>
          <w:p w14:paraId="458D4525" w14:textId="7EE154D6" w:rsidR="00B513E1" w:rsidRPr="008B6BC5" w:rsidRDefault="0022042A" w:rsidP="00B513E1">
            <w:pPr>
              <w:pStyle w:val="NoSpacing"/>
              <w:rPr>
                <w:rFonts w:cs="Times New Roman"/>
                <w:sz w:val="20"/>
                <w:szCs w:val="20"/>
                <w:lang w:val="en-US"/>
              </w:rPr>
            </w:pPr>
            <w:r w:rsidRPr="008B6BC5">
              <w:rPr>
                <w:rFonts w:cs="Times New Roman"/>
                <w:sz w:val="20"/>
                <w:szCs w:val="20"/>
                <w:lang w:val="en-US"/>
              </w:rPr>
              <w:t>3</w:t>
            </w:r>
          </w:p>
        </w:tc>
        <w:tc>
          <w:tcPr>
            <w:tcW w:w="3896" w:type="dxa"/>
          </w:tcPr>
          <w:p w14:paraId="57A283B1" w14:textId="2DEA252D" w:rsidR="00B513E1" w:rsidRPr="008B6BC5" w:rsidRDefault="0022042A" w:rsidP="00B513E1">
            <w:pPr>
              <w:pStyle w:val="NoSpacing"/>
              <w:rPr>
                <w:rFonts w:cs="Times New Roman"/>
                <w:sz w:val="20"/>
                <w:szCs w:val="20"/>
                <w:lang w:val="en-US"/>
              </w:rPr>
            </w:pPr>
            <w:r w:rsidRPr="008B6BC5">
              <w:rPr>
                <w:rFonts w:cs="Times New Roman"/>
                <w:sz w:val="20"/>
                <w:szCs w:val="20"/>
                <w:lang w:val="en-US"/>
              </w:rPr>
              <w:t xml:space="preserve">The authors reported confidence intervals, not credible intervals. </w:t>
            </w:r>
          </w:p>
        </w:tc>
      </w:tr>
      <w:tr w:rsidR="00B513E1" w:rsidRPr="008B6BC5" w14:paraId="7F009583" w14:textId="77777777" w:rsidTr="00BD3144">
        <w:tc>
          <w:tcPr>
            <w:tcW w:w="1418" w:type="dxa"/>
          </w:tcPr>
          <w:p w14:paraId="58AA9DD5" w14:textId="1C371BD4" w:rsidR="00B513E1" w:rsidRPr="008B6BC5" w:rsidRDefault="00BD3144" w:rsidP="00B513E1">
            <w:pPr>
              <w:pStyle w:val="NoSpacing"/>
              <w:rPr>
                <w:rFonts w:cs="Times New Roman"/>
                <w:sz w:val="20"/>
                <w:szCs w:val="20"/>
                <w:lang w:val="en-US"/>
              </w:rPr>
            </w:pPr>
            <w:r w:rsidRPr="008B6BC5">
              <w:rPr>
                <w:rFonts w:cs="Times New Roman"/>
                <w:sz w:val="20"/>
                <w:szCs w:val="20"/>
                <w:lang w:val="en-US"/>
              </w:rPr>
              <w:t>15</w:t>
            </w:r>
          </w:p>
        </w:tc>
        <w:tc>
          <w:tcPr>
            <w:tcW w:w="6237" w:type="dxa"/>
          </w:tcPr>
          <w:p w14:paraId="61C8F936" w14:textId="77777777" w:rsidR="00B513E1" w:rsidRPr="008B6BC5" w:rsidRDefault="00B513E1" w:rsidP="00B513E1">
            <w:pPr>
              <w:pStyle w:val="NoSpacing"/>
              <w:rPr>
                <w:rFonts w:cs="Times New Roman"/>
                <w:sz w:val="20"/>
                <w:szCs w:val="20"/>
                <w:lang w:val="en-US"/>
              </w:rPr>
            </w:pPr>
            <w:r w:rsidRPr="008B6BC5">
              <w:rPr>
                <w:rFonts w:cs="Times New Roman"/>
                <w:sz w:val="20"/>
                <w:szCs w:val="20"/>
                <w:lang w:val="en-US"/>
              </w:rPr>
              <w:t xml:space="preserve">One notable exception is an RCT of 74 adults with schizophrenia-spectrum disorders who chose not to take antipsychotic drugs; participants were randomized to 18–24 months of cognitive therapy or TAU (which excluded antipsychotics). Cognitive therapy, delivered in approximately 26 sessions, produced greater reductions in PANSS total and positive symptoms and improved personal recovery and functioning compared with TAU, with between-group differences in the small-to-moderate range and no increase in serious adverse events (Morrison et al., 2014). </w:t>
            </w:r>
          </w:p>
          <w:p w14:paraId="59046E87" w14:textId="77777777" w:rsidR="00B513E1" w:rsidRPr="008B6BC5" w:rsidRDefault="00B513E1" w:rsidP="00B513E1">
            <w:pPr>
              <w:pStyle w:val="NoSpacing"/>
              <w:rPr>
                <w:rFonts w:cs="Times New Roman"/>
                <w:sz w:val="20"/>
                <w:szCs w:val="20"/>
                <w:lang w:val="en-US"/>
              </w:rPr>
            </w:pPr>
          </w:p>
        </w:tc>
        <w:tc>
          <w:tcPr>
            <w:tcW w:w="4203" w:type="dxa"/>
          </w:tcPr>
          <w:p w14:paraId="1A111DEB" w14:textId="3EBCDC70" w:rsidR="00B513E1" w:rsidRPr="008B6BC5" w:rsidRDefault="00B513E1" w:rsidP="00B513E1">
            <w:pPr>
              <w:pStyle w:val="NoSpacing"/>
              <w:rPr>
                <w:rFonts w:cs="Times New Roman"/>
                <w:sz w:val="20"/>
                <w:szCs w:val="20"/>
                <w:lang w:val="en-US"/>
              </w:rPr>
            </w:pPr>
            <w:r w:rsidRPr="008B6BC5">
              <w:rPr>
                <w:rFonts w:cs="Times New Roman"/>
                <w:sz w:val="20"/>
                <w:szCs w:val="20"/>
                <w:lang w:val="en-US"/>
              </w:rPr>
              <w:t>Doi: 10.1016/S0140-6736(13)62246-1</w:t>
            </w:r>
          </w:p>
        </w:tc>
        <w:tc>
          <w:tcPr>
            <w:tcW w:w="690" w:type="dxa"/>
          </w:tcPr>
          <w:p w14:paraId="1DB570ED" w14:textId="67ED6769" w:rsidR="00B513E1" w:rsidRPr="008B6BC5" w:rsidRDefault="00F34C2F" w:rsidP="00B513E1">
            <w:pPr>
              <w:pStyle w:val="NoSpacing"/>
              <w:rPr>
                <w:rFonts w:cs="Times New Roman"/>
                <w:sz w:val="20"/>
                <w:szCs w:val="20"/>
                <w:lang w:val="en-US"/>
              </w:rPr>
            </w:pPr>
            <w:r w:rsidRPr="008B6BC5">
              <w:rPr>
                <w:rFonts w:cs="Times New Roman"/>
                <w:sz w:val="20"/>
                <w:szCs w:val="20"/>
                <w:lang w:val="en-US"/>
              </w:rPr>
              <w:t>2</w:t>
            </w:r>
          </w:p>
        </w:tc>
        <w:tc>
          <w:tcPr>
            <w:tcW w:w="3896" w:type="dxa"/>
          </w:tcPr>
          <w:p w14:paraId="54BA028C" w14:textId="5ED7F628" w:rsidR="00964517" w:rsidRPr="008B6BC5" w:rsidRDefault="00964517" w:rsidP="00201FDA">
            <w:pPr>
              <w:spacing w:line="240" w:lineRule="auto"/>
              <w:rPr>
                <w:sz w:val="20"/>
                <w:szCs w:val="20"/>
                <w:lang w:val="en-US"/>
              </w:rPr>
            </w:pPr>
            <w:r w:rsidRPr="008B6BC5">
              <w:rPr>
                <w:sz w:val="20"/>
                <w:szCs w:val="20"/>
                <w:lang w:val="en-US"/>
              </w:rPr>
              <w:t xml:space="preserve">No significant between-group differences were found for personal recovery outcomes. </w:t>
            </w:r>
          </w:p>
        </w:tc>
      </w:tr>
      <w:tr w:rsidR="00201FDA" w:rsidRPr="008B6BC5" w14:paraId="5AC443E3" w14:textId="77777777" w:rsidTr="00BD3144">
        <w:tc>
          <w:tcPr>
            <w:tcW w:w="1418" w:type="dxa"/>
          </w:tcPr>
          <w:p w14:paraId="5474CEEE" w14:textId="0F309F9D" w:rsidR="00201FDA" w:rsidRPr="008B6BC5" w:rsidRDefault="00BD3144" w:rsidP="00201FDA">
            <w:pPr>
              <w:pStyle w:val="NoSpacing"/>
              <w:rPr>
                <w:rFonts w:cs="Times New Roman"/>
                <w:sz w:val="20"/>
                <w:szCs w:val="20"/>
                <w:lang w:val="en-US"/>
              </w:rPr>
            </w:pPr>
            <w:r w:rsidRPr="008B6BC5">
              <w:rPr>
                <w:rFonts w:cs="Times New Roman"/>
                <w:sz w:val="20"/>
                <w:szCs w:val="20"/>
                <w:lang w:val="en-US"/>
              </w:rPr>
              <w:t>16</w:t>
            </w:r>
          </w:p>
        </w:tc>
        <w:tc>
          <w:tcPr>
            <w:tcW w:w="6237" w:type="dxa"/>
          </w:tcPr>
          <w:p w14:paraId="61328B0C" w14:textId="77777777" w:rsidR="00201FDA" w:rsidRPr="008B6BC5" w:rsidRDefault="00201FDA" w:rsidP="00201FDA">
            <w:pPr>
              <w:pStyle w:val="NoSpacing"/>
              <w:rPr>
                <w:rFonts w:cs="Times New Roman"/>
                <w:sz w:val="20"/>
                <w:szCs w:val="20"/>
                <w:lang w:val="en-US"/>
              </w:rPr>
            </w:pPr>
            <w:r w:rsidRPr="008B6BC5">
              <w:rPr>
                <w:rFonts w:cs="Times New Roman"/>
                <w:sz w:val="20"/>
                <w:szCs w:val="20"/>
                <w:lang w:val="en-US"/>
              </w:rPr>
              <w:t xml:space="preserve">In treatment-resistant schizophrenia, a network meta-analysis of 52 RCTs (n = 5,034) of adults on antipsychotics found that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(35 trials) produced additional reductions in overall symptoms versus standard care (SMD = −0.22, 95% CI −0.35 to −0.09), while virtual reality–based interventions and integrated multimodal </w:t>
            </w:r>
            <w:proofErr w:type="spellStart"/>
            <w:r w:rsidRPr="008B6BC5">
              <w:rPr>
                <w:rFonts w:cs="Times New Roman"/>
                <w:sz w:val="20"/>
                <w:szCs w:val="20"/>
                <w:lang w:val="en-US"/>
              </w:rPr>
              <w:t>programmes</w:t>
            </w:r>
            <w:proofErr w:type="spellEnd"/>
            <w:r w:rsidRPr="008B6BC5">
              <w:rPr>
                <w:rFonts w:cs="Times New Roman"/>
                <w:sz w:val="20"/>
                <w:szCs w:val="20"/>
                <w:lang w:val="en-US"/>
              </w:rPr>
              <w:t xml:space="preserve"> showed larger but less precise effects (SMDs −0.41 and −0.70, respectively) (Salahuddin et al., 2024).</w:t>
            </w:r>
          </w:p>
          <w:p w14:paraId="6E583F6B" w14:textId="77777777" w:rsidR="00201FDA" w:rsidRPr="008B6BC5" w:rsidRDefault="00201FDA" w:rsidP="00201FDA">
            <w:pPr>
              <w:pStyle w:val="NoSpacing"/>
              <w:rPr>
                <w:rFonts w:cs="Times New Roman"/>
                <w:sz w:val="20"/>
                <w:szCs w:val="20"/>
                <w:lang w:val="en-US"/>
              </w:rPr>
            </w:pPr>
          </w:p>
        </w:tc>
        <w:tc>
          <w:tcPr>
            <w:tcW w:w="4203" w:type="dxa"/>
          </w:tcPr>
          <w:p w14:paraId="4A85CC4E" w14:textId="5F9D1EDE" w:rsidR="00201FDA" w:rsidRPr="008B6BC5" w:rsidRDefault="00201FDA" w:rsidP="00201FDA">
            <w:pPr>
              <w:pStyle w:val="NoSpacing"/>
              <w:rPr>
                <w:rFonts w:cs="Times New Roman"/>
                <w:sz w:val="20"/>
                <w:szCs w:val="20"/>
                <w:lang w:val="en-US"/>
              </w:rPr>
            </w:pPr>
            <w:r w:rsidRPr="008B6BC5">
              <w:rPr>
                <w:rFonts w:cs="Times New Roman"/>
                <w:sz w:val="20"/>
                <w:szCs w:val="20"/>
                <w:lang w:val="en-US"/>
              </w:rPr>
              <w:t>DOI: 10.1016/S2215-0366(24)00136-6</w:t>
            </w:r>
          </w:p>
        </w:tc>
        <w:tc>
          <w:tcPr>
            <w:tcW w:w="690" w:type="dxa"/>
          </w:tcPr>
          <w:p w14:paraId="09FB9D7D" w14:textId="16A07F3D" w:rsidR="00201FDA" w:rsidRPr="008B6BC5" w:rsidRDefault="00201FDA" w:rsidP="00201FDA">
            <w:pPr>
              <w:pStyle w:val="NoSpacing"/>
              <w:rPr>
                <w:rFonts w:cs="Times New Roman"/>
                <w:sz w:val="20"/>
                <w:szCs w:val="20"/>
                <w:lang w:val="en-US"/>
              </w:rPr>
            </w:pPr>
            <w:r w:rsidRPr="008B6BC5">
              <w:rPr>
                <w:rFonts w:cs="Times New Roman"/>
                <w:sz w:val="20"/>
                <w:szCs w:val="20"/>
                <w:lang w:val="en-US"/>
              </w:rPr>
              <w:t>4</w:t>
            </w:r>
          </w:p>
        </w:tc>
        <w:tc>
          <w:tcPr>
            <w:tcW w:w="3896" w:type="dxa"/>
          </w:tcPr>
          <w:p w14:paraId="14D56D06" w14:textId="263E172F" w:rsidR="00201FDA" w:rsidRPr="008B6BC5" w:rsidRDefault="00201FDA" w:rsidP="00201FD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201FDA" w:rsidRPr="008B6BC5" w14:paraId="7205F364" w14:textId="77777777" w:rsidTr="00BD3144">
        <w:tc>
          <w:tcPr>
            <w:tcW w:w="1418" w:type="dxa"/>
          </w:tcPr>
          <w:p w14:paraId="366D4AF6" w14:textId="4B333F3C" w:rsidR="00201FDA" w:rsidRPr="008B6BC5" w:rsidRDefault="00BD3144" w:rsidP="00201FDA">
            <w:pPr>
              <w:pStyle w:val="NoSpacing"/>
              <w:rPr>
                <w:rFonts w:cs="Times New Roman"/>
                <w:sz w:val="20"/>
                <w:szCs w:val="20"/>
                <w:lang w:val="en-US"/>
              </w:rPr>
            </w:pPr>
            <w:r w:rsidRPr="008B6BC5">
              <w:rPr>
                <w:rFonts w:cs="Times New Roman"/>
                <w:sz w:val="20"/>
                <w:szCs w:val="20"/>
                <w:lang w:val="en-US"/>
              </w:rPr>
              <w:t>17</w:t>
            </w:r>
          </w:p>
        </w:tc>
        <w:tc>
          <w:tcPr>
            <w:tcW w:w="6237" w:type="dxa"/>
          </w:tcPr>
          <w:p w14:paraId="6AF23874" w14:textId="77777777" w:rsidR="00201FDA" w:rsidRPr="008B6BC5" w:rsidRDefault="00201FDA" w:rsidP="00201FDA">
            <w:pPr>
              <w:pStyle w:val="NoSpacing"/>
              <w:rPr>
                <w:rFonts w:cs="Times New Roman"/>
                <w:sz w:val="20"/>
                <w:szCs w:val="20"/>
                <w:lang w:val="en-US"/>
              </w:rPr>
            </w:pPr>
            <w:r w:rsidRPr="008B6BC5">
              <w:rPr>
                <w:rFonts w:cs="Times New Roman"/>
                <w:sz w:val="20"/>
                <w:szCs w:val="20"/>
                <w:lang w:val="en-US"/>
              </w:rPr>
              <w:t xml:space="preserve">The Vita et al. (2021) meta-analysis demonstrated that CR retains its cognitive (d ≈ 0.3) and functional (d ≈ 0.2) superiority over both active and passive controls, and that integration with broader rehabilitation </w:t>
            </w:r>
            <w:proofErr w:type="spellStart"/>
            <w:r w:rsidRPr="008B6BC5">
              <w:rPr>
                <w:rFonts w:cs="Times New Roman"/>
                <w:sz w:val="20"/>
                <w:szCs w:val="20"/>
                <w:lang w:val="en-US"/>
              </w:rPr>
              <w:t>programmes</w:t>
            </w:r>
            <w:proofErr w:type="spellEnd"/>
            <w:r w:rsidRPr="008B6BC5">
              <w:rPr>
                <w:rFonts w:cs="Times New Roman"/>
                <w:sz w:val="20"/>
                <w:szCs w:val="20"/>
                <w:lang w:val="en-US"/>
              </w:rPr>
              <w:t xml:space="preserve"> (e.g., supported employment, social skills training) further enhances functional outcomes.</w:t>
            </w:r>
          </w:p>
          <w:p w14:paraId="7A9D8784" w14:textId="77777777" w:rsidR="00201FDA" w:rsidRPr="008B6BC5" w:rsidRDefault="00201FDA" w:rsidP="00201FDA">
            <w:pPr>
              <w:pStyle w:val="NoSpacing"/>
              <w:rPr>
                <w:rFonts w:cs="Times New Roman"/>
                <w:sz w:val="20"/>
                <w:szCs w:val="20"/>
                <w:lang w:val="en-US"/>
              </w:rPr>
            </w:pPr>
          </w:p>
        </w:tc>
        <w:tc>
          <w:tcPr>
            <w:tcW w:w="4203" w:type="dxa"/>
          </w:tcPr>
          <w:p w14:paraId="0864C0BA" w14:textId="53E3FA37" w:rsidR="00201FDA" w:rsidRPr="008B6BC5" w:rsidRDefault="00201FDA" w:rsidP="00201FDA">
            <w:pPr>
              <w:pStyle w:val="NoSpacing"/>
              <w:rPr>
                <w:rFonts w:cs="Times New Roman"/>
                <w:sz w:val="20"/>
                <w:szCs w:val="20"/>
                <w:lang w:val="en-US"/>
              </w:rPr>
            </w:pPr>
            <w:r w:rsidRPr="008B6BC5">
              <w:rPr>
                <w:rFonts w:cs="Times New Roman"/>
                <w:sz w:val="20"/>
                <w:szCs w:val="20"/>
                <w:lang w:val="en-US"/>
              </w:rPr>
              <w:t>doi:10.1001/jamapsychiatry.2021.0620</w:t>
            </w:r>
          </w:p>
        </w:tc>
        <w:tc>
          <w:tcPr>
            <w:tcW w:w="690" w:type="dxa"/>
          </w:tcPr>
          <w:p w14:paraId="1C425718" w14:textId="370C3F9D" w:rsidR="00201FDA" w:rsidRPr="008B6BC5" w:rsidRDefault="00201FDA" w:rsidP="00201FDA">
            <w:pPr>
              <w:pStyle w:val="NoSpacing"/>
              <w:rPr>
                <w:rFonts w:cs="Times New Roman"/>
                <w:sz w:val="20"/>
                <w:szCs w:val="20"/>
                <w:lang w:val="en-US"/>
              </w:rPr>
            </w:pPr>
            <w:r w:rsidRPr="008B6BC5">
              <w:rPr>
                <w:rFonts w:cs="Times New Roman"/>
                <w:sz w:val="20"/>
                <w:szCs w:val="20"/>
                <w:lang w:val="en-US"/>
              </w:rPr>
              <w:t>4</w:t>
            </w:r>
          </w:p>
        </w:tc>
        <w:tc>
          <w:tcPr>
            <w:tcW w:w="3896" w:type="dxa"/>
          </w:tcPr>
          <w:p w14:paraId="3813FE0C" w14:textId="6BF14632" w:rsidR="00201FDA" w:rsidRPr="008B6BC5" w:rsidRDefault="00201FDA" w:rsidP="00201FDA">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513E1" w:rsidRPr="008B6BC5" w14:paraId="2DDC26AA" w14:textId="77777777" w:rsidTr="00BD3144">
        <w:tc>
          <w:tcPr>
            <w:tcW w:w="1418" w:type="dxa"/>
          </w:tcPr>
          <w:p w14:paraId="695725C8" w14:textId="14615280" w:rsidR="00B513E1" w:rsidRPr="008B6BC5" w:rsidRDefault="00BD3144" w:rsidP="00B513E1">
            <w:pPr>
              <w:pStyle w:val="NoSpacing"/>
              <w:rPr>
                <w:rFonts w:cs="Times New Roman"/>
                <w:sz w:val="20"/>
                <w:szCs w:val="20"/>
                <w:lang w:val="en-US"/>
              </w:rPr>
            </w:pPr>
            <w:r w:rsidRPr="008B6BC5">
              <w:rPr>
                <w:rFonts w:cs="Times New Roman"/>
                <w:sz w:val="20"/>
                <w:szCs w:val="20"/>
                <w:lang w:val="en-US"/>
              </w:rPr>
              <w:lastRenderedPageBreak/>
              <w:t>18</w:t>
            </w:r>
          </w:p>
        </w:tc>
        <w:tc>
          <w:tcPr>
            <w:tcW w:w="6237" w:type="dxa"/>
          </w:tcPr>
          <w:p w14:paraId="4F515D92" w14:textId="40C9D186" w:rsidR="00B513E1" w:rsidRPr="008B6BC5" w:rsidRDefault="00B513E1" w:rsidP="00B513E1">
            <w:pPr>
              <w:pStyle w:val="NoSpacing"/>
              <w:rPr>
                <w:rFonts w:cs="Times New Roman"/>
                <w:sz w:val="20"/>
                <w:szCs w:val="20"/>
                <w:lang w:val="en-US"/>
              </w:rPr>
            </w:pPr>
            <w:r w:rsidRPr="008B6BC5">
              <w:rPr>
                <w:rFonts w:cs="Times New Roman"/>
                <w:sz w:val="20"/>
                <w:szCs w:val="20"/>
                <w:lang w:val="en-US"/>
              </w:rPr>
              <w:t>This aligns with RCTs showing that CR plus supported employment leads to better vocational outcomes than supported employment alone in outpatients with chronic schizophrenia (e.g., Bell et al. trials included in Vita et al., 2021).</w:t>
            </w:r>
          </w:p>
        </w:tc>
        <w:tc>
          <w:tcPr>
            <w:tcW w:w="4203" w:type="dxa"/>
          </w:tcPr>
          <w:p w14:paraId="7F7F83CD" w14:textId="24D87AF9" w:rsidR="00B513E1" w:rsidRPr="008B6BC5" w:rsidRDefault="00B513E1" w:rsidP="00B513E1">
            <w:pPr>
              <w:pStyle w:val="NoSpacing"/>
              <w:rPr>
                <w:rFonts w:cs="Times New Roman"/>
                <w:sz w:val="20"/>
                <w:szCs w:val="20"/>
                <w:lang w:val="en-US"/>
              </w:rPr>
            </w:pPr>
            <w:r w:rsidRPr="008B6BC5">
              <w:rPr>
                <w:rFonts w:cs="Times New Roman"/>
                <w:sz w:val="20"/>
                <w:szCs w:val="20"/>
                <w:lang w:val="en-US"/>
              </w:rPr>
              <w:t>doi:10.1001/jamapsychiatry.2021.0620</w:t>
            </w:r>
          </w:p>
        </w:tc>
        <w:tc>
          <w:tcPr>
            <w:tcW w:w="690" w:type="dxa"/>
          </w:tcPr>
          <w:p w14:paraId="59F0408A" w14:textId="2882E54A" w:rsidR="00B513E1" w:rsidRPr="008B6BC5" w:rsidRDefault="008F06B9" w:rsidP="00B513E1">
            <w:pPr>
              <w:pStyle w:val="NoSpacing"/>
              <w:rPr>
                <w:rFonts w:cs="Times New Roman"/>
                <w:sz w:val="20"/>
                <w:szCs w:val="20"/>
                <w:lang w:val="en-US"/>
              </w:rPr>
            </w:pPr>
            <w:r w:rsidRPr="008B6BC5">
              <w:rPr>
                <w:rFonts w:cs="Times New Roman"/>
                <w:sz w:val="20"/>
                <w:szCs w:val="20"/>
                <w:lang w:val="en-US"/>
              </w:rPr>
              <w:t>3</w:t>
            </w:r>
          </w:p>
        </w:tc>
        <w:tc>
          <w:tcPr>
            <w:tcW w:w="3896" w:type="dxa"/>
          </w:tcPr>
          <w:p w14:paraId="70E8CBB7" w14:textId="2DC14A38" w:rsidR="00B513E1" w:rsidRPr="008B6BC5" w:rsidRDefault="008F06B9" w:rsidP="00B513E1">
            <w:pPr>
              <w:pStyle w:val="NoSpacing"/>
              <w:rPr>
                <w:rFonts w:cs="Times New Roman"/>
                <w:sz w:val="20"/>
                <w:szCs w:val="20"/>
                <w:lang w:val="en-US"/>
              </w:rPr>
            </w:pPr>
            <w:r w:rsidRPr="008B6BC5">
              <w:rPr>
                <w:rFonts w:cs="Times New Roman"/>
                <w:sz w:val="20"/>
                <w:szCs w:val="20"/>
                <w:lang w:val="en-US"/>
              </w:rPr>
              <w:t xml:space="preserve">This effect occurred, but only among participants with </w:t>
            </w:r>
            <w:r w:rsidR="00E66C91" w:rsidRPr="008B6BC5">
              <w:rPr>
                <w:rFonts w:cs="Times New Roman"/>
                <w:sz w:val="20"/>
                <w:szCs w:val="20"/>
                <w:lang w:val="en-US"/>
              </w:rPr>
              <w:t xml:space="preserve">low community functioning to begin with. </w:t>
            </w:r>
          </w:p>
        </w:tc>
      </w:tr>
      <w:tr w:rsidR="00B513E1" w:rsidRPr="008B6BC5" w14:paraId="7FE6D264" w14:textId="77777777" w:rsidTr="00BD3144">
        <w:tc>
          <w:tcPr>
            <w:tcW w:w="1418" w:type="dxa"/>
          </w:tcPr>
          <w:p w14:paraId="71C412E8" w14:textId="37A7D86F" w:rsidR="00B513E1" w:rsidRPr="008B6BC5" w:rsidRDefault="00BD3144" w:rsidP="00B513E1">
            <w:pPr>
              <w:pStyle w:val="NoSpacing"/>
              <w:rPr>
                <w:rFonts w:cs="Times New Roman"/>
                <w:sz w:val="20"/>
                <w:szCs w:val="20"/>
                <w:lang w:val="en-US"/>
              </w:rPr>
            </w:pPr>
            <w:r w:rsidRPr="008B6BC5">
              <w:rPr>
                <w:rFonts w:cs="Times New Roman"/>
                <w:sz w:val="20"/>
                <w:szCs w:val="20"/>
                <w:lang w:val="en-US"/>
              </w:rPr>
              <w:t>19</w:t>
            </w:r>
          </w:p>
        </w:tc>
        <w:tc>
          <w:tcPr>
            <w:tcW w:w="6237" w:type="dxa"/>
          </w:tcPr>
          <w:p w14:paraId="7EC48EA5" w14:textId="77777777" w:rsidR="00B513E1" w:rsidRPr="008B6BC5" w:rsidRDefault="00B513E1" w:rsidP="00B513E1">
            <w:pPr>
              <w:pStyle w:val="NoSpacing"/>
              <w:rPr>
                <w:rFonts w:cs="Times New Roman"/>
                <w:sz w:val="20"/>
                <w:szCs w:val="20"/>
                <w:lang w:val="en-US"/>
              </w:rPr>
            </w:pPr>
            <w:r w:rsidRPr="008B6BC5">
              <w:rPr>
                <w:rFonts w:cs="Times New Roman"/>
                <w:sz w:val="20"/>
                <w:szCs w:val="20"/>
                <w:lang w:val="en-US"/>
              </w:rPr>
              <w:t xml:space="preserve">In the network meta-analysis of psychological interventions for positive symptoms, </w:t>
            </w:r>
            <w:proofErr w:type="spellStart"/>
            <w:r w:rsidRPr="008B6BC5">
              <w:rPr>
                <w:rFonts w:cs="Times New Roman"/>
                <w:sz w:val="20"/>
                <w:szCs w:val="20"/>
                <w:lang w:val="en-US"/>
              </w:rPr>
              <w:t>CBTp</w:t>
            </w:r>
            <w:proofErr w:type="spellEnd"/>
            <w:r w:rsidRPr="008B6BC5">
              <w:rPr>
                <w:rFonts w:cs="Times New Roman"/>
                <w:sz w:val="20"/>
                <w:szCs w:val="20"/>
                <w:lang w:val="en-US"/>
              </w:rPr>
              <w:t xml:space="preserve"> showed a slightly higher dropout rate than TAU (risk ratio for dropout 0.74, 95% CI 0.58 to 0.95, </w:t>
            </w:r>
            <w:proofErr w:type="spellStart"/>
            <w:r w:rsidRPr="008B6BC5">
              <w:rPr>
                <w:rFonts w:cs="Times New Roman"/>
                <w:sz w:val="20"/>
                <w:szCs w:val="20"/>
                <w:lang w:val="en-US"/>
              </w:rPr>
              <w:t>favouring</w:t>
            </w:r>
            <w:proofErr w:type="spellEnd"/>
            <w:r w:rsidRPr="008B6BC5">
              <w:rPr>
                <w:rFonts w:cs="Times New Roman"/>
                <w:sz w:val="20"/>
                <w:szCs w:val="20"/>
                <w:lang w:val="en-US"/>
              </w:rPr>
              <w:t xml:space="preserve"> TAU), although dropout did not differ significantly from supportive therapy or other active interventions (</w:t>
            </w:r>
            <w:proofErr w:type="spellStart"/>
            <w:r w:rsidRPr="008B6BC5">
              <w:rPr>
                <w:rFonts w:cs="Times New Roman"/>
                <w:sz w:val="20"/>
                <w:szCs w:val="20"/>
                <w:lang w:val="en-US"/>
              </w:rPr>
              <w:t>Bighelli</w:t>
            </w:r>
            <w:proofErr w:type="spellEnd"/>
            <w:r w:rsidRPr="008B6BC5">
              <w:rPr>
                <w:rFonts w:cs="Times New Roman"/>
                <w:sz w:val="20"/>
                <w:szCs w:val="20"/>
                <w:lang w:val="en-US"/>
              </w:rPr>
              <w:t xml:space="preserve"> et al., 2018). </w:t>
            </w:r>
          </w:p>
          <w:p w14:paraId="0A16559B" w14:textId="7A6F09ED" w:rsidR="00B513E1" w:rsidRPr="008B6BC5" w:rsidRDefault="00B513E1" w:rsidP="00B513E1">
            <w:pPr>
              <w:pStyle w:val="NoSpacing"/>
              <w:rPr>
                <w:rFonts w:cs="Times New Roman"/>
                <w:sz w:val="20"/>
                <w:szCs w:val="20"/>
                <w:lang w:val="en-US"/>
              </w:rPr>
            </w:pPr>
          </w:p>
        </w:tc>
        <w:tc>
          <w:tcPr>
            <w:tcW w:w="4203" w:type="dxa"/>
          </w:tcPr>
          <w:p w14:paraId="15DED096" w14:textId="4CF60154" w:rsidR="00B513E1" w:rsidRPr="008B6BC5" w:rsidRDefault="00B513E1" w:rsidP="00B513E1">
            <w:pPr>
              <w:pStyle w:val="NoSpacing"/>
              <w:rPr>
                <w:rFonts w:cs="Times New Roman"/>
                <w:sz w:val="20"/>
                <w:szCs w:val="20"/>
                <w:lang w:val="en-US"/>
              </w:rPr>
            </w:pPr>
            <w:r w:rsidRPr="008B6BC5">
              <w:rPr>
                <w:rFonts w:cs="Times New Roman"/>
                <w:sz w:val="20"/>
                <w:szCs w:val="20"/>
                <w:lang w:val="en-US"/>
              </w:rPr>
              <w:t>DOI:10.1002/wps.20577</w:t>
            </w:r>
          </w:p>
        </w:tc>
        <w:tc>
          <w:tcPr>
            <w:tcW w:w="690" w:type="dxa"/>
          </w:tcPr>
          <w:p w14:paraId="1FF4C397" w14:textId="6B490189" w:rsidR="00B513E1" w:rsidRPr="008B6BC5" w:rsidRDefault="00E66C91" w:rsidP="00B513E1">
            <w:pPr>
              <w:pStyle w:val="NoSpacing"/>
              <w:rPr>
                <w:rFonts w:cs="Times New Roman"/>
                <w:sz w:val="20"/>
                <w:szCs w:val="20"/>
                <w:lang w:val="en-US"/>
              </w:rPr>
            </w:pPr>
            <w:r w:rsidRPr="008B6BC5">
              <w:rPr>
                <w:rFonts w:cs="Times New Roman"/>
                <w:sz w:val="20"/>
                <w:szCs w:val="20"/>
                <w:lang w:val="en-US"/>
              </w:rPr>
              <w:t>2</w:t>
            </w:r>
          </w:p>
        </w:tc>
        <w:tc>
          <w:tcPr>
            <w:tcW w:w="3896" w:type="dxa"/>
          </w:tcPr>
          <w:p w14:paraId="0C003B12" w14:textId="7BFBC883" w:rsidR="00B513E1" w:rsidRPr="008B6BC5" w:rsidRDefault="00BA5ED4" w:rsidP="00B513E1">
            <w:pPr>
              <w:pStyle w:val="NoSpacing"/>
              <w:rPr>
                <w:rFonts w:cs="Times New Roman"/>
                <w:sz w:val="20"/>
                <w:szCs w:val="20"/>
                <w:lang w:val="en-US"/>
              </w:rPr>
            </w:pPr>
            <w:r w:rsidRPr="008B6BC5">
              <w:rPr>
                <w:rFonts w:cs="Times New Roman"/>
                <w:sz w:val="20"/>
                <w:szCs w:val="20"/>
                <w:lang w:val="en-US"/>
              </w:rPr>
              <w:t xml:space="preserve">Social skills training – an active intervention –  did differ significantly to </w:t>
            </w:r>
            <w:proofErr w:type="spellStart"/>
            <w:r w:rsidRPr="008B6BC5">
              <w:rPr>
                <w:rFonts w:cs="Times New Roman"/>
                <w:sz w:val="20"/>
                <w:szCs w:val="20"/>
                <w:lang w:val="en-US"/>
              </w:rPr>
              <w:t>CBTp</w:t>
            </w:r>
            <w:proofErr w:type="spellEnd"/>
            <w:r w:rsidRPr="008B6BC5">
              <w:rPr>
                <w:rFonts w:cs="Times New Roman"/>
                <w:sz w:val="20"/>
                <w:szCs w:val="20"/>
                <w:lang w:val="en-US"/>
              </w:rPr>
              <w:t>.</w:t>
            </w:r>
          </w:p>
        </w:tc>
      </w:tr>
      <w:tr w:rsidR="00B513E1" w:rsidRPr="008B6BC5" w14:paraId="2D26CB18" w14:textId="77777777" w:rsidTr="00BD3144">
        <w:tc>
          <w:tcPr>
            <w:tcW w:w="1418" w:type="dxa"/>
          </w:tcPr>
          <w:p w14:paraId="552230A7" w14:textId="1ACDBCCB" w:rsidR="00B513E1" w:rsidRPr="008B6BC5" w:rsidRDefault="00BD3144" w:rsidP="00B513E1">
            <w:pPr>
              <w:pStyle w:val="NoSpacing"/>
              <w:rPr>
                <w:rFonts w:cs="Times New Roman"/>
                <w:sz w:val="20"/>
                <w:szCs w:val="20"/>
                <w:lang w:val="en-US"/>
              </w:rPr>
            </w:pPr>
            <w:r w:rsidRPr="008B6BC5">
              <w:rPr>
                <w:rFonts w:cs="Times New Roman"/>
                <w:sz w:val="20"/>
                <w:szCs w:val="20"/>
                <w:lang w:val="en-US"/>
              </w:rPr>
              <w:t>20</w:t>
            </w:r>
          </w:p>
        </w:tc>
        <w:tc>
          <w:tcPr>
            <w:tcW w:w="6237" w:type="dxa"/>
          </w:tcPr>
          <w:p w14:paraId="02D7C81F" w14:textId="77777777" w:rsidR="00B513E1" w:rsidRPr="008B6BC5" w:rsidRDefault="00B513E1" w:rsidP="00B513E1">
            <w:pPr>
              <w:pStyle w:val="NoSpacing"/>
              <w:rPr>
                <w:rFonts w:cs="Times New Roman"/>
                <w:sz w:val="20"/>
                <w:szCs w:val="20"/>
                <w:lang w:val="en-US"/>
              </w:rPr>
            </w:pPr>
            <w:r w:rsidRPr="008B6BC5">
              <w:rPr>
                <w:rFonts w:cs="Times New Roman"/>
                <w:sz w:val="20"/>
                <w:szCs w:val="20"/>
                <w:lang w:val="en-US"/>
              </w:rPr>
              <w:t>An IPD meta-analysis similarly indicated that psychological interventions for psychosis are generally acceptable, with attrition rates comparable across modalities (Turner et al., 2020).</w:t>
            </w:r>
          </w:p>
          <w:p w14:paraId="1BB146EB" w14:textId="6150BBE0" w:rsidR="00B513E1" w:rsidRPr="008B6BC5" w:rsidRDefault="00B513E1" w:rsidP="00B513E1">
            <w:pPr>
              <w:pStyle w:val="NoSpacing"/>
              <w:rPr>
                <w:rFonts w:cs="Times New Roman"/>
                <w:sz w:val="20"/>
                <w:szCs w:val="20"/>
                <w:lang w:val="en-US"/>
              </w:rPr>
            </w:pPr>
          </w:p>
        </w:tc>
        <w:tc>
          <w:tcPr>
            <w:tcW w:w="4203" w:type="dxa"/>
          </w:tcPr>
          <w:p w14:paraId="7445CAF0" w14:textId="6C9253EC" w:rsidR="00B513E1" w:rsidRPr="008B6BC5" w:rsidRDefault="00B513E1" w:rsidP="00B513E1">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10.3389/fpsyt.2020.00402</w:t>
            </w:r>
          </w:p>
        </w:tc>
        <w:tc>
          <w:tcPr>
            <w:tcW w:w="690" w:type="dxa"/>
          </w:tcPr>
          <w:p w14:paraId="34874443" w14:textId="05483710" w:rsidR="00B513E1" w:rsidRPr="008B6BC5" w:rsidRDefault="00BA5ED4" w:rsidP="00B513E1">
            <w:pPr>
              <w:pStyle w:val="NoSpacing"/>
              <w:rPr>
                <w:rFonts w:cs="Times New Roman"/>
                <w:sz w:val="20"/>
                <w:szCs w:val="20"/>
                <w:lang w:val="en-US"/>
              </w:rPr>
            </w:pPr>
            <w:r w:rsidRPr="008B6BC5">
              <w:rPr>
                <w:rFonts w:cs="Times New Roman"/>
                <w:sz w:val="20"/>
                <w:szCs w:val="20"/>
                <w:lang w:val="en-US"/>
              </w:rPr>
              <w:t>1</w:t>
            </w:r>
          </w:p>
        </w:tc>
        <w:tc>
          <w:tcPr>
            <w:tcW w:w="3896" w:type="dxa"/>
          </w:tcPr>
          <w:p w14:paraId="4452878B" w14:textId="6FE0860D" w:rsidR="00B513E1" w:rsidRPr="008B6BC5" w:rsidRDefault="00BA5ED4" w:rsidP="00B513E1">
            <w:pPr>
              <w:pStyle w:val="NoSpacing"/>
              <w:rPr>
                <w:rFonts w:cs="Times New Roman"/>
                <w:sz w:val="20"/>
                <w:szCs w:val="20"/>
                <w:lang w:val="en-US"/>
              </w:rPr>
            </w:pPr>
            <w:r w:rsidRPr="008B6BC5">
              <w:rPr>
                <w:rFonts w:cs="Times New Roman"/>
                <w:sz w:val="20"/>
                <w:szCs w:val="20"/>
                <w:lang w:val="en-US"/>
              </w:rPr>
              <w:t xml:space="preserve">Attrition rates were not examined in this meta-analysis. </w:t>
            </w:r>
          </w:p>
        </w:tc>
      </w:tr>
      <w:tr w:rsidR="00BA5ED4" w:rsidRPr="008B6BC5" w14:paraId="6D5058D5" w14:textId="77777777" w:rsidTr="00BD3144">
        <w:tc>
          <w:tcPr>
            <w:tcW w:w="1418" w:type="dxa"/>
          </w:tcPr>
          <w:p w14:paraId="444A2B44" w14:textId="16D8D6E9" w:rsidR="00BA5ED4" w:rsidRPr="008B6BC5" w:rsidRDefault="00BD3144" w:rsidP="00BA5ED4">
            <w:pPr>
              <w:pStyle w:val="NoSpacing"/>
              <w:rPr>
                <w:rFonts w:cs="Times New Roman"/>
                <w:sz w:val="20"/>
                <w:szCs w:val="20"/>
                <w:lang w:val="en-US"/>
              </w:rPr>
            </w:pPr>
            <w:r w:rsidRPr="008B6BC5">
              <w:rPr>
                <w:rFonts w:cs="Times New Roman"/>
                <w:sz w:val="20"/>
                <w:szCs w:val="20"/>
                <w:lang w:val="en-US"/>
              </w:rPr>
              <w:t>21</w:t>
            </w:r>
          </w:p>
        </w:tc>
        <w:tc>
          <w:tcPr>
            <w:tcW w:w="6237" w:type="dxa"/>
          </w:tcPr>
          <w:p w14:paraId="500422E5" w14:textId="77777777" w:rsidR="00BA5ED4" w:rsidRPr="008B6BC5" w:rsidRDefault="00BA5ED4" w:rsidP="00BA5ED4">
            <w:pPr>
              <w:pStyle w:val="NoSpacing"/>
              <w:rPr>
                <w:rFonts w:cs="Times New Roman"/>
                <w:sz w:val="20"/>
                <w:szCs w:val="20"/>
                <w:lang w:val="en-US"/>
              </w:rPr>
            </w:pPr>
            <w:r w:rsidRPr="008B6BC5">
              <w:rPr>
                <w:rFonts w:cs="Times New Roman"/>
                <w:sz w:val="20"/>
                <w:szCs w:val="20"/>
                <w:lang w:val="en-US"/>
              </w:rPr>
              <w:t>For CR, a systematic review of RCTs reported dropout rates of approximately 16.6% in CR arms versus 15.2% in controls (odds ratio around 1.10, 95% CI 0.96 to 1.25) (Vita et al., 2021).</w:t>
            </w:r>
          </w:p>
          <w:p w14:paraId="50424A56" w14:textId="1A9117D3" w:rsidR="00BA5ED4" w:rsidRPr="008B6BC5" w:rsidRDefault="00BA5ED4" w:rsidP="00BA5ED4">
            <w:pPr>
              <w:pStyle w:val="NoSpacing"/>
              <w:rPr>
                <w:rFonts w:cs="Times New Roman"/>
                <w:sz w:val="20"/>
                <w:szCs w:val="20"/>
                <w:lang w:val="en-US"/>
              </w:rPr>
            </w:pPr>
          </w:p>
        </w:tc>
        <w:tc>
          <w:tcPr>
            <w:tcW w:w="4203" w:type="dxa"/>
          </w:tcPr>
          <w:p w14:paraId="6F738251" w14:textId="4946312A" w:rsidR="00BA5ED4" w:rsidRPr="008B6BC5" w:rsidRDefault="00BA5ED4" w:rsidP="00BA5ED4">
            <w:pPr>
              <w:pStyle w:val="NoSpacing"/>
              <w:rPr>
                <w:rFonts w:cs="Times New Roman"/>
                <w:sz w:val="20"/>
                <w:szCs w:val="20"/>
                <w:lang w:val="en-US"/>
              </w:rPr>
            </w:pPr>
            <w:r w:rsidRPr="008B6BC5">
              <w:rPr>
                <w:rFonts w:cs="Times New Roman"/>
                <w:sz w:val="20"/>
                <w:szCs w:val="20"/>
                <w:lang w:val="en-US"/>
              </w:rPr>
              <w:t>doi:10.1001/jamapsychiatry.2021.0620</w:t>
            </w:r>
          </w:p>
        </w:tc>
        <w:tc>
          <w:tcPr>
            <w:tcW w:w="690" w:type="dxa"/>
          </w:tcPr>
          <w:p w14:paraId="3D5B5024" w14:textId="62E4DDA6" w:rsidR="00BA5ED4" w:rsidRPr="008B6BC5" w:rsidRDefault="00BA5ED4" w:rsidP="00BA5ED4">
            <w:pPr>
              <w:pStyle w:val="NoSpacing"/>
              <w:rPr>
                <w:rFonts w:cs="Times New Roman"/>
                <w:sz w:val="20"/>
                <w:szCs w:val="20"/>
                <w:lang w:val="en-US"/>
              </w:rPr>
            </w:pPr>
            <w:r w:rsidRPr="008B6BC5">
              <w:rPr>
                <w:rFonts w:cs="Times New Roman"/>
                <w:sz w:val="20"/>
                <w:szCs w:val="20"/>
                <w:lang w:val="en-US"/>
              </w:rPr>
              <w:t>1</w:t>
            </w:r>
          </w:p>
        </w:tc>
        <w:tc>
          <w:tcPr>
            <w:tcW w:w="3896" w:type="dxa"/>
          </w:tcPr>
          <w:p w14:paraId="731E5283" w14:textId="01182551" w:rsidR="00BA5ED4" w:rsidRPr="008B6BC5" w:rsidRDefault="00BA5ED4" w:rsidP="00BA5ED4">
            <w:pPr>
              <w:pStyle w:val="NoSpacing"/>
              <w:rPr>
                <w:rFonts w:cs="Times New Roman"/>
                <w:sz w:val="20"/>
                <w:szCs w:val="20"/>
                <w:lang w:val="en-US"/>
              </w:rPr>
            </w:pPr>
            <w:r w:rsidRPr="008B6BC5">
              <w:rPr>
                <w:rFonts w:cs="Times New Roman"/>
                <w:sz w:val="20"/>
                <w:szCs w:val="20"/>
                <w:lang w:val="en-US"/>
              </w:rPr>
              <w:t xml:space="preserve">Attrition rates were not examined in this meta-analysis. </w:t>
            </w:r>
          </w:p>
        </w:tc>
      </w:tr>
      <w:tr w:rsidR="00BA5ED4" w:rsidRPr="008B6BC5" w14:paraId="21F72836" w14:textId="77777777" w:rsidTr="00BD3144">
        <w:tc>
          <w:tcPr>
            <w:tcW w:w="1418" w:type="dxa"/>
          </w:tcPr>
          <w:p w14:paraId="3E6CDD4A" w14:textId="410F34E5" w:rsidR="00BA5ED4" w:rsidRPr="008B6BC5" w:rsidRDefault="00BD3144" w:rsidP="00BA5ED4">
            <w:pPr>
              <w:pStyle w:val="NoSpacing"/>
              <w:rPr>
                <w:rFonts w:cs="Times New Roman"/>
                <w:sz w:val="20"/>
                <w:szCs w:val="20"/>
                <w:lang w:val="en-US"/>
              </w:rPr>
            </w:pPr>
            <w:r w:rsidRPr="008B6BC5">
              <w:rPr>
                <w:rFonts w:cs="Times New Roman"/>
                <w:sz w:val="20"/>
                <w:szCs w:val="20"/>
                <w:lang w:val="en-US"/>
              </w:rPr>
              <w:t>22</w:t>
            </w:r>
          </w:p>
        </w:tc>
        <w:tc>
          <w:tcPr>
            <w:tcW w:w="6237" w:type="dxa"/>
          </w:tcPr>
          <w:p w14:paraId="41DAFD3C" w14:textId="77777777" w:rsidR="00BA5ED4" w:rsidRPr="008B6BC5" w:rsidRDefault="00BA5ED4" w:rsidP="00BA5ED4">
            <w:pPr>
              <w:pStyle w:val="NoSpacing"/>
              <w:rPr>
                <w:rFonts w:cs="Times New Roman"/>
                <w:sz w:val="20"/>
                <w:szCs w:val="20"/>
                <w:lang w:val="en-US"/>
              </w:rPr>
            </w:pPr>
            <w:r w:rsidRPr="008B6BC5">
              <w:rPr>
                <w:rFonts w:cs="Times New Roman"/>
                <w:sz w:val="20"/>
                <w:szCs w:val="20"/>
                <w:lang w:val="en-US"/>
              </w:rPr>
              <w:t>A broader meta-analysis of psychosocial interventions for individuals with severe mental illness and comorbid substance misuse found an overall dropout rate of 27.2%, underscoring the challenge of engagement in this population rather than a specific psychotherapy effect (Bouchard et al., 2022).</w:t>
            </w:r>
          </w:p>
          <w:p w14:paraId="436B5EEB" w14:textId="77777777" w:rsidR="00BA5ED4" w:rsidRPr="008B6BC5" w:rsidRDefault="00BA5ED4" w:rsidP="00BA5ED4">
            <w:pPr>
              <w:pStyle w:val="NoSpacing"/>
              <w:rPr>
                <w:rFonts w:cs="Times New Roman"/>
                <w:sz w:val="20"/>
                <w:szCs w:val="20"/>
                <w:lang w:val="en-US"/>
              </w:rPr>
            </w:pPr>
          </w:p>
        </w:tc>
        <w:tc>
          <w:tcPr>
            <w:tcW w:w="4203" w:type="dxa"/>
          </w:tcPr>
          <w:p w14:paraId="09252E86" w14:textId="7820509A" w:rsidR="00BA5ED4" w:rsidRPr="008B6BC5" w:rsidRDefault="00BA5ED4" w:rsidP="00BA5ED4">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10.3389/fpsyt.2022.842329</w:t>
            </w:r>
          </w:p>
        </w:tc>
        <w:tc>
          <w:tcPr>
            <w:tcW w:w="690" w:type="dxa"/>
          </w:tcPr>
          <w:p w14:paraId="7276734A" w14:textId="28DF5920" w:rsidR="00BA5ED4" w:rsidRPr="008B6BC5" w:rsidRDefault="00BA5ED4" w:rsidP="00BA5ED4">
            <w:pPr>
              <w:pStyle w:val="NoSpacing"/>
              <w:rPr>
                <w:rFonts w:cs="Times New Roman"/>
                <w:sz w:val="20"/>
                <w:szCs w:val="20"/>
                <w:lang w:val="en-US"/>
              </w:rPr>
            </w:pPr>
            <w:r w:rsidRPr="008B6BC5">
              <w:rPr>
                <w:rFonts w:cs="Times New Roman"/>
                <w:sz w:val="20"/>
                <w:szCs w:val="20"/>
                <w:lang w:val="en-US"/>
              </w:rPr>
              <w:t>4</w:t>
            </w:r>
          </w:p>
        </w:tc>
        <w:tc>
          <w:tcPr>
            <w:tcW w:w="3896" w:type="dxa"/>
          </w:tcPr>
          <w:p w14:paraId="4531C8F5" w14:textId="1B6ADB4C" w:rsidR="00BA5ED4" w:rsidRPr="008B6BC5" w:rsidRDefault="00BA5ED4" w:rsidP="00BA5ED4">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A5ED4" w:rsidRPr="008B6BC5" w14:paraId="5A2A8A32" w14:textId="77777777" w:rsidTr="00BD3144">
        <w:tc>
          <w:tcPr>
            <w:tcW w:w="1418" w:type="dxa"/>
          </w:tcPr>
          <w:p w14:paraId="67DEC592" w14:textId="77777777" w:rsidR="00BA5ED4" w:rsidRPr="008B6BC5" w:rsidRDefault="00BD3144" w:rsidP="00BA5ED4">
            <w:pPr>
              <w:pStyle w:val="NoSpacing"/>
              <w:rPr>
                <w:rFonts w:cs="Times New Roman"/>
                <w:sz w:val="20"/>
                <w:szCs w:val="20"/>
                <w:lang w:val="en-US"/>
              </w:rPr>
            </w:pPr>
            <w:r w:rsidRPr="008B6BC5">
              <w:rPr>
                <w:rFonts w:cs="Times New Roman"/>
                <w:sz w:val="20"/>
                <w:szCs w:val="20"/>
                <w:lang w:val="en-US"/>
              </w:rPr>
              <w:t>23.1</w:t>
            </w:r>
          </w:p>
          <w:p w14:paraId="21CE64DA" w14:textId="250595C8" w:rsidR="00BD3144" w:rsidRPr="008B6BC5" w:rsidRDefault="00BD3144" w:rsidP="00BA5ED4">
            <w:pPr>
              <w:pStyle w:val="NoSpacing"/>
              <w:rPr>
                <w:rFonts w:cs="Times New Roman"/>
                <w:sz w:val="20"/>
                <w:szCs w:val="20"/>
                <w:lang w:val="en-US"/>
              </w:rPr>
            </w:pPr>
            <w:r w:rsidRPr="008B6BC5">
              <w:rPr>
                <w:rFonts w:cs="Times New Roman"/>
                <w:sz w:val="20"/>
                <w:szCs w:val="20"/>
                <w:lang w:val="en-US"/>
              </w:rPr>
              <w:t>23.2</w:t>
            </w:r>
          </w:p>
        </w:tc>
        <w:tc>
          <w:tcPr>
            <w:tcW w:w="6237" w:type="dxa"/>
          </w:tcPr>
          <w:p w14:paraId="768F0338" w14:textId="77777777" w:rsidR="00BA5ED4" w:rsidRPr="008B6BC5" w:rsidRDefault="00BA5ED4" w:rsidP="00BA5ED4">
            <w:pPr>
              <w:pStyle w:val="NoSpacing"/>
              <w:rPr>
                <w:rFonts w:cs="Times New Roman"/>
                <w:sz w:val="20"/>
                <w:szCs w:val="20"/>
                <w:lang w:val="en-US"/>
              </w:rPr>
            </w:pPr>
            <w:r w:rsidRPr="008B6BC5">
              <w:rPr>
                <w:rFonts w:cs="Times New Roman"/>
                <w:sz w:val="20"/>
                <w:szCs w:val="20"/>
                <w:lang w:val="en-US"/>
              </w:rPr>
              <w:t>Reviews of psychological interventions for psychotic experiences emphasize that, when monitored, serious adverse events tend to be uncommon and similar between intervention and control groups, though under-reporting remains a concern (Soneson et al., 2020; Salahuddin et al., 2024).</w:t>
            </w:r>
          </w:p>
          <w:p w14:paraId="05FFD2BF" w14:textId="143BA9C3" w:rsidR="00BA5ED4" w:rsidRPr="008B6BC5" w:rsidRDefault="00BA5ED4" w:rsidP="00BA5ED4">
            <w:pPr>
              <w:pStyle w:val="NoSpacing"/>
              <w:rPr>
                <w:rFonts w:cs="Times New Roman"/>
                <w:sz w:val="20"/>
                <w:szCs w:val="20"/>
                <w:lang w:val="en-US"/>
              </w:rPr>
            </w:pPr>
          </w:p>
        </w:tc>
        <w:tc>
          <w:tcPr>
            <w:tcW w:w="4203" w:type="dxa"/>
          </w:tcPr>
          <w:p w14:paraId="71B7E654" w14:textId="0147E03F" w:rsidR="00BA5ED4" w:rsidRPr="008B6BC5" w:rsidRDefault="00BA5ED4" w:rsidP="00BA5ED4">
            <w:pPr>
              <w:pStyle w:val="NoSpacing"/>
              <w:rPr>
                <w:rFonts w:cs="Times New Roman"/>
                <w:sz w:val="20"/>
                <w:szCs w:val="20"/>
                <w:lang w:val="en-US"/>
              </w:rPr>
            </w:pPr>
            <w:hyperlink r:id="rId43" w:history="1">
              <w:r w:rsidRPr="008B6BC5">
                <w:rPr>
                  <w:rStyle w:val="Hyperlink"/>
                  <w:rFonts w:cs="Times New Roman"/>
                  <w:sz w:val="20"/>
                  <w:szCs w:val="20"/>
                  <w:lang w:val="en-US"/>
                </w:rPr>
                <w:t>https://doi.org/10.1177/000486742091311</w:t>
              </w:r>
            </w:hyperlink>
          </w:p>
          <w:p w14:paraId="5A8DDB20" w14:textId="0D10C616" w:rsidR="00BA5ED4" w:rsidRPr="008B6BC5" w:rsidRDefault="00BA5ED4" w:rsidP="00BA5ED4">
            <w:pPr>
              <w:pStyle w:val="NoSpacing"/>
              <w:rPr>
                <w:rFonts w:cs="Times New Roman"/>
                <w:sz w:val="20"/>
                <w:szCs w:val="20"/>
                <w:lang w:val="en-US"/>
              </w:rPr>
            </w:pPr>
            <w:r w:rsidRPr="008B6BC5">
              <w:rPr>
                <w:rFonts w:cs="Times New Roman"/>
                <w:sz w:val="20"/>
                <w:szCs w:val="20"/>
                <w:lang w:val="en-US"/>
              </w:rPr>
              <w:t>DOI: 10.1016/S2215-0366(24)00136-6</w:t>
            </w:r>
          </w:p>
        </w:tc>
        <w:tc>
          <w:tcPr>
            <w:tcW w:w="690" w:type="dxa"/>
          </w:tcPr>
          <w:p w14:paraId="71ABDEC2" w14:textId="77777777" w:rsidR="00BA5ED4" w:rsidRPr="008B6BC5" w:rsidRDefault="001534F3" w:rsidP="00BA5ED4">
            <w:pPr>
              <w:pStyle w:val="NoSpacing"/>
              <w:rPr>
                <w:rFonts w:cs="Times New Roman"/>
                <w:sz w:val="20"/>
                <w:szCs w:val="20"/>
                <w:lang w:val="en-US"/>
              </w:rPr>
            </w:pPr>
            <w:r w:rsidRPr="008B6BC5">
              <w:rPr>
                <w:rFonts w:cs="Times New Roman"/>
                <w:sz w:val="20"/>
                <w:szCs w:val="20"/>
                <w:lang w:val="en-US"/>
              </w:rPr>
              <w:t>1</w:t>
            </w:r>
          </w:p>
          <w:p w14:paraId="0F1C2FBF" w14:textId="698DBAB3" w:rsidR="001534F3" w:rsidRPr="008B6BC5" w:rsidRDefault="001534F3" w:rsidP="00BA5ED4">
            <w:pPr>
              <w:pStyle w:val="NoSpacing"/>
              <w:rPr>
                <w:rFonts w:cs="Times New Roman"/>
                <w:sz w:val="20"/>
                <w:szCs w:val="20"/>
                <w:lang w:val="en-US"/>
              </w:rPr>
            </w:pPr>
            <w:r w:rsidRPr="008B6BC5">
              <w:rPr>
                <w:rFonts w:cs="Times New Roman"/>
                <w:sz w:val="20"/>
                <w:szCs w:val="20"/>
                <w:lang w:val="en-US"/>
              </w:rPr>
              <w:t>4</w:t>
            </w:r>
          </w:p>
        </w:tc>
        <w:tc>
          <w:tcPr>
            <w:tcW w:w="3896" w:type="dxa"/>
          </w:tcPr>
          <w:p w14:paraId="5DA7805E" w14:textId="77777777" w:rsidR="00BA5ED4" w:rsidRPr="008B6BC5" w:rsidRDefault="001534F3" w:rsidP="00BA5ED4">
            <w:pPr>
              <w:pStyle w:val="NoSpacing"/>
              <w:rPr>
                <w:rFonts w:cs="Times New Roman"/>
                <w:sz w:val="20"/>
                <w:szCs w:val="20"/>
                <w:lang w:val="en-US"/>
              </w:rPr>
            </w:pPr>
            <w:r w:rsidRPr="008B6BC5">
              <w:rPr>
                <w:rFonts w:cs="Times New Roman"/>
                <w:sz w:val="20"/>
                <w:szCs w:val="20"/>
                <w:lang w:val="en-US"/>
              </w:rPr>
              <w:t xml:space="preserve">Soneson et al (2020) did not report, examine or analyze AEs. </w:t>
            </w:r>
          </w:p>
          <w:p w14:paraId="27AC753C" w14:textId="77777777" w:rsidR="001534F3" w:rsidRPr="008B6BC5" w:rsidRDefault="001534F3" w:rsidP="00BA5ED4">
            <w:pPr>
              <w:pStyle w:val="NoSpacing"/>
              <w:rPr>
                <w:rFonts w:cs="Times New Roman"/>
                <w:sz w:val="20"/>
                <w:szCs w:val="20"/>
                <w:lang w:val="en-US"/>
              </w:rPr>
            </w:pPr>
          </w:p>
          <w:p w14:paraId="4760730D" w14:textId="52FF16AC" w:rsidR="001534F3" w:rsidRPr="008B6BC5" w:rsidRDefault="006F64C1" w:rsidP="00BA5ED4">
            <w:pPr>
              <w:pStyle w:val="NoSpacing"/>
              <w:rPr>
                <w:rFonts w:cs="Times New Roman"/>
                <w:sz w:val="20"/>
                <w:szCs w:val="20"/>
                <w:lang w:val="en-US"/>
              </w:rPr>
            </w:pPr>
            <w:r w:rsidRPr="008B6BC5">
              <w:rPr>
                <w:rFonts w:cs="Times New Roman"/>
                <w:sz w:val="20"/>
                <w:szCs w:val="20"/>
                <w:lang w:val="en-US"/>
              </w:rPr>
              <w:t>No inaccuracies identified for Salahuddin et al 2024.</w:t>
            </w:r>
          </w:p>
        </w:tc>
      </w:tr>
      <w:tr w:rsidR="006F64C1" w:rsidRPr="008B6BC5" w14:paraId="3B398A7E" w14:textId="77777777" w:rsidTr="00BD3144">
        <w:tc>
          <w:tcPr>
            <w:tcW w:w="1418" w:type="dxa"/>
          </w:tcPr>
          <w:p w14:paraId="0A313833" w14:textId="2C774C43" w:rsidR="006F64C1" w:rsidRPr="008B6BC5" w:rsidRDefault="00BD3144" w:rsidP="006F64C1">
            <w:pPr>
              <w:pStyle w:val="NoSpacing"/>
              <w:rPr>
                <w:rFonts w:cs="Times New Roman"/>
                <w:sz w:val="20"/>
                <w:szCs w:val="20"/>
                <w:lang w:val="en-US"/>
              </w:rPr>
            </w:pPr>
            <w:r w:rsidRPr="008B6BC5">
              <w:rPr>
                <w:rFonts w:cs="Times New Roman"/>
                <w:sz w:val="20"/>
                <w:szCs w:val="20"/>
                <w:lang w:val="en-US"/>
              </w:rPr>
              <w:t>24</w:t>
            </w:r>
          </w:p>
        </w:tc>
        <w:tc>
          <w:tcPr>
            <w:tcW w:w="6237" w:type="dxa"/>
          </w:tcPr>
          <w:p w14:paraId="1D45A331" w14:textId="35D5F52F" w:rsidR="006F64C1" w:rsidRPr="008B6BC5" w:rsidRDefault="006F64C1" w:rsidP="006F64C1">
            <w:pPr>
              <w:pStyle w:val="NoSpacing"/>
              <w:rPr>
                <w:rFonts w:cs="Times New Roman"/>
                <w:sz w:val="20"/>
                <w:szCs w:val="20"/>
                <w:lang w:val="en-US"/>
              </w:rPr>
            </w:pPr>
            <w:r w:rsidRPr="008B6BC5">
              <w:rPr>
                <w:rFonts w:cs="Times New Roman"/>
                <w:sz w:val="20"/>
                <w:szCs w:val="20"/>
                <w:lang w:val="en-US"/>
              </w:rPr>
              <w:t>In the Morrison et al. (2014) trial of CBT without antipsychotic medication, rates of symptom deterioration and serious adverse events did not differ significantly between cognitive therapy and TAU.</w:t>
            </w:r>
          </w:p>
        </w:tc>
        <w:tc>
          <w:tcPr>
            <w:tcW w:w="4203" w:type="dxa"/>
          </w:tcPr>
          <w:p w14:paraId="13925E27" w14:textId="2846D115" w:rsidR="006F64C1" w:rsidRPr="008B6BC5" w:rsidRDefault="006F64C1" w:rsidP="006F64C1">
            <w:pPr>
              <w:pStyle w:val="NoSpacing"/>
              <w:rPr>
                <w:rFonts w:cs="Times New Roman"/>
                <w:sz w:val="20"/>
                <w:szCs w:val="20"/>
                <w:lang w:val="en-US"/>
              </w:rPr>
            </w:pPr>
            <w:r w:rsidRPr="008B6BC5">
              <w:rPr>
                <w:rFonts w:cs="Times New Roman"/>
                <w:sz w:val="20"/>
                <w:szCs w:val="20"/>
                <w:lang w:val="en-US"/>
              </w:rPr>
              <w:t>Doi: 10.1016/S0140-6736(13)62246-1</w:t>
            </w:r>
          </w:p>
        </w:tc>
        <w:tc>
          <w:tcPr>
            <w:tcW w:w="690" w:type="dxa"/>
          </w:tcPr>
          <w:p w14:paraId="7132BF5A" w14:textId="03F0F75A" w:rsidR="006F64C1" w:rsidRPr="008B6BC5" w:rsidRDefault="006F64C1" w:rsidP="006F64C1">
            <w:pPr>
              <w:pStyle w:val="NoSpacing"/>
              <w:rPr>
                <w:rFonts w:cs="Times New Roman"/>
                <w:sz w:val="20"/>
                <w:szCs w:val="20"/>
                <w:lang w:val="en-US"/>
              </w:rPr>
            </w:pPr>
            <w:r w:rsidRPr="008B6BC5">
              <w:rPr>
                <w:rFonts w:cs="Times New Roman"/>
                <w:sz w:val="20"/>
                <w:szCs w:val="20"/>
                <w:lang w:val="en-US"/>
              </w:rPr>
              <w:t>4</w:t>
            </w:r>
          </w:p>
        </w:tc>
        <w:tc>
          <w:tcPr>
            <w:tcW w:w="3896" w:type="dxa"/>
          </w:tcPr>
          <w:p w14:paraId="42E3E0F2" w14:textId="4E4DEB3F" w:rsidR="006F64C1" w:rsidRPr="008B6BC5" w:rsidRDefault="006F64C1" w:rsidP="006F64C1">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BD3144" w:rsidRPr="008B6BC5" w14:paraId="20A98225" w14:textId="77777777" w:rsidTr="00BD3144">
        <w:tc>
          <w:tcPr>
            <w:tcW w:w="1418" w:type="dxa"/>
          </w:tcPr>
          <w:p w14:paraId="28962167" w14:textId="215DE76C" w:rsidR="00BD3144" w:rsidRPr="008B6BC5" w:rsidRDefault="00BD3144" w:rsidP="006F64C1">
            <w:pPr>
              <w:pStyle w:val="NoSpacing"/>
              <w:rPr>
                <w:rFonts w:cs="Times New Roman"/>
                <w:sz w:val="20"/>
                <w:szCs w:val="20"/>
                <w:lang w:val="en-US"/>
              </w:rPr>
            </w:pPr>
            <w:r w:rsidRPr="008B6BC5">
              <w:rPr>
                <w:rFonts w:cs="Times New Roman"/>
                <w:sz w:val="20"/>
                <w:szCs w:val="20"/>
                <w:lang w:val="en-US"/>
              </w:rPr>
              <w:t>Pharmaco-therapy</w:t>
            </w:r>
          </w:p>
        </w:tc>
        <w:tc>
          <w:tcPr>
            <w:tcW w:w="6237" w:type="dxa"/>
          </w:tcPr>
          <w:p w14:paraId="228C4702" w14:textId="77777777" w:rsidR="00BD3144" w:rsidRPr="008B6BC5" w:rsidRDefault="00BD3144" w:rsidP="006F64C1">
            <w:pPr>
              <w:pStyle w:val="NoSpacing"/>
              <w:rPr>
                <w:rFonts w:cs="Times New Roman"/>
                <w:sz w:val="20"/>
                <w:szCs w:val="20"/>
                <w:lang w:val="en-US"/>
              </w:rPr>
            </w:pPr>
          </w:p>
        </w:tc>
        <w:tc>
          <w:tcPr>
            <w:tcW w:w="4203" w:type="dxa"/>
          </w:tcPr>
          <w:p w14:paraId="7A8CE25A" w14:textId="77777777" w:rsidR="00BD3144" w:rsidRPr="008B6BC5" w:rsidRDefault="00BD3144" w:rsidP="006F64C1">
            <w:pPr>
              <w:pStyle w:val="NoSpacing"/>
              <w:rPr>
                <w:rFonts w:cs="Times New Roman"/>
                <w:sz w:val="20"/>
                <w:szCs w:val="20"/>
                <w:lang w:val="en-US"/>
              </w:rPr>
            </w:pPr>
          </w:p>
        </w:tc>
        <w:tc>
          <w:tcPr>
            <w:tcW w:w="690" w:type="dxa"/>
          </w:tcPr>
          <w:p w14:paraId="09D4939B" w14:textId="77777777" w:rsidR="00BD3144" w:rsidRPr="008B6BC5" w:rsidRDefault="00BD3144" w:rsidP="006F64C1">
            <w:pPr>
              <w:pStyle w:val="NoSpacing"/>
              <w:rPr>
                <w:rFonts w:cs="Times New Roman"/>
                <w:sz w:val="20"/>
                <w:szCs w:val="20"/>
                <w:lang w:val="en-US"/>
              </w:rPr>
            </w:pPr>
          </w:p>
        </w:tc>
        <w:tc>
          <w:tcPr>
            <w:tcW w:w="3896" w:type="dxa"/>
          </w:tcPr>
          <w:p w14:paraId="3B2F4CFE" w14:textId="77777777" w:rsidR="00BD3144" w:rsidRPr="008B6BC5" w:rsidRDefault="00BD3144" w:rsidP="006F64C1">
            <w:pPr>
              <w:pStyle w:val="NoSpacing"/>
              <w:rPr>
                <w:rFonts w:cs="Times New Roman"/>
                <w:sz w:val="20"/>
                <w:szCs w:val="20"/>
                <w:lang w:val="en-US"/>
              </w:rPr>
            </w:pPr>
          </w:p>
        </w:tc>
      </w:tr>
      <w:tr w:rsidR="009D336D" w:rsidRPr="008B6BC5" w14:paraId="628E9E00" w14:textId="77777777" w:rsidTr="00BD3144">
        <w:tc>
          <w:tcPr>
            <w:tcW w:w="1418" w:type="dxa"/>
          </w:tcPr>
          <w:p w14:paraId="2D047D27" w14:textId="20576FAF" w:rsidR="009D336D" w:rsidRPr="008B6BC5" w:rsidRDefault="00BD3144" w:rsidP="009D336D">
            <w:pPr>
              <w:pStyle w:val="NoSpacing"/>
              <w:rPr>
                <w:rFonts w:cs="Times New Roman"/>
                <w:sz w:val="20"/>
                <w:szCs w:val="20"/>
                <w:lang w:val="en-US"/>
              </w:rPr>
            </w:pPr>
            <w:r w:rsidRPr="008B6BC5">
              <w:rPr>
                <w:rFonts w:cs="Times New Roman"/>
                <w:sz w:val="20"/>
                <w:szCs w:val="20"/>
                <w:lang w:val="en-US"/>
              </w:rPr>
              <w:t>1</w:t>
            </w:r>
            <w:r w:rsidR="009D336D" w:rsidRPr="008B6BC5">
              <w:rPr>
                <w:rFonts w:cs="Times New Roman"/>
                <w:sz w:val="20"/>
                <w:szCs w:val="20"/>
                <w:lang w:val="en-US"/>
              </w:rPr>
              <w:t xml:space="preserve"> </w:t>
            </w:r>
          </w:p>
        </w:tc>
        <w:tc>
          <w:tcPr>
            <w:tcW w:w="6237" w:type="dxa"/>
          </w:tcPr>
          <w:p w14:paraId="65B2D92C" w14:textId="77777777" w:rsidR="009D336D" w:rsidRPr="008B6BC5" w:rsidRDefault="009D336D" w:rsidP="009D336D">
            <w:pPr>
              <w:pStyle w:val="NoSpacing"/>
              <w:rPr>
                <w:rFonts w:cs="Times New Roman"/>
                <w:sz w:val="20"/>
                <w:szCs w:val="20"/>
                <w:lang w:val="en-US"/>
              </w:rPr>
            </w:pPr>
            <w:r w:rsidRPr="008B6BC5">
              <w:rPr>
                <w:rFonts w:cs="Times New Roman"/>
                <w:sz w:val="20"/>
                <w:szCs w:val="20"/>
                <w:lang w:val="en-US"/>
              </w:rPr>
              <w:t xml:space="preserve">A comprehensive Bayesian meta-analysis of 167 double-blind RCTs (N = 28,102) in adults with acute exacerbations showed that antipsychotics produced a standardized mean difference (SMD) of 0.47 (95% credible </w:t>
            </w:r>
            <w:r w:rsidRPr="008B6BC5">
              <w:rPr>
                <w:rFonts w:cs="Times New Roman"/>
                <w:sz w:val="20"/>
                <w:szCs w:val="20"/>
                <w:lang w:val="en-US"/>
              </w:rPr>
              <w:lastRenderedPageBreak/>
              <w:t>interval [</w:t>
            </w:r>
            <w:proofErr w:type="spellStart"/>
            <w:r w:rsidRPr="008B6BC5">
              <w:rPr>
                <w:rFonts w:cs="Times New Roman"/>
                <w:sz w:val="20"/>
                <w:szCs w:val="20"/>
                <w:lang w:val="en-US"/>
              </w:rPr>
              <w:t>CrI</w:t>
            </w:r>
            <w:proofErr w:type="spellEnd"/>
            <w:r w:rsidRPr="008B6BC5">
              <w:rPr>
                <w:rFonts w:cs="Times New Roman"/>
                <w:sz w:val="20"/>
                <w:szCs w:val="20"/>
                <w:lang w:val="en-US"/>
              </w:rPr>
              <w:t xml:space="preserve">] 0.42, 0.51) on global psychotic symptoms versus placebo, with “minimal” response (≥ 20% reduction) in 51% of medicated patients versus 30% on placebo and “good” response (≥ 50% reduction) in 23% versus 14% (Leucht et al., 2017). </w:t>
            </w:r>
          </w:p>
          <w:p w14:paraId="2042049B" w14:textId="498A68E1" w:rsidR="009D336D" w:rsidRPr="008B6BC5" w:rsidRDefault="009D336D" w:rsidP="009D336D">
            <w:pPr>
              <w:pStyle w:val="NoSpacing"/>
              <w:rPr>
                <w:rFonts w:cs="Times New Roman"/>
                <w:sz w:val="20"/>
                <w:szCs w:val="20"/>
                <w:lang w:val="en-US"/>
              </w:rPr>
            </w:pPr>
          </w:p>
        </w:tc>
        <w:tc>
          <w:tcPr>
            <w:tcW w:w="4203" w:type="dxa"/>
          </w:tcPr>
          <w:p w14:paraId="1FB77412" w14:textId="75CFB199" w:rsidR="009D336D" w:rsidRPr="008B6BC5" w:rsidRDefault="009D336D" w:rsidP="009D336D">
            <w:pPr>
              <w:pStyle w:val="NoSpacing"/>
              <w:rPr>
                <w:rFonts w:cs="Times New Roman"/>
                <w:sz w:val="20"/>
                <w:szCs w:val="20"/>
                <w:lang w:val="en-US"/>
              </w:rPr>
            </w:pPr>
            <w:proofErr w:type="spellStart"/>
            <w:r w:rsidRPr="008B6BC5">
              <w:rPr>
                <w:rFonts w:cs="Times New Roman"/>
                <w:sz w:val="20"/>
                <w:szCs w:val="20"/>
                <w:lang w:val="en-US"/>
              </w:rPr>
              <w:lastRenderedPageBreak/>
              <w:t>doi</w:t>
            </w:r>
            <w:proofErr w:type="spellEnd"/>
            <w:r w:rsidRPr="008B6BC5">
              <w:rPr>
                <w:rFonts w:cs="Times New Roman"/>
                <w:sz w:val="20"/>
                <w:szCs w:val="20"/>
                <w:lang w:val="en-US"/>
              </w:rPr>
              <w:t>: 10.1176/appi.ajp.2017.16121358</w:t>
            </w:r>
          </w:p>
        </w:tc>
        <w:tc>
          <w:tcPr>
            <w:tcW w:w="690" w:type="dxa"/>
          </w:tcPr>
          <w:p w14:paraId="5BEC8E22" w14:textId="0B93A63C" w:rsidR="009D336D" w:rsidRPr="008B6BC5" w:rsidRDefault="009D336D" w:rsidP="009D336D">
            <w:pPr>
              <w:pStyle w:val="NoSpacing"/>
              <w:rPr>
                <w:rFonts w:cs="Times New Roman"/>
                <w:sz w:val="20"/>
                <w:szCs w:val="20"/>
                <w:lang w:val="en-US"/>
              </w:rPr>
            </w:pPr>
            <w:r w:rsidRPr="008B6BC5">
              <w:rPr>
                <w:rFonts w:cs="Times New Roman"/>
                <w:sz w:val="20"/>
                <w:szCs w:val="20"/>
                <w:lang w:val="en-US"/>
              </w:rPr>
              <w:t>4</w:t>
            </w:r>
          </w:p>
        </w:tc>
        <w:tc>
          <w:tcPr>
            <w:tcW w:w="3896" w:type="dxa"/>
          </w:tcPr>
          <w:p w14:paraId="1D15A604" w14:textId="3A5CFAA1" w:rsidR="009D336D" w:rsidRPr="008B6BC5" w:rsidRDefault="009D336D" w:rsidP="009D336D">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D336D" w:rsidRPr="008B6BC5" w14:paraId="059A4FD3" w14:textId="77777777" w:rsidTr="00BD3144">
        <w:tc>
          <w:tcPr>
            <w:tcW w:w="1418" w:type="dxa"/>
          </w:tcPr>
          <w:p w14:paraId="145048D5" w14:textId="556452C8" w:rsidR="009D336D" w:rsidRPr="008B6BC5" w:rsidRDefault="00BD3144" w:rsidP="009D336D">
            <w:pPr>
              <w:pStyle w:val="NoSpacing"/>
              <w:rPr>
                <w:rFonts w:cs="Times New Roman"/>
                <w:sz w:val="20"/>
                <w:szCs w:val="20"/>
                <w:lang w:val="en-US"/>
              </w:rPr>
            </w:pPr>
            <w:r w:rsidRPr="008B6BC5">
              <w:rPr>
                <w:rFonts w:cs="Times New Roman"/>
                <w:sz w:val="20"/>
                <w:szCs w:val="20"/>
                <w:lang w:val="en-US"/>
              </w:rPr>
              <w:t>2</w:t>
            </w:r>
          </w:p>
        </w:tc>
        <w:tc>
          <w:tcPr>
            <w:tcW w:w="6237" w:type="dxa"/>
          </w:tcPr>
          <w:p w14:paraId="6706DD42" w14:textId="32DAA792" w:rsidR="009D336D" w:rsidRPr="008B6BC5" w:rsidRDefault="009D336D" w:rsidP="009D336D">
            <w:pPr>
              <w:pStyle w:val="NoSpacing"/>
              <w:rPr>
                <w:rFonts w:cs="Times New Roman"/>
                <w:sz w:val="20"/>
                <w:szCs w:val="20"/>
                <w:lang w:val="en-US"/>
              </w:rPr>
            </w:pPr>
            <w:r w:rsidRPr="008B6BC5">
              <w:rPr>
                <w:rFonts w:cs="Times New Roman"/>
                <w:sz w:val="20"/>
                <w:szCs w:val="20"/>
                <w:lang w:val="en-US"/>
              </w:rPr>
              <w:t>Positive symptoms improved more than negative and depressive symptoms, and modest short-term benefits were observed for functioning and quality of life. These trials mainly enrolled adults with multi-episode schizophrenia treated for 4–12 weeks with first- or second-generation antipsychotics at standard doses  (Leucht et al., 2017).</w:t>
            </w:r>
          </w:p>
        </w:tc>
        <w:tc>
          <w:tcPr>
            <w:tcW w:w="4203" w:type="dxa"/>
          </w:tcPr>
          <w:p w14:paraId="0D630A91" w14:textId="5B7AA996" w:rsidR="009D336D" w:rsidRPr="008B6BC5" w:rsidRDefault="009D336D" w:rsidP="009D336D">
            <w:pPr>
              <w:pStyle w:val="NoSpacing"/>
              <w:rPr>
                <w:rFonts w:cs="Times New Roman"/>
                <w:sz w:val="20"/>
                <w:szCs w:val="20"/>
                <w:lang w:val="en-US"/>
              </w:rPr>
            </w:pPr>
            <w:proofErr w:type="spellStart"/>
            <w:r w:rsidRPr="008B6BC5">
              <w:rPr>
                <w:rFonts w:cs="Times New Roman"/>
                <w:sz w:val="20"/>
                <w:szCs w:val="20"/>
                <w:lang w:val="en-US"/>
              </w:rPr>
              <w:t>doi</w:t>
            </w:r>
            <w:proofErr w:type="spellEnd"/>
            <w:r w:rsidRPr="008B6BC5">
              <w:rPr>
                <w:rFonts w:cs="Times New Roman"/>
                <w:sz w:val="20"/>
                <w:szCs w:val="20"/>
                <w:lang w:val="en-US"/>
              </w:rPr>
              <w:t>: 10.1176/appi.ajp.2017.16121358</w:t>
            </w:r>
          </w:p>
        </w:tc>
        <w:tc>
          <w:tcPr>
            <w:tcW w:w="690" w:type="dxa"/>
          </w:tcPr>
          <w:p w14:paraId="2B990B22" w14:textId="00C7083C" w:rsidR="009D336D" w:rsidRPr="008B6BC5" w:rsidRDefault="009D336D" w:rsidP="009D336D">
            <w:pPr>
              <w:pStyle w:val="NoSpacing"/>
              <w:rPr>
                <w:rFonts w:cs="Times New Roman"/>
                <w:sz w:val="20"/>
                <w:szCs w:val="20"/>
                <w:lang w:val="en-US"/>
              </w:rPr>
            </w:pPr>
            <w:r w:rsidRPr="008B6BC5">
              <w:rPr>
                <w:rFonts w:cs="Times New Roman"/>
                <w:sz w:val="20"/>
                <w:szCs w:val="20"/>
                <w:lang w:val="en-US"/>
              </w:rPr>
              <w:t>4</w:t>
            </w:r>
          </w:p>
        </w:tc>
        <w:tc>
          <w:tcPr>
            <w:tcW w:w="3896" w:type="dxa"/>
          </w:tcPr>
          <w:p w14:paraId="294CE282" w14:textId="6E939513" w:rsidR="009D336D" w:rsidRPr="008B6BC5" w:rsidRDefault="009D336D" w:rsidP="009D336D">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9D336D" w:rsidRPr="008B6BC5" w14:paraId="3E77A47F" w14:textId="77777777" w:rsidTr="00BD3144">
        <w:tc>
          <w:tcPr>
            <w:tcW w:w="1418" w:type="dxa"/>
          </w:tcPr>
          <w:p w14:paraId="0BF506C8" w14:textId="04C8A411" w:rsidR="009D336D" w:rsidRPr="008B6BC5" w:rsidRDefault="00BD3144" w:rsidP="009D336D">
            <w:pPr>
              <w:pStyle w:val="NoSpacing"/>
              <w:rPr>
                <w:rFonts w:cs="Times New Roman"/>
                <w:sz w:val="20"/>
                <w:szCs w:val="20"/>
                <w:lang w:val="en-US"/>
              </w:rPr>
            </w:pPr>
            <w:r w:rsidRPr="008B6BC5">
              <w:rPr>
                <w:rFonts w:cs="Times New Roman"/>
                <w:sz w:val="20"/>
                <w:szCs w:val="20"/>
                <w:lang w:val="en-US"/>
              </w:rPr>
              <w:t>3</w:t>
            </w:r>
          </w:p>
        </w:tc>
        <w:tc>
          <w:tcPr>
            <w:tcW w:w="6237" w:type="dxa"/>
          </w:tcPr>
          <w:p w14:paraId="2119BD5F" w14:textId="77777777" w:rsidR="009D336D" w:rsidRPr="008B6BC5" w:rsidRDefault="009D336D" w:rsidP="009D336D">
            <w:pPr>
              <w:pStyle w:val="NoSpacing"/>
              <w:rPr>
                <w:rFonts w:cs="Times New Roman"/>
                <w:sz w:val="20"/>
                <w:szCs w:val="20"/>
                <w:lang w:val="en-US"/>
              </w:rPr>
            </w:pPr>
            <w:r w:rsidRPr="008B6BC5">
              <w:rPr>
                <w:rFonts w:cs="Times New Roman"/>
                <w:sz w:val="20"/>
                <w:szCs w:val="20"/>
                <w:lang w:val="en-US"/>
              </w:rPr>
              <w:t xml:space="preserve">A large network meta-analysis of 402 RCTs (N ≈ 53,000) comparing 32 oral antipsychotics confirmed a class effect of small-to-moderate magnitude, with all agents outperforming placebo and median SMDs around −0.4 on global symptoms (Huhn et al., 2019). </w:t>
            </w:r>
          </w:p>
          <w:p w14:paraId="10AB0A62" w14:textId="77777777" w:rsidR="009D336D" w:rsidRPr="008B6BC5" w:rsidRDefault="009D336D" w:rsidP="009D336D">
            <w:pPr>
              <w:pStyle w:val="NoSpacing"/>
              <w:rPr>
                <w:rFonts w:cs="Times New Roman"/>
                <w:sz w:val="20"/>
                <w:szCs w:val="20"/>
                <w:lang w:val="en-US"/>
              </w:rPr>
            </w:pPr>
          </w:p>
        </w:tc>
        <w:tc>
          <w:tcPr>
            <w:tcW w:w="4203" w:type="dxa"/>
          </w:tcPr>
          <w:p w14:paraId="56E047C2" w14:textId="72EC3866" w:rsidR="009D336D" w:rsidRPr="008B6BC5" w:rsidRDefault="009D336D" w:rsidP="009D336D">
            <w:pPr>
              <w:pStyle w:val="NoSpacing"/>
              <w:rPr>
                <w:rFonts w:cs="Times New Roman"/>
                <w:sz w:val="20"/>
                <w:szCs w:val="20"/>
                <w:lang w:val="en-US"/>
              </w:rPr>
            </w:pPr>
            <w:r w:rsidRPr="008B6BC5">
              <w:rPr>
                <w:rFonts w:cs="Times New Roman"/>
                <w:sz w:val="20"/>
                <w:szCs w:val="20"/>
                <w:lang w:val="en-US"/>
              </w:rPr>
              <w:t>http://dx.doi.org/10.1016/ S0140-6736(19)31135-3</w:t>
            </w:r>
          </w:p>
        </w:tc>
        <w:tc>
          <w:tcPr>
            <w:tcW w:w="690" w:type="dxa"/>
          </w:tcPr>
          <w:p w14:paraId="752DB07F" w14:textId="447075C8" w:rsidR="009D336D" w:rsidRPr="008B6BC5" w:rsidRDefault="003C1344" w:rsidP="009D336D">
            <w:pPr>
              <w:pStyle w:val="NoSpacing"/>
              <w:rPr>
                <w:rFonts w:cs="Times New Roman"/>
                <w:sz w:val="20"/>
                <w:szCs w:val="20"/>
                <w:lang w:val="en-US"/>
              </w:rPr>
            </w:pPr>
            <w:r w:rsidRPr="008B6BC5">
              <w:rPr>
                <w:rFonts w:cs="Times New Roman"/>
                <w:sz w:val="20"/>
                <w:szCs w:val="20"/>
                <w:lang w:val="en-US"/>
              </w:rPr>
              <w:t>2</w:t>
            </w:r>
          </w:p>
        </w:tc>
        <w:tc>
          <w:tcPr>
            <w:tcW w:w="3896" w:type="dxa"/>
          </w:tcPr>
          <w:p w14:paraId="74D8DBDD" w14:textId="5C7990C1" w:rsidR="009D336D" w:rsidRPr="008B6BC5" w:rsidRDefault="003C1344" w:rsidP="009D336D">
            <w:pPr>
              <w:pStyle w:val="NoSpacing"/>
              <w:rPr>
                <w:rFonts w:cs="Times New Roman"/>
                <w:sz w:val="20"/>
                <w:szCs w:val="20"/>
                <w:lang w:val="en-US"/>
              </w:rPr>
            </w:pPr>
            <w:r w:rsidRPr="008B6BC5">
              <w:rPr>
                <w:rFonts w:cs="Times New Roman"/>
                <w:sz w:val="20"/>
                <w:szCs w:val="20"/>
                <w:lang w:val="en-US"/>
              </w:rPr>
              <w:t xml:space="preserve">Not all of the </w:t>
            </w:r>
            <w:r w:rsidR="00CE3CCE" w:rsidRPr="008B6BC5">
              <w:rPr>
                <w:rFonts w:cs="Times New Roman"/>
                <w:sz w:val="20"/>
                <w:szCs w:val="20"/>
                <w:lang w:val="en-US"/>
              </w:rPr>
              <w:t>antipsychotics</w:t>
            </w:r>
            <w:r w:rsidRPr="008B6BC5">
              <w:rPr>
                <w:rFonts w:cs="Times New Roman"/>
                <w:sz w:val="20"/>
                <w:szCs w:val="20"/>
                <w:lang w:val="en-US"/>
              </w:rPr>
              <w:t xml:space="preserve"> significantly outperformed placebos on global symptoms. </w:t>
            </w:r>
          </w:p>
        </w:tc>
      </w:tr>
      <w:tr w:rsidR="00CE3CCE" w:rsidRPr="008B6BC5" w14:paraId="7AD2FD3E" w14:textId="77777777" w:rsidTr="00BD3144">
        <w:tc>
          <w:tcPr>
            <w:tcW w:w="1418" w:type="dxa"/>
          </w:tcPr>
          <w:p w14:paraId="0EEE75AE" w14:textId="204AD8C0" w:rsidR="00CE3CCE" w:rsidRPr="008B6BC5" w:rsidRDefault="00BD3144" w:rsidP="00CE3CCE">
            <w:pPr>
              <w:pStyle w:val="NoSpacing"/>
              <w:rPr>
                <w:rFonts w:cs="Times New Roman"/>
                <w:sz w:val="20"/>
                <w:szCs w:val="20"/>
                <w:lang w:val="en-US"/>
              </w:rPr>
            </w:pPr>
            <w:r w:rsidRPr="008B6BC5">
              <w:rPr>
                <w:rFonts w:cs="Times New Roman"/>
                <w:sz w:val="20"/>
                <w:szCs w:val="20"/>
                <w:lang w:val="en-US"/>
              </w:rPr>
              <w:t>4</w:t>
            </w:r>
          </w:p>
        </w:tc>
        <w:tc>
          <w:tcPr>
            <w:tcW w:w="6237" w:type="dxa"/>
          </w:tcPr>
          <w:p w14:paraId="72D818F4" w14:textId="77777777" w:rsidR="00CE3CCE" w:rsidRPr="008B6BC5" w:rsidRDefault="00CE3CCE" w:rsidP="00CE3CCE">
            <w:pPr>
              <w:pStyle w:val="NoSpacing"/>
              <w:rPr>
                <w:rFonts w:cs="Times New Roman"/>
                <w:sz w:val="20"/>
                <w:szCs w:val="20"/>
                <w:lang w:val="en-US"/>
              </w:rPr>
            </w:pPr>
            <w:r w:rsidRPr="008B6BC5">
              <w:rPr>
                <w:rFonts w:cs="Times New Roman"/>
                <w:sz w:val="20"/>
                <w:szCs w:val="20"/>
                <w:lang w:val="en-US"/>
              </w:rPr>
              <w:t xml:space="preserve">In a meta-analysis of 65 RCTs (N = 6,493), maintenance antipsychotic therapy reduced 12-month relapse from 64% after discontinuation or placebo to 27%, corresponding to a relapse risk ratio (RR) of 0.40 (95% CI 0.33, 0.49) and a number needed to treat of about 3; readmissions and all-cause discontinuation were likewise reduced (Leucht et al., 2012). </w:t>
            </w:r>
          </w:p>
          <w:p w14:paraId="4A95189A" w14:textId="77777777" w:rsidR="00CE3CCE" w:rsidRPr="008B6BC5" w:rsidRDefault="00CE3CCE" w:rsidP="00CE3CCE">
            <w:pPr>
              <w:pStyle w:val="NoSpacing"/>
              <w:rPr>
                <w:rFonts w:cs="Times New Roman"/>
                <w:sz w:val="20"/>
                <w:szCs w:val="20"/>
                <w:lang w:val="en-US"/>
              </w:rPr>
            </w:pPr>
          </w:p>
        </w:tc>
        <w:tc>
          <w:tcPr>
            <w:tcW w:w="4203" w:type="dxa"/>
          </w:tcPr>
          <w:p w14:paraId="54DD98BF" w14:textId="31DCA058" w:rsidR="00CE3CCE" w:rsidRPr="008B6BC5" w:rsidRDefault="00CE3CCE" w:rsidP="00CE3CCE">
            <w:pPr>
              <w:pStyle w:val="NoSpacing"/>
              <w:rPr>
                <w:rFonts w:cs="Times New Roman"/>
                <w:sz w:val="20"/>
                <w:szCs w:val="20"/>
                <w:lang w:val="en-US"/>
              </w:rPr>
            </w:pPr>
            <w:r w:rsidRPr="008B6BC5">
              <w:rPr>
                <w:rFonts w:cs="Times New Roman"/>
                <w:sz w:val="20"/>
                <w:szCs w:val="20"/>
                <w:lang w:val="en-US"/>
              </w:rPr>
              <w:t>DOI:10.1016/S01406736(12)60239-6</w:t>
            </w:r>
          </w:p>
        </w:tc>
        <w:tc>
          <w:tcPr>
            <w:tcW w:w="690" w:type="dxa"/>
          </w:tcPr>
          <w:p w14:paraId="5439B831" w14:textId="7CE321D7" w:rsidR="00CE3CCE" w:rsidRPr="008B6BC5" w:rsidRDefault="00CE3CCE" w:rsidP="00CE3CCE">
            <w:pPr>
              <w:pStyle w:val="NoSpacing"/>
              <w:rPr>
                <w:rFonts w:cs="Times New Roman"/>
                <w:sz w:val="20"/>
                <w:szCs w:val="20"/>
                <w:lang w:val="en-US"/>
              </w:rPr>
            </w:pPr>
            <w:r w:rsidRPr="008B6BC5">
              <w:rPr>
                <w:rFonts w:cs="Times New Roman"/>
                <w:sz w:val="20"/>
                <w:szCs w:val="20"/>
                <w:lang w:val="en-US"/>
              </w:rPr>
              <w:t>4</w:t>
            </w:r>
          </w:p>
        </w:tc>
        <w:tc>
          <w:tcPr>
            <w:tcW w:w="3896" w:type="dxa"/>
          </w:tcPr>
          <w:p w14:paraId="455C23B7" w14:textId="30963CCD" w:rsidR="00CE3CCE" w:rsidRPr="008B6BC5" w:rsidRDefault="00CE3CCE" w:rsidP="00CE3CCE">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CE3CCE" w:rsidRPr="008B6BC5" w14:paraId="14B31F5B" w14:textId="77777777" w:rsidTr="00BD3144">
        <w:tc>
          <w:tcPr>
            <w:tcW w:w="1418" w:type="dxa"/>
          </w:tcPr>
          <w:p w14:paraId="0B4A2498" w14:textId="7269F68B" w:rsidR="00CE3CCE" w:rsidRPr="008B6BC5" w:rsidRDefault="00BD3144" w:rsidP="00CE3CCE">
            <w:pPr>
              <w:pStyle w:val="NoSpacing"/>
              <w:rPr>
                <w:rFonts w:cs="Times New Roman"/>
                <w:sz w:val="20"/>
                <w:szCs w:val="20"/>
                <w:lang w:val="en-US"/>
              </w:rPr>
            </w:pPr>
            <w:r w:rsidRPr="008B6BC5">
              <w:rPr>
                <w:rFonts w:cs="Times New Roman"/>
                <w:sz w:val="20"/>
                <w:szCs w:val="20"/>
                <w:lang w:val="en-US"/>
              </w:rPr>
              <w:t>5</w:t>
            </w:r>
          </w:p>
        </w:tc>
        <w:tc>
          <w:tcPr>
            <w:tcW w:w="6237" w:type="dxa"/>
          </w:tcPr>
          <w:p w14:paraId="5F3805FF" w14:textId="77777777" w:rsidR="00CE3CCE" w:rsidRPr="008B6BC5" w:rsidRDefault="00CE3CCE" w:rsidP="00CE3CCE">
            <w:pPr>
              <w:pStyle w:val="NoSpacing"/>
              <w:rPr>
                <w:rFonts w:cs="Times New Roman"/>
                <w:sz w:val="20"/>
                <w:szCs w:val="20"/>
                <w:lang w:val="en-US"/>
              </w:rPr>
            </w:pPr>
            <w:r w:rsidRPr="008B6BC5">
              <w:rPr>
                <w:rFonts w:cs="Times New Roman"/>
                <w:sz w:val="20"/>
                <w:szCs w:val="20"/>
                <w:lang w:val="en-US"/>
              </w:rPr>
              <w:t>In remitted first-episode psychosis, a meta-analysis found that discontinuation produced markedly higher 12-month relapse risk than maintenance (pooled RR ≈ 2.3), despite modest short-term improvements in tolerability among those tapered off (Kishi et al., 2019)</w:t>
            </w:r>
          </w:p>
          <w:p w14:paraId="3180CDDF" w14:textId="77777777" w:rsidR="00CE3CCE" w:rsidRPr="008B6BC5" w:rsidRDefault="00CE3CCE" w:rsidP="00CE3CCE">
            <w:pPr>
              <w:pStyle w:val="NoSpacing"/>
              <w:rPr>
                <w:rFonts w:cs="Times New Roman"/>
                <w:sz w:val="20"/>
                <w:szCs w:val="20"/>
                <w:lang w:val="en-US"/>
              </w:rPr>
            </w:pPr>
          </w:p>
        </w:tc>
        <w:tc>
          <w:tcPr>
            <w:tcW w:w="4203" w:type="dxa"/>
          </w:tcPr>
          <w:p w14:paraId="3F5ABF37" w14:textId="3DB4F295" w:rsidR="00CE3CCE" w:rsidRPr="008B6BC5" w:rsidRDefault="00CE3CCE" w:rsidP="00CE3CCE">
            <w:pPr>
              <w:pStyle w:val="NoSpacing"/>
              <w:rPr>
                <w:rFonts w:cs="Times New Roman"/>
                <w:sz w:val="20"/>
                <w:szCs w:val="20"/>
                <w:lang w:val="en-US"/>
              </w:rPr>
            </w:pPr>
            <w:r w:rsidRPr="008B6BC5">
              <w:rPr>
                <w:rFonts w:cs="Times New Roman"/>
                <w:sz w:val="20"/>
                <w:szCs w:val="20"/>
                <w:lang w:val="en-US"/>
              </w:rPr>
              <w:t>https://doi.org/10.1017/ S0033291718001393</w:t>
            </w:r>
          </w:p>
        </w:tc>
        <w:tc>
          <w:tcPr>
            <w:tcW w:w="690" w:type="dxa"/>
          </w:tcPr>
          <w:p w14:paraId="17667C79" w14:textId="5B285F84" w:rsidR="00CE3CCE" w:rsidRPr="008B6BC5" w:rsidRDefault="00CE3CCE" w:rsidP="00CE3CCE">
            <w:pPr>
              <w:pStyle w:val="NoSpacing"/>
              <w:rPr>
                <w:rFonts w:cs="Times New Roman"/>
                <w:sz w:val="20"/>
                <w:szCs w:val="20"/>
                <w:lang w:val="en-US"/>
              </w:rPr>
            </w:pPr>
            <w:r w:rsidRPr="008B6BC5">
              <w:rPr>
                <w:rFonts w:cs="Times New Roman"/>
                <w:sz w:val="20"/>
                <w:szCs w:val="20"/>
                <w:lang w:val="en-US"/>
              </w:rPr>
              <w:t>3</w:t>
            </w:r>
          </w:p>
        </w:tc>
        <w:tc>
          <w:tcPr>
            <w:tcW w:w="3896" w:type="dxa"/>
          </w:tcPr>
          <w:p w14:paraId="51C1D91D" w14:textId="78737A98" w:rsidR="00CE3CCE" w:rsidRPr="008B6BC5" w:rsidRDefault="00CE3CCE" w:rsidP="00CE3CCE">
            <w:pPr>
              <w:pStyle w:val="NoSpacing"/>
              <w:rPr>
                <w:rFonts w:cs="Times New Roman"/>
                <w:sz w:val="20"/>
                <w:szCs w:val="20"/>
                <w:lang w:val="en-US"/>
              </w:rPr>
            </w:pPr>
            <w:r w:rsidRPr="008B6BC5">
              <w:rPr>
                <w:rFonts w:cs="Times New Roman"/>
                <w:sz w:val="20"/>
                <w:szCs w:val="20"/>
                <w:lang w:val="en-US"/>
              </w:rPr>
              <w:t xml:space="preserve">The RR value was </w:t>
            </w:r>
            <w:r w:rsidR="008256F0" w:rsidRPr="008B6BC5">
              <w:rPr>
                <w:rFonts w:cs="Times New Roman"/>
                <w:sz w:val="20"/>
                <w:szCs w:val="20"/>
                <w:lang w:val="en-US"/>
              </w:rPr>
              <w:t xml:space="preserve">0.47, not approx. 2.3 </w:t>
            </w:r>
          </w:p>
        </w:tc>
      </w:tr>
      <w:tr w:rsidR="008256F0" w:rsidRPr="008B6BC5" w14:paraId="561CF232" w14:textId="77777777" w:rsidTr="00BD3144">
        <w:tc>
          <w:tcPr>
            <w:tcW w:w="1418" w:type="dxa"/>
          </w:tcPr>
          <w:p w14:paraId="36C6962A" w14:textId="6624268F" w:rsidR="008256F0" w:rsidRPr="008B6BC5" w:rsidRDefault="00BD3144" w:rsidP="008256F0">
            <w:pPr>
              <w:pStyle w:val="NoSpacing"/>
              <w:rPr>
                <w:rFonts w:cs="Times New Roman"/>
                <w:sz w:val="20"/>
                <w:szCs w:val="20"/>
                <w:lang w:val="en-US"/>
              </w:rPr>
            </w:pPr>
            <w:r w:rsidRPr="008B6BC5">
              <w:rPr>
                <w:rFonts w:cs="Times New Roman"/>
                <w:sz w:val="20"/>
                <w:szCs w:val="20"/>
                <w:lang w:val="en-US"/>
              </w:rPr>
              <w:t>6</w:t>
            </w:r>
          </w:p>
        </w:tc>
        <w:tc>
          <w:tcPr>
            <w:tcW w:w="6237" w:type="dxa"/>
          </w:tcPr>
          <w:p w14:paraId="7B7B9442" w14:textId="7D5DA614" w:rsidR="008256F0" w:rsidRPr="008B6BC5" w:rsidRDefault="008256F0" w:rsidP="008256F0">
            <w:pPr>
              <w:pStyle w:val="NoSpacing"/>
              <w:rPr>
                <w:rFonts w:cs="Times New Roman"/>
                <w:sz w:val="20"/>
                <w:szCs w:val="20"/>
                <w:lang w:val="en-US"/>
              </w:rPr>
            </w:pPr>
            <w:r w:rsidRPr="008B6BC5">
              <w:rPr>
                <w:rFonts w:cs="Times New Roman"/>
                <w:sz w:val="20"/>
                <w:szCs w:val="20"/>
                <w:lang w:val="en-US"/>
              </w:rPr>
              <w:t>Complementing RCT data, a recent synthesis combining randomized and real-world evidence indicated that continuous antipsychotic exposure is associated with lower hospitalization and relapse rates than non-use or intermittent use in schizophrenia-spectrum disorders (Efthimiou et al., 2024).</w:t>
            </w:r>
          </w:p>
        </w:tc>
        <w:tc>
          <w:tcPr>
            <w:tcW w:w="4203" w:type="dxa"/>
          </w:tcPr>
          <w:p w14:paraId="4EF3A15C" w14:textId="643E641C" w:rsidR="008256F0" w:rsidRPr="008B6BC5" w:rsidRDefault="008256F0" w:rsidP="008256F0">
            <w:pPr>
              <w:pStyle w:val="NoSpacing"/>
              <w:rPr>
                <w:rFonts w:cs="Times New Roman"/>
                <w:sz w:val="20"/>
                <w:szCs w:val="20"/>
                <w:lang w:val="en-US"/>
              </w:rPr>
            </w:pPr>
            <w:r w:rsidRPr="008B6BC5">
              <w:rPr>
                <w:rFonts w:cs="Times New Roman"/>
                <w:sz w:val="20"/>
                <w:szCs w:val="20"/>
                <w:lang w:val="en-US"/>
              </w:rPr>
              <w:t>https://doi.org/10.1016/ S2215-0366(23)00366-8</w:t>
            </w:r>
          </w:p>
        </w:tc>
        <w:tc>
          <w:tcPr>
            <w:tcW w:w="690" w:type="dxa"/>
          </w:tcPr>
          <w:p w14:paraId="73822A26" w14:textId="620CAF30" w:rsidR="008256F0" w:rsidRPr="008B6BC5" w:rsidRDefault="008256F0" w:rsidP="008256F0">
            <w:pPr>
              <w:pStyle w:val="NoSpacing"/>
              <w:rPr>
                <w:rFonts w:cs="Times New Roman"/>
                <w:sz w:val="20"/>
                <w:szCs w:val="20"/>
                <w:lang w:val="en-US"/>
              </w:rPr>
            </w:pPr>
            <w:r w:rsidRPr="008B6BC5">
              <w:rPr>
                <w:rFonts w:cs="Times New Roman"/>
                <w:sz w:val="20"/>
                <w:szCs w:val="20"/>
                <w:lang w:val="en-US"/>
              </w:rPr>
              <w:t>4</w:t>
            </w:r>
          </w:p>
        </w:tc>
        <w:tc>
          <w:tcPr>
            <w:tcW w:w="3896" w:type="dxa"/>
          </w:tcPr>
          <w:p w14:paraId="6397EAF0" w14:textId="1BA9C192" w:rsidR="008256F0" w:rsidRPr="008B6BC5" w:rsidRDefault="008256F0" w:rsidP="008256F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8256F0" w:rsidRPr="008B6BC5" w14:paraId="29D6A26D" w14:textId="77777777" w:rsidTr="00BD3144">
        <w:tc>
          <w:tcPr>
            <w:tcW w:w="1418" w:type="dxa"/>
          </w:tcPr>
          <w:p w14:paraId="2F844F6B" w14:textId="13E823BA" w:rsidR="008256F0" w:rsidRPr="008B6BC5" w:rsidRDefault="00BD3144" w:rsidP="008256F0">
            <w:pPr>
              <w:pStyle w:val="NoSpacing"/>
              <w:rPr>
                <w:rFonts w:cs="Times New Roman"/>
                <w:sz w:val="20"/>
                <w:szCs w:val="20"/>
                <w:lang w:val="en-US"/>
              </w:rPr>
            </w:pPr>
            <w:r w:rsidRPr="008B6BC5">
              <w:rPr>
                <w:rFonts w:cs="Times New Roman"/>
                <w:sz w:val="20"/>
                <w:szCs w:val="20"/>
                <w:lang w:val="en-US"/>
              </w:rPr>
              <w:t>7</w:t>
            </w:r>
          </w:p>
        </w:tc>
        <w:tc>
          <w:tcPr>
            <w:tcW w:w="6237" w:type="dxa"/>
          </w:tcPr>
          <w:p w14:paraId="027EF09F" w14:textId="77777777" w:rsidR="008256F0" w:rsidRPr="008B6BC5" w:rsidRDefault="008256F0" w:rsidP="008256F0">
            <w:pPr>
              <w:pStyle w:val="NoSpacing"/>
              <w:rPr>
                <w:rFonts w:cs="Times New Roman"/>
                <w:sz w:val="20"/>
                <w:szCs w:val="20"/>
                <w:lang w:val="en-US"/>
              </w:rPr>
            </w:pPr>
            <w:proofErr w:type="spellStart"/>
            <w:r w:rsidRPr="008B6BC5">
              <w:rPr>
                <w:rFonts w:cs="Times New Roman"/>
                <w:sz w:val="20"/>
                <w:szCs w:val="20"/>
                <w:lang w:val="en-US"/>
              </w:rPr>
              <w:t>Fusar</w:t>
            </w:r>
            <w:proofErr w:type="spellEnd"/>
            <w:r w:rsidRPr="008B6BC5">
              <w:rPr>
                <w:rFonts w:cs="Times New Roman"/>
                <w:sz w:val="20"/>
                <w:szCs w:val="20"/>
                <w:lang w:val="en-US"/>
              </w:rPr>
              <w:t>-Poli et al. (2015) meta-analyzed 168 placebo-controlled trials (N &gt; 12,000) and reported SMDs of approximately −0.3 to −0.6 on negative symptom scales for second-generation antipsychotics and various adjunctive agents, statistically significant but below conventional thresholds for clear clinical relevance</w:t>
            </w:r>
          </w:p>
          <w:p w14:paraId="28622717" w14:textId="77777777" w:rsidR="008256F0" w:rsidRPr="008B6BC5" w:rsidRDefault="008256F0" w:rsidP="008256F0">
            <w:pPr>
              <w:pStyle w:val="NoSpacing"/>
              <w:rPr>
                <w:rFonts w:cs="Times New Roman"/>
                <w:sz w:val="20"/>
                <w:szCs w:val="20"/>
                <w:lang w:val="en-US"/>
              </w:rPr>
            </w:pPr>
          </w:p>
        </w:tc>
        <w:tc>
          <w:tcPr>
            <w:tcW w:w="4203" w:type="dxa"/>
          </w:tcPr>
          <w:p w14:paraId="588261EB" w14:textId="1A369628" w:rsidR="008256F0" w:rsidRPr="008B6BC5" w:rsidRDefault="008256F0" w:rsidP="008256F0">
            <w:pPr>
              <w:pStyle w:val="NoSpacing"/>
              <w:rPr>
                <w:rFonts w:cs="Times New Roman"/>
                <w:sz w:val="20"/>
                <w:szCs w:val="20"/>
                <w:lang w:val="en-US"/>
              </w:rPr>
            </w:pPr>
            <w:r w:rsidRPr="008B6BC5">
              <w:rPr>
                <w:rFonts w:cs="Times New Roman"/>
                <w:sz w:val="20"/>
                <w:szCs w:val="20"/>
                <w:lang w:val="en-US"/>
              </w:rPr>
              <w:t>doi:10.1093/</w:t>
            </w:r>
            <w:proofErr w:type="spellStart"/>
            <w:r w:rsidRPr="008B6BC5">
              <w:rPr>
                <w:rFonts w:cs="Times New Roman"/>
                <w:sz w:val="20"/>
                <w:szCs w:val="20"/>
                <w:lang w:val="en-US"/>
              </w:rPr>
              <w:t>schbul</w:t>
            </w:r>
            <w:proofErr w:type="spellEnd"/>
            <w:r w:rsidRPr="008B6BC5">
              <w:rPr>
                <w:rFonts w:cs="Times New Roman"/>
                <w:sz w:val="20"/>
                <w:szCs w:val="20"/>
                <w:lang w:val="en-US"/>
              </w:rPr>
              <w:t>/sbu170</w:t>
            </w:r>
          </w:p>
        </w:tc>
        <w:tc>
          <w:tcPr>
            <w:tcW w:w="690" w:type="dxa"/>
          </w:tcPr>
          <w:p w14:paraId="1CF34692" w14:textId="0EF5A0DB" w:rsidR="008256F0" w:rsidRPr="008B6BC5" w:rsidRDefault="008256F0" w:rsidP="008256F0">
            <w:pPr>
              <w:pStyle w:val="NoSpacing"/>
              <w:rPr>
                <w:rFonts w:cs="Times New Roman"/>
                <w:sz w:val="20"/>
                <w:szCs w:val="20"/>
                <w:lang w:val="en-US"/>
              </w:rPr>
            </w:pPr>
            <w:r w:rsidRPr="008B6BC5">
              <w:rPr>
                <w:rFonts w:cs="Times New Roman"/>
                <w:sz w:val="20"/>
                <w:szCs w:val="20"/>
                <w:lang w:val="en-US"/>
              </w:rPr>
              <w:t>4</w:t>
            </w:r>
          </w:p>
        </w:tc>
        <w:tc>
          <w:tcPr>
            <w:tcW w:w="3896" w:type="dxa"/>
          </w:tcPr>
          <w:p w14:paraId="3BE70C7B" w14:textId="00289A40" w:rsidR="008256F0" w:rsidRPr="008B6BC5" w:rsidRDefault="008256F0" w:rsidP="008256F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8256F0" w:rsidRPr="008B6BC5" w14:paraId="089A1C8E" w14:textId="77777777" w:rsidTr="00BD3144">
        <w:tc>
          <w:tcPr>
            <w:tcW w:w="1418" w:type="dxa"/>
          </w:tcPr>
          <w:p w14:paraId="2A21FDF9" w14:textId="4BAF6000" w:rsidR="008256F0" w:rsidRPr="008B6BC5" w:rsidRDefault="00BD3144" w:rsidP="008256F0">
            <w:pPr>
              <w:pStyle w:val="NoSpacing"/>
              <w:rPr>
                <w:rFonts w:cs="Times New Roman"/>
                <w:sz w:val="20"/>
                <w:szCs w:val="20"/>
                <w:lang w:val="en-US"/>
              </w:rPr>
            </w:pPr>
            <w:r w:rsidRPr="008B6BC5">
              <w:rPr>
                <w:rFonts w:cs="Times New Roman"/>
                <w:sz w:val="20"/>
                <w:szCs w:val="20"/>
                <w:lang w:val="en-US"/>
              </w:rPr>
              <w:lastRenderedPageBreak/>
              <w:t>8</w:t>
            </w:r>
          </w:p>
        </w:tc>
        <w:tc>
          <w:tcPr>
            <w:tcW w:w="6237" w:type="dxa"/>
          </w:tcPr>
          <w:p w14:paraId="6B6AD579" w14:textId="77777777" w:rsidR="008256F0" w:rsidRPr="008B6BC5" w:rsidRDefault="008256F0" w:rsidP="008256F0">
            <w:pPr>
              <w:pStyle w:val="NoSpacing"/>
              <w:rPr>
                <w:rFonts w:cs="Times New Roman"/>
                <w:sz w:val="20"/>
                <w:szCs w:val="20"/>
                <w:lang w:val="en-US"/>
              </w:rPr>
            </w:pPr>
            <w:r w:rsidRPr="008B6BC5">
              <w:rPr>
                <w:rFonts w:cs="Times New Roman"/>
                <w:sz w:val="20"/>
                <w:szCs w:val="20"/>
                <w:lang w:val="en-US"/>
              </w:rPr>
              <w:t xml:space="preserve">In the acute network meta-analysis, clozapine, amisulpride, olanzapine, risperidone, and zotepine ranked among the most efficacious agents, whereas several low-potency typical antipsychotics and partial agonists were less effective, but many pairwise contrasts had overlapping credible intervals (Huhn et al., 2019). </w:t>
            </w:r>
          </w:p>
          <w:p w14:paraId="5E005C8A" w14:textId="77777777" w:rsidR="008256F0" w:rsidRPr="008B6BC5" w:rsidRDefault="008256F0" w:rsidP="008256F0">
            <w:pPr>
              <w:pStyle w:val="NoSpacing"/>
              <w:rPr>
                <w:rFonts w:cs="Times New Roman"/>
                <w:sz w:val="20"/>
                <w:szCs w:val="20"/>
                <w:lang w:val="en-US"/>
              </w:rPr>
            </w:pPr>
          </w:p>
        </w:tc>
        <w:tc>
          <w:tcPr>
            <w:tcW w:w="4203" w:type="dxa"/>
          </w:tcPr>
          <w:p w14:paraId="4EEAFBC4" w14:textId="2F0AD78E" w:rsidR="008256F0" w:rsidRPr="008B6BC5" w:rsidRDefault="008256F0" w:rsidP="008256F0">
            <w:pPr>
              <w:pStyle w:val="NoSpacing"/>
              <w:rPr>
                <w:rFonts w:cs="Times New Roman"/>
                <w:sz w:val="20"/>
                <w:szCs w:val="20"/>
                <w:lang w:val="en-US"/>
              </w:rPr>
            </w:pPr>
            <w:r w:rsidRPr="008B6BC5">
              <w:rPr>
                <w:rFonts w:cs="Times New Roman"/>
                <w:sz w:val="20"/>
                <w:szCs w:val="20"/>
                <w:lang w:val="en-US"/>
              </w:rPr>
              <w:t>http://dx.doi.org/10.1016/ S0140-6736(19)31135-3</w:t>
            </w:r>
          </w:p>
        </w:tc>
        <w:tc>
          <w:tcPr>
            <w:tcW w:w="690" w:type="dxa"/>
          </w:tcPr>
          <w:p w14:paraId="27C95BAE" w14:textId="7301E8E8" w:rsidR="008256F0" w:rsidRPr="008B6BC5" w:rsidRDefault="008256F0" w:rsidP="008256F0">
            <w:pPr>
              <w:pStyle w:val="NoSpacing"/>
              <w:rPr>
                <w:rFonts w:cs="Times New Roman"/>
                <w:sz w:val="20"/>
                <w:szCs w:val="20"/>
                <w:lang w:val="en-US"/>
              </w:rPr>
            </w:pPr>
            <w:r w:rsidRPr="008B6BC5">
              <w:rPr>
                <w:rFonts w:cs="Times New Roman"/>
                <w:sz w:val="20"/>
                <w:szCs w:val="20"/>
                <w:lang w:val="en-US"/>
              </w:rPr>
              <w:t>4</w:t>
            </w:r>
          </w:p>
        </w:tc>
        <w:tc>
          <w:tcPr>
            <w:tcW w:w="3896" w:type="dxa"/>
          </w:tcPr>
          <w:p w14:paraId="72CEF501" w14:textId="2B50F0FD" w:rsidR="008256F0" w:rsidRPr="008B6BC5" w:rsidRDefault="008256F0" w:rsidP="008256F0">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8256F0" w:rsidRPr="008B6BC5" w14:paraId="455E31E8" w14:textId="77777777" w:rsidTr="00BD3144">
        <w:tc>
          <w:tcPr>
            <w:tcW w:w="1418" w:type="dxa"/>
          </w:tcPr>
          <w:p w14:paraId="1B462A5C" w14:textId="2202BA24" w:rsidR="008256F0" w:rsidRPr="008B6BC5" w:rsidRDefault="00BD3144" w:rsidP="008256F0">
            <w:pPr>
              <w:pStyle w:val="NoSpacing"/>
              <w:rPr>
                <w:rFonts w:cs="Times New Roman"/>
                <w:sz w:val="20"/>
                <w:szCs w:val="20"/>
                <w:lang w:val="en-US"/>
              </w:rPr>
            </w:pPr>
            <w:r w:rsidRPr="008B6BC5">
              <w:rPr>
                <w:rFonts w:cs="Times New Roman"/>
                <w:sz w:val="20"/>
                <w:szCs w:val="20"/>
                <w:lang w:val="en-US"/>
              </w:rPr>
              <w:t>9</w:t>
            </w:r>
          </w:p>
        </w:tc>
        <w:tc>
          <w:tcPr>
            <w:tcW w:w="6237" w:type="dxa"/>
          </w:tcPr>
          <w:p w14:paraId="14AFEBFE" w14:textId="77777777" w:rsidR="008256F0" w:rsidRPr="008B6BC5" w:rsidRDefault="008256F0" w:rsidP="008256F0">
            <w:pPr>
              <w:pStyle w:val="NoSpacing"/>
              <w:rPr>
                <w:rFonts w:cs="Times New Roman"/>
                <w:sz w:val="20"/>
                <w:szCs w:val="20"/>
                <w:lang w:val="en-US"/>
              </w:rPr>
            </w:pPr>
            <w:r w:rsidRPr="008B6BC5">
              <w:rPr>
                <w:rFonts w:cs="Times New Roman"/>
                <w:sz w:val="20"/>
                <w:szCs w:val="20"/>
                <w:lang w:val="en-US"/>
              </w:rPr>
              <w:t>For maintenance treatment, Schneider-</w:t>
            </w:r>
            <w:proofErr w:type="spellStart"/>
            <w:r w:rsidRPr="008B6BC5">
              <w:rPr>
                <w:rFonts w:cs="Times New Roman"/>
                <w:sz w:val="20"/>
                <w:szCs w:val="20"/>
                <w:lang w:val="en-US"/>
              </w:rPr>
              <w:t>Thoma</w:t>
            </w:r>
            <w:proofErr w:type="spellEnd"/>
            <w:r w:rsidRPr="008B6BC5">
              <w:rPr>
                <w:rFonts w:cs="Times New Roman"/>
                <w:sz w:val="20"/>
                <w:szCs w:val="20"/>
                <w:lang w:val="en-US"/>
              </w:rPr>
              <w:t xml:space="preserve"> et al. (2022) synthesized 137 RCTs (N ≈ 24,000) comparing 32 oral and long-acting formulations. Most antipsychotics reduced relapse versus placebo; long-acting injectables (LAIs) of paliperidone, aripiprazole, and olanzapine showed slightly lower relapse and hospitalization rates than their oral counterparts. </w:t>
            </w:r>
          </w:p>
          <w:p w14:paraId="73CA3B9F" w14:textId="77777777" w:rsidR="008256F0" w:rsidRPr="008B6BC5" w:rsidRDefault="008256F0" w:rsidP="008256F0">
            <w:pPr>
              <w:pStyle w:val="NoSpacing"/>
              <w:rPr>
                <w:rFonts w:cs="Times New Roman"/>
                <w:sz w:val="20"/>
                <w:szCs w:val="20"/>
                <w:lang w:val="en-US"/>
              </w:rPr>
            </w:pPr>
          </w:p>
        </w:tc>
        <w:tc>
          <w:tcPr>
            <w:tcW w:w="4203" w:type="dxa"/>
          </w:tcPr>
          <w:p w14:paraId="1B2243AB" w14:textId="77777777" w:rsidR="008256F0" w:rsidRPr="008B6BC5" w:rsidRDefault="008256F0" w:rsidP="008256F0">
            <w:pPr>
              <w:pStyle w:val="NoSpacing"/>
              <w:rPr>
                <w:rFonts w:cs="Times New Roman"/>
                <w:sz w:val="20"/>
                <w:szCs w:val="20"/>
                <w:lang w:val="en-US"/>
              </w:rPr>
            </w:pPr>
            <w:r w:rsidRPr="008B6BC5">
              <w:rPr>
                <w:rFonts w:cs="Times New Roman"/>
                <w:sz w:val="20"/>
                <w:szCs w:val="20"/>
                <w:lang w:val="en-US"/>
              </w:rPr>
              <w:t>DOI: 10.1016/S0140-6736(21)01997-8</w:t>
            </w:r>
          </w:p>
          <w:p w14:paraId="2BF986F1" w14:textId="1AD875D8" w:rsidR="008256F0" w:rsidRPr="008B6BC5" w:rsidRDefault="008256F0" w:rsidP="008256F0">
            <w:pPr>
              <w:pStyle w:val="NoSpacing"/>
              <w:rPr>
                <w:rFonts w:cs="Times New Roman"/>
                <w:sz w:val="20"/>
                <w:szCs w:val="20"/>
                <w:lang w:val="en-US"/>
              </w:rPr>
            </w:pPr>
          </w:p>
        </w:tc>
        <w:tc>
          <w:tcPr>
            <w:tcW w:w="690" w:type="dxa"/>
          </w:tcPr>
          <w:p w14:paraId="1EBAA877" w14:textId="626C78B2" w:rsidR="008256F0" w:rsidRPr="008B6BC5" w:rsidRDefault="007876C6" w:rsidP="008256F0">
            <w:pPr>
              <w:pStyle w:val="NoSpacing"/>
              <w:rPr>
                <w:rFonts w:cs="Times New Roman"/>
                <w:sz w:val="20"/>
                <w:szCs w:val="20"/>
                <w:lang w:val="en-US"/>
              </w:rPr>
            </w:pPr>
            <w:r w:rsidRPr="008B6BC5">
              <w:rPr>
                <w:rFonts w:cs="Times New Roman"/>
                <w:sz w:val="20"/>
                <w:szCs w:val="20"/>
                <w:lang w:val="en-US"/>
              </w:rPr>
              <w:t>2</w:t>
            </w:r>
          </w:p>
        </w:tc>
        <w:tc>
          <w:tcPr>
            <w:tcW w:w="3896" w:type="dxa"/>
          </w:tcPr>
          <w:p w14:paraId="79DD99B2" w14:textId="34219CEE" w:rsidR="008256F0" w:rsidRPr="008B6BC5" w:rsidRDefault="000723FF" w:rsidP="008256F0">
            <w:pPr>
              <w:pStyle w:val="NoSpacing"/>
              <w:rPr>
                <w:rFonts w:cs="Times New Roman"/>
                <w:sz w:val="20"/>
                <w:szCs w:val="20"/>
                <w:lang w:val="en-US"/>
              </w:rPr>
            </w:pPr>
            <w:r w:rsidRPr="008B6BC5">
              <w:rPr>
                <w:rFonts w:cs="Times New Roman"/>
                <w:sz w:val="20"/>
                <w:szCs w:val="20"/>
                <w:lang w:val="en-US"/>
              </w:rPr>
              <w:t xml:space="preserve">Authors mention that there is no clear evidence for the superiority of specific antipsychotics in terms of relapse prevention because most comparisons between antipsychotics included a probability of no difference. </w:t>
            </w:r>
          </w:p>
        </w:tc>
      </w:tr>
      <w:tr w:rsidR="008256F0" w:rsidRPr="008B6BC5" w14:paraId="0822F869" w14:textId="77777777" w:rsidTr="00BD3144">
        <w:tc>
          <w:tcPr>
            <w:tcW w:w="1418" w:type="dxa"/>
          </w:tcPr>
          <w:p w14:paraId="49AD6F04" w14:textId="20AED93F" w:rsidR="008256F0" w:rsidRPr="008B6BC5" w:rsidRDefault="00BD3144" w:rsidP="008256F0">
            <w:pPr>
              <w:pStyle w:val="NoSpacing"/>
              <w:rPr>
                <w:rFonts w:cs="Times New Roman"/>
                <w:sz w:val="20"/>
                <w:szCs w:val="20"/>
                <w:lang w:val="en-US"/>
              </w:rPr>
            </w:pPr>
            <w:r w:rsidRPr="008B6BC5">
              <w:rPr>
                <w:rFonts w:cs="Times New Roman"/>
                <w:sz w:val="20"/>
                <w:szCs w:val="20"/>
                <w:lang w:val="en-US"/>
              </w:rPr>
              <w:t>10</w:t>
            </w:r>
          </w:p>
        </w:tc>
        <w:tc>
          <w:tcPr>
            <w:tcW w:w="6237" w:type="dxa"/>
          </w:tcPr>
          <w:p w14:paraId="57729681" w14:textId="77777777" w:rsidR="008256F0" w:rsidRPr="008B6BC5" w:rsidRDefault="008256F0" w:rsidP="008256F0">
            <w:pPr>
              <w:pStyle w:val="NoSpacing"/>
              <w:rPr>
                <w:rFonts w:cs="Times New Roman"/>
                <w:sz w:val="20"/>
                <w:szCs w:val="20"/>
                <w:lang w:val="en-US"/>
              </w:rPr>
            </w:pPr>
            <w:r w:rsidRPr="008B6BC5">
              <w:rPr>
                <w:rFonts w:cs="Times New Roman"/>
                <w:sz w:val="20"/>
                <w:szCs w:val="20"/>
                <w:lang w:val="en-US"/>
              </w:rPr>
              <w:t>A complementary meta-analysis including cohort and mirror-image designs suggested that LAIs reduced all-cause hospitalization and relapse by roughly 20–30% relative to oral antipsychotics in routine settings where non-adherence is common (Kishimoto et al., 2021).</w:t>
            </w:r>
          </w:p>
          <w:p w14:paraId="24820D88" w14:textId="77777777" w:rsidR="008256F0" w:rsidRPr="008B6BC5" w:rsidRDefault="008256F0" w:rsidP="008256F0">
            <w:pPr>
              <w:pStyle w:val="NoSpacing"/>
              <w:rPr>
                <w:rFonts w:cs="Times New Roman"/>
                <w:sz w:val="20"/>
                <w:szCs w:val="20"/>
                <w:lang w:val="en-US"/>
              </w:rPr>
            </w:pPr>
          </w:p>
        </w:tc>
        <w:tc>
          <w:tcPr>
            <w:tcW w:w="4203" w:type="dxa"/>
          </w:tcPr>
          <w:p w14:paraId="506A7BD7" w14:textId="2C10C6E9" w:rsidR="008256F0" w:rsidRPr="008B6BC5" w:rsidRDefault="008256F0" w:rsidP="008256F0">
            <w:pPr>
              <w:pStyle w:val="NoSpacing"/>
              <w:rPr>
                <w:rFonts w:cs="Times New Roman"/>
                <w:sz w:val="20"/>
                <w:szCs w:val="20"/>
                <w:lang w:val="en-US"/>
              </w:rPr>
            </w:pPr>
            <w:r w:rsidRPr="008B6BC5">
              <w:rPr>
                <w:rFonts w:cs="Times New Roman"/>
                <w:sz w:val="20"/>
                <w:szCs w:val="20"/>
                <w:lang w:val="en-US"/>
              </w:rPr>
              <w:t>https://doi.org/10.1016/ S2215-0366(21)00039-0</w:t>
            </w:r>
          </w:p>
        </w:tc>
        <w:tc>
          <w:tcPr>
            <w:tcW w:w="690" w:type="dxa"/>
          </w:tcPr>
          <w:p w14:paraId="201DB64F" w14:textId="4E0B3DFC" w:rsidR="008256F0" w:rsidRPr="008B6BC5" w:rsidRDefault="00E82F82" w:rsidP="008256F0">
            <w:pPr>
              <w:pStyle w:val="NoSpacing"/>
              <w:rPr>
                <w:rFonts w:cs="Times New Roman"/>
                <w:sz w:val="20"/>
                <w:szCs w:val="20"/>
                <w:lang w:val="en-US"/>
              </w:rPr>
            </w:pPr>
            <w:r w:rsidRPr="008B6BC5">
              <w:rPr>
                <w:rFonts w:cs="Times New Roman"/>
                <w:sz w:val="20"/>
                <w:szCs w:val="20"/>
                <w:lang w:val="en-US"/>
              </w:rPr>
              <w:t>3</w:t>
            </w:r>
          </w:p>
        </w:tc>
        <w:tc>
          <w:tcPr>
            <w:tcW w:w="3896" w:type="dxa"/>
          </w:tcPr>
          <w:p w14:paraId="2EE7A7F4" w14:textId="36411A49" w:rsidR="008256F0" w:rsidRPr="008B6BC5" w:rsidRDefault="00E82F82" w:rsidP="008256F0">
            <w:pPr>
              <w:pStyle w:val="NoSpacing"/>
              <w:rPr>
                <w:rFonts w:cs="Times New Roman"/>
                <w:sz w:val="20"/>
                <w:szCs w:val="20"/>
                <w:lang w:val="en-US"/>
              </w:rPr>
            </w:pPr>
            <w:r w:rsidRPr="008B6BC5">
              <w:rPr>
                <w:rFonts w:cs="Times New Roman"/>
                <w:sz w:val="20"/>
                <w:szCs w:val="20"/>
                <w:lang w:val="en-US"/>
              </w:rPr>
              <w:t xml:space="preserve">The reported ranges are incorrect and are estimated to be 8% </w:t>
            </w:r>
            <w:r w:rsidR="00A8548D" w:rsidRPr="008B6BC5">
              <w:rPr>
                <w:rFonts w:cs="Times New Roman"/>
                <w:sz w:val="20"/>
                <w:szCs w:val="20"/>
                <w:lang w:val="en-US"/>
              </w:rPr>
              <w:t xml:space="preserve">to 56%. </w:t>
            </w:r>
          </w:p>
        </w:tc>
      </w:tr>
      <w:tr w:rsidR="008256F0" w:rsidRPr="008B6BC5" w14:paraId="764BCA2B" w14:textId="77777777" w:rsidTr="00BD3144">
        <w:tc>
          <w:tcPr>
            <w:tcW w:w="1418" w:type="dxa"/>
          </w:tcPr>
          <w:p w14:paraId="21F70D6C" w14:textId="6636E5B3" w:rsidR="008256F0" w:rsidRPr="008B6BC5" w:rsidRDefault="00BD3144" w:rsidP="008256F0">
            <w:pPr>
              <w:pStyle w:val="NoSpacing"/>
              <w:rPr>
                <w:rFonts w:cs="Times New Roman"/>
                <w:sz w:val="20"/>
                <w:szCs w:val="20"/>
                <w:lang w:val="en-US"/>
              </w:rPr>
            </w:pPr>
            <w:r w:rsidRPr="008B6BC5">
              <w:rPr>
                <w:rFonts w:cs="Times New Roman"/>
                <w:sz w:val="20"/>
                <w:szCs w:val="20"/>
                <w:lang w:val="en-US"/>
              </w:rPr>
              <w:t>11</w:t>
            </w:r>
          </w:p>
        </w:tc>
        <w:tc>
          <w:tcPr>
            <w:tcW w:w="6237" w:type="dxa"/>
          </w:tcPr>
          <w:p w14:paraId="26670E81" w14:textId="77777777" w:rsidR="008256F0" w:rsidRPr="008B6BC5" w:rsidRDefault="008256F0" w:rsidP="008256F0">
            <w:pPr>
              <w:pStyle w:val="NoSpacing"/>
              <w:rPr>
                <w:rFonts w:cs="Times New Roman"/>
                <w:sz w:val="20"/>
                <w:szCs w:val="20"/>
                <w:lang w:val="en-US"/>
              </w:rPr>
            </w:pPr>
            <w:r w:rsidRPr="008B6BC5">
              <w:rPr>
                <w:rFonts w:cs="Times New Roman"/>
                <w:sz w:val="20"/>
                <w:szCs w:val="20"/>
                <w:lang w:val="en-US"/>
              </w:rPr>
              <w:t>An individual patient data meta-analysis found that clozapine yielded higher response rates than other second-generation antipsychotics (odds ratios about 1.4–1.7) and greater mean improvements in symptom scores, though with more metabolic and hematological adverse events (Schneider-</w:t>
            </w:r>
            <w:proofErr w:type="spellStart"/>
            <w:r w:rsidRPr="008B6BC5">
              <w:rPr>
                <w:rFonts w:cs="Times New Roman"/>
                <w:sz w:val="20"/>
                <w:szCs w:val="20"/>
                <w:lang w:val="en-US"/>
              </w:rPr>
              <w:t>Thoma</w:t>
            </w:r>
            <w:proofErr w:type="spellEnd"/>
            <w:r w:rsidRPr="008B6BC5">
              <w:rPr>
                <w:rFonts w:cs="Times New Roman"/>
                <w:sz w:val="20"/>
                <w:szCs w:val="20"/>
                <w:lang w:val="en-US"/>
              </w:rPr>
              <w:t xml:space="preserve"> et al., 2025). </w:t>
            </w:r>
          </w:p>
          <w:p w14:paraId="1DCAB616" w14:textId="77777777" w:rsidR="008256F0" w:rsidRPr="008B6BC5" w:rsidRDefault="008256F0" w:rsidP="008256F0">
            <w:pPr>
              <w:pStyle w:val="NoSpacing"/>
              <w:rPr>
                <w:rFonts w:cs="Times New Roman"/>
                <w:sz w:val="20"/>
                <w:szCs w:val="20"/>
                <w:lang w:val="en-US"/>
              </w:rPr>
            </w:pPr>
          </w:p>
        </w:tc>
        <w:tc>
          <w:tcPr>
            <w:tcW w:w="4203" w:type="dxa"/>
          </w:tcPr>
          <w:p w14:paraId="04B83945" w14:textId="31848996" w:rsidR="008256F0" w:rsidRPr="008B6BC5" w:rsidRDefault="008256F0" w:rsidP="008256F0">
            <w:pPr>
              <w:pStyle w:val="NoSpacing"/>
              <w:rPr>
                <w:rFonts w:cs="Times New Roman"/>
                <w:sz w:val="20"/>
                <w:szCs w:val="20"/>
                <w:lang w:val="en-US"/>
              </w:rPr>
            </w:pPr>
            <w:r w:rsidRPr="008B6BC5">
              <w:rPr>
                <w:rFonts w:cs="Times New Roman"/>
                <w:sz w:val="20"/>
                <w:szCs w:val="20"/>
                <w:lang w:val="en-US"/>
              </w:rPr>
              <w:t>https://doi.org/10.1016/ S2215-0366(25)00001-X</w:t>
            </w:r>
          </w:p>
        </w:tc>
        <w:tc>
          <w:tcPr>
            <w:tcW w:w="690" w:type="dxa"/>
          </w:tcPr>
          <w:p w14:paraId="2A79C64A" w14:textId="7A9A20C8" w:rsidR="008256F0" w:rsidRPr="008B6BC5" w:rsidRDefault="00A8548D" w:rsidP="008256F0">
            <w:pPr>
              <w:pStyle w:val="NoSpacing"/>
              <w:rPr>
                <w:rFonts w:cs="Times New Roman"/>
                <w:sz w:val="20"/>
                <w:szCs w:val="20"/>
                <w:lang w:val="en-US"/>
              </w:rPr>
            </w:pPr>
            <w:r w:rsidRPr="008B6BC5">
              <w:rPr>
                <w:rFonts w:cs="Times New Roman"/>
                <w:sz w:val="20"/>
                <w:szCs w:val="20"/>
                <w:lang w:val="en-US"/>
              </w:rPr>
              <w:t>1</w:t>
            </w:r>
          </w:p>
        </w:tc>
        <w:tc>
          <w:tcPr>
            <w:tcW w:w="3896" w:type="dxa"/>
          </w:tcPr>
          <w:p w14:paraId="1CB8BD88" w14:textId="72F04C4C" w:rsidR="008256F0" w:rsidRPr="008B6BC5" w:rsidRDefault="00A8548D" w:rsidP="008256F0">
            <w:pPr>
              <w:pStyle w:val="NoSpacing"/>
              <w:rPr>
                <w:rFonts w:cs="Times New Roman"/>
                <w:sz w:val="20"/>
                <w:szCs w:val="20"/>
                <w:lang w:val="en-US"/>
              </w:rPr>
            </w:pPr>
            <w:r w:rsidRPr="008B6BC5">
              <w:rPr>
                <w:rFonts w:cs="Times New Roman"/>
                <w:sz w:val="20"/>
                <w:szCs w:val="20"/>
                <w:lang w:val="en-US"/>
              </w:rPr>
              <w:t xml:space="preserve">Clozapine was significantly less (not more) effective than </w:t>
            </w:r>
            <w:r w:rsidR="0025190E" w:rsidRPr="008B6BC5">
              <w:rPr>
                <w:rFonts w:cs="Times New Roman"/>
                <w:sz w:val="20"/>
                <w:szCs w:val="20"/>
                <w:lang w:val="en-US"/>
              </w:rPr>
              <w:t xml:space="preserve">second generation antipsychotics. </w:t>
            </w:r>
          </w:p>
        </w:tc>
      </w:tr>
      <w:tr w:rsidR="0025190E" w:rsidRPr="008B6BC5" w14:paraId="052FCF56" w14:textId="77777777" w:rsidTr="00BD3144">
        <w:tc>
          <w:tcPr>
            <w:tcW w:w="1418" w:type="dxa"/>
          </w:tcPr>
          <w:p w14:paraId="40A09389" w14:textId="021EBEBC" w:rsidR="0025190E" w:rsidRPr="008B6BC5" w:rsidRDefault="00BD3144" w:rsidP="0025190E">
            <w:pPr>
              <w:pStyle w:val="NoSpacing"/>
              <w:rPr>
                <w:rFonts w:cs="Times New Roman"/>
                <w:sz w:val="20"/>
                <w:szCs w:val="20"/>
                <w:lang w:val="en-US"/>
              </w:rPr>
            </w:pPr>
            <w:r w:rsidRPr="008B6BC5">
              <w:rPr>
                <w:rFonts w:cs="Times New Roman"/>
                <w:sz w:val="20"/>
                <w:szCs w:val="20"/>
                <w:lang w:val="en-US"/>
              </w:rPr>
              <w:t>12</w:t>
            </w:r>
          </w:p>
        </w:tc>
        <w:tc>
          <w:tcPr>
            <w:tcW w:w="6237" w:type="dxa"/>
          </w:tcPr>
          <w:p w14:paraId="6EE6E456" w14:textId="77777777" w:rsidR="0025190E" w:rsidRPr="008B6BC5" w:rsidRDefault="0025190E" w:rsidP="0025190E">
            <w:pPr>
              <w:pStyle w:val="NoSpacing"/>
              <w:rPr>
                <w:rFonts w:cs="Times New Roman"/>
                <w:sz w:val="20"/>
                <w:szCs w:val="20"/>
                <w:lang w:val="en-US"/>
              </w:rPr>
            </w:pPr>
            <w:r w:rsidRPr="008B6BC5">
              <w:rPr>
                <w:rFonts w:cs="Times New Roman"/>
                <w:sz w:val="20"/>
                <w:szCs w:val="20"/>
                <w:lang w:val="en-US"/>
              </w:rPr>
              <w:t>Earlier network meta-analytic work similarly ranked clozapine and a subset of second-generation agents as more efficacious than most comparators for both positive and negative symptoms (Huhn et al., 2019).</w:t>
            </w:r>
          </w:p>
          <w:p w14:paraId="605C3054" w14:textId="77777777" w:rsidR="0025190E" w:rsidRPr="008B6BC5" w:rsidRDefault="0025190E" w:rsidP="0025190E">
            <w:pPr>
              <w:pStyle w:val="NoSpacing"/>
              <w:rPr>
                <w:rFonts w:cs="Times New Roman"/>
                <w:sz w:val="20"/>
                <w:szCs w:val="20"/>
                <w:lang w:val="en-US"/>
              </w:rPr>
            </w:pPr>
          </w:p>
        </w:tc>
        <w:tc>
          <w:tcPr>
            <w:tcW w:w="4203" w:type="dxa"/>
          </w:tcPr>
          <w:p w14:paraId="4BB6E9F2" w14:textId="5E72ACA9" w:rsidR="0025190E" w:rsidRPr="008B6BC5" w:rsidRDefault="0025190E" w:rsidP="0025190E">
            <w:pPr>
              <w:pStyle w:val="NoSpacing"/>
              <w:rPr>
                <w:rFonts w:cs="Times New Roman"/>
                <w:sz w:val="20"/>
                <w:szCs w:val="20"/>
                <w:lang w:val="en-US"/>
              </w:rPr>
            </w:pPr>
            <w:r w:rsidRPr="008B6BC5">
              <w:rPr>
                <w:rFonts w:cs="Times New Roman"/>
                <w:sz w:val="20"/>
                <w:szCs w:val="20"/>
                <w:lang w:val="en-US"/>
              </w:rPr>
              <w:t>http://dx.doi.org/10.1016/ S0140-6736(19)31135-3</w:t>
            </w:r>
          </w:p>
        </w:tc>
        <w:tc>
          <w:tcPr>
            <w:tcW w:w="690" w:type="dxa"/>
          </w:tcPr>
          <w:p w14:paraId="4339C42D" w14:textId="347C2EAE" w:rsidR="0025190E" w:rsidRPr="008B6BC5" w:rsidRDefault="0025190E" w:rsidP="0025190E">
            <w:pPr>
              <w:pStyle w:val="NoSpacing"/>
              <w:rPr>
                <w:rFonts w:cs="Times New Roman"/>
                <w:sz w:val="20"/>
                <w:szCs w:val="20"/>
                <w:lang w:val="en-US"/>
              </w:rPr>
            </w:pPr>
            <w:r w:rsidRPr="008B6BC5">
              <w:rPr>
                <w:rFonts w:cs="Times New Roman"/>
                <w:sz w:val="20"/>
                <w:szCs w:val="20"/>
                <w:lang w:val="en-US"/>
              </w:rPr>
              <w:t>4</w:t>
            </w:r>
          </w:p>
        </w:tc>
        <w:tc>
          <w:tcPr>
            <w:tcW w:w="3896" w:type="dxa"/>
          </w:tcPr>
          <w:p w14:paraId="1A27D555" w14:textId="1B179C75" w:rsidR="0025190E" w:rsidRPr="008B6BC5" w:rsidRDefault="0025190E" w:rsidP="0025190E">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25190E" w:rsidRPr="008B6BC5" w14:paraId="4598FA1D" w14:textId="77777777" w:rsidTr="00BD3144">
        <w:tc>
          <w:tcPr>
            <w:tcW w:w="1418" w:type="dxa"/>
          </w:tcPr>
          <w:p w14:paraId="1631C53A" w14:textId="280DF40A" w:rsidR="0025190E" w:rsidRPr="008B6BC5" w:rsidRDefault="00BD3144" w:rsidP="0025190E">
            <w:pPr>
              <w:pStyle w:val="NoSpacing"/>
              <w:rPr>
                <w:rFonts w:cs="Times New Roman"/>
                <w:sz w:val="20"/>
                <w:szCs w:val="20"/>
                <w:lang w:val="en-US"/>
              </w:rPr>
            </w:pPr>
            <w:r w:rsidRPr="008B6BC5">
              <w:rPr>
                <w:rFonts w:cs="Times New Roman"/>
                <w:sz w:val="20"/>
                <w:szCs w:val="20"/>
                <w:lang w:val="en-US"/>
              </w:rPr>
              <w:t>13</w:t>
            </w:r>
          </w:p>
        </w:tc>
        <w:tc>
          <w:tcPr>
            <w:tcW w:w="6237" w:type="dxa"/>
          </w:tcPr>
          <w:p w14:paraId="7C0A22D3" w14:textId="77777777" w:rsidR="0025190E" w:rsidRPr="008B6BC5" w:rsidRDefault="0025190E" w:rsidP="0025190E">
            <w:pPr>
              <w:pStyle w:val="NoSpacing"/>
              <w:rPr>
                <w:rFonts w:cs="Times New Roman"/>
                <w:sz w:val="20"/>
                <w:szCs w:val="20"/>
                <w:lang w:val="en-US"/>
              </w:rPr>
            </w:pPr>
            <w:r w:rsidRPr="008B6BC5">
              <w:rPr>
                <w:rFonts w:cs="Times New Roman"/>
                <w:sz w:val="20"/>
                <w:szCs w:val="20"/>
                <w:lang w:val="en-US"/>
              </w:rPr>
              <w:t xml:space="preserve">Correll et al. (2017) meta-analyzed 42 pharmacologic co-treatment strategies added to antipsychotics across 381 RCTs. Several augmentations, including antidepressants and lamotrigine, produced small but significant additional reductions in total symptom severity (Hedges’ g about 0.20–0.30), whereas benzodiazepine or valproate augmentation rarely improved outcomes (Correll et al., 2017). </w:t>
            </w:r>
          </w:p>
          <w:p w14:paraId="449FF4E7" w14:textId="77777777" w:rsidR="0025190E" w:rsidRPr="008B6BC5" w:rsidRDefault="0025190E" w:rsidP="0025190E">
            <w:pPr>
              <w:pStyle w:val="NoSpacing"/>
              <w:rPr>
                <w:rFonts w:cs="Times New Roman"/>
                <w:sz w:val="20"/>
                <w:szCs w:val="20"/>
                <w:lang w:val="en-US"/>
              </w:rPr>
            </w:pPr>
          </w:p>
        </w:tc>
        <w:tc>
          <w:tcPr>
            <w:tcW w:w="4203" w:type="dxa"/>
          </w:tcPr>
          <w:p w14:paraId="0C708BC8" w14:textId="7FFB1573" w:rsidR="0025190E" w:rsidRPr="008B6BC5" w:rsidRDefault="0025190E" w:rsidP="0025190E">
            <w:pPr>
              <w:pStyle w:val="NoSpacing"/>
              <w:rPr>
                <w:rFonts w:cs="Times New Roman"/>
                <w:sz w:val="20"/>
                <w:szCs w:val="20"/>
                <w:lang w:val="en-US"/>
              </w:rPr>
            </w:pPr>
            <w:r w:rsidRPr="008B6BC5">
              <w:rPr>
                <w:rFonts w:cs="Times New Roman"/>
                <w:sz w:val="20"/>
                <w:szCs w:val="20"/>
                <w:lang w:val="en-US"/>
              </w:rPr>
              <w:t>doi:10.1001/jamapsychiatry.2017.0624</w:t>
            </w:r>
          </w:p>
        </w:tc>
        <w:tc>
          <w:tcPr>
            <w:tcW w:w="690" w:type="dxa"/>
          </w:tcPr>
          <w:p w14:paraId="54AF25F6" w14:textId="493F71E3" w:rsidR="0025190E" w:rsidRPr="008B6BC5" w:rsidRDefault="000F4019" w:rsidP="0025190E">
            <w:pPr>
              <w:pStyle w:val="NoSpacing"/>
              <w:rPr>
                <w:rFonts w:cs="Times New Roman"/>
                <w:sz w:val="20"/>
                <w:szCs w:val="20"/>
                <w:lang w:val="en-US"/>
              </w:rPr>
            </w:pPr>
            <w:r w:rsidRPr="008B6BC5">
              <w:rPr>
                <w:rFonts w:cs="Times New Roman"/>
                <w:sz w:val="20"/>
                <w:szCs w:val="20"/>
                <w:lang w:val="en-US"/>
              </w:rPr>
              <w:t>3</w:t>
            </w:r>
          </w:p>
        </w:tc>
        <w:tc>
          <w:tcPr>
            <w:tcW w:w="3896" w:type="dxa"/>
          </w:tcPr>
          <w:p w14:paraId="5E5031F2" w14:textId="680C2154" w:rsidR="0025190E" w:rsidRPr="008B6BC5" w:rsidRDefault="000F4019" w:rsidP="0025190E">
            <w:pPr>
              <w:pStyle w:val="NoSpacing"/>
              <w:rPr>
                <w:rFonts w:cs="Times New Roman"/>
                <w:sz w:val="20"/>
                <w:szCs w:val="20"/>
                <w:lang w:val="en-US"/>
              </w:rPr>
            </w:pPr>
            <w:r w:rsidRPr="008B6BC5">
              <w:rPr>
                <w:rFonts w:cs="Times New Roman"/>
                <w:sz w:val="20"/>
                <w:szCs w:val="20"/>
                <w:lang w:val="en-US"/>
              </w:rPr>
              <w:t xml:space="preserve">Some effect sizes were &gt; 0.70. </w:t>
            </w:r>
          </w:p>
        </w:tc>
      </w:tr>
      <w:tr w:rsidR="0025190E" w:rsidRPr="008B6BC5" w14:paraId="4D381B2D" w14:textId="77777777" w:rsidTr="00BD3144">
        <w:tc>
          <w:tcPr>
            <w:tcW w:w="1418" w:type="dxa"/>
          </w:tcPr>
          <w:p w14:paraId="111A54DC" w14:textId="5779981E" w:rsidR="0025190E" w:rsidRPr="008B6BC5" w:rsidRDefault="00BD3144" w:rsidP="0025190E">
            <w:pPr>
              <w:pStyle w:val="NoSpacing"/>
              <w:rPr>
                <w:rFonts w:cs="Times New Roman"/>
                <w:sz w:val="20"/>
                <w:szCs w:val="20"/>
                <w:lang w:val="en-US"/>
              </w:rPr>
            </w:pPr>
            <w:r w:rsidRPr="008B6BC5">
              <w:rPr>
                <w:rFonts w:cs="Times New Roman"/>
                <w:sz w:val="20"/>
                <w:szCs w:val="20"/>
                <w:lang w:val="en-US"/>
              </w:rPr>
              <w:t>14</w:t>
            </w:r>
          </w:p>
        </w:tc>
        <w:tc>
          <w:tcPr>
            <w:tcW w:w="6237" w:type="dxa"/>
          </w:tcPr>
          <w:p w14:paraId="10517DC7" w14:textId="77777777" w:rsidR="0025190E" w:rsidRPr="008B6BC5" w:rsidRDefault="0025190E" w:rsidP="0025190E">
            <w:pPr>
              <w:pStyle w:val="NoSpacing"/>
              <w:rPr>
                <w:rFonts w:cs="Times New Roman"/>
                <w:sz w:val="20"/>
                <w:szCs w:val="20"/>
                <w:lang w:val="en-US"/>
              </w:rPr>
            </w:pPr>
            <w:r w:rsidRPr="008B6BC5">
              <w:rPr>
                <w:rFonts w:cs="Times New Roman"/>
                <w:sz w:val="20"/>
                <w:szCs w:val="20"/>
                <w:lang w:val="en-US"/>
              </w:rPr>
              <w:t xml:space="preserve">A meta-analysis of CBT for psychosis showed that CBT plus antipsychotic-based usual care improved positive symptoms with an SMD of 0.37 and yielded similar-sized effects for negative and overall symptoms versus usual care alone (Wykes et al., 2008). </w:t>
            </w:r>
          </w:p>
          <w:p w14:paraId="3A362E6D" w14:textId="77777777" w:rsidR="0025190E" w:rsidRPr="008B6BC5" w:rsidRDefault="0025190E" w:rsidP="0025190E">
            <w:pPr>
              <w:pStyle w:val="NoSpacing"/>
              <w:rPr>
                <w:rFonts w:cs="Times New Roman"/>
                <w:sz w:val="20"/>
                <w:szCs w:val="20"/>
                <w:lang w:val="en-US"/>
              </w:rPr>
            </w:pPr>
          </w:p>
        </w:tc>
        <w:tc>
          <w:tcPr>
            <w:tcW w:w="4203" w:type="dxa"/>
          </w:tcPr>
          <w:p w14:paraId="4B9FCF68" w14:textId="43F1D815" w:rsidR="0025190E" w:rsidRPr="008B6BC5" w:rsidRDefault="0025190E" w:rsidP="0025190E">
            <w:pPr>
              <w:pStyle w:val="NoSpacing"/>
              <w:rPr>
                <w:rFonts w:cs="Times New Roman"/>
                <w:sz w:val="20"/>
                <w:szCs w:val="20"/>
                <w:lang w:val="en-US"/>
              </w:rPr>
            </w:pPr>
            <w:r w:rsidRPr="008B6BC5">
              <w:rPr>
                <w:rFonts w:cs="Times New Roman"/>
                <w:sz w:val="20"/>
                <w:szCs w:val="20"/>
                <w:lang w:val="en-US"/>
              </w:rPr>
              <w:lastRenderedPageBreak/>
              <w:t>doi:10.1093/</w:t>
            </w:r>
            <w:proofErr w:type="spellStart"/>
            <w:r w:rsidRPr="008B6BC5">
              <w:rPr>
                <w:rFonts w:cs="Times New Roman"/>
                <w:sz w:val="20"/>
                <w:szCs w:val="20"/>
                <w:lang w:val="en-US"/>
              </w:rPr>
              <w:t>schbul</w:t>
            </w:r>
            <w:proofErr w:type="spellEnd"/>
            <w:r w:rsidRPr="008B6BC5">
              <w:rPr>
                <w:rFonts w:cs="Times New Roman"/>
                <w:sz w:val="20"/>
                <w:szCs w:val="20"/>
                <w:lang w:val="en-US"/>
              </w:rPr>
              <w:t>/sbm114</w:t>
            </w:r>
          </w:p>
        </w:tc>
        <w:tc>
          <w:tcPr>
            <w:tcW w:w="690" w:type="dxa"/>
          </w:tcPr>
          <w:p w14:paraId="4CE4B161" w14:textId="29B06504" w:rsidR="0025190E" w:rsidRPr="008B6BC5" w:rsidRDefault="005F3313" w:rsidP="0025190E">
            <w:pPr>
              <w:pStyle w:val="NoSpacing"/>
              <w:rPr>
                <w:rFonts w:cs="Times New Roman"/>
                <w:sz w:val="20"/>
                <w:szCs w:val="20"/>
                <w:lang w:val="en-US"/>
              </w:rPr>
            </w:pPr>
            <w:r w:rsidRPr="008B6BC5">
              <w:rPr>
                <w:rFonts w:cs="Times New Roman"/>
                <w:sz w:val="20"/>
                <w:szCs w:val="20"/>
                <w:lang w:val="en-US"/>
              </w:rPr>
              <w:t>3</w:t>
            </w:r>
          </w:p>
        </w:tc>
        <w:tc>
          <w:tcPr>
            <w:tcW w:w="3896" w:type="dxa"/>
          </w:tcPr>
          <w:p w14:paraId="7C75C5F4" w14:textId="047CA559" w:rsidR="0025190E" w:rsidRPr="008B6BC5" w:rsidRDefault="005F3313" w:rsidP="0025190E">
            <w:pPr>
              <w:pStyle w:val="NoSpacing"/>
              <w:rPr>
                <w:rFonts w:cs="Times New Roman"/>
                <w:sz w:val="20"/>
                <w:szCs w:val="20"/>
                <w:lang w:val="en-US"/>
              </w:rPr>
            </w:pPr>
            <w:r w:rsidRPr="008B6BC5">
              <w:rPr>
                <w:rFonts w:cs="Times New Roman"/>
                <w:sz w:val="20"/>
                <w:szCs w:val="20"/>
                <w:lang w:val="en-US"/>
              </w:rPr>
              <w:t xml:space="preserve">The effect size for this comparison was 0.399. </w:t>
            </w:r>
          </w:p>
        </w:tc>
      </w:tr>
      <w:tr w:rsidR="0025190E" w:rsidRPr="008B6BC5" w14:paraId="1572981F" w14:textId="77777777" w:rsidTr="00BD3144">
        <w:tc>
          <w:tcPr>
            <w:tcW w:w="1418" w:type="dxa"/>
          </w:tcPr>
          <w:p w14:paraId="5439EE8D" w14:textId="618699B0" w:rsidR="0025190E" w:rsidRPr="008B6BC5" w:rsidRDefault="00BD3144" w:rsidP="0025190E">
            <w:pPr>
              <w:pStyle w:val="NoSpacing"/>
              <w:rPr>
                <w:rFonts w:cs="Times New Roman"/>
                <w:sz w:val="20"/>
                <w:szCs w:val="20"/>
                <w:lang w:val="en-US"/>
              </w:rPr>
            </w:pPr>
            <w:r w:rsidRPr="008B6BC5">
              <w:rPr>
                <w:rFonts w:cs="Times New Roman"/>
                <w:sz w:val="20"/>
                <w:szCs w:val="20"/>
                <w:lang w:val="en-US"/>
              </w:rPr>
              <w:t>15</w:t>
            </w:r>
          </w:p>
        </w:tc>
        <w:tc>
          <w:tcPr>
            <w:tcW w:w="6237" w:type="dxa"/>
          </w:tcPr>
          <w:p w14:paraId="4DC7270B" w14:textId="77777777" w:rsidR="0025190E" w:rsidRPr="008B6BC5" w:rsidRDefault="0025190E" w:rsidP="0025190E">
            <w:pPr>
              <w:pStyle w:val="NoSpacing"/>
              <w:rPr>
                <w:rFonts w:cs="Times New Roman"/>
                <w:sz w:val="20"/>
                <w:szCs w:val="20"/>
                <w:lang w:val="en-US"/>
              </w:rPr>
            </w:pPr>
            <w:r w:rsidRPr="008B6BC5">
              <w:rPr>
                <w:rFonts w:cs="Times New Roman"/>
                <w:sz w:val="20"/>
                <w:szCs w:val="20"/>
                <w:lang w:val="en-US"/>
              </w:rPr>
              <w:t>Family interventions delivered alongside antipsychotics likewise reduced relapse and rehospitalization relative to medication alone (Pharoah et al., 2010).</w:t>
            </w:r>
          </w:p>
          <w:p w14:paraId="4D8180CC" w14:textId="77777777" w:rsidR="0025190E" w:rsidRPr="008B6BC5" w:rsidRDefault="0025190E" w:rsidP="0025190E">
            <w:pPr>
              <w:pStyle w:val="NoSpacing"/>
              <w:rPr>
                <w:rFonts w:cs="Times New Roman"/>
                <w:sz w:val="20"/>
                <w:szCs w:val="20"/>
                <w:lang w:val="en-US"/>
              </w:rPr>
            </w:pPr>
          </w:p>
        </w:tc>
        <w:tc>
          <w:tcPr>
            <w:tcW w:w="4203" w:type="dxa"/>
          </w:tcPr>
          <w:p w14:paraId="7C36E953" w14:textId="4AB2C751" w:rsidR="0025190E" w:rsidRPr="008B6BC5" w:rsidRDefault="0025190E" w:rsidP="0025190E">
            <w:pPr>
              <w:pStyle w:val="NoSpacing"/>
              <w:rPr>
                <w:rFonts w:cs="Times New Roman"/>
                <w:sz w:val="20"/>
                <w:szCs w:val="20"/>
                <w:lang w:val="en-US"/>
              </w:rPr>
            </w:pPr>
            <w:r w:rsidRPr="008B6BC5">
              <w:rPr>
                <w:rFonts w:cs="Times New Roman"/>
                <w:sz w:val="20"/>
                <w:szCs w:val="20"/>
                <w:lang w:val="en-US"/>
              </w:rPr>
              <w:t>DOI: 10.1002/14651858.CD000088.pub3</w:t>
            </w:r>
          </w:p>
        </w:tc>
        <w:tc>
          <w:tcPr>
            <w:tcW w:w="690" w:type="dxa"/>
          </w:tcPr>
          <w:p w14:paraId="61A1FF79" w14:textId="3CDFFC9B" w:rsidR="0025190E" w:rsidRPr="008B6BC5" w:rsidRDefault="005F3313" w:rsidP="0025190E">
            <w:pPr>
              <w:pStyle w:val="NoSpacing"/>
              <w:rPr>
                <w:rFonts w:cs="Times New Roman"/>
                <w:sz w:val="20"/>
                <w:szCs w:val="20"/>
                <w:lang w:val="en-US"/>
              </w:rPr>
            </w:pPr>
            <w:r w:rsidRPr="008B6BC5">
              <w:rPr>
                <w:rFonts w:cs="Times New Roman"/>
                <w:sz w:val="20"/>
                <w:szCs w:val="20"/>
                <w:lang w:val="en-US"/>
              </w:rPr>
              <w:t>3</w:t>
            </w:r>
          </w:p>
        </w:tc>
        <w:tc>
          <w:tcPr>
            <w:tcW w:w="3896" w:type="dxa"/>
          </w:tcPr>
          <w:p w14:paraId="1ED2BB92" w14:textId="0BAE65FB" w:rsidR="0025190E" w:rsidRPr="008B6BC5" w:rsidRDefault="001A775C" w:rsidP="0025190E">
            <w:pPr>
              <w:pStyle w:val="NoSpacing"/>
              <w:rPr>
                <w:rFonts w:cs="Times New Roman"/>
                <w:sz w:val="20"/>
                <w:szCs w:val="20"/>
                <w:lang w:val="en-US"/>
              </w:rPr>
            </w:pPr>
            <w:r w:rsidRPr="008B6BC5">
              <w:rPr>
                <w:rFonts w:cs="Times New Roman"/>
                <w:sz w:val="20"/>
                <w:szCs w:val="20"/>
                <w:lang w:val="en-US"/>
              </w:rPr>
              <w:t>Relapse was reduced at 3 month follow-up</w:t>
            </w:r>
            <w:r w:rsidR="00573675" w:rsidRPr="008B6BC5">
              <w:rPr>
                <w:rFonts w:cs="Times New Roman"/>
                <w:sz w:val="20"/>
                <w:szCs w:val="20"/>
                <w:lang w:val="en-US"/>
              </w:rPr>
              <w:t xml:space="preserve"> but not at post-test.</w:t>
            </w:r>
            <w:r w:rsidR="00635F4E" w:rsidRPr="008B6BC5">
              <w:rPr>
                <w:rFonts w:cs="Times New Roman"/>
                <w:sz w:val="20"/>
                <w:szCs w:val="20"/>
                <w:lang w:val="en-US"/>
              </w:rPr>
              <w:t xml:space="preserve"> Specifying this would </w:t>
            </w:r>
            <w:r w:rsidR="00F3106A" w:rsidRPr="008B6BC5">
              <w:rPr>
                <w:rFonts w:cs="Times New Roman"/>
                <w:sz w:val="20"/>
                <w:szCs w:val="20"/>
                <w:lang w:val="en-US"/>
              </w:rPr>
              <w:t>assume full points.</w:t>
            </w:r>
          </w:p>
        </w:tc>
      </w:tr>
      <w:tr w:rsidR="00573675" w:rsidRPr="008B6BC5" w14:paraId="24FA777A" w14:textId="77777777" w:rsidTr="00BD3144">
        <w:tc>
          <w:tcPr>
            <w:tcW w:w="1418" w:type="dxa"/>
          </w:tcPr>
          <w:p w14:paraId="18C00547" w14:textId="6874410F" w:rsidR="00573675" w:rsidRPr="008B6BC5" w:rsidRDefault="00BD3144" w:rsidP="00573675">
            <w:pPr>
              <w:pStyle w:val="NoSpacing"/>
              <w:rPr>
                <w:rFonts w:cs="Times New Roman"/>
                <w:sz w:val="20"/>
                <w:szCs w:val="20"/>
                <w:lang w:val="en-US"/>
              </w:rPr>
            </w:pPr>
            <w:r w:rsidRPr="008B6BC5">
              <w:rPr>
                <w:rFonts w:cs="Times New Roman"/>
                <w:sz w:val="20"/>
                <w:szCs w:val="20"/>
                <w:lang w:val="en-US"/>
              </w:rPr>
              <w:t>16</w:t>
            </w:r>
          </w:p>
        </w:tc>
        <w:tc>
          <w:tcPr>
            <w:tcW w:w="6237" w:type="dxa"/>
          </w:tcPr>
          <w:p w14:paraId="086657B8"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In a network meta-analysis of 100 acute RCTs (N = 25,952), Pillinger et al. (2020) compared metabolic outcomes for 18 antipsychotics and placebo. Mean weight gain versus placebo ranged from −0.23 kg for haloperidol to +3.01 kg for clozapine, with similar variability for BMI, lipids, and glucose; improvements in psychopathology correlated with increases in weight and lipids, highlighting a trade-off between efficacy and metabolic burden (Pillinger et al., 2020). </w:t>
            </w:r>
          </w:p>
          <w:p w14:paraId="56BFD2F0" w14:textId="77777777" w:rsidR="00573675" w:rsidRPr="008B6BC5" w:rsidRDefault="00573675" w:rsidP="00573675">
            <w:pPr>
              <w:pStyle w:val="NoSpacing"/>
              <w:rPr>
                <w:rFonts w:cs="Times New Roman"/>
                <w:sz w:val="20"/>
                <w:szCs w:val="20"/>
                <w:lang w:val="en-US"/>
              </w:rPr>
            </w:pPr>
          </w:p>
        </w:tc>
        <w:tc>
          <w:tcPr>
            <w:tcW w:w="4203" w:type="dxa"/>
          </w:tcPr>
          <w:p w14:paraId="180C13E9" w14:textId="2FA95EEB" w:rsidR="00573675" w:rsidRPr="008B6BC5" w:rsidRDefault="00573675" w:rsidP="00573675">
            <w:pPr>
              <w:pStyle w:val="NoSpacing"/>
              <w:rPr>
                <w:rFonts w:cs="Times New Roman"/>
                <w:sz w:val="20"/>
                <w:szCs w:val="20"/>
                <w:lang w:val="en-US"/>
              </w:rPr>
            </w:pPr>
            <w:r w:rsidRPr="008B6BC5">
              <w:rPr>
                <w:rFonts w:cs="Times New Roman"/>
                <w:sz w:val="20"/>
                <w:szCs w:val="20"/>
                <w:lang w:val="en-US"/>
              </w:rPr>
              <w:t>https://doi.org/10.1016/ S2215-0366(19)30416-X</w:t>
            </w:r>
          </w:p>
        </w:tc>
        <w:tc>
          <w:tcPr>
            <w:tcW w:w="690" w:type="dxa"/>
          </w:tcPr>
          <w:p w14:paraId="22649981" w14:textId="3E8D1136" w:rsidR="00573675" w:rsidRPr="008B6BC5" w:rsidRDefault="00573675" w:rsidP="00573675">
            <w:pPr>
              <w:pStyle w:val="NoSpacing"/>
              <w:rPr>
                <w:rFonts w:cs="Times New Roman"/>
                <w:sz w:val="20"/>
                <w:szCs w:val="20"/>
                <w:lang w:val="en-US"/>
              </w:rPr>
            </w:pPr>
            <w:r w:rsidRPr="008B6BC5">
              <w:rPr>
                <w:rFonts w:cs="Times New Roman"/>
                <w:sz w:val="20"/>
                <w:szCs w:val="20"/>
                <w:lang w:val="en-US"/>
              </w:rPr>
              <w:t>4</w:t>
            </w:r>
          </w:p>
        </w:tc>
        <w:tc>
          <w:tcPr>
            <w:tcW w:w="3896" w:type="dxa"/>
          </w:tcPr>
          <w:p w14:paraId="0861A4C3" w14:textId="44DA079A"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73675" w:rsidRPr="008B6BC5" w14:paraId="385BFE33" w14:textId="77777777" w:rsidTr="00BD3144">
        <w:tc>
          <w:tcPr>
            <w:tcW w:w="1418" w:type="dxa"/>
          </w:tcPr>
          <w:p w14:paraId="37C6445C" w14:textId="07B596B5" w:rsidR="00573675" w:rsidRPr="008B6BC5" w:rsidRDefault="00BD3144" w:rsidP="00573675">
            <w:pPr>
              <w:pStyle w:val="NoSpacing"/>
              <w:rPr>
                <w:rFonts w:cs="Times New Roman"/>
                <w:sz w:val="20"/>
                <w:szCs w:val="20"/>
                <w:lang w:val="en-US"/>
              </w:rPr>
            </w:pPr>
            <w:r w:rsidRPr="008B6BC5">
              <w:rPr>
                <w:rFonts w:cs="Times New Roman"/>
                <w:sz w:val="20"/>
                <w:szCs w:val="20"/>
                <w:lang w:val="en-US"/>
              </w:rPr>
              <w:t>17</w:t>
            </w:r>
          </w:p>
        </w:tc>
        <w:tc>
          <w:tcPr>
            <w:tcW w:w="6237" w:type="dxa"/>
          </w:tcPr>
          <w:p w14:paraId="60E1224A"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Extending to mid- and long-term treatment (median follow-up 45 weeks), </w:t>
            </w:r>
            <w:proofErr w:type="spellStart"/>
            <w:r w:rsidRPr="008B6BC5">
              <w:rPr>
                <w:rFonts w:cs="Times New Roman"/>
                <w:sz w:val="20"/>
                <w:szCs w:val="20"/>
                <w:lang w:val="en-US"/>
              </w:rPr>
              <w:t>Burschinski</w:t>
            </w:r>
            <w:proofErr w:type="spellEnd"/>
            <w:r w:rsidRPr="008B6BC5">
              <w:rPr>
                <w:rFonts w:cs="Times New Roman"/>
                <w:sz w:val="20"/>
                <w:szCs w:val="20"/>
                <w:lang w:val="en-US"/>
              </w:rPr>
              <w:t xml:space="preserve"> et al. (2023) analyzed 137 RCTs (N = 35,007) of 31 antipsychotics and found that chlorpromazine, clozapine, olanzapine, and zotepine produced 3.8–5.1 kg more weight gain than placebo and worsened fasting glucose and cholesterol, whereas several partial agonists and newer second-generation agents had comparatively benign metabolic profiles.</w:t>
            </w:r>
          </w:p>
          <w:p w14:paraId="4CE70D41" w14:textId="77777777" w:rsidR="00573675" w:rsidRPr="008B6BC5" w:rsidRDefault="00573675" w:rsidP="00573675">
            <w:pPr>
              <w:pStyle w:val="NoSpacing"/>
              <w:rPr>
                <w:rFonts w:cs="Times New Roman"/>
                <w:sz w:val="20"/>
                <w:szCs w:val="20"/>
                <w:lang w:val="en-US"/>
              </w:rPr>
            </w:pPr>
          </w:p>
        </w:tc>
        <w:tc>
          <w:tcPr>
            <w:tcW w:w="4203" w:type="dxa"/>
          </w:tcPr>
          <w:p w14:paraId="56F46249" w14:textId="047D75F3" w:rsidR="00573675" w:rsidRPr="008B6BC5" w:rsidRDefault="00573675" w:rsidP="00573675">
            <w:pPr>
              <w:pStyle w:val="NoSpacing"/>
              <w:rPr>
                <w:rFonts w:cs="Times New Roman"/>
                <w:sz w:val="20"/>
                <w:szCs w:val="20"/>
                <w:lang w:val="en-US"/>
              </w:rPr>
            </w:pPr>
            <w:r w:rsidRPr="008B6BC5">
              <w:rPr>
                <w:rFonts w:cs="Times New Roman"/>
                <w:sz w:val="20"/>
                <w:szCs w:val="20"/>
                <w:lang w:val="en-US"/>
              </w:rPr>
              <w:t>DOI:10.1002/wps.21036</w:t>
            </w:r>
          </w:p>
        </w:tc>
        <w:tc>
          <w:tcPr>
            <w:tcW w:w="690" w:type="dxa"/>
          </w:tcPr>
          <w:p w14:paraId="786B6508" w14:textId="009FF53E" w:rsidR="00573675" w:rsidRPr="008B6BC5" w:rsidRDefault="00573675" w:rsidP="00573675">
            <w:pPr>
              <w:pStyle w:val="NoSpacing"/>
              <w:rPr>
                <w:rFonts w:cs="Times New Roman"/>
                <w:sz w:val="20"/>
                <w:szCs w:val="20"/>
                <w:lang w:val="en-US"/>
              </w:rPr>
            </w:pPr>
            <w:r w:rsidRPr="008B6BC5">
              <w:rPr>
                <w:rFonts w:cs="Times New Roman"/>
                <w:sz w:val="20"/>
                <w:szCs w:val="20"/>
                <w:lang w:val="en-US"/>
              </w:rPr>
              <w:t>4</w:t>
            </w:r>
          </w:p>
        </w:tc>
        <w:tc>
          <w:tcPr>
            <w:tcW w:w="3896" w:type="dxa"/>
          </w:tcPr>
          <w:p w14:paraId="4B0FCDEE" w14:textId="138FFDA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73675" w:rsidRPr="008B6BC5" w14:paraId="5CE8928A" w14:textId="77777777" w:rsidTr="00BD3144">
        <w:tc>
          <w:tcPr>
            <w:tcW w:w="1418" w:type="dxa"/>
          </w:tcPr>
          <w:p w14:paraId="3C33C318" w14:textId="6A948611" w:rsidR="00573675" w:rsidRPr="008B6BC5" w:rsidRDefault="00BD3144" w:rsidP="00573675">
            <w:pPr>
              <w:pStyle w:val="NoSpacing"/>
              <w:rPr>
                <w:rFonts w:cs="Times New Roman"/>
                <w:sz w:val="20"/>
                <w:szCs w:val="20"/>
                <w:lang w:val="en-US"/>
              </w:rPr>
            </w:pPr>
            <w:r w:rsidRPr="008B6BC5">
              <w:rPr>
                <w:rFonts w:cs="Times New Roman"/>
                <w:sz w:val="20"/>
                <w:szCs w:val="20"/>
                <w:lang w:val="en-US"/>
              </w:rPr>
              <w:t>18</w:t>
            </w:r>
          </w:p>
        </w:tc>
        <w:tc>
          <w:tcPr>
            <w:tcW w:w="6237" w:type="dxa"/>
          </w:tcPr>
          <w:p w14:paraId="170AF76A"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A meta-analysis of 57 head-to-head RCTs estimated the annual incidence of tardive dyskinesia as 6.5% under first-generation antipsychotics versus 2.6% under second-generation agents (Carbon et al., 2018). </w:t>
            </w:r>
          </w:p>
          <w:p w14:paraId="57E81889" w14:textId="77777777" w:rsidR="00573675" w:rsidRPr="008B6BC5" w:rsidRDefault="00573675" w:rsidP="00573675">
            <w:pPr>
              <w:pStyle w:val="NoSpacing"/>
              <w:rPr>
                <w:rFonts w:cs="Times New Roman"/>
                <w:sz w:val="20"/>
                <w:szCs w:val="20"/>
                <w:lang w:val="en-US"/>
              </w:rPr>
            </w:pPr>
          </w:p>
        </w:tc>
        <w:tc>
          <w:tcPr>
            <w:tcW w:w="4203" w:type="dxa"/>
          </w:tcPr>
          <w:p w14:paraId="7E022DFC" w14:textId="31D83A63" w:rsidR="00573675" w:rsidRPr="008B6BC5" w:rsidRDefault="00573675" w:rsidP="00573675">
            <w:pPr>
              <w:pStyle w:val="NoSpacing"/>
              <w:jc w:val="left"/>
              <w:rPr>
                <w:rFonts w:cs="Times New Roman"/>
                <w:sz w:val="20"/>
                <w:szCs w:val="20"/>
                <w:lang w:val="en-US"/>
              </w:rPr>
            </w:pPr>
            <w:r w:rsidRPr="008B6BC5">
              <w:rPr>
                <w:rFonts w:cs="Times New Roman"/>
                <w:sz w:val="20"/>
                <w:szCs w:val="20"/>
                <w:lang w:val="en-US"/>
              </w:rPr>
              <w:t>DOI:10.1002/wps.20579</w:t>
            </w:r>
          </w:p>
        </w:tc>
        <w:tc>
          <w:tcPr>
            <w:tcW w:w="690" w:type="dxa"/>
          </w:tcPr>
          <w:p w14:paraId="34AB242B" w14:textId="1A8F634C" w:rsidR="00573675" w:rsidRPr="008B6BC5" w:rsidRDefault="00573675" w:rsidP="00573675">
            <w:pPr>
              <w:pStyle w:val="NoSpacing"/>
              <w:rPr>
                <w:rFonts w:cs="Times New Roman"/>
                <w:sz w:val="20"/>
                <w:szCs w:val="20"/>
                <w:lang w:val="en-US"/>
              </w:rPr>
            </w:pPr>
            <w:r w:rsidRPr="008B6BC5">
              <w:rPr>
                <w:rFonts w:cs="Times New Roman"/>
                <w:sz w:val="20"/>
                <w:szCs w:val="20"/>
                <w:lang w:val="en-US"/>
              </w:rPr>
              <w:t>4</w:t>
            </w:r>
          </w:p>
        </w:tc>
        <w:tc>
          <w:tcPr>
            <w:tcW w:w="3896" w:type="dxa"/>
          </w:tcPr>
          <w:p w14:paraId="249756C5" w14:textId="09E1251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No inaccuracies identified. </w:t>
            </w:r>
          </w:p>
        </w:tc>
      </w:tr>
      <w:tr w:rsidR="00573675" w:rsidRPr="008B6BC5" w14:paraId="19BA1CF6" w14:textId="77777777" w:rsidTr="00BD3144">
        <w:tc>
          <w:tcPr>
            <w:tcW w:w="1418" w:type="dxa"/>
          </w:tcPr>
          <w:p w14:paraId="614AA334" w14:textId="0C2BC2E6" w:rsidR="00573675" w:rsidRPr="008B6BC5" w:rsidRDefault="00BD3144" w:rsidP="00573675">
            <w:pPr>
              <w:pStyle w:val="NoSpacing"/>
              <w:rPr>
                <w:rFonts w:cs="Times New Roman"/>
                <w:sz w:val="20"/>
                <w:szCs w:val="20"/>
                <w:lang w:val="en-US"/>
              </w:rPr>
            </w:pPr>
            <w:r w:rsidRPr="008B6BC5">
              <w:rPr>
                <w:rFonts w:cs="Times New Roman"/>
                <w:sz w:val="20"/>
                <w:szCs w:val="20"/>
                <w:lang w:val="en-US"/>
              </w:rPr>
              <w:t>19</w:t>
            </w:r>
          </w:p>
        </w:tc>
        <w:tc>
          <w:tcPr>
            <w:tcW w:w="6237" w:type="dxa"/>
          </w:tcPr>
          <w:p w14:paraId="37059F43"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A complementary prevalence meta-analysis confirmed that tardive dyskinesia remains common in the second-generation era, especially with long-term exposure (Carbon et al., 2017). </w:t>
            </w:r>
          </w:p>
          <w:p w14:paraId="2030213C" w14:textId="77777777" w:rsidR="00573675" w:rsidRPr="008B6BC5" w:rsidRDefault="00573675" w:rsidP="00573675">
            <w:pPr>
              <w:pStyle w:val="NoSpacing"/>
              <w:rPr>
                <w:rFonts w:cs="Times New Roman"/>
                <w:sz w:val="20"/>
                <w:szCs w:val="20"/>
                <w:lang w:val="en-US"/>
              </w:rPr>
            </w:pPr>
          </w:p>
        </w:tc>
        <w:tc>
          <w:tcPr>
            <w:tcW w:w="4203" w:type="dxa"/>
          </w:tcPr>
          <w:p w14:paraId="7177AC19" w14:textId="56423370" w:rsidR="00573675" w:rsidRPr="008B6BC5" w:rsidRDefault="00573675" w:rsidP="00573675">
            <w:pPr>
              <w:pStyle w:val="NoSpacing"/>
              <w:rPr>
                <w:rFonts w:cs="Times New Roman"/>
                <w:sz w:val="20"/>
                <w:szCs w:val="20"/>
                <w:lang w:val="en-US"/>
              </w:rPr>
            </w:pPr>
            <w:r w:rsidRPr="008B6BC5">
              <w:rPr>
                <w:rFonts w:cs="Times New Roman"/>
                <w:sz w:val="20"/>
                <w:szCs w:val="20"/>
                <w:lang w:val="en-US"/>
              </w:rPr>
              <w:t>DOI: 10.4088/JCP.16r10832</w:t>
            </w:r>
          </w:p>
        </w:tc>
        <w:tc>
          <w:tcPr>
            <w:tcW w:w="690" w:type="dxa"/>
          </w:tcPr>
          <w:p w14:paraId="171228DB" w14:textId="54FB1202" w:rsidR="00573675" w:rsidRPr="008B6BC5" w:rsidRDefault="008E365A" w:rsidP="00573675">
            <w:pPr>
              <w:pStyle w:val="NoSpacing"/>
              <w:rPr>
                <w:rFonts w:cs="Times New Roman"/>
                <w:sz w:val="20"/>
                <w:szCs w:val="20"/>
                <w:lang w:val="en-US"/>
              </w:rPr>
            </w:pPr>
            <w:r w:rsidRPr="008B6BC5">
              <w:rPr>
                <w:rFonts w:cs="Times New Roman"/>
                <w:sz w:val="20"/>
                <w:szCs w:val="20"/>
                <w:lang w:val="en-US"/>
              </w:rPr>
              <w:t>3</w:t>
            </w:r>
          </w:p>
        </w:tc>
        <w:tc>
          <w:tcPr>
            <w:tcW w:w="3896" w:type="dxa"/>
          </w:tcPr>
          <w:p w14:paraId="2EB61115" w14:textId="158A589A" w:rsidR="00573675" w:rsidRPr="008B6BC5" w:rsidRDefault="008E365A" w:rsidP="00573675">
            <w:pPr>
              <w:pStyle w:val="NoSpacing"/>
              <w:rPr>
                <w:rFonts w:cs="Times New Roman"/>
                <w:sz w:val="20"/>
                <w:szCs w:val="20"/>
                <w:lang w:val="en-US"/>
              </w:rPr>
            </w:pPr>
            <w:r w:rsidRPr="008B6BC5">
              <w:rPr>
                <w:rFonts w:cs="Times New Roman"/>
                <w:sz w:val="20"/>
                <w:szCs w:val="20"/>
                <w:lang w:val="en-US"/>
              </w:rPr>
              <w:t xml:space="preserve">Illness duration moderated prevalence estimates, but this is not analogous to long-term exposure. </w:t>
            </w:r>
          </w:p>
        </w:tc>
      </w:tr>
      <w:tr w:rsidR="00573675" w:rsidRPr="008B6BC5" w14:paraId="2C42082B" w14:textId="77777777" w:rsidTr="00BD3144">
        <w:tc>
          <w:tcPr>
            <w:tcW w:w="1418" w:type="dxa"/>
          </w:tcPr>
          <w:p w14:paraId="2E181170" w14:textId="77777777" w:rsidR="00573675" w:rsidRPr="008B6BC5" w:rsidRDefault="00BD3144" w:rsidP="00573675">
            <w:pPr>
              <w:pStyle w:val="NoSpacing"/>
              <w:rPr>
                <w:rFonts w:cs="Times New Roman"/>
                <w:sz w:val="20"/>
                <w:szCs w:val="20"/>
                <w:lang w:val="en-US"/>
              </w:rPr>
            </w:pPr>
            <w:r w:rsidRPr="008B6BC5">
              <w:rPr>
                <w:rFonts w:cs="Times New Roman"/>
                <w:sz w:val="20"/>
                <w:szCs w:val="20"/>
                <w:lang w:val="en-US"/>
              </w:rPr>
              <w:t>20.1</w:t>
            </w:r>
          </w:p>
          <w:p w14:paraId="13F5C40A" w14:textId="3BC7A797" w:rsidR="00BD3144" w:rsidRPr="008B6BC5" w:rsidRDefault="00BD3144" w:rsidP="00573675">
            <w:pPr>
              <w:pStyle w:val="NoSpacing"/>
              <w:rPr>
                <w:rFonts w:cs="Times New Roman"/>
                <w:sz w:val="20"/>
                <w:szCs w:val="20"/>
                <w:lang w:val="en-US"/>
              </w:rPr>
            </w:pPr>
            <w:r w:rsidRPr="008B6BC5">
              <w:rPr>
                <w:rFonts w:cs="Times New Roman"/>
                <w:sz w:val="20"/>
                <w:szCs w:val="20"/>
                <w:lang w:val="en-US"/>
              </w:rPr>
              <w:t>20.2</w:t>
            </w:r>
          </w:p>
        </w:tc>
        <w:tc>
          <w:tcPr>
            <w:tcW w:w="6237" w:type="dxa"/>
          </w:tcPr>
          <w:p w14:paraId="0E6BA86E"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Dose–response work indicates that exceeding the lower bound of the therapeutic D2 occupancy range disproportionately increases extrapyramidal symptoms and akathisia without commensurate efficacy gains (</w:t>
            </w:r>
            <w:proofErr w:type="spellStart"/>
            <w:r w:rsidRPr="008B6BC5">
              <w:rPr>
                <w:rFonts w:cs="Times New Roman"/>
                <w:sz w:val="20"/>
                <w:szCs w:val="20"/>
                <w:lang w:val="en-US"/>
              </w:rPr>
              <w:t>Siafis</w:t>
            </w:r>
            <w:proofErr w:type="spellEnd"/>
            <w:r w:rsidRPr="008B6BC5">
              <w:rPr>
                <w:rFonts w:cs="Times New Roman"/>
                <w:sz w:val="20"/>
                <w:szCs w:val="20"/>
                <w:lang w:val="en-US"/>
              </w:rPr>
              <w:t xml:space="preserve"> et al., 2018; Wu et al., 2023).</w:t>
            </w:r>
          </w:p>
          <w:p w14:paraId="65C0FFF8" w14:textId="77777777" w:rsidR="00573675" w:rsidRPr="008B6BC5" w:rsidRDefault="00573675" w:rsidP="00573675">
            <w:pPr>
              <w:pStyle w:val="NoSpacing"/>
              <w:rPr>
                <w:rFonts w:cs="Times New Roman"/>
                <w:sz w:val="20"/>
                <w:szCs w:val="20"/>
                <w:lang w:val="en-US"/>
              </w:rPr>
            </w:pPr>
          </w:p>
        </w:tc>
        <w:tc>
          <w:tcPr>
            <w:tcW w:w="4203" w:type="dxa"/>
          </w:tcPr>
          <w:p w14:paraId="708AF0BF" w14:textId="254A76B7" w:rsidR="00573675" w:rsidRPr="008B6BC5" w:rsidRDefault="00573675" w:rsidP="00573675">
            <w:pPr>
              <w:pStyle w:val="NoSpacing"/>
              <w:rPr>
                <w:rFonts w:cs="Times New Roman"/>
                <w:sz w:val="20"/>
                <w:szCs w:val="20"/>
                <w:lang w:val="en-US"/>
              </w:rPr>
            </w:pPr>
            <w:hyperlink r:id="rId44" w:history="1">
              <w:r w:rsidRPr="008B6BC5">
                <w:rPr>
                  <w:rStyle w:val="Hyperlink"/>
                  <w:rFonts w:cs="Times New Roman"/>
                  <w:sz w:val="20"/>
                  <w:szCs w:val="20"/>
                  <w:lang w:val="en-US"/>
                </w:rPr>
                <w:t>https://doi.org/10.1038/s41380-023-02203-y</w:t>
              </w:r>
            </w:hyperlink>
          </w:p>
          <w:p w14:paraId="3828BF49" w14:textId="18E8431A" w:rsidR="00573675" w:rsidRPr="008B6BC5" w:rsidRDefault="00573675" w:rsidP="00573675">
            <w:pPr>
              <w:pStyle w:val="NoSpacing"/>
              <w:rPr>
                <w:rFonts w:cs="Times New Roman"/>
                <w:sz w:val="20"/>
                <w:szCs w:val="20"/>
                <w:lang w:val="en-US"/>
              </w:rPr>
            </w:pPr>
            <w:r w:rsidRPr="008B6BC5">
              <w:rPr>
                <w:rFonts w:cs="Times New Roman"/>
                <w:sz w:val="20"/>
                <w:szCs w:val="20"/>
                <w:lang w:val="en-US"/>
              </w:rPr>
              <w:t>https://doi.org/10.1016/j.euroneuro.2023.03.015</w:t>
            </w:r>
          </w:p>
        </w:tc>
        <w:tc>
          <w:tcPr>
            <w:tcW w:w="690" w:type="dxa"/>
          </w:tcPr>
          <w:p w14:paraId="74D855C5" w14:textId="77777777" w:rsidR="00573675" w:rsidRPr="008B6BC5" w:rsidRDefault="008E365A" w:rsidP="00573675">
            <w:pPr>
              <w:pStyle w:val="NoSpacing"/>
              <w:rPr>
                <w:rFonts w:cs="Times New Roman"/>
                <w:sz w:val="20"/>
                <w:szCs w:val="20"/>
                <w:lang w:val="en-US"/>
              </w:rPr>
            </w:pPr>
            <w:r w:rsidRPr="008B6BC5">
              <w:rPr>
                <w:rFonts w:cs="Times New Roman"/>
                <w:sz w:val="20"/>
                <w:szCs w:val="20"/>
                <w:lang w:val="en-US"/>
              </w:rPr>
              <w:t>4</w:t>
            </w:r>
          </w:p>
          <w:p w14:paraId="0E3F2678" w14:textId="2A5F6AAB" w:rsidR="008E365A" w:rsidRPr="008B6BC5" w:rsidRDefault="008E365A" w:rsidP="00573675">
            <w:pPr>
              <w:pStyle w:val="NoSpacing"/>
              <w:rPr>
                <w:rFonts w:cs="Times New Roman"/>
                <w:sz w:val="20"/>
                <w:szCs w:val="20"/>
                <w:lang w:val="en-US"/>
              </w:rPr>
            </w:pPr>
            <w:r w:rsidRPr="008B6BC5">
              <w:rPr>
                <w:rFonts w:cs="Times New Roman"/>
                <w:sz w:val="20"/>
                <w:szCs w:val="20"/>
                <w:lang w:val="en-US"/>
              </w:rPr>
              <w:t>3</w:t>
            </w:r>
          </w:p>
        </w:tc>
        <w:tc>
          <w:tcPr>
            <w:tcW w:w="3896" w:type="dxa"/>
          </w:tcPr>
          <w:p w14:paraId="70E86A89" w14:textId="77777777" w:rsidR="00573675" w:rsidRPr="008B6BC5" w:rsidRDefault="008E365A" w:rsidP="00573675">
            <w:pPr>
              <w:pStyle w:val="NoSpacing"/>
              <w:rPr>
                <w:rFonts w:cs="Times New Roman"/>
                <w:sz w:val="20"/>
                <w:szCs w:val="20"/>
                <w:lang w:val="en-US"/>
              </w:rPr>
            </w:pPr>
            <w:r w:rsidRPr="008B6BC5">
              <w:rPr>
                <w:rFonts w:cs="Times New Roman"/>
                <w:sz w:val="20"/>
                <w:szCs w:val="20"/>
                <w:lang w:val="en-US"/>
              </w:rPr>
              <w:t xml:space="preserve">No inaccuracies identified for </w:t>
            </w:r>
            <w:proofErr w:type="spellStart"/>
            <w:r w:rsidRPr="008B6BC5">
              <w:rPr>
                <w:rFonts w:cs="Times New Roman"/>
                <w:sz w:val="20"/>
                <w:szCs w:val="20"/>
                <w:lang w:val="en-US"/>
              </w:rPr>
              <w:t>Siafis</w:t>
            </w:r>
            <w:proofErr w:type="spellEnd"/>
            <w:r w:rsidRPr="008B6BC5">
              <w:rPr>
                <w:rFonts w:cs="Times New Roman"/>
                <w:sz w:val="20"/>
                <w:szCs w:val="20"/>
                <w:lang w:val="en-US"/>
              </w:rPr>
              <w:t xml:space="preserve"> et al (2018)</w:t>
            </w:r>
          </w:p>
          <w:p w14:paraId="4078660A" w14:textId="77777777" w:rsidR="008E365A" w:rsidRPr="008B6BC5" w:rsidRDefault="008E365A" w:rsidP="00573675">
            <w:pPr>
              <w:pStyle w:val="NoSpacing"/>
              <w:rPr>
                <w:rFonts w:cs="Times New Roman"/>
                <w:sz w:val="20"/>
                <w:szCs w:val="20"/>
                <w:lang w:val="en-US"/>
              </w:rPr>
            </w:pPr>
          </w:p>
          <w:p w14:paraId="27B37FFE" w14:textId="10CDA3D5" w:rsidR="008E365A" w:rsidRPr="008B6BC5" w:rsidRDefault="005F00B6" w:rsidP="00573675">
            <w:pPr>
              <w:pStyle w:val="NoSpacing"/>
              <w:rPr>
                <w:rFonts w:cs="Times New Roman"/>
                <w:sz w:val="20"/>
                <w:szCs w:val="20"/>
                <w:lang w:val="en-US"/>
              </w:rPr>
            </w:pPr>
            <w:r w:rsidRPr="008B6BC5">
              <w:rPr>
                <w:rFonts w:cs="Times New Roman"/>
                <w:sz w:val="20"/>
                <w:szCs w:val="20"/>
                <w:lang w:val="en-US"/>
              </w:rPr>
              <w:t>Findings are oversimplified for Wu (2023) as it is not true</w:t>
            </w:r>
            <w:r w:rsidR="005126E3" w:rsidRPr="008B6BC5">
              <w:rPr>
                <w:rFonts w:cs="Times New Roman"/>
                <w:sz w:val="20"/>
                <w:szCs w:val="20"/>
                <w:lang w:val="en-US"/>
              </w:rPr>
              <w:t xml:space="preserve"> for all antipsychotics. </w:t>
            </w:r>
          </w:p>
        </w:tc>
      </w:tr>
      <w:tr w:rsidR="00573675" w:rsidRPr="008B6BC5" w14:paraId="1990FC9E" w14:textId="77777777" w:rsidTr="00BD3144">
        <w:tc>
          <w:tcPr>
            <w:tcW w:w="1418" w:type="dxa"/>
          </w:tcPr>
          <w:p w14:paraId="7C402BBD" w14:textId="2B284458" w:rsidR="00573675" w:rsidRPr="008B6BC5" w:rsidRDefault="00BD3144" w:rsidP="00573675">
            <w:pPr>
              <w:pStyle w:val="NoSpacing"/>
              <w:rPr>
                <w:rFonts w:cs="Times New Roman"/>
                <w:sz w:val="20"/>
                <w:szCs w:val="20"/>
                <w:lang w:val="en-US"/>
              </w:rPr>
            </w:pPr>
            <w:r w:rsidRPr="008B6BC5">
              <w:rPr>
                <w:rFonts w:cs="Times New Roman"/>
                <w:sz w:val="20"/>
                <w:szCs w:val="20"/>
                <w:lang w:val="en-US"/>
              </w:rPr>
              <w:t>21</w:t>
            </w:r>
          </w:p>
        </w:tc>
        <w:tc>
          <w:tcPr>
            <w:tcW w:w="6237" w:type="dxa"/>
          </w:tcPr>
          <w:p w14:paraId="3C9C4481" w14:textId="77777777" w:rsidR="00573675" w:rsidRPr="008B6BC5" w:rsidRDefault="00573675" w:rsidP="00573675">
            <w:pPr>
              <w:pStyle w:val="NoSpacing"/>
              <w:rPr>
                <w:rFonts w:cs="Times New Roman"/>
                <w:sz w:val="20"/>
                <w:szCs w:val="20"/>
                <w:lang w:val="en-US"/>
              </w:rPr>
            </w:pPr>
            <w:r w:rsidRPr="008B6BC5">
              <w:rPr>
                <w:rFonts w:cs="Times New Roman"/>
                <w:sz w:val="20"/>
                <w:szCs w:val="20"/>
                <w:lang w:val="en-US"/>
              </w:rPr>
              <w:t xml:space="preserve">In the acute network meta-analysis, most antipsychotics had lower all-cause discontinuation than placebo (risk ratios roughly 0.7–0.9), but clozapine and olanzapine showed better acceptability than several typical antipsychotics, whereas some low-potency first-generation drugs and partial agonists had higher discontinuation (Huhn et al., 2019). </w:t>
            </w:r>
          </w:p>
          <w:p w14:paraId="1EF077DC" w14:textId="77777777" w:rsidR="00573675" w:rsidRPr="008B6BC5" w:rsidRDefault="00573675" w:rsidP="00573675">
            <w:pPr>
              <w:pStyle w:val="NoSpacing"/>
              <w:rPr>
                <w:rFonts w:cs="Times New Roman"/>
                <w:sz w:val="20"/>
                <w:szCs w:val="20"/>
                <w:lang w:val="en-US"/>
              </w:rPr>
            </w:pPr>
          </w:p>
        </w:tc>
        <w:tc>
          <w:tcPr>
            <w:tcW w:w="4203" w:type="dxa"/>
          </w:tcPr>
          <w:p w14:paraId="5CF1A616" w14:textId="29700B35" w:rsidR="00573675" w:rsidRPr="008B6BC5" w:rsidRDefault="00573675" w:rsidP="00573675">
            <w:pPr>
              <w:pStyle w:val="NoSpacing"/>
              <w:rPr>
                <w:rFonts w:cs="Times New Roman"/>
                <w:sz w:val="20"/>
                <w:szCs w:val="20"/>
                <w:lang w:val="en-US"/>
              </w:rPr>
            </w:pPr>
            <w:r w:rsidRPr="008B6BC5">
              <w:rPr>
                <w:rFonts w:cs="Times New Roman"/>
                <w:sz w:val="20"/>
                <w:szCs w:val="20"/>
                <w:lang w:val="en-US"/>
              </w:rPr>
              <w:lastRenderedPageBreak/>
              <w:t>http://dx.doi.org/10.1016/ S0140-6736(19)31135-3</w:t>
            </w:r>
          </w:p>
        </w:tc>
        <w:tc>
          <w:tcPr>
            <w:tcW w:w="690" w:type="dxa"/>
          </w:tcPr>
          <w:p w14:paraId="3D7D763B" w14:textId="329EC810" w:rsidR="00573675" w:rsidRPr="008B6BC5" w:rsidRDefault="005126E3" w:rsidP="00573675">
            <w:pPr>
              <w:pStyle w:val="NoSpacing"/>
              <w:rPr>
                <w:rFonts w:cs="Times New Roman"/>
                <w:sz w:val="20"/>
                <w:szCs w:val="20"/>
                <w:lang w:val="en-US"/>
              </w:rPr>
            </w:pPr>
            <w:r w:rsidRPr="008B6BC5">
              <w:rPr>
                <w:rFonts w:cs="Times New Roman"/>
                <w:sz w:val="20"/>
                <w:szCs w:val="20"/>
                <w:lang w:val="en-US"/>
              </w:rPr>
              <w:t>2</w:t>
            </w:r>
          </w:p>
        </w:tc>
        <w:tc>
          <w:tcPr>
            <w:tcW w:w="3896" w:type="dxa"/>
          </w:tcPr>
          <w:p w14:paraId="112D7FEA" w14:textId="02B32862" w:rsidR="00573675" w:rsidRPr="008B6BC5" w:rsidRDefault="006E59C9" w:rsidP="00573675">
            <w:pPr>
              <w:pStyle w:val="NoSpacing"/>
              <w:rPr>
                <w:rFonts w:cs="Times New Roman"/>
                <w:sz w:val="20"/>
                <w:szCs w:val="20"/>
                <w:lang w:val="en-US"/>
              </w:rPr>
            </w:pPr>
            <w:r w:rsidRPr="008B6BC5">
              <w:rPr>
                <w:rFonts w:cs="Times New Roman"/>
                <w:sz w:val="20"/>
                <w:szCs w:val="20"/>
                <w:lang w:val="en-US"/>
              </w:rPr>
              <w:t xml:space="preserve">Clozapine ranked 7/32 </w:t>
            </w:r>
            <w:r w:rsidR="00F11C17" w:rsidRPr="008B6BC5">
              <w:rPr>
                <w:rFonts w:cs="Times New Roman"/>
                <w:sz w:val="20"/>
                <w:szCs w:val="20"/>
                <w:lang w:val="en-US"/>
              </w:rPr>
              <w:t xml:space="preserve">in discontinuation, and at least 3 FGAs outperform </w:t>
            </w:r>
            <w:r w:rsidR="00D63A1B" w:rsidRPr="008B6BC5">
              <w:rPr>
                <w:rFonts w:cs="Times New Roman"/>
                <w:sz w:val="20"/>
                <w:szCs w:val="20"/>
                <w:lang w:val="en-US"/>
              </w:rPr>
              <w:t>Clozapine</w:t>
            </w:r>
            <w:r w:rsidR="00F11C17" w:rsidRPr="008B6BC5">
              <w:rPr>
                <w:rFonts w:cs="Times New Roman"/>
                <w:sz w:val="20"/>
                <w:szCs w:val="20"/>
                <w:lang w:val="en-US"/>
              </w:rPr>
              <w:t xml:space="preserve"> on acceptability.</w:t>
            </w:r>
            <w:r w:rsidR="00D63A1B" w:rsidRPr="008B6BC5">
              <w:rPr>
                <w:rFonts w:cs="Times New Roman"/>
                <w:sz w:val="20"/>
                <w:szCs w:val="20"/>
                <w:lang w:val="en-US"/>
              </w:rPr>
              <w:t xml:space="preserve"> Further, Clozapine’s advantage is relative to placebo, not other active agents. </w:t>
            </w:r>
          </w:p>
        </w:tc>
      </w:tr>
      <w:tr w:rsidR="00F15AC3" w:rsidRPr="00973709" w14:paraId="7A1F8B4C" w14:textId="77777777" w:rsidTr="00BD3144">
        <w:tc>
          <w:tcPr>
            <w:tcW w:w="1418" w:type="dxa"/>
          </w:tcPr>
          <w:p w14:paraId="6A37ED3F" w14:textId="28F9892F" w:rsidR="00F15AC3" w:rsidRPr="008B6BC5" w:rsidRDefault="00BD3144" w:rsidP="00F15AC3">
            <w:pPr>
              <w:pStyle w:val="NoSpacing"/>
              <w:rPr>
                <w:rFonts w:cs="Times New Roman"/>
                <w:sz w:val="20"/>
                <w:szCs w:val="20"/>
                <w:lang w:val="en-US"/>
              </w:rPr>
            </w:pPr>
            <w:r w:rsidRPr="008B6BC5">
              <w:rPr>
                <w:rFonts w:cs="Times New Roman"/>
                <w:sz w:val="20"/>
                <w:szCs w:val="20"/>
                <w:lang w:val="en-US"/>
              </w:rPr>
              <w:t>22</w:t>
            </w:r>
          </w:p>
        </w:tc>
        <w:tc>
          <w:tcPr>
            <w:tcW w:w="6237" w:type="dxa"/>
          </w:tcPr>
          <w:p w14:paraId="481EFA34" w14:textId="5EAEDBDF" w:rsidR="00F15AC3" w:rsidRPr="008B6BC5" w:rsidRDefault="00F15AC3" w:rsidP="00F15AC3">
            <w:pPr>
              <w:pStyle w:val="NoSpacing"/>
              <w:rPr>
                <w:rFonts w:cs="Times New Roman"/>
                <w:sz w:val="20"/>
                <w:szCs w:val="20"/>
                <w:lang w:val="en-US"/>
              </w:rPr>
            </w:pPr>
            <w:r w:rsidRPr="008B6BC5">
              <w:rPr>
                <w:rFonts w:cs="Times New Roman"/>
                <w:sz w:val="20"/>
                <w:szCs w:val="20"/>
                <w:lang w:val="en-US"/>
              </w:rPr>
              <w:t>LAIs tend to improve adherence and reduce hospitalization in routine practice (Kishimoto et al., 2021)</w:t>
            </w:r>
          </w:p>
        </w:tc>
        <w:tc>
          <w:tcPr>
            <w:tcW w:w="4203" w:type="dxa"/>
          </w:tcPr>
          <w:p w14:paraId="67716D23" w14:textId="6792EA24" w:rsidR="00F15AC3" w:rsidRPr="008B6BC5" w:rsidRDefault="00F15AC3" w:rsidP="00F15AC3">
            <w:pPr>
              <w:pStyle w:val="NoSpacing"/>
              <w:rPr>
                <w:rFonts w:cs="Times New Roman"/>
                <w:sz w:val="20"/>
                <w:szCs w:val="20"/>
                <w:lang w:val="en-US"/>
              </w:rPr>
            </w:pPr>
            <w:r w:rsidRPr="008B6BC5">
              <w:rPr>
                <w:rFonts w:cs="Times New Roman"/>
                <w:sz w:val="20"/>
                <w:szCs w:val="20"/>
                <w:lang w:val="en-US"/>
              </w:rPr>
              <w:t>https://doi.org/10.1016/ S2215-0366(21)00039-0</w:t>
            </w:r>
          </w:p>
        </w:tc>
        <w:tc>
          <w:tcPr>
            <w:tcW w:w="690" w:type="dxa"/>
          </w:tcPr>
          <w:p w14:paraId="0574C62A" w14:textId="530A8859" w:rsidR="00F15AC3" w:rsidRPr="008B6BC5" w:rsidRDefault="00F15AC3" w:rsidP="00F15AC3">
            <w:pPr>
              <w:pStyle w:val="NoSpacing"/>
              <w:rPr>
                <w:rFonts w:cs="Times New Roman"/>
                <w:sz w:val="20"/>
                <w:szCs w:val="20"/>
                <w:lang w:val="en-US"/>
              </w:rPr>
            </w:pPr>
            <w:r w:rsidRPr="008B6BC5">
              <w:rPr>
                <w:rFonts w:cs="Times New Roman"/>
                <w:sz w:val="20"/>
                <w:szCs w:val="20"/>
                <w:lang w:val="en-US"/>
              </w:rPr>
              <w:t>4</w:t>
            </w:r>
          </w:p>
        </w:tc>
        <w:tc>
          <w:tcPr>
            <w:tcW w:w="3896" w:type="dxa"/>
          </w:tcPr>
          <w:p w14:paraId="6BE2E2B1" w14:textId="561DAF2C" w:rsidR="00F15AC3" w:rsidRPr="00973709" w:rsidRDefault="00F15AC3" w:rsidP="00F15AC3">
            <w:pPr>
              <w:pStyle w:val="NoSpacing"/>
              <w:rPr>
                <w:rFonts w:cs="Times New Roman"/>
                <w:sz w:val="20"/>
                <w:szCs w:val="20"/>
                <w:lang w:val="en-US"/>
              </w:rPr>
            </w:pPr>
            <w:r w:rsidRPr="008B6BC5">
              <w:rPr>
                <w:rFonts w:cs="Times New Roman"/>
                <w:sz w:val="20"/>
                <w:szCs w:val="20"/>
                <w:lang w:val="en-US"/>
              </w:rPr>
              <w:t>No inaccuracies identified.</w:t>
            </w:r>
            <w:r>
              <w:rPr>
                <w:rFonts w:cs="Times New Roman"/>
                <w:sz w:val="20"/>
                <w:szCs w:val="20"/>
                <w:lang w:val="en-US"/>
              </w:rPr>
              <w:t xml:space="preserve"> </w:t>
            </w:r>
          </w:p>
        </w:tc>
      </w:tr>
      <w:tr w:rsidR="00F15AC3" w:rsidRPr="00973709" w14:paraId="32C0D8BE" w14:textId="77777777" w:rsidTr="009074B7">
        <w:tc>
          <w:tcPr>
            <w:tcW w:w="16444" w:type="dxa"/>
            <w:gridSpan w:val="5"/>
          </w:tcPr>
          <w:p w14:paraId="27C103F0" w14:textId="77777777" w:rsidR="00F15AC3" w:rsidRPr="00973709" w:rsidRDefault="00F15AC3" w:rsidP="00F15AC3">
            <w:pPr>
              <w:pStyle w:val="NoSpacing"/>
              <w:rPr>
                <w:rFonts w:cs="Times New Roman"/>
                <w:sz w:val="20"/>
                <w:szCs w:val="20"/>
                <w:lang w:val="en-US"/>
              </w:rPr>
            </w:pPr>
          </w:p>
        </w:tc>
      </w:tr>
    </w:tbl>
    <w:p w14:paraId="10064C1F" w14:textId="77777777" w:rsidR="00D62F63" w:rsidRPr="005C2C5C" w:rsidRDefault="00D62F63" w:rsidP="005C2C5C">
      <w:pPr>
        <w:pStyle w:val="NoSpacing"/>
        <w:spacing w:line="360" w:lineRule="auto"/>
        <w:rPr>
          <w:b/>
          <w:bCs/>
          <w:lang w:val="en-US"/>
        </w:rPr>
      </w:pPr>
    </w:p>
    <w:sectPr w:rsidR="00D62F63" w:rsidRPr="005C2C5C" w:rsidSect="0097370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87544" w14:textId="77777777" w:rsidR="00242BC3" w:rsidRDefault="00242BC3" w:rsidP="00202DA2">
      <w:pPr>
        <w:spacing w:after="0" w:line="240" w:lineRule="auto"/>
      </w:pPr>
      <w:r>
        <w:separator/>
      </w:r>
    </w:p>
  </w:endnote>
  <w:endnote w:type="continuationSeparator" w:id="0">
    <w:p w14:paraId="5CD76BB0" w14:textId="77777777" w:rsidR="00242BC3" w:rsidRDefault="00242BC3" w:rsidP="00202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9B72" w14:textId="77777777" w:rsidR="00242BC3" w:rsidRDefault="00242BC3" w:rsidP="00202DA2">
      <w:pPr>
        <w:spacing w:after="0" w:line="240" w:lineRule="auto"/>
      </w:pPr>
      <w:r>
        <w:separator/>
      </w:r>
    </w:p>
  </w:footnote>
  <w:footnote w:type="continuationSeparator" w:id="0">
    <w:p w14:paraId="734598E7" w14:textId="77777777" w:rsidR="00242BC3" w:rsidRDefault="00242BC3" w:rsidP="00202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33E6"/>
    <w:multiLevelType w:val="multilevel"/>
    <w:tmpl w:val="5CDA83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81411E"/>
    <w:multiLevelType w:val="hybridMultilevel"/>
    <w:tmpl w:val="E81E7A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CD7E0B"/>
    <w:multiLevelType w:val="multilevel"/>
    <w:tmpl w:val="5DF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15CE2"/>
    <w:multiLevelType w:val="hybridMultilevel"/>
    <w:tmpl w:val="1BC4A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BD0457"/>
    <w:multiLevelType w:val="hybridMultilevel"/>
    <w:tmpl w:val="7BEA566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446C85"/>
    <w:multiLevelType w:val="multilevel"/>
    <w:tmpl w:val="EF30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90D9D"/>
    <w:multiLevelType w:val="multilevel"/>
    <w:tmpl w:val="FD10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8A2764"/>
    <w:multiLevelType w:val="hybridMultilevel"/>
    <w:tmpl w:val="E81E7A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73E7727"/>
    <w:multiLevelType w:val="hybridMultilevel"/>
    <w:tmpl w:val="07F0EA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0E42EB8"/>
    <w:multiLevelType w:val="hybridMultilevel"/>
    <w:tmpl w:val="540E25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6B13ED"/>
    <w:multiLevelType w:val="hybridMultilevel"/>
    <w:tmpl w:val="32BA8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901038"/>
    <w:multiLevelType w:val="hybridMultilevel"/>
    <w:tmpl w:val="07F0EA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7741EB4"/>
    <w:multiLevelType w:val="hybridMultilevel"/>
    <w:tmpl w:val="348AF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F52999"/>
    <w:multiLevelType w:val="multilevel"/>
    <w:tmpl w:val="2956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84942"/>
    <w:multiLevelType w:val="hybridMultilevel"/>
    <w:tmpl w:val="69AC4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BD340E"/>
    <w:multiLevelType w:val="multilevel"/>
    <w:tmpl w:val="7C7C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220999">
    <w:abstractNumId w:val="9"/>
  </w:num>
  <w:num w:numId="2" w16cid:durableId="1015884433">
    <w:abstractNumId w:val="4"/>
  </w:num>
  <w:num w:numId="3" w16cid:durableId="297226794">
    <w:abstractNumId w:val="14"/>
  </w:num>
  <w:num w:numId="4" w16cid:durableId="669217402">
    <w:abstractNumId w:val="3"/>
  </w:num>
  <w:num w:numId="5" w16cid:durableId="1200900373">
    <w:abstractNumId w:val="12"/>
  </w:num>
  <w:num w:numId="6" w16cid:durableId="97066897">
    <w:abstractNumId w:val="10"/>
  </w:num>
  <w:num w:numId="7" w16cid:durableId="1184975923">
    <w:abstractNumId w:val="7"/>
  </w:num>
  <w:num w:numId="8" w16cid:durableId="275798383">
    <w:abstractNumId w:val="13"/>
  </w:num>
  <w:num w:numId="9" w16cid:durableId="1727798468">
    <w:abstractNumId w:val="5"/>
  </w:num>
  <w:num w:numId="10" w16cid:durableId="261649946">
    <w:abstractNumId w:val="0"/>
  </w:num>
  <w:num w:numId="11" w16cid:durableId="863372306">
    <w:abstractNumId w:val="15"/>
  </w:num>
  <w:num w:numId="12" w16cid:durableId="1585919760">
    <w:abstractNumId w:val="1"/>
  </w:num>
  <w:num w:numId="13" w16cid:durableId="713846003">
    <w:abstractNumId w:val="8"/>
  </w:num>
  <w:num w:numId="14" w16cid:durableId="1978679507">
    <w:abstractNumId w:val="6"/>
  </w:num>
  <w:num w:numId="15" w16cid:durableId="1863013990">
    <w:abstractNumId w:val="11"/>
  </w:num>
  <w:num w:numId="16" w16cid:durableId="990867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5C"/>
    <w:rsid w:val="0000227A"/>
    <w:rsid w:val="00007B3B"/>
    <w:rsid w:val="000101D6"/>
    <w:rsid w:val="000221BB"/>
    <w:rsid w:val="00025943"/>
    <w:rsid w:val="00026AA6"/>
    <w:rsid w:val="0002711A"/>
    <w:rsid w:val="0002765D"/>
    <w:rsid w:val="00027F8C"/>
    <w:rsid w:val="000370B0"/>
    <w:rsid w:val="00037CD2"/>
    <w:rsid w:val="00040A19"/>
    <w:rsid w:val="00042FAD"/>
    <w:rsid w:val="0004353C"/>
    <w:rsid w:val="00047186"/>
    <w:rsid w:val="00047392"/>
    <w:rsid w:val="00047F92"/>
    <w:rsid w:val="000577C9"/>
    <w:rsid w:val="000625A0"/>
    <w:rsid w:val="000627A2"/>
    <w:rsid w:val="00062EE4"/>
    <w:rsid w:val="00063BC6"/>
    <w:rsid w:val="00066F5E"/>
    <w:rsid w:val="000702D6"/>
    <w:rsid w:val="000723FF"/>
    <w:rsid w:val="00072CDD"/>
    <w:rsid w:val="0007437B"/>
    <w:rsid w:val="00085D3D"/>
    <w:rsid w:val="000860D7"/>
    <w:rsid w:val="000938FF"/>
    <w:rsid w:val="0009584A"/>
    <w:rsid w:val="000A15E1"/>
    <w:rsid w:val="000B6E77"/>
    <w:rsid w:val="000C0240"/>
    <w:rsid w:val="000C07BF"/>
    <w:rsid w:val="000C2791"/>
    <w:rsid w:val="000D447C"/>
    <w:rsid w:val="000E0442"/>
    <w:rsid w:val="000E6CA4"/>
    <w:rsid w:val="000F1364"/>
    <w:rsid w:val="000F4019"/>
    <w:rsid w:val="00100089"/>
    <w:rsid w:val="001007B2"/>
    <w:rsid w:val="00100A5C"/>
    <w:rsid w:val="00104931"/>
    <w:rsid w:val="001062F8"/>
    <w:rsid w:val="00111D93"/>
    <w:rsid w:val="00112F0F"/>
    <w:rsid w:val="00113343"/>
    <w:rsid w:val="00115A6B"/>
    <w:rsid w:val="001219ED"/>
    <w:rsid w:val="0012297C"/>
    <w:rsid w:val="001274CA"/>
    <w:rsid w:val="00130A74"/>
    <w:rsid w:val="00134D94"/>
    <w:rsid w:val="00145872"/>
    <w:rsid w:val="001467AC"/>
    <w:rsid w:val="00152422"/>
    <w:rsid w:val="00153022"/>
    <w:rsid w:val="001534F3"/>
    <w:rsid w:val="001564CA"/>
    <w:rsid w:val="001607B3"/>
    <w:rsid w:val="00162C2C"/>
    <w:rsid w:val="0017657B"/>
    <w:rsid w:val="00180527"/>
    <w:rsid w:val="00192D64"/>
    <w:rsid w:val="00195477"/>
    <w:rsid w:val="001A6427"/>
    <w:rsid w:val="001A775C"/>
    <w:rsid w:val="001B33B3"/>
    <w:rsid w:val="001B5255"/>
    <w:rsid w:val="001B6E3F"/>
    <w:rsid w:val="001B71E0"/>
    <w:rsid w:val="001B7514"/>
    <w:rsid w:val="001C0C1B"/>
    <w:rsid w:val="001C4B61"/>
    <w:rsid w:val="001C6A1F"/>
    <w:rsid w:val="001C78CC"/>
    <w:rsid w:val="001D45BC"/>
    <w:rsid w:val="001E05E4"/>
    <w:rsid w:val="001E1D80"/>
    <w:rsid w:val="001E1F63"/>
    <w:rsid w:val="001E5E61"/>
    <w:rsid w:val="001E74C4"/>
    <w:rsid w:val="001F323C"/>
    <w:rsid w:val="001F61D7"/>
    <w:rsid w:val="00200A34"/>
    <w:rsid w:val="00201FDA"/>
    <w:rsid w:val="00202DA2"/>
    <w:rsid w:val="0022042A"/>
    <w:rsid w:val="0022634D"/>
    <w:rsid w:val="00242BC3"/>
    <w:rsid w:val="00250918"/>
    <w:rsid w:val="0025190E"/>
    <w:rsid w:val="00252C5D"/>
    <w:rsid w:val="00254D79"/>
    <w:rsid w:val="00255788"/>
    <w:rsid w:val="00257935"/>
    <w:rsid w:val="0026090B"/>
    <w:rsid w:val="002703A8"/>
    <w:rsid w:val="002703D7"/>
    <w:rsid w:val="00285D98"/>
    <w:rsid w:val="00290D5C"/>
    <w:rsid w:val="002A716F"/>
    <w:rsid w:val="002B2AF3"/>
    <w:rsid w:val="002B2FB7"/>
    <w:rsid w:val="002B37BB"/>
    <w:rsid w:val="002B574F"/>
    <w:rsid w:val="002C3112"/>
    <w:rsid w:val="002C7490"/>
    <w:rsid w:val="002D2AA8"/>
    <w:rsid w:val="002E5E7E"/>
    <w:rsid w:val="002E741D"/>
    <w:rsid w:val="002E7920"/>
    <w:rsid w:val="002F41A5"/>
    <w:rsid w:val="002F480E"/>
    <w:rsid w:val="002F59A1"/>
    <w:rsid w:val="002F661B"/>
    <w:rsid w:val="002F799A"/>
    <w:rsid w:val="00304645"/>
    <w:rsid w:val="003062DC"/>
    <w:rsid w:val="00307FCE"/>
    <w:rsid w:val="00312B3B"/>
    <w:rsid w:val="00314A93"/>
    <w:rsid w:val="0031578C"/>
    <w:rsid w:val="00321A8C"/>
    <w:rsid w:val="00321DD6"/>
    <w:rsid w:val="003223A5"/>
    <w:rsid w:val="00327C69"/>
    <w:rsid w:val="00330419"/>
    <w:rsid w:val="003428C7"/>
    <w:rsid w:val="003435CE"/>
    <w:rsid w:val="00343913"/>
    <w:rsid w:val="003463C6"/>
    <w:rsid w:val="00346FAB"/>
    <w:rsid w:val="00365BD9"/>
    <w:rsid w:val="00366D1B"/>
    <w:rsid w:val="00371972"/>
    <w:rsid w:val="00374583"/>
    <w:rsid w:val="00375181"/>
    <w:rsid w:val="00377CF7"/>
    <w:rsid w:val="003809DF"/>
    <w:rsid w:val="0039285F"/>
    <w:rsid w:val="003A07DD"/>
    <w:rsid w:val="003A4A1A"/>
    <w:rsid w:val="003B210B"/>
    <w:rsid w:val="003B54DE"/>
    <w:rsid w:val="003C1210"/>
    <w:rsid w:val="003C1344"/>
    <w:rsid w:val="003E4D13"/>
    <w:rsid w:val="003E59C4"/>
    <w:rsid w:val="003F1583"/>
    <w:rsid w:val="00406A05"/>
    <w:rsid w:val="004076CE"/>
    <w:rsid w:val="004079CF"/>
    <w:rsid w:val="0041102C"/>
    <w:rsid w:val="00411D39"/>
    <w:rsid w:val="0041480D"/>
    <w:rsid w:val="0041584C"/>
    <w:rsid w:val="004158AD"/>
    <w:rsid w:val="004240B8"/>
    <w:rsid w:val="0042539B"/>
    <w:rsid w:val="00426E99"/>
    <w:rsid w:val="00432C04"/>
    <w:rsid w:val="00437277"/>
    <w:rsid w:val="00441508"/>
    <w:rsid w:val="004467EC"/>
    <w:rsid w:val="00446BBC"/>
    <w:rsid w:val="00447060"/>
    <w:rsid w:val="00450C53"/>
    <w:rsid w:val="00452262"/>
    <w:rsid w:val="00461E03"/>
    <w:rsid w:val="00462A1D"/>
    <w:rsid w:val="004723F1"/>
    <w:rsid w:val="00473624"/>
    <w:rsid w:val="00473A85"/>
    <w:rsid w:val="004812C2"/>
    <w:rsid w:val="004828EE"/>
    <w:rsid w:val="00483ED9"/>
    <w:rsid w:val="00486417"/>
    <w:rsid w:val="004A042C"/>
    <w:rsid w:val="004A57DF"/>
    <w:rsid w:val="004A6553"/>
    <w:rsid w:val="004B2654"/>
    <w:rsid w:val="004B3C89"/>
    <w:rsid w:val="004C261F"/>
    <w:rsid w:val="004C2D91"/>
    <w:rsid w:val="004D422F"/>
    <w:rsid w:val="004D6CFE"/>
    <w:rsid w:val="004D7D5A"/>
    <w:rsid w:val="004E0B17"/>
    <w:rsid w:val="004F612B"/>
    <w:rsid w:val="00504D7E"/>
    <w:rsid w:val="005120C4"/>
    <w:rsid w:val="005126E3"/>
    <w:rsid w:val="00513334"/>
    <w:rsid w:val="00515739"/>
    <w:rsid w:val="00526056"/>
    <w:rsid w:val="005269A9"/>
    <w:rsid w:val="005279E6"/>
    <w:rsid w:val="00527D18"/>
    <w:rsid w:val="00530058"/>
    <w:rsid w:val="005329CB"/>
    <w:rsid w:val="00533973"/>
    <w:rsid w:val="00546116"/>
    <w:rsid w:val="00547FB2"/>
    <w:rsid w:val="005562EE"/>
    <w:rsid w:val="00556E3B"/>
    <w:rsid w:val="00563BC8"/>
    <w:rsid w:val="00564D08"/>
    <w:rsid w:val="00573675"/>
    <w:rsid w:val="005827E2"/>
    <w:rsid w:val="005853F6"/>
    <w:rsid w:val="00586EF4"/>
    <w:rsid w:val="00587F03"/>
    <w:rsid w:val="00590AB2"/>
    <w:rsid w:val="0059195D"/>
    <w:rsid w:val="005A0238"/>
    <w:rsid w:val="005A1972"/>
    <w:rsid w:val="005A33F5"/>
    <w:rsid w:val="005A677F"/>
    <w:rsid w:val="005B399D"/>
    <w:rsid w:val="005B655B"/>
    <w:rsid w:val="005B73D0"/>
    <w:rsid w:val="005C2C5C"/>
    <w:rsid w:val="005D36F1"/>
    <w:rsid w:val="005D4BB7"/>
    <w:rsid w:val="005E494A"/>
    <w:rsid w:val="005F00B6"/>
    <w:rsid w:val="005F0DEE"/>
    <w:rsid w:val="005F3313"/>
    <w:rsid w:val="005F6C6B"/>
    <w:rsid w:val="005F7458"/>
    <w:rsid w:val="005F7F18"/>
    <w:rsid w:val="00614164"/>
    <w:rsid w:val="00623D88"/>
    <w:rsid w:val="00631341"/>
    <w:rsid w:val="00635D68"/>
    <w:rsid w:val="00635F4E"/>
    <w:rsid w:val="00640FA2"/>
    <w:rsid w:val="006435FE"/>
    <w:rsid w:val="00651621"/>
    <w:rsid w:val="00653CBD"/>
    <w:rsid w:val="00655D5C"/>
    <w:rsid w:val="00660A41"/>
    <w:rsid w:val="0066494D"/>
    <w:rsid w:val="00665044"/>
    <w:rsid w:val="00665FC5"/>
    <w:rsid w:val="006661AD"/>
    <w:rsid w:val="00667E1B"/>
    <w:rsid w:val="006702A7"/>
    <w:rsid w:val="0067061F"/>
    <w:rsid w:val="006750AA"/>
    <w:rsid w:val="006770F8"/>
    <w:rsid w:val="00677AA4"/>
    <w:rsid w:val="0068052D"/>
    <w:rsid w:val="00683400"/>
    <w:rsid w:val="006838A3"/>
    <w:rsid w:val="00693BAA"/>
    <w:rsid w:val="00697BD3"/>
    <w:rsid w:val="006A168D"/>
    <w:rsid w:val="006A53F4"/>
    <w:rsid w:val="006B0C5C"/>
    <w:rsid w:val="006B2829"/>
    <w:rsid w:val="006B2F61"/>
    <w:rsid w:val="006B4D9A"/>
    <w:rsid w:val="006C2C80"/>
    <w:rsid w:val="006C5965"/>
    <w:rsid w:val="006C6AFD"/>
    <w:rsid w:val="006D06BA"/>
    <w:rsid w:val="006D46F2"/>
    <w:rsid w:val="006E2539"/>
    <w:rsid w:val="006E4490"/>
    <w:rsid w:val="006E59C9"/>
    <w:rsid w:val="006E79BA"/>
    <w:rsid w:val="006F64C1"/>
    <w:rsid w:val="00702C50"/>
    <w:rsid w:val="00705FF4"/>
    <w:rsid w:val="00713E91"/>
    <w:rsid w:val="00714D01"/>
    <w:rsid w:val="007163EB"/>
    <w:rsid w:val="00717114"/>
    <w:rsid w:val="00736BD3"/>
    <w:rsid w:val="00737637"/>
    <w:rsid w:val="007405D1"/>
    <w:rsid w:val="0074516C"/>
    <w:rsid w:val="007459A7"/>
    <w:rsid w:val="00750E47"/>
    <w:rsid w:val="00751FEE"/>
    <w:rsid w:val="007521EF"/>
    <w:rsid w:val="0075613D"/>
    <w:rsid w:val="007574A6"/>
    <w:rsid w:val="00760C26"/>
    <w:rsid w:val="0077631E"/>
    <w:rsid w:val="00776534"/>
    <w:rsid w:val="00784828"/>
    <w:rsid w:val="00785499"/>
    <w:rsid w:val="007876C6"/>
    <w:rsid w:val="00790905"/>
    <w:rsid w:val="00792C0C"/>
    <w:rsid w:val="00793E16"/>
    <w:rsid w:val="007945E1"/>
    <w:rsid w:val="007A04EF"/>
    <w:rsid w:val="007A5150"/>
    <w:rsid w:val="007A6E57"/>
    <w:rsid w:val="007B2E1F"/>
    <w:rsid w:val="007B762A"/>
    <w:rsid w:val="007C41F5"/>
    <w:rsid w:val="007C644D"/>
    <w:rsid w:val="007D0686"/>
    <w:rsid w:val="007D0F96"/>
    <w:rsid w:val="007D193E"/>
    <w:rsid w:val="007D51C9"/>
    <w:rsid w:val="007D566A"/>
    <w:rsid w:val="007E34C5"/>
    <w:rsid w:val="007E5F6C"/>
    <w:rsid w:val="007E71A8"/>
    <w:rsid w:val="007F3686"/>
    <w:rsid w:val="007F69BA"/>
    <w:rsid w:val="008009E8"/>
    <w:rsid w:val="00800DB6"/>
    <w:rsid w:val="00807917"/>
    <w:rsid w:val="0081039E"/>
    <w:rsid w:val="00810980"/>
    <w:rsid w:val="0081258D"/>
    <w:rsid w:val="00813661"/>
    <w:rsid w:val="008145CF"/>
    <w:rsid w:val="0081673C"/>
    <w:rsid w:val="008209A6"/>
    <w:rsid w:val="008256F0"/>
    <w:rsid w:val="00831A78"/>
    <w:rsid w:val="00832371"/>
    <w:rsid w:val="008341AD"/>
    <w:rsid w:val="008345E3"/>
    <w:rsid w:val="008418DB"/>
    <w:rsid w:val="00844DD0"/>
    <w:rsid w:val="00860317"/>
    <w:rsid w:val="00861EB4"/>
    <w:rsid w:val="00864D77"/>
    <w:rsid w:val="00877AA6"/>
    <w:rsid w:val="00883945"/>
    <w:rsid w:val="00885C94"/>
    <w:rsid w:val="00885F0D"/>
    <w:rsid w:val="008860D0"/>
    <w:rsid w:val="008943D3"/>
    <w:rsid w:val="00896659"/>
    <w:rsid w:val="00896688"/>
    <w:rsid w:val="008A1B92"/>
    <w:rsid w:val="008A2E1B"/>
    <w:rsid w:val="008B246F"/>
    <w:rsid w:val="008B499A"/>
    <w:rsid w:val="008B50A2"/>
    <w:rsid w:val="008B5B13"/>
    <w:rsid w:val="008B6709"/>
    <w:rsid w:val="008B6BC5"/>
    <w:rsid w:val="008C5F23"/>
    <w:rsid w:val="008C6CB9"/>
    <w:rsid w:val="008C754E"/>
    <w:rsid w:val="008D4B42"/>
    <w:rsid w:val="008D4B9F"/>
    <w:rsid w:val="008D549D"/>
    <w:rsid w:val="008D75F2"/>
    <w:rsid w:val="008E365A"/>
    <w:rsid w:val="008E7DD2"/>
    <w:rsid w:val="008F06B9"/>
    <w:rsid w:val="008F0EE3"/>
    <w:rsid w:val="008F10D7"/>
    <w:rsid w:val="008F3879"/>
    <w:rsid w:val="008F53C3"/>
    <w:rsid w:val="008F69E4"/>
    <w:rsid w:val="0090723D"/>
    <w:rsid w:val="00907CF8"/>
    <w:rsid w:val="00920459"/>
    <w:rsid w:val="00923E71"/>
    <w:rsid w:val="00930ECA"/>
    <w:rsid w:val="00931C43"/>
    <w:rsid w:val="00932BBE"/>
    <w:rsid w:val="009424AE"/>
    <w:rsid w:val="009515AE"/>
    <w:rsid w:val="009535EE"/>
    <w:rsid w:val="00953C2D"/>
    <w:rsid w:val="00961528"/>
    <w:rsid w:val="00962D30"/>
    <w:rsid w:val="00964517"/>
    <w:rsid w:val="0096452C"/>
    <w:rsid w:val="00973709"/>
    <w:rsid w:val="00980CBF"/>
    <w:rsid w:val="00983103"/>
    <w:rsid w:val="009865CF"/>
    <w:rsid w:val="00987065"/>
    <w:rsid w:val="00990145"/>
    <w:rsid w:val="00993896"/>
    <w:rsid w:val="009954BB"/>
    <w:rsid w:val="0099741B"/>
    <w:rsid w:val="00997CDA"/>
    <w:rsid w:val="009A173C"/>
    <w:rsid w:val="009B0313"/>
    <w:rsid w:val="009B20D4"/>
    <w:rsid w:val="009B28E6"/>
    <w:rsid w:val="009B5672"/>
    <w:rsid w:val="009C1A65"/>
    <w:rsid w:val="009C6EEF"/>
    <w:rsid w:val="009D13C1"/>
    <w:rsid w:val="009D336D"/>
    <w:rsid w:val="009D7549"/>
    <w:rsid w:val="009E5CDB"/>
    <w:rsid w:val="009E644C"/>
    <w:rsid w:val="009E71DB"/>
    <w:rsid w:val="009E71F8"/>
    <w:rsid w:val="009F06C5"/>
    <w:rsid w:val="009F2037"/>
    <w:rsid w:val="009F4D1A"/>
    <w:rsid w:val="009F5E87"/>
    <w:rsid w:val="00A07B71"/>
    <w:rsid w:val="00A14671"/>
    <w:rsid w:val="00A16B02"/>
    <w:rsid w:val="00A20EB6"/>
    <w:rsid w:val="00A22EC8"/>
    <w:rsid w:val="00A24106"/>
    <w:rsid w:val="00A2543A"/>
    <w:rsid w:val="00A2769F"/>
    <w:rsid w:val="00A37566"/>
    <w:rsid w:val="00A435D7"/>
    <w:rsid w:val="00A444FB"/>
    <w:rsid w:val="00A507B1"/>
    <w:rsid w:val="00A51F30"/>
    <w:rsid w:val="00A574C4"/>
    <w:rsid w:val="00A62B5F"/>
    <w:rsid w:val="00A66A91"/>
    <w:rsid w:val="00A776E7"/>
    <w:rsid w:val="00A8548D"/>
    <w:rsid w:val="00A97F97"/>
    <w:rsid w:val="00AA3213"/>
    <w:rsid w:val="00AA3C1E"/>
    <w:rsid w:val="00AA5B79"/>
    <w:rsid w:val="00AB02B8"/>
    <w:rsid w:val="00AB4E2B"/>
    <w:rsid w:val="00AB6C81"/>
    <w:rsid w:val="00AC09BD"/>
    <w:rsid w:val="00AC54F5"/>
    <w:rsid w:val="00AD20BD"/>
    <w:rsid w:val="00AD2FE2"/>
    <w:rsid w:val="00AD42D0"/>
    <w:rsid w:val="00AD5F88"/>
    <w:rsid w:val="00AD6EC3"/>
    <w:rsid w:val="00AD7F9A"/>
    <w:rsid w:val="00AE1356"/>
    <w:rsid w:val="00AF3693"/>
    <w:rsid w:val="00AF5504"/>
    <w:rsid w:val="00AF551B"/>
    <w:rsid w:val="00AF5F4A"/>
    <w:rsid w:val="00AF76B6"/>
    <w:rsid w:val="00B07253"/>
    <w:rsid w:val="00B111C4"/>
    <w:rsid w:val="00B133A2"/>
    <w:rsid w:val="00B14A93"/>
    <w:rsid w:val="00B230D3"/>
    <w:rsid w:val="00B24460"/>
    <w:rsid w:val="00B322D2"/>
    <w:rsid w:val="00B33771"/>
    <w:rsid w:val="00B478D2"/>
    <w:rsid w:val="00B47CE1"/>
    <w:rsid w:val="00B5117C"/>
    <w:rsid w:val="00B513E1"/>
    <w:rsid w:val="00B514C7"/>
    <w:rsid w:val="00B52AA6"/>
    <w:rsid w:val="00B52D2C"/>
    <w:rsid w:val="00B53FAA"/>
    <w:rsid w:val="00B5661C"/>
    <w:rsid w:val="00B60779"/>
    <w:rsid w:val="00B618C2"/>
    <w:rsid w:val="00B620C3"/>
    <w:rsid w:val="00B625B8"/>
    <w:rsid w:val="00B64A8F"/>
    <w:rsid w:val="00B65EF0"/>
    <w:rsid w:val="00B72AC6"/>
    <w:rsid w:val="00B72D38"/>
    <w:rsid w:val="00B7660D"/>
    <w:rsid w:val="00B76760"/>
    <w:rsid w:val="00B856EC"/>
    <w:rsid w:val="00B87C28"/>
    <w:rsid w:val="00B90E1E"/>
    <w:rsid w:val="00B91A66"/>
    <w:rsid w:val="00B9242F"/>
    <w:rsid w:val="00BA5ED4"/>
    <w:rsid w:val="00BB0A94"/>
    <w:rsid w:val="00BB123A"/>
    <w:rsid w:val="00BC59BC"/>
    <w:rsid w:val="00BC624F"/>
    <w:rsid w:val="00BD3144"/>
    <w:rsid w:val="00BE5430"/>
    <w:rsid w:val="00BF3B2B"/>
    <w:rsid w:val="00BF64E1"/>
    <w:rsid w:val="00C07206"/>
    <w:rsid w:val="00C12DAC"/>
    <w:rsid w:val="00C30EA8"/>
    <w:rsid w:val="00C413EB"/>
    <w:rsid w:val="00C4178E"/>
    <w:rsid w:val="00C441DF"/>
    <w:rsid w:val="00C44391"/>
    <w:rsid w:val="00C450EE"/>
    <w:rsid w:val="00C46C9D"/>
    <w:rsid w:val="00C51FB4"/>
    <w:rsid w:val="00C52671"/>
    <w:rsid w:val="00C53319"/>
    <w:rsid w:val="00C603D4"/>
    <w:rsid w:val="00C64132"/>
    <w:rsid w:val="00C654DA"/>
    <w:rsid w:val="00C65B3B"/>
    <w:rsid w:val="00C665FB"/>
    <w:rsid w:val="00C72DA6"/>
    <w:rsid w:val="00C72DCE"/>
    <w:rsid w:val="00C81BBB"/>
    <w:rsid w:val="00C824B8"/>
    <w:rsid w:val="00C86301"/>
    <w:rsid w:val="00C86CCF"/>
    <w:rsid w:val="00C9201E"/>
    <w:rsid w:val="00C946BB"/>
    <w:rsid w:val="00C95AAD"/>
    <w:rsid w:val="00CA7CDE"/>
    <w:rsid w:val="00CA7E96"/>
    <w:rsid w:val="00CB2E17"/>
    <w:rsid w:val="00CB2F63"/>
    <w:rsid w:val="00CB6731"/>
    <w:rsid w:val="00CC354E"/>
    <w:rsid w:val="00CD662A"/>
    <w:rsid w:val="00CE00EE"/>
    <w:rsid w:val="00CE0A75"/>
    <w:rsid w:val="00CE1C44"/>
    <w:rsid w:val="00CE3CCE"/>
    <w:rsid w:val="00CF2D93"/>
    <w:rsid w:val="00CF53EC"/>
    <w:rsid w:val="00CF634B"/>
    <w:rsid w:val="00CF67A1"/>
    <w:rsid w:val="00CF78C4"/>
    <w:rsid w:val="00D15086"/>
    <w:rsid w:val="00D15BA6"/>
    <w:rsid w:val="00D2421D"/>
    <w:rsid w:val="00D31662"/>
    <w:rsid w:val="00D36FE9"/>
    <w:rsid w:val="00D37026"/>
    <w:rsid w:val="00D4508E"/>
    <w:rsid w:val="00D479CC"/>
    <w:rsid w:val="00D504AA"/>
    <w:rsid w:val="00D515F2"/>
    <w:rsid w:val="00D53B26"/>
    <w:rsid w:val="00D610F4"/>
    <w:rsid w:val="00D62425"/>
    <w:rsid w:val="00D62F63"/>
    <w:rsid w:val="00D63A1B"/>
    <w:rsid w:val="00D65CBD"/>
    <w:rsid w:val="00D71156"/>
    <w:rsid w:val="00D71748"/>
    <w:rsid w:val="00D71898"/>
    <w:rsid w:val="00D73DA2"/>
    <w:rsid w:val="00D748EF"/>
    <w:rsid w:val="00D77D3E"/>
    <w:rsid w:val="00D84353"/>
    <w:rsid w:val="00D848AA"/>
    <w:rsid w:val="00D84E28"/>
    <w:rsid w:val="00D87999"/>
    <w:rsid w:val="00D94323"/>
    <w:rsid w:val="00D9612C"/>
    <w:rsid w:val="00D96A99"/>
    <w:rsid w:val="00DA0D32"/>
    <w:rsid w:val="00DA1FAB"/>
    <w:rsid w:val="00DA326F"/>
    <w:rsid w:val="00DA4328"/>
    <w:rsid w:val="00DA5AAE"/>
    <w:rsid w:val="00DA60E9"/>
    <w:rsid w:val="00DA615A"/>
    <w:rsid w:val="00DA6777"/>
    <w:rsid w:val="00DA6C7C"/>
    <w:rsid w:val="00DB007C"/>
    <w:rsid w:val="00DB30DF"/>
    <w:rsid w:val="00DB49C8"/>
    <w:rsid w:val="00DC44B2"/>
    <w:rsid w:val="00DD21F1"/>
    <w:rsid w:val="00DD485D"/>
    <w:rsid w:val="00DD660F"/>
    <w:rsid w:val="00DD6E28"/>
    <w:rsid w:val="00DE688C"/>
    <w:rsid w:val="00E04E66"/>
    <w:rsid w:val="00E050BD"/>
    <w:rsid w:val="00E10137"/>
    <w:rsid w:val="00E15320"/>
    <w:rsid w:val="00E154AD"/>
    <w:rsid w:val="00E171F1"/>
    <w:rsid w:val="00E22A46"/>
    <w:rsid w:val="00E26772"/>
    <w:rsid w:val="00E3662F"/>
    <w:rsid w:val="00E45B27"/>
    <w:rsid w:val="00E5015B"/>
    <w:rsid w:val="00E601C6"/>
    <w:rsid w:val="00E66C91"/>
    <w:rsid w:val="00E73353"/>
    <w:rsid w:val="00E82E81"/>
    <w:rsid w:val="00E82F82"/>
    <w:rsid w:val="00E84CAE"/>
    <w:rsid w:val="00E90862"/>
    <w:rsid w:val="00E94BDB"/>
    <w:rsid w:val="00EA0908"/>
    <w:rsid w:val="00EA524D"/>
    <w:rsid w:val="00EA5ED8"/>
    <w:rsid w:val="00EB2ACA"/>
    <w:rsid w:val="00EB2BF7"/>
    <w:rsid w:val="00EB39C2"/>
    <w:rsid w:val="00EC60F1"/>
    <w:rsid w:val="00EC64EF"/>
    <w:rsid w:val="00ED2569"/>
    <w:rsid w:val="00ED398D"/>
    <w:rsid w:val="00ED46EE"/>
    <w:rsid w:val="00ED6D55"/>
    <w:rsid w:val="00EE3D41"/>
    <w:rsid w:val="00EE5DDC"/>
    <w:rsid w:val="00F0492A"/>
    <w:rsid w:val="00F05601"/>
    <w:rsid w:val="00F11C17"/>
    <w:rsid w:val="00F121B2"/>
    <w:rsid w:val="00F13893"/>
    <w:rsid w:val="00F15AC3"/>
    <w:rsid w:val="00F17A76"/>
    <w:rsid w:val="00F2170D"/>
    <w:rsid w:val="00F27437"/>
    <w:rsid w:val="00F27BF8"/>
    <w:rsid w:val="00F3106A"/>
    <w:rsid w:val="00F3181A"/>
    <w:rsid w:val="00F34C2F"/>
    <w:rsid w:val="00F35FF9"/>
    <w:rsid w:val="00F45547"/>
    <w:rsid w:val="00F45F5F"/>
    <w:rsid w:val="00F47687"/>
    <w:rsid w:val="00F52345"/>
    <w:rsid w:val="00F542D1"/>
    <w:rsid w:val="00F5491B"/>
    <w:rsid w:val="00F55B39"/>
    <w:rsid w:val="00F5773E"/>
    <w:rsid w:val="00F608FE"/>
    <w:rsid w:val="00F65DCE"/>
    <w:rsid w:val="00F73B01"/>
    <w:rsid w:val="00F86809"/>
    <w:rsid w:val="00FA083A"/>
    <w:rsid w:val="00FA146B"/>
    <w:rsid w:val="00FA6470"/>
    <w:rsid w:val="00FB0793"/>
    <w:rsid w:val="00FB1834"/>
    <w:rsid w:val="00FB3073"/>
    <w:rsid w:val="00FB7583"/>
    <w:rsid w:val="00FC0A1F"/>
    <w:rsid w:val="00FC1626"/>
    <w:rsid w:val="00FC1D49"/>
    <w:rsid w:val="00FC2768"/>
    <w:rsid w:val="00FC39FB"/>
    <w:rsid w:val="00FC52BF"/>
    <w:rsid w:val="00FD03D4"/>
    <w:rsid w:val="00FD0F68"/>
    <w:rsid w:val="00FD2384"/>
    <w:rsid w:val="00FD3B91"/>
    <w:rsid w:val="00FD47A2"/>
    <w:rsid w:val="00FE0AD3"/>
    <w:rsid w:val="00FE0EB9"/>
    <w:rsid w:val="00FE218E"/>
    <w:rsid w:val="00FE5BFA"/>
    <w:rsid w:val="00FF6B4C"/>
    <w:rsid w:val="00FF6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32EA"/>
  <w15:chartTrackingRefBased/>
  <w15:docId w15:val="{53F3F9C3-6833-49DE-9E13-74326D7C1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Jake L"/>
    <w:next w:val="NoSpacing"/>
    <w:qFormat/>
    <w:rsid w:val="00973709"/>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5C2C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C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C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C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2C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2C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2C5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2C5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2C5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6E57"/>
    <w:pPr>
      <w:spacing w:after="0" w:line="240" w:lineRule="auto"/>
      <w:jc w:val="both"/>
    </w:pPr>
    <w:rPr>
      <w:rFonts w:ascii="Times New Roman" w:hAnsi="Times New Roman"/>
    </w:rPr>
  </w:style>
  <w:style w:type="character" w:customStyle="1" w:styleId="Heading1Char">
    <w:name w:val="Heading 1 Char"/>
    <w:basedOn w:val="DefaultParagraphFont"/>
    <w:link w:val="Heading1"/>
    <w:uiPriority w:val="9"/>
    <w:rsid w:val="005C2C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C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C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C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C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C5C"/>
    <w:rPr>
      <w:rFonts w:eastAsiaTheme="majorEastAsia" w:cstheme="majorBidi"/>
      <w:color w:val="272727" w:themeColor="text1" w:themeTint="D8"/>
    </w:rPr>
  </w:style>
  <w:style w:type="paragraph" w:styleId="Title">
    <w:name w:val="Title"/>
    <w:basedOn w:val="Normal"/>
    <w:next w:val="Normal"/>
    <w:link w:val="TitleChar"/>
    <w:uiPriority w:val="10"/>
    <w:qFormat/>
    <w:rsid w:val="005C2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C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C5C"/>
    <w:pPr>
      <w:spacing w:before="160"/>
      <w:jc w:val="center"/>
    </w:pPr>
    <w:rPr>
      <w:i/>
      <w:iCs/>
      <w:color w:val="404040" w:themeColor="text1" w:themeTint="BF"/>
    </w:rPr>
  </w:style>
  <w:style w:type="character" w:customStyle="1" w:styleId="QuoteChar">
    <w:name w:val="Quote Char"/>
    <w:basedOn w:val="DefaultParagraphFont"/>
    <w:link w:val="Quote"/>
    <w:uiPriority w:val="29"/>
    <w:rsid w:val="005C2C5C"/>
    <w:rPr>
      <w:rFonts w:ascii="Times New Roman" w:hAnsi="Times New Roman"/>
      <w:i/>
      <w:iCs/>
      <w:color w:val="404040" w:themeColor="text1" w:themeTint="BF"/>
    </w:rPr>
  </w:style>
  <w:style w:type="paragraph" w:styleId="ListParagraph">
    <w:name w:val="List Paragraph"/>
    <w:basedOn w:val="Normal"/>
    <w:uiPriority w:val="34"/>
    <w:qFormat/>
    <w:rsid w:val="005C2C5C"/>
    <w:pPr>
      <w:ind w:left="720"/>
      <w:contextualSpacing/>
    </w:pPr>
  </w:style>
  <w:style w:type="character" w:styleId="IntenseEmphasis">
    <w:name w:val="Intense Emphasis"/>
    <w:basedOn w:val="DefaultParagraphFont"/>
    <w:uiPriority w:val="21"/>
    <w:qFormat/>
    <w:rsid w:val="005C2C5C"/>
    <w:rPr>
      <w:i/>
      <w:iCs/>
      <w:color w:val="0F4761" w:themeColor="accent1" w:themeShade="BF"/>
    </w:rPr>
  </w:style>
  <w:style w:type="paragraph" w:styleId="IntenseQuote">
    <w:name w:val="Intense Quote"/>
    <w:basedOn w:val="Normal"/>
    <w:next w:val="Normal"/>
    <w:link w:val="IntenseQuoteChar"/>
    <w:uiPriority w:val="30"/>
    <w:qFormat/>
    <w:rsid w:val="005C2C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C5C"/>
    <w:rPr>
      <w:rFonts w:ascii="Times New Roman" w:hAnsi="Times New Roman"/>
      <w:i/>
      <w:iCs/>
      <w:color w:val="0F4761" w:themeColor="accent1" w:themeShade="BF"/>
    </w:rPr>
  </w:style>
  <w:style w:type="character" w:styleId="IntenseReference">
    <w:name w:val="Intense Reference"/>
    <w:basedOn w:val="DefaultParagraphFont"/>
    <w:uiPriority w:val="32"/>
    <w:qFormat/>
    <w:rsid w:val="005C2C5C"/>
    <w:rPr>
      <w:b/>
      <w:bCs/>
      <w:smallCaps/>
      <w:color w:val="0F4761" w:themeColor="accent1" w:themeShade="BF"/>
      <w:spacing w:val="5"/>
    </w:rPr>
  </w:style>
  <w:style w:type="table" w:styleId="TableGrid">
    <w:name w:val="Table Grid"/>
    <w:basedOn w:val="TableNormal"/>
    <w:uiPriority w:val="39"/>
    <w:rsid w:val="00162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3709"/>
    <w:rPr>
      <w:color w:val="467886" w:themeColor="hyperlink"/>
      <w:u w:val="single"/>
    </w:rPr>
  </w:style>
  <w:style w:type="character" w:styleId="UnresolvedMention">
    <w:name w:val="Unresolved Mention"/>
    <w:basedOn w:val="DefaultParagraphFont"/>
    <w:uiPriority w:val="99"/>
    <w:semiHidden/>
    <w:unhideWhenUsed/>
    <w:rsid w:val="00973709"/>
    <w:rPr>
      <w:color w:val="605E5C"/>
      <w:shd w:val="clear" w:color="auto" w:fill="E1DFDD"/>
    </w:rPr>
  </w:style>
  <w:style w:type="character" w:styleId="FollowedHyperlink">
    <w:name w:val="FollowedHyperlink"/>
    <w:basedOn w:val="DefaultParagraphFont"/>
    <w:uiPriority w:val="99"/>
    <w:semiHidden/>
    <w:unhideWhenUsed/>
    <w:rsid w:val="00CB2F63"/>
    <w:rPr>
      <w:color w:val="96607D" w:themeColor="followedHyperlink"/>
      <w:u w:val="single"/>
    </w:rPr>
  </w:style>
  <w:style w:type="paragraph" w:styleId="Header">
    <w:name w:val="header"/>
    <w:basedOn w:val="Normal"/>
    <w:link w:val="HeaderChar"/>
    <w:uiPriority w:val="99"/>
    <w:unhideWhenUsed/>
    <w:rsid w:val="00202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DA2"/>
    <w:rPr>
      <w:rFonts w:ascii="Times New Roman" w:hAnsi="Times New Roman"/>
    </w:rPr>
  </w:style>
  <w:style w:type="paragraph" w:styleId="Footer">
    <w:name w:val="footer"/>
    <w:basedOn w:val="Normal"/>
    <w:link w:val="FooterChar"/>
    <w:uiPriority w:val="99"/>
    <w:unhideWhenUsed/>
    <w:rsid w:val="00202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DA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0503307.2023.2197630" TargetMode="External"/><Relationship Id="rId18" Type="http://schemas.openxmlformats.org/officeDocument/2006/relationships/hyperlink" Target="https://doi.org/10.1007/s10608-018-9904-y" TargetMode="External"/><Relationship Id="rId26" Type="http://schemas.openxmlformats.org/officeDocument/2006/relationships/hyperlink" Target="https://doi.org/10.1176/ps.2008.59.10.1121" TargetMode="External"/><Relationship Id="rId39" Type="http://schemas.openxmlformats.org/officeDocument/2006/relationships/hyperlink" Target="http://dx.doi.org/10.1016/j.jpsychires.2015.02.017" TargetMode="External"/><Relationship Id="rId21" Type="http://schemas.openxmlformats.org/officeDocument/2006/relationships/hyperlink" Target="https://doi.org/10.1016/j.jad.2023.04.092" TargetMode="External"/><Relationship Id="rId34" Type="http://schemas.openxmlformats.org/officeDocument/2006/relationships/hyperlink" Target="https://doi.org/10.1016/j.jpsychires.2019.08.009" TargetMode="External"/><Relationship Id="rId42" Type="http://schemas.openxmlformats.org/officeDocument/2006/relationships/hyperlink" Target="https://doi.org/10.1176/appi.ps.201800063" TargetMode="External"/><Relationship Id="rId7" Type="http://schemas.openxmlformats.org/officeDocument/2006/relationships/hyperlink" Target="https://doi.org/10.1016/j.janxdis.2018.01.001" TargetMode="External"/><Relationship Id="rId2" Type="http://schemas.openxmlformats.org/officeDocument/2006/relationships/styles" Target="styles.xml"/><Relationship Id="rId16" Type="http://schemas.openxmlformats.org/officeDocument/2006/relationships/hyperlink" Target="https://doi.org/10.1016/j.jad.2016.01.036" TargetMode="External"/><Relationship Id="rId29" Type="http://schemas.openxmlformats.org/officeDocument/2006/relationships/hyperlink" Target="http://dx.doi.org/10.1037/ccp00003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ad.2025.119409" TargetMode="External"/><Relationship Id="rId24" Type="http://schemas.openxmlformats.org/officeDocument/2006/relationships/hyperlink" Target="https://doi.org/10.1002/wps.20038" TargetMode="External"/><Relationship Id="rId32" Type="http://schemas.openxmlformats.org/officeDocument/2006/relationships/hyperlink" Target="https://doi.org/10.1080/16506073.2011.576699" TargetMode="External"/><Relationship Id="rId37" Type="http://schemas.openxmlformats.org/officeDocument/2006/relationships/hyperlink" Target="https://doi.org/10.1016/j.jpsychires.2019.08.014" TargetMode="External"/><Relationship Id="rId40" Type="http://schemas.openxmlformats.org/officeDocument/2006/relationships/hyperlink" Target="https://doi.org/10.1176/appi.ajp.160.3.53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6/j.invent.2019.100247" TargetMode="External"/><Relationship Id="rId23" Type="http://schemas.openxmlformats.org/officeDocument/2006/relationships/hyperlink" Target="https://doi.org/10.1176/ps.2008.59.10.1121" TargetMode="External"/><Relationship Id="rId28" Type="http://schemas.openxmlformats.org/officeDocument/2006/relationships/hyperlink" Target="https://doi.org/10.1017/S0033291720003426" TargetMode="External"/><Relationship Id="rId36" Type="http://schemas.openxmlformats.org/officeDocument/2006/relationships/hyperlink" Target="https://doi.org/10.1016/j.invent.2014.08.002" TargetMode="External"/><Relationship Id="rId10" Type="http://schemas.openxmlformats.org/officeDocument/2006/relationships/hyperlink" Target="https://doi.org/10.1016/j.jad.2013.08.022" TargetMode="External"/><Relationship Id="rId19" Type="http://schemas.openxmlformats.org/officeDocument/2006/relationships/hyperlink" Target="http://dx.doi.org/10.1016/j.psychres.2017.04.042" TargetMode="External"/><Relationship Id="rId31" Type="http://schemas.openxmlformats.org/officeDocument/2006/relationships/hyperlink" Target="https://doi.org/10.1080/16506073.2011.576699" TargetMode="External"/><Relationship Id="rId44" Type="http://schemas.openxmlformats.org/officeDocument/2006/relationships/hyperlink" Target="https://doi.org/10.1038/s41380-023-02203-y" TargetMode="External"/><Relationship Id="rId4" Type="http://schemas.openxmlformats.org/officeDocument/2006/relationships/webSettings" Target="webSettings.xml"/><Relationship Id="rId9" Type="http://schemas.openxmlformats.org/officeDocument/2006/relationships/hyperlink" Target="https://doi.org/10.1016/j.jad.2025.119409" TargetMode="External"/><Relationship Id="rId14" Type="http://schemas.openxmlformats.org/officeDocument/2006/relationships/hyperlink" Target="https://doi.org/10.1192/bjp.187.5.456" TargetMode="External"/><Relationship Id="rId22" Type="http://schemas.openxmlformats.org/officeDocument/2006/relationships/hyperlink" Target="https://doi.org/10.1176/appi.ajp.163.1.28" TargetMode="External"/><Relationship Id="rId27" Type="http://schemas.openxmlformats.org/officeDocument/2006/relationships/hyperlink" Target="https://doi.org/10.1080/10640266.2025.2498247" TargetMode="External"/><Relationship Id="rId30" Type="http://schemas.openxmlformats.org/officeDocument/2006/relationships/hyperlink" Target="https://doi.org/10.1176/appi.ajp.160.2.255" TargetMode="External"/><Relationship Id="rId35" Type="http://schemas.openxmlformats.org/officeDocument/2006/relationships/hyperlink" Target="https://doi.org/10.2147/DDDT.S89485" TargetMode="External"/><Relationship Id="rId43" Type="http://schemas.openxmlformats.org/officeDocument/2006/relationships/hyperlink" Target="https://doi.org/10.1177/000486742091311" TargetMode="External"/><Relationship Id="rId8" Type="http://schemas.openxmlformats.org/officeDocument/2006/relationships/hyperlink" Target="https://doi.org/10.1016/j.invent.2022.100495" TargetMode="External"/><Relationship Id="rId3" Type="http://schemas.openxmlformats.org/officeDocument/2006/relationships/settings" Target="settings.xml"/><Relationship Id="rId12" Type="http://schemas.openxmlformats.org/officeDocument/2006/relationships/hyperlink" Target="https://doi.org/10.1016/j.invent.2022.100495" TargetMode="External"/><Relationship Id="rId17" Type="http://schemas.openxmlformats.org/officeDocument/2006/relationships/hyperlink" Target="https://doi.org/10.1016/j.jad.2016.01.036" TargetMode="External"/><Relationship Id="rId25" Type="http://schemas.openxmlformats.org/officeDocument/2006/relationships/hyperlink" Target="https://doi.org/10.1002/wps.20089" TargetMode="External"/><Relationship Id="rId33" Type="http://schemas.openxmlformats.org/officeDocument/2006/relationships/hyperlink" Target="https://pediatrics.jmir.org/2022/2/e33551" TargetMode="External"/><Relationship Id="rId38" Type="http://schemas.openxmlformats.org/officeDocument/2006/relationships/hyperlink" Target="https://doi.org/10.2147/DDDT.S89485" TargetMode="External"/><Relationship Id="rId46" Type="http://schemas.openxmlformats.org/officeDocument/2006/relationships/theme" Target="theme/theme1.xml"/><Relationship Id="rId20" Type="http://schemas.openxmlformats.org/officeDocument/2006/relationships/hyperlink" Target="http://dx.doi.org/10.1016/j.cpr.2015.05.001" TargetMode="External"/><Relationship Id="rId41" Type="http://schemas.openxmlformats.org/officeDocument/2006/relationships/hyperlink" Target="https://doi.org/10.26181/19972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6390</TotalTime>
  <Pages>54</Pages>
  <Words>20335</Words>
  <Characters>122621</Characters>
  <Application>Microsoft Office Word</Application>
  <DocSecurity>0</DocSecurity>
  <Lines>3503</Lines>
  <Paragraphs>1520</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141436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Linardon</dc:creator>
  <cp:keywords/>
  <dc:description/>
  <cp:lastModifiedBy>Jake Linardon</cp:lastModifiedBy>
  <cp:revision>598</cp:revision>
  <dcterms:created xsi:type="dcterms:W3CDTF">2026-01-10T03:25:00Z</dcterms:created>
  <dcterms:modified xsi:type="dcterms:W3CDTF">2026-01-21T07:57:00Z</dcterms:modified>
</cp:coreProperties>
</file>