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D933" w14:textId="3BA29464" w:rsidR="0097191B" w:rsidRDefault="0097191B" w:rsidP="0004335D">
      <w:pPr>
        <w:pStyle w:val="Heading1"/>
        <w:spacing w:before="0"/>
        <w:rPr>
          <w:rFonts w:ascii="Times New Roman" w:hAnsi="Times New Roman" w:cs="Times New Roman"/>
          <w:color w:val="auto"/>
          <w:lang w:val="en-MY"/>
        </w:rPr>
      </w:pPr>
      <w:r w:rsidRPr="00251B46">
        <w:rPr>
          <w:rFonts w:ascii="Times New Roman" w:hAnsi="Times New Roman" w:cs="Times New Roman"/>
          <w:color w:val="auto"/>
          <w:lang w:val="en-MY"/>
        </w:rPr>
        <w:t>Supplementary Materials</w:t>
      </w:r>
    </w:p>
    <w:p w14:paraId="28DD46D3" w14:textId="77777777" w:rsidR="00A1082D" w:rsidRPr="00A1082D" w:rsidRDefault="00A1082D" w:rsidP="00A1082D">
      <w:pPr>
        <w:rPr>
          <w:lang w:val="en-MY"/>
        </w:rPr>
      </w:pPr>
    </w:p>
    <w:p w14:paraId="12B22284" w14:textId="5A4BC766" w:rsidR="0004335D" w:rsidRPr="0004335D" w:rsidRDefault="0004335D" w:rsidP="0004335D">
      <w:pPr>
        <w:pStyle w:val="Caption"/>
        <w:keepNext/>
        <w:rPr>
          <w:rFonts w:ascii="Times New Roman" w:hAnsi="Times New Roman" w:cs="Times New Roman"/>
          <w:i w:val="0"/>
          <w:iCs w:val="0"/>
          <w:color w:val="auto"/>
          <w:sz w:val="24"/>
          <w:szCs w:val="24"/>
        </w:rPr>
      </w:pPr>
      <w:r w:rsidRPr="00251B46">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S</w:t>
      </w:r>
      <w:r w:rsidRPr="00251B46">
        <w:rPr>
          <w:rFonts w:ascii="Times New Roman" w:hAnsi="Times New Roman" w:cs="Times New Roman"/>
          <w:b/>
          <w:bCs/>
          <w:i w:val="0"/>
          <w:iCs w:val="0"/>
          <w:color w:val="auto"/>
          <w:sz w:val="24"/>
          <w:szCs w:val="24"/>
        </w:rPr>
        <w:fldChar w:fldCharType="begin"/>
      </w:r>
      <w:r w:rsidRPr="00251B46">
        <w:rPr>
          <w:rFonts w:ascii="Times New Roman" w:hAnsi="Times New Roman" w:cs="Times New Roman"/>
          <w:b/>
          <w:bCs/>
          <w:i w:val="0"/>
          <w:iCs w:val="0"/>
          <w:color w:val="auto"/>
          <w:sz w:val="24"/>
          <w:szCs w:val="24"/>
        </w:rPr>
        <w:instrText xml:space="preserve"> SEQ Table \* ARABIC </w:instrText>
      </w:r>
      <w:r w:rsidRPr="00251B46">
        <w:rPr>
          <w:rFonts w:ascii="Times New Roman" w:hAnsi="Times New Roman" w:cs="Times New Roman"/>
          <w:b/>
          <w:bCs/>
          <w:i w:val="0"/>
          <w:iCs w:val="0"/>
          <w:color w:val="auto"/>
          <w:sz w:val="24"/>
          <w:szCs w:val="24"/>
        </w:rPr>
        <w:fldChar w:fldCharType="separate"/>
      </w:r>
      <w:r w:rsidRPr="00251B46">
        <w:rPr>
          <w:rFonts w:ascii="Times New Roman" w:hAnsi="Times New Roman" w:cs="Times New Roman"/>
          <w:b/>
          <w:bCs/>
          <w:i w:val="0"/>
          <w:iCs w:val="0"/>
          <w:noProof/>
          <w:color w:val="auto"/>
          <w:sz w:val="24"/>
          <w:szCs w:val="24"/>
        </w:rPr>
        <w:t>1</w:t>
      </w:r>
      <w:r w:rsidRPr="00251B46">
        <w:rPr>
          <w:rFonts w:ascii="Times New Roman" w:hAnsi="Times New Roman" w:cs="Times New Roman"/>
          <w:b/>
          <w:bCs/>
          <w:i w:val="0"/>
          <w:iCs w:val="0"/>
          <w:color w:val="auto"/>
          <w:sz w:val="24"/>
          <w:szCs w:val="24"/>
        </w:rPr>
        <w:fldChar w:fldCharType="end"/>
      </w:r>
      <w:r w:rsidRPr="00251B46">
        <w:rPr>
          <w:rFonts w:ascii="Times New Roman" w:hAnsi="Times New Roman" w:cs="Times New Roman"/>
          <w:b/>
          <w:bCs/>
          <w:i w:val="0"/>
          <w:iCs w:val="0"/>
          <w:color w:val="auto"/>
          <w:sz w:val="24"/>
          <w:szCs w:val="24"/>
        </w:rPr>
        <w:t>:</w:t>
      </w:r>
      <w:r w:rsidRPr="00251B46">
        <w:rPr>
          <w:rFonts w:ascii="Times New Roman" w:hAnsi="Times New Roman" w:cs="Times New Roman"/>
          <w:i w:val="0"/>
          <w:iCs w:val="0"/>
          <w:color w:val="auto"/>
          <w:sz w:val="24"/>
          <w:szCs w:val="24"/>
          <w:lang w:val="en-US"/>
        </w:rPr>
        <w:t xml:space="preserve"> Conversion data table for the fish waste conversion facilities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0"/>
        <w:gridCol w:w="1696"/>
        <w:gridCol w:w="1985"/>
        <w:gridCol w:w="1559"/>
        <w:gridCol w:w="1366"/>
      </w:tblGrid>
      <w:tr w:rsidR="00026AFF" w:rsidRPr="0004335D" w14:paraId="765E2E12" w14:textId="77777777" w:rsidTr="006365EF">
        <w:tc>
          <w:tcPr>
            <w:tcW w:w="2410" w:type="dxa"/>
            <w:tcBorders>
              <w:bottom w:val="single" w:sz="4" w:space="0" w:color="auto"/>
            </w:tcBorders>
            <w:shd w:val="clear" w:color="auto" w:fill="auto"/>
            <w:vAlign w:val="center"/>
          </w:tcPr>
          <w:p w14:paraId="3909160E" w14:textId="61D64D46" w:rsidR="005421CF" w:rsidRPr="0004335D" w:rsidRDefault="005421CF" w:rsidP="000437BF">
            <w:pPr>
              <w:pStyle w:val="Caption"/>
              <w:keepNext/>
              <w:spacing w:before="60" w:after="60"/>
              <w:jc w:val="center"/>
              <w:rPr>
                <w:rFonts w:ascii="Times New Roman" w:hAnsi="Times New Roman" w:cs="Times New Roman"/>
                <w:b/>
                <w:bCs/>
                <w:i w:val="0"/>
                <w:iCs w:val="0"/>
                <w:color w:val="auto"/>
                <w:sz w:val="22"/>
                <w:szCs w:val="22"/>
              </w:rPr>
            </w:pPr>
            <w:r w:rsidRPr="0004335D">
              <w:rPr>
                <w:rFonts w:ascii="Times New Roman" w:hAnsi="Times New Roman" w:cs="Times New Roman"/>
                <w:b/>
                <w:bCs/>
                <w:i w:val="0"/>
                <w:iCs w:val="0"/>
                <w:color w:val="auto"/>
                <w:sz w:val="22"/>
                <w:szCs w:val="22"/>
              </w:rPr>
              <w:t>Facility/Technology</w:t>
            </w:r>
          </w:p>
        </w:tc>
        <w:tc>
          <w:tcPr>
            <w:tcW w:w="1696" w:type="dxa"/>
            <w:tcBorders>
              <w:bottom w:val="single" w:sz="4" w:space="0" w:color="auto"/>
            </w:tcBorders>
            <w:shd w:val="clear" w:color="auto" w:fill="auto"/>
            <w:vAlign w:val="center"/>
          </w:tcPr>
          <w:p w14:paraId="2C9FE8FC" w14:textId="4406C410" w:rsidR="005421CF" w:rsidRPr="0004335D" w:rsidRDefault="005421CF" w:rsidP="000437BF">
            <w:pPr>
              <w:pStyle w:val="Caption"/>
              <w:keepNext/>
              <w:spacing w:before="60" w:after="60"/>
              <w:jc w:val="center"/>
              <w:rPr>
                <w:rFonts w:ascii="Times New Roman" w:hAnsi="Times New Roman" w:cs="Times New Roman"/>
                <w:b/>
                <w:bCs/>
                <w:i w:val="0"/>
                <w:iCs w:val="0"/>
                <w:color w:val="auto"/>
                <w:sz w:val="22"/>
                <w:szCs w:val="22"/>
              </w:rPr>
            </w:pPr>
            <w:r w:rsidRPr="0004335D">
              <w:rPr>
                <w:rFonts w:ascii="Times New Roman" w:hAnsi="Times New Roman" w:cs="Times New Roman"/>
                <w:b/>
                <w:bCs/>
                <w:i w:val="0"/>
                <w:iCs w:val="0"/>
                <w:color w:val="auto"/>
                <w:sz w:val="22"/>
                <w:szCs w:val="22"/>
              </w:rPr>
              <w:t>Input</w:t>
            </w:r>
          </w:p>
        </w:tc>
        <w:tc>
          <w:tcPr>
            <w:tcW w:w="1985" w:type="dxa"/>
            <w:tcBorders>
              <w:bottom w:val="single" w:sz="4" w:space="0" w:color="auto"/>
            </w:tcBorders>
            <w:shd w:val="clear" w:color="auto" w:fill="auto"/>
            <w:vAlign w:val="center"/>
          </w:tcPr>
          <w:p w14:paraId="0DB9D37B" w14:textId="7CE5B39E" w:rsidR="005421CF" w:rsidRPr="0004335D" w:rsidRDefault="005421CF" w:rsidP="000437BF">
            <w:pPr>
              <w:pStyle w:val="Caption"/>
              <w:keepNext/>
              <w:spacing w:before="60" w:after="60"/>
              <w:jc w:val="center"/>
              <w:rPr>
                <w:rFonts w:ascii="Times New Roman" w:hAnsi="Times New Roman" w:cs="Times New Roman"/>
                <w:b/>
                <w:bCs/>
                <w:i w:val="0"/>
                <w:iCs w:val="0"/>
                <w:color w:val="auto"/>
                <w:sz w:val="22"/>
                <w:szCs w:val="22"/>
              </w:rPr>
            </w:pPr>
            <w:r w:rsidRPr="0004335D">
              <w:rPr>
                <w:rFonts w:ascii="Times New Roman" w:hAnsi="Times New Roman" w:cs="Times New Roman"/>
                <w:b/>
                <w:bCs/>
                <w:i w:val="0"/>
                <w:iCs w:val="0"/>
                <w:color w:val="auto"/>
                <w:sz w:val="22"/>
                <w:szCs w:val="22"/>
              </w:rPr>
              <w:t>Output</w:t>
            </w:r>
          </w:p>
        </w:tc>
        <w:tc>
          <w:tcPr>
            <w:tcW w:w="1559" w:type="dxa"/>
            <w:tcBorders>
              <w:bottom w:val="single" w:sz="4" w:space="0" w:color="auto"/>
            </w:tcBorders>
            <w:shd w:val="clear" w:color="auto" w:fill="auto"/>
            <w:vAlign w:val="center"/>
          </w:tcPr>
          <w:p w14:paraId="2CF2D78C" w14:textId="40E42298" w:rsidR="005421CF" w:rsidRPr="0004335D" w:rsidRDefault="005421CF" w:rsidP="000437BF">
            <w:pPr>
              <w:pStyle w:val="Caption"/>
              <w:keepNext/>
              <w:spacing w:before="60" w:after="60"/>
              <w:jc w:val="center"/>
              <w:rPr>
                <w:rFonts w:ascii="Times New Roman" w:hAnsi="Times New Roman" w:cs="Times New Roman"/>
                <w:b/>
                <w:bCs/>
                <w:i w:val="0"/>
                <w:iCs w:val="0"/>
                <w:color w:val="auto"/>
                <w:sz w:val="22"/>
                <w:szCs w:val="22"/>
              </w:rPr>
            </w:pPr>
            <w:r w:rsidRPr="0004335D">
              <w:rPr>
                <w:rFonts w:ascii="Times New Roman" w:hAnsi="Times New Roman" w:cs="Times New Roman"/>
                <w:b/>
                <w:bCs/>
                <w:i w:val="0"/>
                <w:iCs w:val="0"/>
                <w:color w:val="auto"/>
                <w:sz w:val="22"/>
                <w:szCs w:val="22"/>
              </w:rPr>
              <w:t>Conversion</w:t>
            </w:r>
            <w:r w:rsidR="000437BF">
              <w:rPr>
                <w:rFonts w:ascii="Times New Roman" w:hAnsi="Times New Roman" w:cs="Times New Roman"/>
                <w:b/>
                <w:bCs/>
                <w:i w:val="0"/>
                <w:iCs w:val="0"/>
                <w:color w:val="auto"/>
                <w:sz w:val="22"/>
                <w:szCs w:val="22"/>
              </w:rPr>
              <w:t xml:space="preserve"> Ratio</w:t>
            </w:r>
          </w:p>
        </w:tc>
        <w:tc>
          <w:tcPr>
            <w:tcW w:w="1366" w:type="dxa"/>
            <w:tcBorders>
              <w:bottom w:val="single" w:sz="4" w:space="0" w:color="auto"/>
            </w:tcBorders>
            <w:shd w:val="clear" w:color="auto" w:fill="auto"/>
            <w:vAlign w:val="center"/>
          </w:tcPr>
          <w:p w14:paraId="7B43E2BC" w14:textId="55FE0877" w:rsidR="005421CF" w:rsidRPr="0004335D" w:rsidRDefault="005421CF" w:rsidP="000437BF">
            <w:pPr>
              <w:pStyle w:val="Caption"/>
              <w:keepNext/>
              <w:spacing w:before="60" w:after="60"/>
              <w:jc w:val="center"/>
              <w:rPr>
                <w:rFonts w:ascii="Times New Roman" w:hAnsi="Times New Roman" w:cs="Times New Roman"/>
                <w:b/>
                <w:bCs/>
                <w:i w:val="0"/>
                <w:iCs w:val="0"/>
                <w:color w:val="auto"/>
                <w:sz w:val="22"/>
                <w:szCs w:val="22"/>
              </w:rPr>
            </w:pPr>
            <w:r w:rsidRPr="0004335D">
              <w:rPr>
                <w:rFonts w:ascii="Times New Roman" w:hAnsi="Times New Roman" w:cs="Times New Roman"/>
                <w:b/>
                <w:bCs/>
                <w:i w:val="0"/>
                <w:iCs w:val="0"/>
                <w:color w:val="auto"/>
                <w:sz w:val="22"/>
                <w:szCs w:val="22"/>
              </w:rPr>
              <w:t>References</w:t>
            </w:r>
          </w:p>
        </w:tc>
      </w:tr>
      <w:tr w:rsidR="0004335D" w:rsidRPr="0004335D" w14:paraId="076A52AC" w14:textId="77777777" w:rsidTr="006365EF">
        <w:tc>
          <w:tcPr>
            <w:tcW w:w="2410" w:type="dxa"/>
            <w:tcBorders>
              <w:bottom w:val="nil"/>
            </w:tcBorders>
            <w:vAlign w:val="center"/>
          </w:tcPr>
          <w:p w14:paraId="161A5869" w14:textId="0D568E41"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tank (Aquaponic)</w:t>
            </w:r>
          </w:p>
        </w:tc>
        <w:tc>
          <w:tcPr>
            <w:tcW w:w="1696" w:type="dxa"/>
            <w:tcBorders>
              <w:bottom w:val="nil"/>
            </w:tcBorders>
            <w:vAlign w:val="center"/>
          </w:tcPr>
          <w:p w14:paraId="0BBE6EF7" w14:textId="1D7E2244"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feed</w:t>
            </w:r>
          </w:p>
        </w:tc>
        <w:tc>
          <w:tcPr>
            <w:tcW w:w="1985" w:type="dxa"/>
            <w:tcBorders>
              <w:bottom w:val="nil"/>
            </w:tcBorders>
            <w:vAlign w:val="center"/>
          </w:tcPr>
          <w:p w14:paraId="23B3C3C3" w14:textId="38B85D8A"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harvested</w:t>
            </w:r>
          </w:p>
        </w:tc>
        <w:tc>
          <w:tcPr>
            <w:tcW w:w="1559" w:type="dxa"/>
            <w:tcBorders>
              <w:bottom w:val="nil"/>
            </w:tcBorders>
            <w:vAlign w:val="center"/>
          </w:tcPr>
          <w:p w14:paraId="4269D500" w14:textId="5A0D4128"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0.77 t/t FF</w:t>
            </w:r>
          </w:p>
        </w:tc>
        <w:tc>
          <w:tcPr>
            <w:tcW w:w="1366" w:type="dxa"/>
            <w:vMerge w:val="restart"/>
            <w:tcBorders>
              <w:bottom w:val="nil"/>
            </w:tcBorders>
            <w:vAlign w:val="center"/>
          </w:tcPr>
          <w:p w14:paraId="711D2D93" w14:textId="7B96B20B" w:rsidR="0004335D"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{"citationItems":[{"id":"ITEM-1","itemData":{"DOI":"10.1080/10454438.2017.1414009","ISSN":"15450805","abstract":"This article examined the profitability of aquaponics in the U.S. Midwest. Three sources of data were considered for the study: (1) three active aquaponics farms, (2) a university greenhouse experiment, and (3) published research. The first analysis compares the economics of aquaponics and hydroponics systems under similar operations. Results suggest that the aquaponics system requires higher investment and operating cost but has lower production of vegetables compared with the hydroponics system. However, if aquaponics vegetable production is managed as an organic production, and the produce is sold at 20% premium price, aquaponics becomes profitable. The second analysis constructed three different representative farm sizes of aquaponics production of basil and tilapia—small, medium, and large. The production of basil provides better economic returns than the fish. All farm sizes are feasible when the basil price is above $10.00 per kg. The larger farm has the best results because of lower cost of production.","author":[{"dropping-particle":"","family":"Quagrainie","given":"Kwamena K.","non-dropping-particle":"","parse-names":false,"suffix":""},{"dropping-particle":"","family":"Flores","given":"Roberto Manolio Valladão","non-dropping-particle":"","parse-names":false,"suffix":""},{"dropping-particle":"","family":"Kim","given":"Hye Ji","non-dropping-particle":"","parse-names":false,"suffix":""},{"dropping-particle":"","family":"McClain","given":"Verena","non-dropping-particle":"","parse-names":false,"suffix":""}],"container-title":"Journal of Applied Aquaculture","id":"ITEM-1","issued":{"date-parts":[["2018"]]},"title":"Economic analysis of aquaponics and hydroponics production in the U.S. Midwest","type":"article-journal"},"uris":["http://www.mendeley.com/documents/?uuid=b48b9509-cc1f-4325-a3e7-a9503c749550"]}],"mendeley":{"formattedCitation":"(Quagrainie &lt;i&gt;et al.&lt;/i&gt;, 2018)","plainTextFormattedCitation":"(Quagrainie et al., 2018)","previouslyFormattedCitation":"(Quagrainie &lt;i&gt;et al.&lt;/i&gt;, 2018)"},"properties":{"noteIndex":0},"schema":"https://github.com/citation-style-language/schema/raw/master/csl-citation.json"}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(Quagrainie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2018)</w:t>
            </w:r>
            <w:r>
              <w:rPr>
                <w:rFonts w:ascii="Times New Roman" w:hAnsi="Times New Roman" w:cs="Times New Roman"/>
                <w:i w:val="0"/>
                <w:iCs w:val="0"/>
                <w:color w:val="auto"/>
                <w:sz w:val="22"/>
                <w:szCs w:val="22"/>
              </w:rPr>
              <w:fldChar w:fldCharType="end"/>
            </w:r>
          </w:p>
        </w:tc>
      </w:tr>
      <w:tr w:rsidR="0004335D" w:rsidRPr="0004335D" w14:paraId="75F419F5" w14:textId="77777777" w:rsidTr="006365EF">
        <w:tc>
          <w:tcPr>
            <w:tcW w:w="2410" w:type="dxa"/>
            <w:tcBorders>
              <w:top w:val="nil"/>
              <w:bottom w:val="nil"/>
            </w:tcBorders>
            <w:vAlign w:val="center"/>
          </w:tcPr>
          <w:p w14:paraId="5F1D83E0" w14:textId="186FB30A"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Vegetable tank (Hydroponic)</w:t>
            </w:r>
          </w:p>
        </w:tc>
        <w:tc>
          <w:tcPr>
            <w:tcW w:w="1696" w:type="dxa"/>
            <w:tcBorders>
              <w:top w:val="nil"/>
              <w:bottom w:val="nil"/>
            </w:tcBorders>
            <w:vAlign w:val="center"/>
          </w:tcPr>
          <w:p w14:paraId="0A5900DE" w14:textId="25437E84"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Vege seed</w:t>
            </w:r>
          </w:p>
        </w:tc>
        <w:tc>
          <w:tcPr>
            <w:tcW w:w="1985" w:type="dxa"/>
            <w:tcBorders>
              <w:top w:val="nil"/>
              <w:bottom w:val="nil"/>
            </w:tcBorders>
            <w:vAlign w:val="center"/>
          </w:tcPr>
          <w:p w14:paraId="13830BFC" w14:textId="494259FC"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Vegetables</w:t>
            </w:r>
          </w:p>
        </w:tc>
        <w:tc>
          <w:tcPr>
            <w:tcW w:w="1559" w:type="dxa"/>
            <w:tcBorders>
              <w:top w:val="nil"/>
              <w:bottom w:val="nil"/>
            </w:tcBorders>
            <w:vAlign w:val="center"/>
          </w:tcPr>
          <w:p w14:paraId="256F7307" w14:textId="39FAEAD8"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0.71 t/t FW</w:t>
            </w:r>
          </w:p>
        </w:tc>
        <w:tc>
          <w:tcPr>
            <w:tcW w:w="1366" w:type="dxa"/>
            <w:vMerge/>
            <w:tcBorders>
              <w:top w:val="nil"/>
              <w:bottom w:val="nil"/>
            </w:tcBorders>
            <w:vAlign w:val="center"/>
          </w:tcPr>
          <w:p w14:paraId="3F9C9B06"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r>
      <w:tr w:rsidR="0004335D" w:rsidRPr="0004335D" w14:paraId="56C4FD2F" w14:textId="77777777" w:rsidTr="006365EF">
        <w:tc>
          <w:tcPr>
            <w:tcW w:w="2410" w:type="dxa"/>
            <w:tcBorders>
              <w:top w:val="nil"/>
              <w:bottom w:val="nil"/>
            </w:tcBorders>
            <w:vAlign w:val="center"/>
          </w:tcPr>
          <w:p w14:paraId="13DFC0DF" w14:textId="4984137E"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processing plant</w:t>
            </w:r>
          </w:p>
        </w:tc>
        <w:tc>
          <w:tcPr>
            <w:tcW w:w="1696" w:type="dxa"/>
            <w:tcBorders>
              <w:top w:val="nil"/>
              <w:bottom w:val="nil"/>
            </w:tcBorders>
            <w:vAlign w:val="center"/>
          </w:tcPr>
          <w:p w14:paraId="09F6E71C" w14:textId="1F10F05B"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harvested</w:t>
            </w:r>
          </w:p>
        </w:tc>
        <w:tc>
          <w:tcPr>
            <w:tcW w:w="1985" w:type="dxa"/>
            <w:tcBorders>
              <w:top w:val="nil"/>
              <w:bottom w:val="nil"/>
            </w:tcBorders>
            <w:vAlign w:val="center"/>
          </w:tcPr>
          <w:p w14:paraId="600CC435" w14:textId="60AD3234"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waste</w:t>
            </w:r>
          </w:p>
        </w:tc>
        <w:tc>
          <w:tcPr>
            <w:tcW w:w="1559" w:type="dxa"/>
            <w:tcBorders>
              <w:top w:val="nil"/>
              <w:bottom w:val="nil"/>
            </w:tcBorders>
            <w:vAlign w:val="center"/>
          </w:tcPr>
          <w:p w14:paraId="64D01771" w14:textId="1A6479E1"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0.54 t/t fish</w:t>
            </w:r>
          </w:p>
        </w:tc>
        <w:tc>
          <w:tcPr>
            <w:tcW w:w="1366" w:type="dxa"/>
            <w:vMerge/>
            <w:tcBorders>
              <w:top w:val="nil"/>
              <w:bottom w:val="nil"/>
            </w:tcBorders>
            <w:vAlign w:val="center"/>
          </w:tcPr>
          <w:p w14:paraId="1E20435D"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r>
      <w:tr w:rsidR="008B4F78" w:rsidRPr="0004335D" w14:paraId="50F9F628" w14:textId="77777777" w:rsidTr="006365EF">
        <w:tc>
          <w:tcPr>
            <w:tcW w:w="2410" w:type="dxa"/>
            <w:vMerge w:val="restart"/>
            <w:tcBorders>
              <w:top w:val="nil"/>
              <w:bottom w:val="nil"/>
            </w:tcBorders>
            <w:vAlign w:val="center"/>
          </w:tcPr>
          <w:p w14:paraId="01456577" w14:textId="1180FBEA"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BSF</w:t>
            </w:r>
          </w:p>
        </w:tc>
        <w:tc>
          <w:tcPr>
            <w:tcW w:w="1696" w:type="dxa"/>
            <w:vMerge w:val="restart"/>
            <w:tcBorders>
              <w:top w:val="nil"/>
              <w:bottom w:val="nil"/>
            </w:tcBorders>
            <w:vAlign w:val="center"/>
          </w:tcPr>
          <w:p w14:paraId="5E524731" w14:textId="652A8275"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waste</w:t>
            </w:r>
          </w:p>
        </w:tc>
        <w:tc>
          <w:tcPr>
            <w:tcW w:w="1985" w:type="dxa"/>
            <w:tcBorders>
              <w:top w:val="nil"/>
              <w:bottom w:val="nil"/>
            </w:tcBorders>
            <w:vAlign w:val="center"/>
          </w:tcPr>
          <w:p w14:paraId="15820F27" w14:textId="55960940"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Fish feed</w:t>
            </w:r>
          </w:p>
        </w:tc>
        <w:tc>
          <w:tcPr>
            <w:tcW w:w="1559" w:type="dxa"/>
            <w:tcBorders>
              <w:top w:val="nil"/>
              <w:bottom w:val="nil"/>
            </w:tcBorders>
            <w:vAlign w:val="center"/>
          </w:tcPr>
          <w:p w14:paraId="398BFCC5" w14:textId="6B2F8410"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0.35 t/t FW</w:t>
            </w:r>
          </w:p>
        </w:tc>
        <w:tc>
          <w:tcPr>
            <w:tcW w:w="1366" w:type="dxa"/>
            <w:tcBorders>
              <w:top w:val="nil"/>
              <w:bottom w:val="nil"/>
            </w:tcBorders>
            <w:vAlign w:val="center"/>
          </w:tcPr>
          <w:p w14:paraId="4A6CF4D9" w14:textId="622D04B0" w:rsidR="008B4F78"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{"citationItems":[{"id":"ITEM-1","itemData":{"DOI":"10.1016/j.ijbiomac.2020.11.041","ISSN":"18790003","PMID":"33181213","abstract":"Chitin was collected and extracted along different lifecycle stages of the Black Soldier Fly (BSF) (larvae, prepupae, pupae, flies, shedding &amp; cocoons). The chitin content in the collected biomass ranged between 8% and 24%, with sheddings and cocoons being most rich in chitin. Purified chitin was subjected to a physicochemical evaluation based on FTIR, XRD, and TGA as well as a deacetylation step. The data indicated that BSF chitin was α-chitin with FTIR profiles matching closely to shrimp chitin and showing some differences compared to squid pen chitin (β-chitin). Small physicochemical differences were observed among the different BSF samples. Prepupae and cocoon chitin was more crystalline while chitin from larvae and sheddings had a lower thermal degradation temperature. In addition, sheddings were more difficult to purify. Further processing to chitosan showed that a deacetylation degree of 89% could be obtained for all samples after 3 h, although sheddings were found to be less reactive in the deacetylation process. Overall, the small differences in physicochemical properties that were detected between the BSF chitin samples did not prevent further processing of chitin to chitosan with the same degree of deacetylation via the same treatment.","author":[{"dropping-particle":"","family":"Soetemans","given":"Lise","non-dropping-particle":"","parse-names":false,"suffix":""},{"dropping-particle":"","family":"Uyttebroek","given":"Maarten","non-dropping-particle":"","parse-names":false,"suffix":""},{"dropping-particle":"","family":"Bastiaens","given":"Leen","non-dropping-particle":"","parse-names":false,"suffix":""}],"container-title":"International Journal of Biological Macromolecules","id":"ITEM-1","issued":{"date-parts":[["2020"]]},"title":"Characteristics of chitin extracted from black soldier fly in different life stages","type":"article-journal"},"uris":["http://www.mendeley.com/documents/?uuid=d704c808-a36f-40fc-8228-05941b1df1ed"]}],"mendeley":{"formattedCitation":"(Soetemans &lt;i&gt;et al.&lt;/i&gt;, 2020)","plainTextFormattedCitation":"(Soetemans et al., 2020)","previouslyFormattedCitation":"(Soetemans &lt;i&gt;et al.&lt;/i&gt;, 2020)"},"properties":{"noteIndex":0},"schema":"https://github.com/citation-style-language/schema/raw/master/csl-citation.json"}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(Soetemans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2020)</w:t>
            </w:r>
            <w:r>
              <w:rPr>
                <w:rFonts w:ascii="Times New Roman" w:hAnsi="Times New Roman" w:cs="Times New Roman"/>
                <w:i w:val="0"/>
                <w:iCs w:val="0"/>
                <w:color w:val="auto"/>
                <w:sz w:val="22"/>
                <w:szCs w:val="22"/>
              </w:rPr>
              <w:fldChar w:fldCharType="end"/>
            </w:r>
          </w:p>
        </w:tc>
      </w:tr>
      <w:tr w:rsidR="008B4F78" w:rsidRPr="0004335D" w14:paraId="6DB1294F" w14:textId="77777777" w:rsidTr="006365EF">
        <w:tc>
          <w:tcPr>
            <w:tcW w:w="2410" w:type="dxa"/>
            <w:vMerge/>
            <w:tcBorders>
              <w:top w:val="nil"/>
              <w:bottom w:val="nil"/>
            </w:tcBorders>
            <w:vAlign w:val="center"/>
          </w:tcPr>
          <w:p w14:paraId="53D754E7"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06E0FC23"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00357282" w14:textId="1F84802A"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Chitosan</w:t>
            </w:r>
          </w:p>
        </w:tc>
        <w:tc>
          <w:tcPr>
            <w:tcW w:w="1559" w:type="dxa"/>
            <w:tcBorders>
              <w:top w:val="nil"/>
              <w:bottom w:val="nil"/>
            </w:tcBorders>
            <w:vAlign w:val="center"/>
          </w:tcPr>
          <w:p w14:paraId="1D7683A6" w14:textId="3E7F9159"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0.56 t/t FW</w:t>
            </w:r>
          </w:p>
        </w:tc>
        <w:tc>
          <w:tcPr>
            <w:tcW w:w="1366" w:type="dxa"/>
            <w:tcBorders>
              <w:top w:val="nil"/>
              <w:bottom w:val="nil"/>
            </w:tcBorders>
            <w:vAlign w:val="center"/>
          </w:tcPr>
          <w:p w14:paraId="66A54767" w14:textId="1A53F3D7" w:rsidR="008B4F78"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{"citationItems":[{"id":"ITEM-1","itemData":{"DOI":"10.1016/j.jafr.2021.100153","ISSN":"26661543","abstract":"Promoting black soldier fly (BSF) rearing in Benin to replace fishmeal in fish diet could reduce fish production costs. This study aims to set up a breeding technique of BSF as a protein source. BSF reproduction has been carried out in sunlight. Two densities (8500 individuals/m3 and 10,500 individuals/m3) associated with 2 attractants (soybean and pineapple waste) were tested on imago egg-laying. A larvarium with a prepupae self-harvesting system was designed and its efficiency was evaluated by testing 3 densities of larval rearing (1 larva/g, 2 larva/g, 3 larva/g). Two diets, VGD (soybean meal ​+ ​euphorbia leaves and seeds ​+ ​colza oil) and FOD (soybean meal ​+ ​fish offal) were formulated to optimize polyunsaturated fatty acid profile of prepupae to meet nutritional requirements of tilapia. Best oviposition was obtained with 8500 individuals/m3 with pineapple waste and optimal larval load density was 2 larva/g. Prepupae fed with VGD accumulated C18:2n-6 (10.1%) which is essential for tilapia. Prepupae fed with FOD contained C20:5n-3 (2.20%), a fatty acid beneficial to humans. The lowest production cost of BSF meal was estimated at $1.84/Kg and was obtained with the FOD diet. BSF can easily be reared under local conditions throughout the year. Its nutritional qualities are very interesting to meet Nile tilapia requirements.","author":[{"dropping-particle":"","family":"Gougbedji","given":"Armel","non-dropping-particle":"","parse-names":false,"suffix":""},{"dropping-particle":"","family":"Agbohessou","given":"Pamphile","non-dropping-particle":"","parse-names":false,"suffix":""},{"dropping-particle":"","family":"Lalèyè","given":"Philippe A.","non-dropping-particle":"","parse-names":false,"suffix":""},{"dropping-particle":"","family":"Francis","given":"Frédéric","non-dropping-particle":"","parse-names":false,"suffix":""},{"dropping-particle":"","family":"Caparros Megido","given":"Rudy","non-dropping-particle":"","parse-names":false,"suffix":""}],"container-title":"Journal of Agriculture and Food Research","id":"ITEM-1","issued":{"date-parts":[["2021"]]},"title":"Technical basis for the small-scale production of black soldier fly, Hermetia illucens (L. 1758), meal as fish feed in Benin","type":"article-journal"},"uris":["http://www.mendeley.com/documents/?uuid=9e6f73f5-22b1-40d7-aee2-3d57c5172492"]}],"mendeley":{"formattedCitation":"(Gougbedji &lt;i&gt;et al.&lt;/i&gt;, 2021)","plainTextFormattedCitation":"(Gougbedji et al., 2021)","previouslyFormattedCitation":"(Gougbedji &lt;i&gt;et al.&lt;/i&gt;, 2021)"},"properties":{"noteIndex":0},"schema":"https://github.com/citation-style-language/schema/raw/master/csl-citation.json"}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(Gougbedji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2021)</w:t>
            </w:r>
            <w:r>
              <w:rPr>
                <w:rFonts w:ascii="Times New Roman" w:hAnsi="Times New Roman" w:cs="Times New Roman"/>
                <w:i w:val="0"/>
                <w:iCs w:val="0"/>
                <w:color w:val="auto"/>
                <w:sz w:val="22"/>
                <w:szCs w:val="22"/>
              </w:rPr>
              <w:fldChar w:fldCharType="end"/>
            </w:r>
          </w:p>
        </w:tc>
      </w:tr>
      <w:tr w:rsidR="008B4F78" w:rsidRPr="0004335D" w14:paraId="5F6513B5" w14:textId="77777777" w:rsidTr="006365EF">
        <w:tc>
          <w:tcPr>
            <w:tcW w:w="2410" w:type="dxa"/>
            <w:tcBorders>
              <w:top w:val="nil"/>
              <w:bottom w:val="nil"/>
            </w:tcBorders>
            <w:vAlign w:val="center"/>
          </w:tcPr>
          <w:p w14:paraId="6A711221" w14:textId="5244CD02"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Biogas plant (Anaerobic digestion)</w:t>
            </w:r>
          </w:p>
        </w:tc>
        <w:tc>
          <w:tcPr>
            <w:tcW w:w="1696" w:type="dxa"/>
            <w:vMerge/>
            <w:tcBorders>
              <w:top w:val="nil"/>
              <w:bottom w:val="nil"/>
            </w:tcBorders>
            <w:vAlign w:val="center"/>
          </w:tcPr>
          <w:p w14:paraId="0ED16F9B"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13B34B34" w14:textId="6BD75BC1"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Biogas</w:t>
            </w:r>
          </w:p>
        </w:tc>
        <w:tc>
          <w:tcPr>
            <w:tcW w:w="1559" w:type="dxa"/>
            <w:tcBorders>
              <w:top w:val="nil"/>
              <w:bottom w:val="nil"/>
            </w:tcBorders>
            <w:vAlign w:val="center"/>
          </w:tcPr>
          <w:p w14:paraId="6058BEB7" w14:textId="4FB45393"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0.09 t/t FW</w:t>
            </w:r>
          </w:p>
        </w:tc>
        <w:tc>
          <w:tcPr>
            <w:tcW w:w="1366" w:type="dxa"/>
            <w:tcBorders>
              <w:top w:val="nil"/>
              <w:bottom w:val="nil"/>
            </w:tcBorders>
            <w:vAlign w:val="center"/>
          </w:tcPr>
          <w:p w14:paraId="47994E7E" w14:textId="00D6B1B1" w:rsidR="008B4F78"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{"citationItems":[{"id":"ITEM-1","itemData":{"DOI":"10.1016/j.renene.2019.08.140","ISSN":"18790682","abstract":"The use of industrial fish processing waste as the only substrate to produce biogas may be an efficient procedure due to its characteristic lipid content. The relationship between the microbial community and the biogas/methane production was evaluated during the anaerobic digestion at 35 °C of two waste types derived from the fish processing industry. The experiments showed that fish waste (FW) and fish crude oil waste (FCOW) produced methane at 540.5 CH4 mL gVS−1 and 426.3 CH4 mL gVS− 1, respectively. Clostridia, Synergistia were the predominant bacterial classes and the Methanomicrobia archeal class at the end of the anaerobic digestion in both substrates. The fungal community was similar in both treatments. The fungal diversity included orders of the Ascomycota phylum: Eurotiales, Sordariales, Saccharomycetales, Sporidiales, Capnodiales and Microascales. Representatives of Basidiomycota included Wallemiales and Tremellales. This research demonstrated that industrial fish processing waste can be efficiently converted to methane in a mono-digestion process.","author":[{"dropping-particle":"","family":"Bücker","given":"Francielle","non-dropping-particle":"","parse-names":false,"suffix":""},{"dropping-particle":"","family":"Marder","given":"Munique","non-dropping-particle":"","parse-names":false,"suffix":""},{"dropping-particle":"","family":"Peiter","given":"Marina Regina","non-dropping-particle":"","parse-names":false,"suffix":""},{"dropping-particle":"","family":"Lehn","given":"Daniel Neutzling","non-dropping-particle":"","parse-names":false,"suffix":""},{"dropping-particle":"","family":"Esquerdo","given":"Vanessa Mendonça","non-dropping-particle":"","parse-names":false,"suffix":""},{"dropping-particle":"","family":"Antonio de Almeida Pinto","given":"Luiz","non-dropping-particle":"","parse-names":false,"suffix":""},{"dropping-particle":"","family":"Konrad","given":"Odorico","non-dropping-particle":"","parse-names":false,"suffix":""}],"container-title":"Renewable Energy","id":"ITEM-1","issued":{"date-parts":[["2020"]]},"title":"Fish waste: An efficient alternative to biogas and methane production in an anaerobic mono-digestion system","type":"article-journal"},"uris":["http://www.mendeley.com/documents/?uuid=c7b11580-a3c1-4249-9e16-364de088e2d8"]}],"mendeley":{"formattedCitation":"(Bücker &lt;i&gt;et al.&lt;/i&gt;, 2020)","plainTextFormattedCitation":"(Bücker et al., 2020)","previouslyFormattedCitation":"(Bücker &lt;i&gt;et al.&lt;/i&gt;, 2020)"},"properties":{"noteIndex":0},"schema":"https://github.com/citation-style-language/schema/raw/master/csl-citation.json"}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(Bücker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2020)</w:t>
            </w:r>
            <w:r>
              <w:rPr>
                <w:rFonts w:ascii="Times New Roman" w:hAnsi="Times New Roman" w:cs="Times New Roman"/>
                <w:i w:val="0"/>
                <w:iCs w:val="0"/>
                <w:color w:val="auto"/>
                <w:sz w:val="22"/>
                <w:szCs w:val="22"/>
              </w:rPr>
              <w:fldChar w:fldCharType="end"/>
            </w:r>
          </w:p>
        </w:tc>
      </w:tr>
      <w:tr w:rsidR="0004335D" w:rsidRPr="0004335D" w14:paraId="267DCD90" w14:textId="77777777" w:rsidTr="006365EF">
        <w:tc>
          <w:tcPr>
            <w:tcW w:w="2410" w:type="dxa"/>
            <w:vMerge w:val="restart"/>
            <w:tcBorders>
              <w:top w:val="nil"/>
              <w:bottom w:val="nil"/>
            </w:tcBorders>
            <w:vAlign w:val="center"/>
          </w:tcPr>
          <w:p w14:paraId="7867EEEE" w14:textId="5CC5603B"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Pyrolysis</w:t>
            </w:r>
          </w:p>
        </w:tc>
        <w:tc>
          <w:tcPr>
            <w:tcW w:w="1696" w:type="dxa"/>
            <w:vMerge/>
            <w:tcBorders>
              <w:top w:val="nil"/>
              <w:bottom w:val="nil"/>
            </w:tcBorders>
            <w:vAlign w:val="center"/>
          </w:tcPr>
          <w:p w14:paraId="464609E3"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07F629C0" w14:textId="2EF50E06"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Biochar</w:t>
            </w:r>
          </w:p>
        </w:tc>
        <w:tc>
          <w:tcPr>
            <w:tcW w:w="1559" w:type="dxa"/>
            <w:tcBorders>
              <w:top w:val="nil"/>
              <w:bottom w:val="nil"/>
            </w:tcBorders>
            <w:vAlign w:val="center"/>
          </w:tcPr>
          <w:p w14:paraId="09AC6DE4" w14:textId="13B2E8D8"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0.1 t/t FW</w:t>
            </w:r>
          </w:p>
        </w:tc>
        <w:tc>
          <w:tcPr>
            <w:tcW w:w="1366" w:type="dxa"/>
            <w:vMerge w:val="restart"/>
            <w:tcBorders>
              <w:top w:val="nil"/>
              <w:bottom w:val="nil"/>
            </w:tcBorders>
            <w:vAlign w:val="center"/>
          </w:tcPr>
          <w:p w14:paraId="37006DB7" w14:textId="038F3EC7" w:rsidR="0004335D"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{"citationItems":[{"id":"ITEM-1","itemData":{"DOI":"10.1016/j.fuproc.2015.05.007","ISSN":"03783820","abstract":"The use of organic wastes as new renewable energy sources is becoming necessary to achieve the growing energy demand in Tunisia. In this work, the pyrolysis of abundant waste fish fats provided by a canned Tuna factory was examined in a laboratory fixed-bed reactor. The main objective was to analyze the properties and the composition of the produced bio-oil using in order to implement the suitable valorization strategy. Therefore, high heating value, viscosity, density, flash point, acidity index, moisture content and ash content measurements as well as FTIR and GCMS analyses were carried out to characterize the pyrolytic oil obtained during waste fish pyrolysis at 500 °C. The obtained results revealed that waste fish fats can be considered as important feedstock for biofuel production. In particular, the bio-oil characterization showed the presence of many organic compounds such as alkanes, alkenes, alkynes, cyclic hydrocarbons, carboxylic acids, aldehydes and alcohols. These compounds could be used as a valuable and sustainable chemicals source. Moreover, the bio-oil properties indicated a good calorific value (~ 9391 kcal/kg) compared to Tunisian Diesel and European biodiesel specifications. In contrast, higher acidity (~ 103 mg KOH/g sample) and viscosity (~ 7 cSt) compared to conventional fuels were obtained. These properties limit the direct use of bio-oils as alternative fuel in a Diesel engine. An efficient mixture with fossil fuel may be a promising solution to improve the fuel properties. Hence, pyrolysis seems to be an eco-friendly process to recover the fish fatty wastes in Tunisia. The implementation of such management strategy will help Tunisian agri-food industries to reduce their environmental impact and fossil fuel consumption and to promote the renewable energy use.","author":[{"dropping-particle":"","family":"Kraiem","given":"Takwa","non-dropping-particle":"","parse-names":false,"suffix":""},{"dropping-particle":"Ben","family":"Hassen-Trabelsi","given":"Aïda","non-dropping-particle":"","parse-names":false,"suffix":""},{"dropping-particle":"","family":"Naoui","given":"Slim","non-dropping-particle":"","parse-names":false,"suffix":""},{"dropping-particle":"","family":"Belayouni","given":"Habib","non-dropping-particle":"","parse-names":false,"suffix":""},{"dropping-particle":"","family":"Jeguirim","given":"Mejdi","non-dropping-particle":"","parse-names":false,"suffix":""}],"container-title":"Fuel Processing Technology","id":"ITEM-1","issued":{"date-parts":[["2015"]]},"title":"Characterization of the liquid products obtained from Tunisian waste fish fats using the pyrolysis process","type":"article-journal"},"uris":["http://www.mendeley.com/documents/?uuid=0313e1d0-44d3-4e11-8a43-652722bdb69a"]}],"mendeley":{"formattedCitation":"(Kraiem &lt;i&gt;et al.&lt;/i&gt;, 2015)","plainTextFormattedCitation":"(Kraiem et al., 2015)","previouslyFormattedCitation":"(Kraiem &lt;i&gt;et al.&lt;/i&gt;, 2015)"},"properties":{"noteIndex":0},"schema":"https://github.com/citation-style-language/schema/raw/master/csl-citation.json"}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(Kraiem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2015)</w:t>
            </w:r>
            <w:r>
              <w:rPr>
                <w:rFonts w:ascii="Times New Roman" w:hAnsi="Times New Roman" w:cs="Times New Roman"/>
                <w:i w:val="0"/>
                <w:iCs w:val="0"/>
                <w:color w:val="auto"/>
                <w:sz w:val="22"/>
                <w:szCs w:val="22"/>
              </w:rPr>
              <w:fldChar w:fldCharType="end"/>
            </w:r>
          </w:p>
        </w:tc>
      </w:tr>
      <w:tr w:rsidR="0004335D" w:rsidRPr="0004335D" w14:paraId="2D760867" w14:textId="77777777" w:rsidTr="006365EF">
        <w:tc>
          <w:tcPr>
            <w:tcW w:w="2410" w:type="dxa"/>
            <w:vMerge/>
            <w:tcBorders>
              <w:top w:val="nil"/>
              <w:bottom w:val="nil"/>
            </w:tcBorders>
            <w:vAlign w:val="center"/>
          </w:tcPr>
          <w:p w14:paraId="30DCBFE5"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1FBA7887"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4FAE9FB2" w14:textId="65D31ADC"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Bio-oil</w:t>
            </w:r>
          </w:p>
        </w:tc>
        <w:tc>
          <w:tcPr>
            <w:tcW w:w="1559" w:type="dxa"/>
            <w:tcBorders>
              <w:top w:val="nil"/>
              <w:bottom w:val="nil"/>
            </w:tcBorders>
            <w:vAlign w:val="center"/>
          </w:tcPr>
          <w:p w14:paraId="79314288" w14:textId="60D4A94F"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0.4 t/t FW</w:t>
            </w:r>
          </w:p>
        </w:tc>
        <w:tc>
          <w:tcPr>
            <w:tcW w:w="1366" w:type="dxa"/>
            <w:vMerge/>
            <w:tcBorders>
              <w:top w:val="nil"/>
              <w:bottom w:val="nil"/>
            </w:tcBorders>
            <w:vAlign w:val="center"/>
          </w:tcPr>
          <w:p w14:paraId="71D2578F" w14:textId="77777777" w:rsidR="0004335D" w:rsidRPr="0004335D" w:rsidRDefault="0004335D" w:rsidP="000437BF">
            <w:pPr>
              <w:pStyle w:val="Caption"/>
              <w:keepNext/>
              <w:spacing w:before="60" w:after="60"/>
              <w:jc w:val="center"/>
              <w:rPr>
                <w:rFonts w:ascii="Times New Roman" w:hAnsi="Times New Roman" w:cs="Times New Roman"/>
                <w:i w:val="0"/>
                <w:iCs w:val="0"/>
                <w:color w:val="auto"/>
                <w:sz w:val="22"/>
                <w:szCs w:val="22"/>
              </w:rPr>
            </w:pPr>
          </w:p>
        </w:tc>
      </w:tr>
      <w:tr w:rsidR="008B4F78" w:rsidRPr="0004335D" w14:paraId="24E18AA6" w14:textId="77777777" w:rsidTr="006365EF">
        <w:tc>
          <w:tcPr>
            <w:tcW w:w="2410" w:type="dxa"/>
            <w:tcBorders>
              <w:top w:val="nil"/>
              <w:bottom w:val="nil"/>
            </w:tcBorders>
            <w:vAlign w:val="center"/>
          </w:tcPr>
          <w:p w14:paraId="6DAC0E31" w14:textId="0335BD94"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Gasification</w:t>
            </w:r>
          </w:p>
        </w:tc>
        <w:tc>
          <w:tcPr>
            <w:tcW w:w="1696" w:type="dxa"/>
            <w:vMerge/>
            <w:tcBorders>
              <w:top w:val="nil"/>
              <w:bottom w:val="nil"/>
            </w:tcBorders>
            <w:vAlign w:val="center"/>
          </w:tcPr>
          <w:p w14:paraId="7CA957AC"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079554A7" w14:textId="0A9F7B25"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Syngas</w:t>
            </w:r>
          </w:p>
        </w:tc>
        <w:tc>
          <w:tcPr>
            <w:tcW w:w="1559" w:type="dxa"/>
            <w:tcBorders>
              <w:top w:val="nil"/>
              <w:bottom w:val="nil"/>
            </w:tcBorders>
            <w:vAlign w:val="center"/>
          </w:tcPr>
          <w:p w14:paraId="06DD4531" w14:textId="6B9C8EB5"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0.9 t/t FW</w:t>
            </w:r>
          </w:p>
        </w:tc>
        <w:tc>
          <w:tcPr>
            <w:tcW w:w="1366" w:type="dxa"/>
            <w:tcBorders>
              <w:top w:val="nil"/>
              <w:bottom w:val="nil"/>
            </w:tcBorders>
            <w:vAlign w:val="center"/>
          </w:tcPr>
          <w:p w14:paraId="71B416F4" w14:textId="236D6E95" w:rsidR="008B4F78"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{"citationItems":[{"id":"ITEM-1","itemData":{"DOI":"10.1111/j.1750-3841.2009.01312.x","ISSN":"00221147","PMID":"19799663","abstract":"ABSTRACT The purpose of this study was to judge the feasibility of gasification for the disposal of waste streams generated through salmon harvesting. Gasification is the process of converting carbonaceous materials into combustible \"syngas\" in a high temperature (above 700 °C), oxygen deficient environment. Syngas can be combusted to generate power, which recycles energy from waste products. At 66% to 79% moisture, raw salmon waste streams are too wet to undergo pyrolysis and combustion. Ground raw or de-oiled salmon whole fish, heads, viscera, or frames were therefore \"dried\" by mixing with wood pellets to a final moisture content of 20%. Ground whole salmon with moisture reduced to 12% moisture was gasified without a drying agent. Gasification tests were performed in a small-scale, fixed-bed, updraft gasifer. After an initial start-up period, the gasifier was loaded with 1.5 kg of biomass. Temperature was recorded at 6 points in the gasifier. Syngas was collected during the short steady-state period during each gasifier run and analyzed. Percentages of each type of gas in the syngas were used to calculate syngas heating value. High heating value (HHV) ranged from 1.45 to 1.98 MJ/kg. Bomb calorimetry determined maximum heating value for the salmon by-products. Comparing heating values shows the efficiency of gasification. Cold gas efficiencies of 13.6% to 26% were obtained from the various samples gasified. Though research of gasification as a means of salmon waste disposal and energy production is ongoing, it can be concluded that pre-dried salmon or relatively low moisture content mixtures of waste with wood are gasifiable. © 2009 Institute of Food Technologists®.","author":[{"dropping-particle":"","family":"Rowland","given":"Sarah","non-dropping-particle":"","parse-names":false,"suffix":""},{"dropping-particle":"","family":"Bower","given":"Cynthia K.","non-dropping-particle":"","parse-names":false,"suffix":""},{"dropping-particle":"","family":"Patil","given":"Krushna N.","non-dropping-particle":"","parse-names":false,"suffix":""},{"dropping-particle":"","family":"DeWitt","given":"Christina A.Mireles","non-dropping-particle":"","parse-names":false,"suffix":""}],"container-title":"Journal of Food Science","id":"ITEM-1","issued":{"date-parts":[["2009"]]},"title":"Updraft gasification of salmon processing waste","type":"article-journal"},"uris":["http://www.mendeley.com/documents/?uuid=0439becc-0ef6-4b1d-8f30-fd12d49245ff"]}],"mendeley":{"formattedCitation":"(Rowland &lt;i&gt;et al.&lt;/i&gt;, 2009)","plainTextFormattedCitation":"(Rowland et al., 2009)","previouslyFormattedCitation":"(Rowland &lt;i&gt;et al.&lt;/i&gt;, 2009)"},"properties":{"noteIndex":0},"schema":"https://github.com/citation-style-language/schema/raw/master/csl-citation.json"}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(Rowland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2009)</w:t>
            </w:r>
            <w:r>
              <w:rPr>
                <w:rFonts w:ascii="Times New Roman" w:hAnsi="Times New Roman" w:cs="Times New Roman"/>
                <w:i w:val="0"/>
                <w:iCs w:val="0"/>
                <w:color w:val="auto"/>
                <w:sz w:val="22"/>
                <w:szCs w:val="22"/>
              </w:rPr>
              <w:fldChar w:fldCharType="end"/>
            </w:r>
          </w:p>
        </w:tc>
      </w:tr>
      <w:tr w:rsidR="008B4F78" w:rsidRPr="0004335D" w14:paraId="7A906E77" w14:textId="77777777" w:rsidTr="006365EF">
        <w:tc>
          <w:tcPr>
            <w:tcW w:w="2410" w:type="dxa"/>
            <w:vMerge w:val="restart"/>
            <w:tcBorders>
              <w:top w:val="nil"/>
              <w:bottom w:val="nil"/>
            </w:tcBorders>
            <w:vAlign w:val="center"/>
          </w:tcPr>
          <w:p w14:paraId="7136E13F" w14:textId="4305579D" w:rsidR="008B4F78" w:rsidRPr="000437BF" w:rsidRDefault="008B4F78" w:rsidP="000437BF">
            <w:pPr>
              <w:pStyle w:val="Caption"/>
              <w:keepNext/>
              <w:spacing w:before="60" w:after="60"/>
              <w:jc w:val="center"/>
              <w:rPr>
                <w:rFonts w:ascii="Times New Roman" w:hAnsi="Times New Roman" w:cs="Times New Roman"/>
                <w:i w:val="0"/>
                <w:iCs w:val="0"/>
                <w:color w:val="auto"/>
                <w:sz w:val="22"/>
                <w:szCs w:val="22"/>
                <w:vertAlign w:val="superscript"/>
              </w:rPr>
            </w:pPr>
            <w:r w:rsidRPr="0004335D">
              <w:rPr>
                <w:rFonts w:ascii="Times New Roman" w:hAnsi="Times New Roman" w:cs="Times New Roman"/>
                <w:i w:val="0"/>
                <w:iCs w:val="0"/>
                <w:color w:val="auto"/>
                <w:sz w:val="22"/>
                <w:szCs w:val="22"/>
              </w:rPr>
              <w:t>CHP</w:t>
            </w:r>
            <w:r w:rsidR="000437BF">
              <w:rPr>
                <w:rFonts w:ascii="Times New Roman" w:hAnsi="Times New Roman" w:cs="Times New Roman"/>
                <w:i w:val="0"/>
                <w:iCs w:val="0"/>
                <w:color w:val="auto"/>
                <w:sz w:val="22"/>
                <w:szCs w:val="22"/>
              </w:rPr>
              <w:t xml:space="preserve"> </w:t>
            </w:r>
            <w:r w:rsidR="000437BF">
              <w:rPr>
                <w:rFonts w:ascii="Times New Roman" w:hAnsi="Times New Roman" w:cs="Times New Roman"/>
                <w:i w:val="0"/>
                <w:iCs w:val="0"/>
                <w:color w:val="auto"/>
                <w:sz w:val="22"/>
                <w:szCs w:val="22"/>
                <w:vertAlign w:val="superscript"/>
              </w:rPr>
              <w:t>a</w:t>
            </w:r>
          </w:p>
        </w:tc>
        <w:tc>
          <w:tcPr>
            <w:tcW w:w="1696" w:type="dxa"/>
            <w:vMerge w:val="restart"/>
            <w:tcBorders>
              <w:top w:val="nil"/>
              <w:bottom w:val="nil"/>
            </w:tcBorders>
            <w:vAlign w:val="center"/>
          </w:tcPr>
          <w:p w14:paraId="616C167C" w14:textId="29262156"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Biogas</w:t>
            </w:r>
          </w:p>
        </w:tc>
        <w:tc>
          <w:tcPr>
            <w:tcW w:w="1985" w:type="dxa"/>
            <w:tcBorders>
              <w:top w:val="nil"/>
              <w:bottom w:val="nil"/>
            </w:tcBorders>
            <w:vAlign w:val="center"/>
          </w:tcPr>
          <w:p w14:paraId="0AA78E4F" w14:textId="75E7862B"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Electricity</w:t>
            </w:r>
          </w:p>
        </w:tc>
        <w:tc>
          <w:tcPr>
            <w:tcW w:w="1559" w:type="dxa"/>
            <w:tcBorders>
              <w:top w:val="nil"/>
              <w:bottom w:val="nil"/>
            </w:tcBorders>
            <w:vAlign w:val="center"/>
          </w:tcPr>
          <w:p w14:paraId="590B1875" w14:textId="716B5CC1" w:rsidR="008B4F78" w:rsidRPr="0004335D" w:rsidRDefault="00514D3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 xml:space="preserve">1680 kWh/t </w:t>
            </w:r>
          </w:p>
        </w:tc>
        <w:tc>
          <w:tcPr>
            <w:tcW w:w="1366" w:type="dxa"/>
            <w:tcBorders>
              <w:top w:val="nil"/>
              <w:bottom w:val="nil"/>
            </w:tcBorders>
            <w:vAlign w:val="center"/>
          </w:tcPr>
          <w:p w14:paraId="19B61D58" w14:textId="2F38D34D"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29C01670" w14:textId="77777777" w:rsidTr="006365EF">
        <w:tc>
          <w:tcPr>
            <w:tcW w:w="2410" w:type="dxa"/>
            <w:vMerge/>
            <w:tcBorders>
              <w:top w:val="nil"/>
              <w:bottom w:val="nil"/>
            </w:tcBorders>
            <w:vAlign w:val="center"/>
          </w:tcPr>
          <w:p w14:paraId="2A907E8F"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0453F704"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2437F75F" w14:textId="47618285"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Heat</w:t>
            </w:r>
          </w:p>
        </w:tc>
        <w:tc>
          <w:tcPr>
            <w:tcW w:w="1559" w:type="dxa"/>
            <w:tcBorders>
              <w:top w:val="nil"/>
              <w:bottom w:val="nil"/>
            </w:tcBorders>
            <w:vAlign w:val="center"/>
          </w:tcPr>
          <w:p w14:paraId="1219C3B8" w14:textId="3ED25AF0" w:rsidR="008B4F78" w:rsidRPr="0004335D" w:rsidRDefault="00514D3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 xml:space="preserve">2400 kWh/t </w:t>
            </w:r>
          </w:p>
        </w:tc>
        <w:tc>
          <w:tcPr>
            <w:tcW w:w="1366" w:type="dxa"/>
            <w:tcBorders>
              <w:top w:val="nil"/>
              <w:bottom w:val="nil"/>
            </w:tcBorders>
            <w:vAlign w:val="center"/>
          </w:tcPr>
          <w:p w14:paraId="017612E9" w14:textId="320F0891"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7464DC82" w14:textId="77777777" w:rsidTr="006365EF">
        <w:tc>
          <w:tcPr>
            <w:tcW w:w="2410" w:type="dxa"/>
            <w:vMerge/>
            <w:tcBorders>
              <w:top w:val="nil"/>
              <w:bottom w:val="nil"/>
            </w:tcBorders>
            <w:vAlign w:val="center"/>
          </w:tcPr>
          <w:p w14:paraId="0E8E3DED"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val="restart"/>
            <w:tcBorders>
              <w:top w:val="nil"/>
              <w:bottom w:val="nil"/>
            </w:tcBorders>
            <w:vAlign w:val="center"/>
          </w:tcPr>
          <w:p w14:paraId="01EA617A" w14:textId="27A45EC5"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Biochar</w:t>
            </w:r>
          </w:p>
        </w:tc>
        <w:tc>
          <w:tcPr>
            <w:tcW w:w="1985" w:type="dxa"/>
            <w:tcBorders>
              <w:top w:val="nil"/>
              <w:bottom w:val="nil"/>
            </w:tcBorders>
            <w:vAlign w:val="center"/>
          </w:tcPr>
          <w:p w14:paraId="17AA3786" w14:textId="785CB8DB"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Electricity</w:t>
            </w:r>
          </w:p>
        </w:tc>
        <w:tc>
          <w:tcPr>
            <w:tcW w:w="1559" w:type="dxa"/>
            <w:tcBorders>
              <w:top w:val="nil"/>
              <w:bottom w:val="nil"/>
            </w:tcBorders>
            <w:vAlign w:val="center"/>
          </w:tcPr>
          <w:p w14:paraId="7820DDFB" w14:textId="26F788B9" w:rsidR="008B4F78" w:rsidRPr="0004335D" w:rsidRDefault="00C26FA4"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 xml:space="preserve">3136 kWh/t </w:t>
            </w:r>
          </w:p>
        </w:tc>
        <w:tc>
          <w:tcPr>
            <w:tcW w:w="1366" w:type="dxa"/>
            <w:tcBorders>
              <w:top w:val="nil"/>
              <w:bottom w:val="nil"/>
            </w:tcBorders>
            <w:vAlign w:val="center"/>
          </w:tcPr>
          <w:p w14:paraId="1FF0CFE9" w14:textId="05C8631E"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36EB1815" w14:textId="77777777" w:rsidTr="006365EF">
        <w:tc>
          <w:tcPr>
            <w:tcW w:w="2410" w:type="dxa"/>
            <w:vMerge/>
            <w:tcBorders>
              <w:top w:val="nil"/>
              <w:bottom w:val="nil"/>
            </w:tcBorders>
            <w:vAlign w:val="center"/>
          </w:tcPr>
          <w:p w14:paraId="5DF44EE7"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0083CD50"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5B681DEC" w14:textId="68B7D6C6"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Heat</w:t>
            </w:r>
          </w:p>
        </w:tc>
        <w:tc>
          <w:tcPr>
            <w:tcW w:w="1559" w:type="dxa"/>
            <w:tcBorders>
              <w:top w:val="nil"/>
              <w:bottom w:val="nil"/>
            </w:tcBorders>
            <w:vAlign w:val="center"/>
          </w:tcPr>
          <w:p w14:paraId="4450D8DA" w14:textId="0144EB64" w:rsidR="008B4F78" w:rsidRPr="0004335D" w:rsidRDefault="00C26FA4"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lang w:bidi="en-US"/>
              </w:rPr>
              <w:t>4480</w:t>
            </w:r>
            <w:r w:rsidR="008B4F78" w:rsidRPr="0004335D">
              <w:rPr>
                <w:rFonts w:ascii="Times New Roman" w:hAnsi="Times New Roman" w:cs="Times New Roman"/>
                <w:i w:val="0"/>
                <w:iCs w:val="0"/>
                <w:color w:val="auto"/>
                <w:sz w:val="22"/>
                <w:szCs w:val="22"/>
                <w:lang w:bidi="en-US"/>
              </w:rPr>
              <w:t xml:space="preserve"> kWh/t </w:t>
            </w:r>
          </w:p>
        </w:tc>
        <w:tc>
          <w:tcPr>
            <w:tcW w:w="1366" w:type="dxa"/>
            <w:tcBorders>
              <w:top w:val="nil"/>
              <w:bottom w:val="nil"/>
            </w:tcBorders>
            <w:vAlign w:val="center"/>
          </w:tcPr>
          <w:p w14:paraId="6C9BFAA2" w14:textId="738F3177"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5A5FB583" w14:textId="77777777" w:rsidTr="006365EF">
        <w:tc>
          <w:tcPr>
            <w:tcW w:w="2410" w:type="dxa"/>
            <w:vMerge/>
            <w:tcBorders>
              <w:top w:val="nil"/>
              <w:bottom w:val="nil"/>
            </w:tcBorders>
            <w:vAlign w:val="center"/>
          </w:tcPr>
          <w:p w14:paraId="7D6ABF57" w14:textId="6A4E8FBC"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val="restart"/>
            <w:tcBorders>
              <w:top w:val="nil"/>
              <w:bottom w:val="nil"/>
            </w:tcBorders>
            <w:vAlign w:val="center"/>
          </w:tcPr>
          <w:p w14:paraId="033B6073" w14:textId="0C83151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Bio-oil</w:t>
            </w:r>
          </w:p>
        </w:tc>
        <w:tc>
          <w:tcPr>
            <w:tcW w:w="1985" w:type="dxa"/>
            <w:tcBorders>
              <w:top w:val="nil"/>
              <w:bottom w:val="nil"/>
            </w:tcBorders>
            <w:vAlign w:val="center"/>
          </w:tcPr>
          <w:p w14:paraId="17EFC85D" w14:textId="25F95E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Electricity</w:t>
            </w:r>
          </w:p>
        </w:tc>
        <w:tc>
          <w:tcPr>
            <w:tcW w:w="1559" w:type="dxa"/>
            <w:tcBorders>
              <w:top w:val="nil"/>
              <w:bottom w:val="nil"/>
            </w:tcBorders>
            <w:vAlign w:val="center"/>
          </w:tcPr>
          <w:p w14:paraId="64E64E2F" w14:textId="4C07080F" w:rsidR="008B4F78" w:rsidRPr="0004335D" w:rsidRDefault="00C26FA4"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 xml:space="preserve">1568 kWh/t </w:t>
            </w:r>
          </w:p>
        </w:tc>
        <w:tc>
          <w:tcPr>
            <w:tcW w:w="1366" w:type="dxa"/>
            <w:tcBorders>
              <w:top w:val="nil"/>
              <w:bottom w:val="nil"/>
            </w:tcBorders>
            <w:vAlign w:val="center"/>
          </w:tcPr>
          <w:p w14:paraId="72524CF8" w14:textId="57698B94"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1F39E5FD" w14:textId="77777777" w:rsidTr="006365EF">
        <w:tc>
          <w:tcPr>
            <w:tcW w:w="2410" w:type="dxa"/>
            <w:vMerge/>
            <w:tcBorders>
              <w:top w:val="nil"/>
              <w:bottom w:val="nil"/>
            </w:tcBorders>
            <w:vAlign w:val="center"/>
          </w:tcPr>
          <w:p w14:paraId="4574A9EE"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27A7DF43"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6E2CD1F9" w14:textId="2E778A6E"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Heat</w:t>
            </w:r>
          </w:p>
        </w:tc>
        <w:tc>
          <w:tcPr>
            <w:tcW w:w="1559" w:type="dxa"/>
            <w:tcBorders>
              <w:top w:val="nil"/>
              <w:bottom w:val="nil"/>
            </w:tcBorders>
            <w:vAlign w:val="center"/>
          </w:tcPr>
          <w:p w14:paraId="488025FB" w14:textId="44CD1226" w:rsidR="008B4F78" w:rsidRPr="0004335D" w:rsidRDefault="00C26FA4"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eastAsia="Times New Roman" w:hAnsi="Times New Roman" w:cs="Times New Roman"/>
                <w:i w:val="0"/>
                <w:iCs w:val="0"/>
                <w:color w:val="auto"/>
                <w:sz w:val="22"/>
                <w:szCs w:val="22"/>
                <w:lang w:val="en-US" w:bidi="en-US"/>
              </w:rPr>
              <w:t>2240</w:t>
            </w:r>
            <w:r w:rsidR="008B4F78" w:rsidRPr="0004335D">
              <w:rPr>
                <w:rFonts w:ascii="Times New Roman" w:eastAsia="Times New Roman" w:hAnsi="Times New Roman" w:cs="Times New Roman"/>
                <w:i w:val="0"/>
                <w:iCs w:val="0"/>
                <w:color w:val="auto"/>
                <w:sz w:val="22"/>
                <w:szCs w:val="22"/>
                <w:lang w:val="en-US" w:bidi="en-US"/>
              </w:rPr>
              <w:t xml:space="preserve"> kWh/t </w:t>
            </w:r>
          </w:p>
        </w:tc>
        <w:tc>
          <w:tcPr>
            <w:tcW w:w="1366" w:type="dxa"/>
            <w:tcBorders>
              <w:top w:val="nil"/>
              <w:bottom w:val="nil"/>
            </w:tcBorders>
            <w:vAlign w:val="center"/>
          </w:tcPr>
          <w:p w14:paraId="773DF701" w14:textId="071C9598"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27B16336" w14:textId="77777777" w:rsidTr="006365EF">
        <w:tc>
          <w:tcPr>
            <w:tcW w:w="2410" w:type="dxa"/>
            <w:vMerge/>
            <w:tcBorders>
              <w:top w:val="nil"/>
              <w:bottom w:val="nil"/>
            </w:tcBorders>
            <w:vAlign w:val="center"/>
          </w:tcPr>
          <w:p w14:paraId="766027CF"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val="restart"/>
            <w:tcBorders>
              <w:top w:val="nil"/>
              <w:bottom w:val="nil"/>
            </w:tcBorders>
            <w:vAlign w:val="center"/>
          </w:tcPr>
          <w:p w14:paraId="61E42E9A" w14:textId="6D77FE6F"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Syngas</w:t>
            </w:r>
          </w:p>
        </w:tc>
        <w:tc>
          <w:tcPr>
            <w:tcW w:w="1985" w:type="dxa"/>
            <w:tcBorders>
              <w:top w:val="nil"/>
              <w:bottom w:val="nil"/>
            </w:tcBorders>
            <w:vAlign w:val="center"/>
          </w:tcPr>
          <w:p w14:paraId="09DCB446" w14:textId="20BC8830"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Electricity</w:t>
            </w:r>
          </w:p>
        </w:tc>
        <w:tc>
          <w:tcPr>
            <w:tcW w:w="1559" w:type="dxa"/>
            <w:tcBorders>
              <w:top w:val="nil"/>
              <w:bottom w:val="nil"/>
            </w:tcBorders>
            <w:vAlign w:val="center"/>
          </w:tcPr>
          <w:p w14:paraId="72FC8B3D" w14:textId="0A3E13ED" w:rsidR="008B4F78" w:rsidRPr="0004335D" w:rsidRDefault="000627E5"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194 kWh/t</w:t>
            </w:r>
            <w:r w:rsidR="000437BF">
              <w:rPr>
                <w:rFonts w:ascii="Times New Roman" w:hAnsi="Times New Roman" w:cs="Times New Roman"/>
                <w:i w:val="0"/>
                <w:iCs w:val="0"/>
                <w:color w:val="auto"/>
                <w:sz w:val="22"/>
                <w:szCs w:val="22"/>
              </w:rPr>
              <w:t xml:space="preserve"> </w:t>
            </w:r>
          </w:p>
        </w:tc>
        <w:tc>
          <w:tcPr>
            <w:tcW w:w="1366" w:type="dxa"/>
            <w:tcBorders>
              <w:top w:val="nil"/>
              <w:bottom w:val="nil"/>
            </w:tcBorders>
            <w:vAlign w:val="center"/>
          </w:tcPr>
          <w:p w14:paraId="5D768AA2" w14:textId="6EA3A01D"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8B4F78" w:rsidRPr="0004335D" w14:paraId="0C1D2B91" w14:textId="77777777" w:rsidTr="006365EF">
        <w:tc>
          <w:tcPr>
            <w:tcW w:w="2410" w:type="dxa"/>
            <w:vMerge/>
            <w:tcBorders>
              <w:top w:val="nil"/>
              <w:bottom w:val="nil"/>
            </w:tcBorders>
            <w:vAlign w:val="center"/>
          </w:tcPr>
          <w:p w14:paraId="32E34977"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696" w:type="dxa"/>
            <w:vMerge/>
            <w:tcBorders>
              <w:top w:val="nil"/>
              <w:bottom w:val="nil"/>
            </w:tcBorders>
            <w:vAlign w:val="center"/>
          </w:tcPr>
          <w:p w14:paraId="54862ED3" w14:textId="77777777" w:rsidR="008B4F78" w:rsidRPr="0004335D" w:rsidRDefault="008B4F78" w:rsidP="000437BF">
            <w:pPr>
              <w:pStyle w:val="Caption"/>
              <w:keepNext/>
              <w:spacing w:before="60" w:after="60"/>
              <w:jc w:val="center"/>
              <w:rPr>
                <w:rFonts w:ascii="Times New Roman" w:hAnsi="Times New Roman" w:cs="Times New Roman"/>
                <w:i w:val="0"/>
                <w:iCs w:val="0"/>
                <w:color w:val="auto"/>
                <w:sz w:val="22"/>
                <w:szCs w:val="22"/>
              </w:rPr>
            </w:pPr>
          </w:p>
        </w:tc>
        <w:tc>
          <w:tcPr>
            <w:tcW w:w="1985" w:type="dxa"/>
            <w:tcBorders>
              <w:top w:val="nil"/>
              <w:bottom w:val="nil"/>
            </w:tcBorders>
            <w:vAlign w:val="center"/>
          </w:tcPr>
          <w:p w14:paraId="3ABF3144" w14:textId="7DEE04BD"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Heat</w:t>
            </w:r>
          </w:p>
        </w:tc>
        <w:tc>
          <w:tcPr>
            <w:tcW w:w="1559" w:type="dxa"/>
            <w:tcBorders>
              <w:top w:val="nil"/>
              <w:bottom w:val="nil"/>
            </w:tcBorders>
            <w:vAlign w:val="center"/>
          </w:tcPr>
          <w:p w14:paraId="53D1C4A9" w14:textId="0A8F0F97" w:rsidR="008B4F78" w:rsidRPr="0004335D" w:rsidRDefault="000627E5"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eastAsia="Times New Roman" w:hAnsi="Times New Roman" w:cs="Times New Roman"/>
                <w:i w:val="0"/>
                <w:iCs w:val="0"/>
                <w:color w:val="auto"/>
                <w:sz w:val="22"/>
                <w:szCs w:val="22"/>
                <w:lang w:val="en-US" w:bidi="en-US"/>
              </w:rPr>
              <w:t xml:space="preserve">277.2 </w:t>
            </w:r>
            <w:r w:rsidR="008B4F78" w:rsidRPr="0004335D">
              <w:rPr>
                <w:rFonts w:ascii="Times New Roman" w:eastAsia="Times New Roman" w:hAnsi="Times New Roman" w:cs="Times New Roman"/>
                <w:i w:val="0"/>
                <w:iCs w:val="0"/>
                <w:color w:val="auto"/>
                <w:sz w:val="22"/>
                <w:szCs w:val="22"/>
                <w:lang w:val="en-US" w:bidi="en-US"/>
              </w:rPr>
              <w:t xml:space="preserve">kWh/t </w:t>
            </w:r>
          </w:p>
        </w:tc>
        <w:tc>
          <w:tcPr>
            <w:tcW w:w="1366" w:type="dxa"/>
            <w:tcBorders>
              <w:top w:val="nil"/>
              <w:bottom w:val="nil"/>
            </w:tcBorders>
            <w:vAlign w:val="center"/>
          </w:tcPr>
          <w:p w14:paraId="317261C2" w14:textId="164265B5" w:rsidR="008B4F78" w:rsidRPr="0004335D" w:rsidRDefault="000437BF"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w:t>
            </w:r>
          </w:p>
        </w:tc>
      </w:tr>
      <w:tr w:rsidR="00E56679" w:rsidRPr="0004335D" w14:paraId="2045AF6C" w14:textId="77777777" w:rsidTr="006365EF">
        <w:tc>
          <w:tcPr>
            <w:tcW w:w="2410" w:type="dxa"/>
            <w:tcBorders>
              <w:top w:val="nil"/>
              <w:bottom w:val="nil"/>
            </w:tcBorders>
            <w:vAlign w:val="center"/>
          </w:tcPr>
          <w:p w14:paraId="7941567E" w14:textId="2D00D85F"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FT process</w:t>
            </w:r>
          </w:p>
        </w:tc>
        <w:tc>
          <w:tcPr>
            <w:tcW w:w="1696" w:type="dxa"/>
            <w:tcBorders>
              <w:top w:val="nil"/>
              <w:bottom w:val="nil"/>
            </w:tcBorders>
            <w:vAlign w:val="center"/>
          </w:tcPr>
          <w:p w14:paraId="5AA00C1E" w14:textId="7A27D18B"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Syngas</w:t>
            </w:r>
          </w:p>
        </w:tc>
        <w:tc>
          <w:tcPr>
            <w:tcW w:w="1985" w:type="dxa"/>
            <w:tcBorders>
              <w:top w:val="nil"/>
              <w:bottom w:val="nil"/>
            </w:tcBorders>
            <w:vAlign w:val="center"/>
          </w:tcPr>
          <w:p w14:paraId="48FDCDEA" w14:textId="672857F9" w:rsidR="00E56679" w:rsidRPr="0004335D" w:rsidRDefault="0070092F"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Biofuel</w:t>
            </w:r>
          </w:p>
        </w:tc>
        <w:tc>
          <w:tcPr>
            <w:tcW w:w="1559" w:type="dxa"/>
            <w:tcBorders>
              <w:top w:val="nil"/>
              <w:bottom w:val="nil"/>
            </w:tcBorders>
            <w:vAlign w:val="center"/>
          </w:tcPr>
          <w:p w14:paraId="4BD15CE1" w14:textId="2D55D8F1"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lang w:bidi="en-US"/>
              </w:rPr>
              <w:t xml:space="preserve">0.148 t/t </w:t>
            </w:r>
          </w:p>
        </w:tc>
        <w:tc>
          <w:tcPr>
            <w:tcW w:w="1366" w:type="dxa"/>
            <w:tcBorders>
              <w:top w:val="nil"/>
              <w:bottom w:val="nil"/>
            </w:tcBorders>
            <w:vAlign w:val="center"/>
          </w:tcPr>
          <w:p w14:paraId="39E4F988" w14:textId="08DE7347" w:rsidR="00E56679" w:rsidRPr="0004335D" w:rsidRDefault="00D53CE8"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D53CE8">
              <w:rPr>
                <w:rFonts w:ascii="Times New Roman" w:hAnsi="Times New Roman" w:cs="Times New Roman"/>
                <w:i w:val="0"/>
                <w:iCs w:val="0"/>
                <w:noProof/>
                <w:color w:val="auto"/>
                <w:sz w:val="22"/>
                <w:szCs w:val="22"/>
              </w:rPr>
              <w:t xml:space="preserve">(Saeidi </w:t>
            </w:r>
            <w:r w:rsidRPr="00D53CE8">
              <w:rPr>
                <w:rFonts w:ascii="Times New Roman" w:hAnsi="Times New Roman" w:cs="Times New Roman"/>
                <w:iCs w:val="0"/>
                <w:noProof/>
                <w:color w:val="auto"/>
                <w:sz w:val="22"/>
                <w:szCs w:val="22"/>
              </w:rPr>
              <w:t>et al.</w:t>
            </w:r>
            <w:r w:rsidRPr="00D53CE8">
              <w:rPr>
                <w:rFonts w:ascii="Times New Roman" w:hAnsi="Times New Roman" w:cs="Times New Roman"/>
                <w:i w:val="0"/>
                <w:iCs w:val="0"/>
                <w:noProof/>
                <w:color w:val="auto"/>
                <w:sz w:val="22"/>
                <w:szCs w:val="22"/>
              </w:rPr>
              <w:t>, 2014)</w:t>
            </w:r>
            <w:r>
              <w:rPr>
                <w:rFonts w:ascii="Times New Roman" w:hAnsi="Times New Roman" w:cs="Times New Roman"/>
                <w:i w:val="0"/>
                <w:iCs w:val="0"/>
                <w:color w:val="auto"/>
                <w:sz w:val="22"/>
                <w:szCs w:val="22"/>
              </w:rPr>
              <w:fldChar w:fldCharType="end"/>
            </w:r>
          </w:p>
        </w:tc>
      </w:tr>
      <w:tr w:rsidR="00E56679" w:rsidRPr="0004335D" w14:paraId="6CFD8182" w14:textId="77777777" w:rsidTr="006365EF">
        <w:tc>
          <w:tcPr>
            <w:tcW w:w="2410" w:type="dxa"/>
            <w:tcBorders>
              <w:top w:val="nil"/>
            </w:tcBorders>
            <w:vAlign w:val="center"/>
          </w:tcPr>
          <w:p w14:paraId="20126DEE" w14:textId="6C0BB2AA"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Hydro</w:t>
            </w:r>
            <w:r w:rsidR="00E126C1" w:rsidRPr="0004335D">
              <w:rPr>
                <w:rFonts w:ascii="Times New Roman" w:hAnsi="Times New Roman" w:cs="Times New Roman"/>
                <w:i w:val="0"/>
                <w:iCs w:val="0"/>
                <w:color w:val="auto"/>
                <w:sz w:val="22"/>
                <w:szCs w:val="22"/>
              </w:rPr>
              <w:t>tr</w:t>
            </w:r>
            <w:r w:rsidRPr="0004335D">
              <w:rPr>
                <w:rFonts w:ascii="Times New Roman" w:hAnsi="Times New Roman" w:cs="Times New Roman"/>
                <w:i w:val="0"/>
                <w:iCs w:val="0"/>
                <w:color w:val="auto"/>
                <w:sz w:val="22"/>
                <w:szCs w:val="22"/>
              </w:rPr>
              <w:t>eating</w:t>
            </w:r>
          </w:p>
        </w:tc>
        <w:tc>
          <w:tcPr>
            <w:tcW w:w="1696" w:type="dxa"/>
            <w:tcBorders>
              <w:top w:val="nil"/>
            </w:tcBorders>
            <w:vAlign w:val="center"/>
          </w:tcPr>
          <w:p w14:paraId="7E0FFC07" w14:textId="08F59677"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rPr>
              <w:t>Syngas</w:t>
            </w:r>
          </w:p>
        </w:tc>
        <w:tc>
          <w:tcPr>
            <w:tcW w:w="1985" w:type="dxa"/>
            <w:tcBorders>
              <w:top w:val="nil"/>
            </w:tcBorders>
            <w:vAlign w:val="center"/>
          </w:tcPr>
          <w:p w14:paraId="46449E11" w14:textId="2786D4E7" w:rsidR="00E56679" w:rsidRPr="0004335D" w:rsidRDefault="00A3434A"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t>Biofuel</w:t>
            </w:r>
          </w:p>
        </w:tc>
        <w:tc>
          <w:tcPr>
            <w:tcW w:w="1559" w:type="dxa"/>
            <w:tcBorders>
              <w:top w:val="nil"/>
            </w:tcBorders>
            <w:vAlign w:val="center"/>
          </w:tcPr>
          <w:p w14:paraId="5170C007" w14:textId="51705B29" w:rsidR="00E56679" w:rsidRPr="0004335D" w:rsidRDefault="00E56679" w:rsidP="000437BF">
            <w:pPr>
              <w:pStyle w:val="Caption"/>
              <w:keepNext/>
              <w:spacing w:before="60" w:after="60"/>
              <w:jc w:val="center"/>
              <w:rPr>
                <w:rFonts w:ascii="Times New Roman" w:hAnsi="Times New Roman" w:cs="Times New Roman"/>
                <w:i w:val="0"/>
                <w:iCs w:val="0"/>
                <w:color w:val="auto"/>
                <w:sz w:val="22"/>
                <w:szCs w:val="22"/>
              </w:rPr>
            </w:pPr>
            <w:r w:rsidRPr="0004335D">
              <w:rPr>
                <w:rFonts w:ascii="Times New Roman" w:hAnsi="Times New Roman" w:cs="Times New Roman"/>
                <w:i w:val="0"/>
                <w:iCs w:val="0"/>
                <w:color w:val="auto"/>
                <w:sz w:val="22"/>
                <w:szCs w:val="22"/>
                <w:lang w:bidi="en-US"/>
              </w:rPr>
              <w:t xml:space="preserve">0.4 t/t </w:t>
            </w:r>
          </w:p>
        </w:tc>
        <w:tc>
          <w:tcPr>
            <w:tcW w:w="1366" w:type="dxa"/>
            <w:tcBorders>
              <w:top w:val="nil"/>
            </w:tcBorders>
            <w:vAlign w:val="center"/>
          </w:tcPr>
          <w:p w14:paraId="6D839BD1" w14:textId="1DAF1331" w:rsidR="00E56679" w:rsidRPr="0004335D" w:rsidRDefault="00A1082D" w:rsidP="000437BF">
            <w:pPr>
              <w:pStyle w:val="Caption"/>
              <w:keepNext/>
              <w:spacing w:before="60" w:after="60"/>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2"/>
                <w:szCs w:val="22"/>
              </w:rPr>
              <w:fldChar w:fldCharType="begin" w:fldLock="1"/>
            </w:r>
            <w:r>
              <w:rPr>
                <w:rFonts w:ascii="Times New Roman" w:hAnsi="Times New Roman" w:cs="Times New Roman"/>
                <w:i w:val="0"/>
                <w:iCs w:val="0"/>
                <w:color w:val="auto"/>
                <w:sz w:val="22"/>
                <w:szCs w:val="22"/>
              </w:rPr>
              <w:instrText>ADDIN CSL_CITATION {"citationItems":[{"id":"ITEM-1","itemData":{"DOI":"10.1063/1.3259170","abstract":"The lack of an alternative energy carrier to electricity with storage capability for use in off-season has to date been an unsolvable question for the sugar agroindustry. The improvement in cogeneration capacity via implementation of condensing extraction steam turbines or biomass integrated gasifier/gas turbine combined cycle and the barriers for their implementation were analyzed. The introduction of a fast pyrolysis (3 tons/h) module (FPM3) as a solution for off-season energy demand in the sugarcane agroindustry was also analyzed. The production cost of 1 ton of bio-oil for FPM3 condition was calculated at 87 USD/ton of bio-oil (0.104 USD/l of bio-oil). The economic feasibility of the FPM3 was estimated, comparing the added values for two alternatives: first alternative regarding the sugar and bioethanol simultaneous production (first generation biofuel production) and second alternative regarding the sugar and bio-oil simultaneous production (second generation biofuel production). Although the highest added value figure for a ton of sugarcane (49.30 USD) was gotten by the second alternative, the bioethanol production for cars fuel continues to be most attractive business option because of large fuel ethanol market demand.","author":[{"dropping-particle":"","family":"Alonso-Pippo","given":"W.","non-dropping-particle":"","parse-names":false,"suffix":""},{"dropping-particle":"","family":"Luengo","given":"Carlos A.","non-dropping-particle":"","parse-names":false,"suffix":""},{"dropping-particle":"","family":"Felfli","given":"F. Fonseca","non-dropping-particle":"","parse-names":false,"suffix":""},{"dropping-particle":"","family":"Garzone","given":"Pietro","non-dropping-particle":"","parse-names":false,"suffix":""},{"dropping-particle":"","family":"Cornacchia","given":"Giacinto","non-dropping-particle":"","parse-names":false,"suffix":""}],"container-title":"Journal of Renewable and Sustainable Energy","id":"ITEM-1","issued":{"date-parts":[["2009"]]},"title":"Energy recovery from sugarcane biomass residues: Challenges and opportunities of bio-oil production in the light of second generation biofuels","type":"article-journal"},"uris":["http://www.mendeley.com/documents/?uuid=8c933b28-dd8d-46c5-a079-8a2a04fb5f88"]}],"mendeley":{"formattedCitation":"(Alonso-Pippo &lt;i&gt;et al.&lt;/i&gt;, 2009)","plainTextFormattedCitation":"(Alonso-Pippo et al., 2009)","previouslyFormattedCitation":"(Alonso-Pippo &lt;i&gt;et al.&lt;/i&gt;, 2009)"},"properties":{"noteIndex":0},"schema":"https://github.com/citation-style-language/schema/raw/master/csl-citation.json"}</w:instrText>
            </w:r>
            <w:r>
              <w:rPr>
                <w:rFonts w:ascii="Times New Roman" w:hAnsi="Times New Roman" w:cs="Times New Roman"/>
                <w:i w:val="0"/>
                <w:iCs w:val="0"/>
                <w:color w:val="auto"/>
                <w:sz w:val="22"/>
                <w:szCs w:val="22"/>
              </w:rPr>
              <w:fldChar w:fldCharType="separate"/>
            </w:r>
            <w:r w:rsidRPr="00A1082D">
              <w:rPr>
                <w:rFonts w:ascii="Times New Roman" w:hAnsi="Times New Roman" w:cs="Times New Roman"/>
                <w:i w:val="0"/>
                <w:iCs w:val="0"/>
                <w:noProof/>
                <w:color w:val="auto"/>
                <w:sz w:val="22"/>
                <w:szCs w:val="22"/>
              </w:rPr>
              <w:t xml:space="preserve">(Alonso-Pippo </w:t>
            </w:r>
            <w:r w:rsidRPr="00A1082D">
              <w:rPr>
                <w:rFonts w:ascii="Times New Roman" w:hAnsi="Times New Roman" w:cs="Times New Roman"/>
                <w:iCs w:val="0"/>
                <w:noProof/>
                <w:color w:val="auto"/>
                <w:sz w:val="22"/>
                <w:szCs w:val="22"/>
              </w:rPr>
              <w:t>et al.</w:t>
            </w:r>
            <w:r w:rsidRPr="00A1082D">
              <w:rPr>
                <w:rFonts w:ascii="Times New Roman" w:hAnsi="Times New Roman" w:cs="Times New Roman"/>
                <w:i w:val="0"/>
                <w:iCs w:val="0"/>
                <w:noProof/>
                <w:color w:val="auto"/>
                <w:sz w:val="22"/>
                <w:szCs w:val="22"/>
              </w:rPr>
              <w:t>, 2009)</w:t>
            </w:r>
            <w:r>
              <w:rPr>
                <w:rFonts w:ascii="Times New Roman" w:hAnsi="Times New Roman" w:cs="Times New Roman"/>
                <w:i w:val="0"/>
                <w:iCs w:val="0"/>
                <w:color w:val="auto"/>
                <w:sz w:val="22"/>
                <w:szCs w:val="22"/>
              </w:rPr>
              <w:fldChar w:fldCharType="end"/>
            </w:r>
          </w:p>
        </w:tc>
      </w:tr>
    </w:tbl>
    <w:p w14:paraId="564CA8E9" w14:textId="356CE8C3" w:rsidR="005421CF" w:rsidRPr="000437BF" w:rsidRDefault="000437BF" w:rsidP="000437BF">
      <w:pPr>
        <w:pStyle w:val="Caption"/>
        <w:keepNext/>
        <w:jc w:val="both"/>
        <w:rPr>
          <w:rFonts w:ascii="Times New Roman" w:hAnsi="Times New Roman" w:cs="Times New Roman"/>
          <w:i w:val="0"/>
          <w:iCs w:val="0"/>
          <w:color w:val="auto"/>
          <w:sz w:val="22"/>
          <w:szCs w:val="22"/>
        </w:rPr>
      </w:pPr>
      <w:proofErr w:type="spellStart"/>
      <w:r w:rsidRPr="000437BF">
        <w:rPr>
          <w:rFonts w:ascii="Times New Roman" w:hAnsi="Times New Roman" w:cs="Times New Roman"/>
          <w:i w:val="0"/>
          <w:iCs w:val="0"/>
          <w:color w:val="auto"/>
          <w:sz w:val="22"/>
          <w:szCs w:val="22"/>
          <w:vertAlign w:val="superscript"/>
        </w:rPr>
        <w:t>a</w:t>
      </w:r>
      <w:proofErr w:type="spellEnd"/>
      <w:r w:rsidR="00A1082D">
        <w:rPr>
          <w:rFonts w:ascii="Times New Roman" w:hAnsi="Times New Roman" w:cs="Times New Roman"/>
          <w:i w:val="0"/>
          <w:iCs w:val="0"/>
          <w:color w:val="auto"/>
          <w:sz w:val="22"/>
          <w:szCs w:val="22"/>
          <w:vertAlign w:val="superscript"/>
        </w:rPr>
        <w:t xml:space="preserve"> </w:t>
      </w:r>
      <w:r w:rsidRPr="000437BF">
        <w:rPr>
          <w:rFonts w:ascii="Times New Roman" w:hAnsi="Times New Roman" w:cs="Times New Roman"/>
          <w:i w:val="0"/>
          <w:iCs w:val="0"/>
          <w:color w:val="auto"/>
          <w:sz w:val="22"/>
          <w:szCs w:val="22"/>
        </w:rPr>
        <w:t>The</w:t>
      </w:r>
      <w:r w:rsidR="00A1082D">
        <w:rPr>
          <w:rFonts w:ascii="Times New Roman" w:hAnsi="Times New Roman" w:cs="Times New Roman"/>
          <w:i w:val="0"/>
          <w:iCs w:val="0"/>
          <w:color w:val="auto"/>
          <w:sz w:val="22"/>
          <w:szCs w:val="22"/>
        </w:rPr>
        <w:t xml:space="preserve"> </w:t>
      </w:r>
      <w:r w:rsidRPr="000437BF">
        <w:rPr>
          <w:rFonts w:ascii="Times New Roman" w:hAnsi="Times New Roman" w:cs="Times New Roman"/>
          <w:i w:val="0"/>
          <w:iCs w:val="0"/>
          <w:color w:val="auto"/>
          <w:sz w:val="22"/>
          <w:szCs w:val="22"/>
        </w:rPr>
        <w:t>conversion</w:t>
      </w:r>
      <w:r w:rsidR="00A3434A">
        <w:rPr>
          <w:rFonts w:ascii="Times New Roman" w:hAnsi="Times New Roman" w:cs="Times New Roman"/>
          <w:i w:val="0"/>
          <w:iCs w:val="0"/>
          <w:color w:val="auto"/>
          <w:sz w:val="22"/>
          <w:szCs w:val="22"/>
        </w:rPr>
        <w:t xml:space="preserve"> ratio</w:t>
      </w:r>
      <w:r w:rsidRPr="000437BF">
        <w:rPr>
          <w:rFonts w:ascii="Times New Roman" w:hAnsi="Times New Roman" w:cs="Times New Roman"/>
          <w:i w:val="0"/>
          <w:iCs w:val="0"/>
          <w:color w:val="auto"/>
          <w:sz w:val="22"/>
          <w:szCs w:val="22"/>
        </w:rPr>
        <w:t xml:space="preserve"> of </w:t>
      </w:r>
      <w:r w:rsidR="00A3434A">
        <w:rPr>
          <w:rFonts w:ascii="Times New Roman" w:hAnsi="Times New Roman" w:cs="Times New Roman"/>
          <w:i w:val="0"/>
          <w:iCs w:val="0"/>
          <w:color w:val="auto"/>
          <w:sz w:val="22"/>
          <w:szCs w:val="22"/>
        </w:rPr>
        <w:t>CHP</w:t>
      </w:r>
      <w:r w:rsidRPr="000437BF">
        <w:rPr>
          <w:rFonts w:ascii="Times New Roman" w:hAnsi="Times New Roman" w:cs="Times New Roman"/>
          <w:i w:val="0"/>
          <w:iCs w:val="0"/>
          <w:color w:val="auto"/>
          <w:sz w:val="22"/>
          <w:szCs w:val="22"/>
        </w:rPr>
        <w:t xml:space="preserve"> </w:t>
      </w:r>
      <w:r w:rsidR="00A3434A">
        <w:rPr>
          <w:rFonts w:ascii="Times New Roman" w:hAnsi="Times New Roman" w:cs="Times New Roman"/>
          <w:i w:val="0"/>
          <w:iCs w:val="0"/>
          <w:color w:val="auto"/>
          <w:sz w:val="22"/>
          <w:szCs w:val="22"/>
        </w:rPr>
        <w:t>is</w:t>
      </w:r>
      <w:r w:rsidRPr="000437BF">
        <w:rPr>
          <w:rFonts w:ascii="Times New Roman" w:hAnsi="Times New Roman" w:cs="Times New Roman"/>
          <w:i w:val="0"/>
          <w:iCs w:val="0"/>
          <w:color w:val="auto"/>
          <w:sz w:val="22"/>
          <w:szCs w:val="22"/>
        </w:rPr>
        <w:t xml:space="preserve"> approximated by taking the calorific values of </w:t>
      </w:r>
      <w:r>
        <w:rPr>
          <w:rFonts w:ascii="Times New Roman" w:hAnsi="Times New Roman" w:cs="Times New Roman"/>
          <w:i w:val="0"/>
          <w:iCs w:val="0"/>
          <w:color w:val="auto"/>
          <w:sz w:val="22"/>
          <w:szCs w:val="22"/>
        </w:rPr>
        <w:t xml:space="preserve">the input with a consideration of 35% and 50% efficiency for electricity and heat production, respectively. </w:t>
      </w:r>
    </w:p>
    <w:p w14:paraId="7205FA0D" w14:textId="2525017F" w:rsidR="0097191B" w:rsidRPr="009026A2" w:rsidRDefault="0004335D" w:rsidP="009026A2">
      <w:pPr>
        <w:rPr>
          <w:rFonts w:ascii="Times New Roman" w:hAnsi="Times New Roman" w:cs="Times New Roman"/>
          <w:b/>
          <w:bCs/>
          <w:sz w:val="24"/>
          <w:szCs w:val="24"/>
        </w:rPr>
      </w:pPr>
      <w:r>
        <w:rPr>
          <w:rFonts w:ascii="Times New Roman" w:hAnsi="Times New Roman" w:cs="Times New Roman"/>
          <w:b/>
          <w:bCs/>
          <w:i/>
          <w:iCs/>
          <w:sz w:val="24"/>
          <w:szCs w:val="24"/>
        </w:rPr>
        <w:br w:type="page"/>
      </w:r>
    </w:p>
    <w:p w14:paraId="5C327A46" w14:textId="6BC5BC72" w:rsidR="0097191B" w:rsidRPr="00251B46" w:rsidRDefault="0097191B" w:rsidP="0097191B">
      <w:pPr>
        <w:pStyle w:val="Caption"/>
        <w:keepNext/>
        <w:rPr>
          <w:rFonts w:ascii="Times New Roman" w:hAnsi="Times New Roman" w:cs="Times New Roman"/>
          <w:i w:val="0"/>
          <w:iCs w:val="0"/>
          <w:color w:val="auto"/>
          <w:sz w:val="24"/>
          <w:szCs w:val="24"/>
        </w:rPr>
      </w:pPr>
      <w:r w:rsidRPr="0004335D">
        <w:rPr>
          <w:rFonts w:ascii="Times New Roman" w:hAnsi="Times New Roman" w:cs="Times New Roman"/>
          <w:b/>
          <w:bCs/>
          <w:i w:val="0"/>
          <w:iCs w:val="0"/>
          <w:color w:val="auto"/>
          <w:sz w:val="24"/>
          <w:szCs w:val="24"/>
        </w:rPr>
        <w:lastRenderedPageBreak/>
        <w:t xml:space="preserve">Table </w:t>
      </w:r>
      <w:r w:rsidR="00BA41BB" w:rsidRPr="0004335D">
        <w:rPr>
          <w:rFonts w:ascii="Times New Roman" w:hAnsi="Times New Roman" w:cs="Times New Roman"/>
          <w:b/>
          <w:bCs/>
          <w:i w:val="0"/>
          <w:iCs w:val="0"/>
          <w:color w:val="auto"/>
          <w:sz w:val="24"/>
          <w:szCs w:val="24"/>
        </w:rPr>
        <w:t>S</w:t>
      </w:r>
      <w:r w:rsidRPr="0004335D">
        <w:rPr>
          <w:rFonts w:ascii="Times New Roman" w:hAnsi="Times New Roman" w:cs="Times New Roman"/>
          <w:b/>
          <w:bCs/>
          <w:i w:val="0"/>
          <w:iCs w:val="0"/>
          <w:color w:val="auto"/>
          <w:sz w:val="24"/>
          <w:szCs w:val="24"/>
        </w:rPr>
        <w:fldChar w:fldCharType="begin"/>
      </w:r>
      <w:r w:rsidRPr="0004335D">
        <w:rPr>
          <w:rFonts w:ascii="Times New Roman" w:hAnsi="Times New Roman" w:cs="Times New Roman"/>
          <w:b/>
          <w:bCs/>
          <w:i w:val="0"/>
          <w:iCs w:val="0"/>
          <w:color w:val="auto"/>
          <w:sz w:val="24"/>
          <w:szCs w:val="24"/>
        </w:rPr>
        <w:instrText xml:space="preserve"> SEQ Table \* ARABIC </w:instrText>
      </w:r>
      <w:r w:rsidRPr="0004335D">
        <w:rPr>
          <w:rFonts w:ascii="Times New Roman" w:hAnsi="Times New Roman" w:cs="Times New Roman"/>
          <w:b/>
          <w:bCs/>
          <w:i w:val="0"/>
          <w:iCs w:val="0"/>
          <w:color w:val="auto"/>
          <w:sz w:val="24"/>
          <w:szCs w:val="24"/>
        </w:rPr>
        <w:fldChar w:fldCharType="separate"/>
      </w:r>
      <w:r w:rsidRPr="0004335D">
        <w:rPr>
          <w:rFonts w:ascii="Times New Roman" w:hAnsi="Times New Roman" w:cs="Times New Roman"/>
          <w:b/>
          <w:bCs/>
          <w:i w:val="0"/>
          <w:iCs w:val="0"/>
          <w:noProof/>
          <w:color w:val="auto"/>
          <w:sz w:val="24"/>
          <w:szCs w:val="24"/>
        </w:rPr>
        <w:t>2</w:t>
      </w:r>
      <w:r w:rsidRPr="0004335D">
        <w:rPr>
          <w:rFonts w:ascii="Times New Roman" w:hAnsi="Times New Roman" w:cs="Times New Roman"/>
          <w:b/>
          <w:bCs/>
          <w:i w:val="0"/>
          <w:iCs w:val="0"/>
          <w:color w:val="auto"/>
          <w:sz w:val="24"/>
          <w:szCs w:val="24"/>
        </w:rPr>
        <w:fldChar w:fldCharType="end"/>
      </w:r>
      <w:r w:rsidRPr="0004335D">
        <w:rPr>
          <w:rFonts w:ascii="Times New Roman" w:hAnsi="Times New Roman" w:cs="Times New Roman"/>
          <w:b/>
          <w:bCs/>
          <w:i w:val="0"/>
          <w:iCs w:val="0"/>
          <w:color w:val="auto"/>
          <w:sz w:val="24"/>
          <w:szCs w:val="24"/>
        </w:rPr>
        <w:t>:</w:t>
      </w:r>
      <w:r w:rsidRPr="0004335D">
        <w:rPr>
          <w:rFonts w:ascii="Times New Roman" w:hAnsi="Times New Roman" w:cs="Times New Roman"/>
          <w:i w:val="0"/>
          <w:iCs w:val="0"/>
          <w:color w:val="auto"/>
          <w:sz w:val="24"/>
          <w:szCs w:val="24"/>
        </w:rPr>
        <w:t xml:space="preserve"> Scale factors of CAPEX and OPEX</w:t>
      </w:r>
    </w:p>
    <w:tbl>
      <w:tblPr>
        <w:tblW w:w="8934" w:type="dxa"/>
        <w:jc w:val="center"/>
        <w:tblLook w:val="04A0" w:firstRow="1" w:lastRow="0" w:firstColumn="1" w:lastColumn="0" w:noHBand="0" w:noVBand="1"/>
      </w:tblPr>
      <w:tblGrid>
        <w:gridCol w:w="2268"/>
        <w:gridCol w:w="2268"/>
        <w:gridCol w:w="2410"/>
        <w:gridCol w:w="1988"/>
      </w:tblGrid>
      <w:tr w:rsidR="00251B46" w:rsidRPr="00251B46" w14:paraId="703FC8E3" w14:textId="77777777" w:rsidTr="006365EF">
        <w:trPr>
          <w:trHeight w:val="615"/>
          <w:jc w:val="center"/>
        </w:trPr>
        <w:tc>
          <w:tcPr>
            <w:tcW w:w="2268" w:type="dxa"/>
            <w:tcBorders>
              <w:top w:val="single" w:sz="8" w:space="0" w:color="auto"/>
              <w:left w:val="nil"/>
              <w:bottom w:val="single" w:sz="8" w:space="0" w:color="auto"/>
              <w:right w:val="nil"/>
            </w:tcBorders>
            <w:shd w:val="clear" w:color="auto" w:fill="auto"/>
            <w:vAlign w:val="center"/>
            <w:hideMark/>
          </w:tcPr>
          <w:p w14:paraId="1789A4C7" w14:textId="25F9033B" w:rsidR="0097191B" w:rsidRPr="00251B46" w:rsidRDefault="0097191B" w:rsidP="00A3434A">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Facility</w:t>
            </w:r>
            <w:r w:rsidR="00221FC0">
              <w:rPr>
                <w:rFonts w:ascii="Times New Roman" w:eastAsia="Times New Roman" w:hAnsi="Times New Roman" w:cs="Times New Roman"/>
                <w:b/>
                <w:bCs/>
                <w:lang w:val="en-MY"/>
              </w:rPr>
              <w:t>/Technology</w:t>
            </w:r>
          </w:p>
        </w:tc>
        <w:tc>
          <w:tcPr>
            <w:tcW w:w="2268" w:type="dxa"/>
            <w:tcBorders>
              <w:top w:val="single" w:sz="8" w:space="0" w:color="auto"/>
              <w:left w:val="nil"/>
              <w:bottom w:val="single" w:sz="8" w:space="0" w:color="auto"/>
              <w:right w:val="nil"/>
            </w:tcBorders>
            <w:shd w:val="clear" w:color="auto" w:fill="auto"/>
            <w:vAlign w:val="center"/>
            <w:hideMark/>
          </w:tcPr>
          <w:p w14:paraId="16831580" w14:textId="6F1AD505" w:rsidR="0097191B" w:rsidRPr="00251B46" w:rsidRDefault="0097191B" w:rsidP="28F7168D">
            <w:pPr>
              <w:spacing w:after="0" w:line="240" w:lineRule="auto"/>
              <w:jc w:val="center"/>
              <w:rPr>
                <w:rFonts w:ascii="Times New Roman" w:hAnsi="Times New Roman" w:cs="Times New Roman"/>
                <w:vertAlign w:val="superscript"/>
                <w:lang w:val="en-MY"/>
              </w:rPr>
            </w:pPr>
            <w:r w:rsidRPr="28F7168D">
              <w:rPr>
                <w:rFonts w:ascii="Times New Roman" w:eastAsia="Times New Roman" w:hAnsi="Times New Roman" w:cs="Times New Roman"/>
                <w:b/>
                <w:bCs/>
                <w:lang w:val="en-MY"/>
              </w:rPr>
              <w:t>Capital costs</w:t>
            </w:r>
            <w:r w:rsidR="00221FC0" w:rsidRPr="28F7168D">
              <w:rPr>
                <w:rFonts w:ascii="Times New Roman" w:eastAsia="Times New Roman" w:hAnsi="Times New Roman" w:cs="Times New Roman"/>
                <w:b/>
                <w:bCs/>
                <w:lang w:val="en-MY"/>
              </w:rPr>
              <w:t>, $/t</w:t>
            </w:r>
            <w:r w:rsidR="621CFC3C" w:rsidRPr="28F7168D">
              <w:rPr>
                <w:rFonts w:ascii="Times New Roman" w:eastAsia="Times New Roman" w:hAnsi="Times New Roman" w:cs="Times New Roman"/>
                <w:b/>
                <w:bCs/>
                <w:lang w:val="en-MY"/>
              </w:rPr>
              <w:t xml:space="preserve"> </w:t>
            </w:r>
            <w:r w:rsidR="621CFC3C" w:rsidRPr="28F7168D">
              <w:rPr>
                <w:rFonts w:ascii="Times New Roman" w:hAnsi="Times New Roman" w:cs="Times New Roman"/>
                <w:vertAlign w:val="superscript"/>
              </w:rPr>
              <w:t>a</w:t>
            </w:r>
          </w:p>
        </w:tc>
        <w:tc>
          <w:tcPr>
            <w:tcW w:w="2410" w:type="dxa"/>
            <w:tcBorders>
              <w:top w:val="single" w:sz="8" w:space="0" w:color="auto"/>
              <w:left w:val="nil"/>
              <w:bottom w:val="single" w:sz="8" w:space="0" w:color="auto"/>
              <w:right w:val="nil"/>
            </w:tcBorders>
            <w:shd w:val="clear" w:color="auto" w:fill="auto"/>
            <w:vAlign w:val="center"/>
            <w:hideMark/>
          </w:tcPr>
          <w:p w14:paraId="3DDC939C" w14:textId="520A1873" w:rsidR="0097191B" w:rsidRPr="00251B46" w:rsidRDefault="0097191B" w:rsidP="28F7168D">
            <w:pPr>
              <w:spacing w:after="0" w:line="240" w:lineRule="auto"/>
              <w:jc w:val="center"/>
              <w:rPr>
                <w:rFonts w:ascii="Times New Roman" w:hAnsi="Times New Roman" w:cs="Times New Roman"/>
                <w:vertAlign w:val="superscript"/>
                <w:lang w:val="en-MY"/>
              </w:rPr>
            </w:pPr>
            <w:r w:rsidRPr="28F7168D">
              <w:rPr>
                <w:rFonts w:ascii="Times New Roman" w:eastAsia="Times New Roman" w:hAnsi="Times New Roman" w:cs="Times New Roman"/>
                <w:b/>
                <w:bCs/>
                <w:lang w:val="en-MY"/>
              </w:rPr>
              <w:t>Operating costs</w:t>
            </w:r>
            <w:r w:rsidR="00221FC0" w:rsidRPr="28F7168D">
              <w:rPr>
                <w:rFonts w:ascii="Times New Roman" w:eastAsia="Times New Roman" w:hAnsi="Times New Roman" w:cs="Times New Roman"/>
                <w:b/>
                <w:bCs/>
                <w:lang w:val="en-MY"/>
              </w:rPr>
              <w:t>, $/t</w:t>
            </w:r>
            <w:r w:rsidR="744AD015" w:rsidRPr="28F7168D">
              <w:rPr>
                <w:rFonts w:ascii="Times New Roman" w:eastAsia="Times New Roman" w:hAnsi="Times New Roman" w:cs="Times New Roman"/>
                <w:b/>
                <w:bCs/>
                <w:lang w:val="en-MY"/>
              </w:rPr>
              <w:t xml:space="preserve"> </w:t>
            </w:r>
            <w:r w:rsidR="744AD015" w:rsidRPr="28F7168D">
              <w:rPr>
                <w:rFonts w:ascii="Times New Roman" w:hAnsi="Times New Roman" w:cs="Times New Roman"/>
                <w:vertAlign w:val="superscript"/>
              </w:rPr>
              <w:t>a</w:t>
            </w:r>
          </w:p>
        </w:tc>
        <w:tc>
          <w:tcPr>
            <w:tcW w:w="1988" w:type="dxa"/>
            <w:tcBorders>
              <w:top w:val="single" w:sz="8" w:space="0" w:color="auto"/>
              <w:left w:val="nil"/>
              <w:bottom w:val="single" w:sz="8" w:space="0" w:color="auto"/>
              <w:right w:val="nil"/>
            </w:tcBorders>
            <w:shd w:val="clear" w:color="auto" w:fill="auto"/>
            <w:vAlign w:val="center"/>
            <w:hideMark/>
          </w:tcPr>
          <w:p w14:paraId="5217A5C8" w14:textId="77777777" w:rsidR="0097191B" w:rsidRPr="00251B46" w:rsidRDefault="0097191B" w:rsidP="00A3434A">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References</w:t>
            </w:r>
          </w:p>
        </w:tc>
      </w:tr>
      <w:tr w:rsidR="00251B46" w:rsidRPr="00251B46" w14:paraId="1EA2A740" w14:textId="77777777" w:rsidTr="006365EF">
        <w:trPr>
          <w:trHeight w:val="315"/>
          <w:jc w:val="center"/>
        </w:trPr>
        <w:tc>
          <w:tcPr>
            <w:tcW w:w="2268" w:type="dxa"/>
            <w:tcBorders>
              <w:top w:val="single" w:sz="8" w:space="0" w:color="auto"/>
              <w:left w:val="nil"/>
              <w:right w:val="nil"/>
            </w:tcBorders>
            <w:shd w:val="clear" w:color="auto" w:fill="auto"/>
            <w:vAlign w:val="center"/>
            <w:hideMark/>
          </w:tcPr>
          <w:p w14:paraId="5A0AA77F"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Pyrolysis</w:t>
            </w:r>
          </w:p>
        </w:tc>
        <w:tc>
          <w:tcPr>
            <w:tcW w:w="2268" w:type="dxa"/>
            <w:tcBorders>
              <w:top w:val="single" w:sz="8" w:space="0" w:color="auto"/>
              <w:left w:val="nil"/>
              <w:right w:val="nil"/>
            </w:tcBorders>
            <w:shd w:val="clear" w:color="auto" w:fill="auto"/>
            <w:vAlign w:val="center"/>
            <w:hideMark/>
          </w:tcPr>
          <w:p w14:paraId="65C896DD" w14:textId="024561CD"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138.4</w:t>
            </w:r>
            <w:r w:rsidR="00DC3511">
              <w:rPr>
                <w:rFonts w:ascii="Times New Roman" w:eastAsia="Times New Roman" w:hAnsi="Times New Roman" w:cs="Times New Roman"/>
                <w:lang w:val="en-MY"/>
              </w:rPr>
              <w:t>0</w:t>
            </w:r>
          </w:p>
        </w:tc>
        <w:tc>
          <w:tcPr>
            <w:tcW w:w="2410" w:type="dxa"/>
            <w:tcBorders>
              <w:top w:val="single" w:sz="8" w:space="0" w:color="auto"/>
              <w:left w:val="nil"/>
              <w:right w:val="nil"/>
            </w:tcBorders>
            <w:shd w:val="clear" w:color="auto" w:fill="auto"/>
            <w:vAlign w:val="center"/>
            <w:hideMark/>
          </w:tcPr>
          <w:p w14:paraId="5B50936B" w14:textId="1F65D5FE"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 xml:space="preserve">123.07 </w:t>
            </w:r>
          </w:p>
        </w:tc>
        <w:tc>
          <w:tcPr>
            <w:tcW w:w="1988" w:type="dxa"/>
            <w:tcBorders>
              <w:top w:val="single" w:sz="8" w:space="0" w:color="auto"/>
              <w:left w:val="nil"/>
              <w:right w:val="nil"/>
            </w:tcBorders>
            <w:shd w:val="clear" w:color="auto" w:fill="auto"/>
            <w:vAlign w:val="center"/>
            <w:hideMark/>
          </w:tcPr>
          <w:p w14:paraId="3D3468BB" w14:textId="0755AA47" w:rsidR="0097191B" w:rsidRPr="00251B46" w:rsidRDefault="00D53CE8"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{"citationItems":[{"id":"ITEM-1","itemData":{"DOI":"10.1016/j.fuel.2010.07.029","ISSN":"00162361","abstract":"This techno-economic study examines fast pyrolysis of corn stover to bio-oil with subsequent upgrading of the bio-oil to naphtha and diesel range fuels. Two 2000 dry tonne per day scenarios are developed: the first scenario separates a fraction of the bio-oil to generate hydrogen on-site for fuel upgrading, while the second scenario relies on merchant hydrogen. The modeling effort resulted in liquid fuel production rates of 134 and 220 million liters per year for the hydrogen production and purchase scenarios, respectively. Capital costs for these plants are $287 and $200 million. Fuel product value estimates are $3.09 and $2.11 per gallon of gasoline equivalent ($0.82 and $0.56 per liter). While calculated costs of this biofuel are competitive with other kinds of alternative fuels, further research is required to better determine the effect of feedstock properties and process conditions on the ultimate yield of liquid fuel from bio-oil. Pioneer plant analysis estimates capital costs to be $911 and $585 million for construction of a first-of-a-kind fast pyrolysis and upgrading biorefinery with product values of $6.55 and $3.41 per gge ($1.73 and $0.90 per liter). © 2010 Elsevier Ltd. All rights reserved.","author":[{"dropping-particle":"","family":"Wright","given":"Mark M.","non-dropping-particle":"","parse-names":false,"suffix":""},{"dropping-particle":"","family":"Daugaard","given":"Daren E.","non-dropping-particle":"","parse-names":false,"suffix":""},{"dropping-particle":"","family":"Satrio","given":"Justinus A.","non-dropping-particle":"","parse-names":false,"suffix":""},{"dropping-particle":"","family":"Brown","given":"Robert C.","non-dropping-particle":"","parse-names":false,"suffix":""}],"container-title":"Fuel","id":"ITEM-1","issued":{"date-parts":[["2010"]]},"title":"Techno-economic analysis of biomass fast pyrolysis to transportation fuels","type":"article-journal"},"uris":["http://www.mendeley.com/documents/?uuid=c8db86a3-3a54-4a70-9cb9-5a636f3abff4"]}],"mendeley":{"formattedCitation":"(Wright &lt;i&gt;et al.&lt;/i&gt;, 2010)","plainTextFormattedCitation":"(Wright et al., 2010)","previouslyFormattedCitation":"(Wright &lt;i&gt;et al.&lt;/i&gt;, 2010)"},"properties":{"noteIndex":0},"schema":"https://github.com/citation-style-language/schema/raw/master/csl-citation.json"}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(Wright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2010)</w:t>
            </w:r>
            <w:r>
              <w:rPr>
                <w:rFonts w:ascii="Times New Roman" w:eastAsia="Times New Roman" w:hAnsi="Times New Roman" w:cs="Times New Roman"/>
                <w:lang w:val="en-MY"/>
              </w:rPr>
              <w:fldChar w:fldCharType="end"/>
            </w:r>
          </w:p>
        </w:tc>
      </w:tr>
      <w:tr w:rsidR="00251B46" w:rsidRPr="00251B46" w14:paraId="00EEE95B" w14:textId="77777777" w:rsidTr="006365EF">
        <w:trPr>
          <w:trHeight w:val="315"/>
          <w:jc w:val="center"/>
        </w:trPr>
        <w:tc>
          <w:tcPr>
            <w:tcW w:w="2268" w:type="dxa"/>
            <w:tcBorders>
              <w:top w:val="nil"/>
              <w:left w:val="nil"/>
              <w:right w:val="nil"/>
            </w:tcBorders>
            <w:shd w:val="clear" w:color="auto" w:fill="auto"/>
            <w:vAlign w:val="center"/>
            <w:hideMark/>
          </w:tcPr>
          <w:p w14:paraId="60F70981"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Gasification</w:t>
            </w:r>
          </w:p>
        </w:tc>
        <w:tc>
          <w:tcPr>
            <w:tcW w:w="2268" w:type="dxa"/>
            <w:tcBorders>
              <w:top w:val="nil"/>
              <w:left w:val="nil"/>
              <w:right w:val="nil"/>
            </w:tcBorders>
            <w:shd w:val="clear" w:color="auto" w:fill="auto"/>
            <w:vAlign w:val="center"/>
            <w:hideMark/>
          </w:tcPr>
          <w:p w14:paraId="0034901B" w14:textId="3078598F"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79.18</w:t>
            </w:r>
          </w:p>
        </w:tc>
        <w:tc>
          <w:tcPr>
            <w:tcW w:w="2410" w:type="dxa"/>
            <w:tcBorders>
              <w:top w:val="nil"/>
              <w:left w:val="nil"/>
              <w:right w:val="nil"/>
            </w:tcBorders>
            <w:shd w:val="clear" w:color="auto" w:fill="auto"/>
            <w:vAlign w:val="center"/>
            <w:hideMark/>
          </w:tcPr>
          <w:p w14:paraId="7B89010B" w14:textId="3AC59E29"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67.6</w:t>
            </w:r>
            <w:r w:rsidR="00DC3511">
              <w:rPr>
                <w:rFonts w:ascii="Times New Roman" w:eastAsia="Times New Roman" w:hAnsi="Times New Roman" w:cs="Times New Roman"/>
                <w:lang w:val="en-MY"/>
              </w:rPr>
              <w:t>0</w:t>
            </w:r>
          </w:p>
        </w:tc>
        <w:tc>
          <w:tcPr>
            <w:tcW w:w="1988" w:type="dxa"/>
            <w:tcBorders>
              <w:top w:val="nil"/>
              <w:left w:val="nil"/>
              <w:right w:val="nil"/>
            </w:tcBorders>
            <w:shd w:val="clear" w:color="auto" w:fill="auto"/>
            <w:vAlign w:val="center"/>
            <w:hideMark/>
          </w:tcPr>
          <w:p w14:paraId="51FA0DC4" w14:textId="697A6D53" w:rsidR="0097191B" w:rsidRPr="00251B46" w:rsidRDefault="00D53CE8"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{"citationItems":[{"id":"ITEM-1","itemData":{"DOI":"10.1016/j.egypro.2017.03.1111","ISSN":"18766102","abstract":"A techno-economic feasibility study of liquid bio-fuel production from biomass to meet the demand for public transport in small communitiesis presented. The methodology adopted in this work is based on calculating the demand of fuels required by transport sector and then estimating the amount of available biomass from various sources which can be treated to produce bio-fuels to meet the demand within the region. Depending on demand and available biomass feedstock, size and type of the gasification plant are specified. Narvik, a town in the northern part of Norway, is considered as a case study. The current demand of diesel for public transport in Narvik was calculated. The main sources of biomass in the region under consideration come basically from forests and municipal solid waste. It was found out that the potential of producing biofuel is more than three times the fuel demand for public transport, which means that excess biofuel produced can be used in other sectors such as heating. A downdraft gasifier of 6.0 MW was considered adequate to produce the required amount of biofuel. Cost analysis was performed where capital cost, operational and maintenance (O&amp;M) costs for the biomass pre-treatment processes, the gasification plant and the gas to liquid (GTL) plant were considered in the assessment. It was concluded that the payback period of the project could be achieved within four years. The study demonstrated that biomass gasification offers small communities a means to cover their energy demand for public transport using local biomass feedstock and fulfils environmental targets of the community.","author":[{"dropping-particle":"","family":"Mustafa","given":"Albara","non-dropping-particle":"","parse-names":false,"suffix":""},{"dropping-particle":"","family":"Calay","given":"Rajnish Kaur","non-dropping-particle":"","parse-names":false,"suffix":""},{"dropping-particle":"","family":"Mustafa","given":"Mohamad Y.","non-dropping-particle":"","parse-names":false,"suffix":""}],"container-title":"Energy Procedia","id":"ITEM-1","issued":{"date-parts":[["2017"]]},"title":"A Techno-economic Study of a Biomass Gasification Plant for the Production of Transport Biofuel for Small Communities","type":"paper-conference"},"uris":["http://www.mendeley.com/documents/?uuid=ef445b17-cf92-4c79-b392-3cdf5849e8dd"]}],"mendeley":{"formattedCitation":"(Mustafa &lt;i&gt;et al.&lt;/i&gt;, 2017)","plainTextFormattedCitation":"(Mustafa et al., 2017)"},"properties":{"noteIndex":0},"schema":"https://github.com/citation-style-language/schema/raw/master/csl-citation.json"}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(Mustafa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2017)</w:t>
            </w:r>
            <w:r>
              <w:rPr>
                <w:rFonts w:ascii="Times New Roman" w:eastAsia="Times New Roman" w:hAnsi="Times New Roman" w:cs="Times New Roman"/>
                <w:lang w:val="en-MY"/>
              </w:rPr>
              <w:fldChar w:fldCharType="end"/>
            </w:r>
          </w:p>
        </w:tc>
      </w:tr>
      <w:tr w:rsidR="00251B46" w:rsidRPr="00251B46" w14:paraId="1C8B1551" w14:textId="77777777" w:rsidTr="006365EF">
        <w:trPr>
          <w:trHeight w:val="315"/>
          <w:jc w:val="center"/>
        </w:trPr>
        <w:tc>
          <w:tcPr>
            <w:tcW w:w="2268" w:type="dxa"/>
            <w:tcBorders>
              <w:top w:val="nil"/>
              <w:left w:val="nil"/>
              <w:right w:val="nil"/>
            </w:tcBorders>
            <w:shd w:val="clear" w:color="auto" w:fill="auto"/>
            <w:vAlign w:val="center"/>
            <w:hideMark/>
          </w:tcPr>
          <w:p w14:paraId="687AF0AB"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BSF facility</w:t>
            </w:r>
          </w:p>
        </w:tc>
        <w:tc>
          <w:tcPr>
            <w:tcW w:w="2268" w:type="dxa"/>
            <w:tcBorders>
              <w:top w:val="nil"/>
              <w:left w:val="nil"/>
              <w:right w:val="nil"/>
            </w:tcBorders>
            <w:shd w:val="clear" w:color="auto" w:fill="auto"/>
            <w:vAlign w:val="center"/>
            <w:hideMark/>
          </w:tcPr>
          <w:p w14:paraId="4F6FBB32" w14:textId="5DF18FBC"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3,500</w:t>
            </w:r>
            <w:r w:rsidR="00DC3511">
              <w:rPr>
                <w:rFonts w:ascii="Times New Roman" w:eastAsia="Times New Roman" w:hAnsi="Times New Roman" w:cs="Times New Roman"/>
                <w:lang w:val="en-MY"/>
              </w:rPr>
              <w:t>.00</w:t>
            </w:r>
          </w:p>
        </w:tc>
        <w:tc>
          <w:tcPr>
            <w:tcW w:w="2410" w:type="dxa"/>
            <w:tcBorders>
              <w:top w:val="nil"/>
              <w:left w:val="nil"/>
              <w:right w:val="nil"/>
            </w:tcBorders>
            <w:shd w:val="clear" w:color="auto" w:fill="auto"/>
            <w:vAlign w:val="center"/>
            <w:hideMark/>
          </w:tcPr>
          <w:p w14:paraId="0C6D41C3" w14:textId="32A4AD1B"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1,840</w:t>
            </w:r>
            <w:r w:rsidR="00DC3511">
              <w:rPr>
                <w:rFonts w:ascii="Times New Roman" w:eastAsia="Times New Roman" w:hAnsi="Times New Roman" w:cs="Times New Roman"/>
                <w:lang w:val="en-MY"/>
              </w:rPr>
              <w:t>.00</w:t>
            </w:r>
          </w:p>
        </w:tc>
        <w:tc>
          <w:tcPr>
            <w:tcW w:w="1988" w:type="dxa"/>
            <w:tcBorders>
              <w:top w:val="nil"/>
              <w:left w:val="nil"/>
              <w:right w:val="nil"/>
            </w:tcBorders>
            <w:shd w:val="clear" w:color="auto" w:fill="auto"/>
            <w:vAlign w:val="center"/>
            <w:hideMark/>
          </w:tcPr>
          <w:p w14:paraId="56808C16" w14:textId="74260BC0" w:rsidR="0097191B" w:rsidRPr="00251B46" w:rsidRDefault="00A1082D"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{"citationItems":[{"id":"ITEM-1","itemData":{"DOI":"10.1016/j.jafr.2021.100153","ISSN":"26661543","abstract":"Promoting black soldier fly (BSF) rearing in Benin to replace fishmeal in fish diet could reduce fish production costs. This study aims to set up a breeding technique of BSF as a protein source. BSF reproduction has been carried out in sunlight. Two densities (8500 individuals/m3 and 10,500 individuals/m3) associated with 2 attractants (soybean and pineapple waste) were tested on imago egg-laying. A larvarium with a prepupae self-harvesting system was designed and its efficiency was evaluated by testing 3 densities of larval rearing (1 larva/g, 2 larva/g, 3 larva/g). Two diets, VGD (soybean meal ​+ ​euphorbia leaves and seeds ​+ ​colza oil) and FOD (soybean meal ​+ ​fish offal) were formulated to optimize polyunsaturated fatty acid profile of prepupae to meet nutritional requirements of tilapia. Best oviposition was obtained with 8500 individuals/m3 with pineapple waste and optimal larval load density was 2 larva/g. Prepupae fed with VGD accumulated C18:2n-6 (10.1%) which is essential for tilapia. Prepupae fed with FOD contained C20:5n-3 (2.20%), a fatty acid beneficial to humans. The lowest production cost of BSF meal was estimated at $1.84/Kg and was obtained with the FOD diet. BSF can easily be reared under local conditions throughout the year. Its nutritional qualities are very interesting to meet Nile tilapia requirements.","author":[{"dropping-particle":"","family":"Gougbedji","given":"Armel","non-dropping-particle":"","parse-names":false,"suffix":""},{"dropping-particle":"","family":"Agbohessou","given":"Pamphile","non-dropping-particle":"","parse-names":false,"suffix":""},{"dropping-particle":"","family":"Lalèyè","given":"Philippe A.","non-dropping-particle":"","parse-names":false,"suffix":""},{"dropping-particle":"","family":"Francis","given":"Frédéric","non-dropping-particle":"","parse-names":false,"suffix":""},{"dropping-particle":"","family":"Caparros Megido","given":"Rudy","non-dropping-particle":"","parse-names":false,"suffix":""}],"container-title":"Journal of Agriculture and Food Research","id":"ITEM-1","issued":{"date-parts":[["2021"]]},"title":"Technical basis for the small-scale production of black soldier fly, Hermetia illucens (L. 1758), meal as fish feed in Benin","type":"article-journal"},"uris":["http://www.mendeley.com/documents/?uuid=9e6f73f5-22b1-40d7-aee2-3d57c5172492"]}],"mendeley":{"formattedCitation":"(Gougbedji &lt;i&gt;et al.&lt;/i&gt;, 2021)","plainTextFormattedCitation":"(Gougbedji et al., 2021)","previouslyFormattedCitation":"(Gougbedji &lt;i&gt;et al.&lt;/i&gt;, 2021)"},"properties":{"noteIndex":0},"schema":"https://github.com/citation-style-language/schema/raw/master/csl-citation.json"}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(Gougbedji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2021)</w:t>
            </w:r>
            <w:r>
              <w:rPr>
                <w:rFonts w:ascii="Times New Roman" w:eastAsia="Times New Roman" w:hAnsi="Times New Roman" w:cs="Times New Roman"/>
                <w:lang w:val="en-MY"/>
              </w:rPr>
              <w:fldChar w:fldCharType="end"/>
            </w:r>
          </w:p>
        </w:tc>
      </w:tr>
      <w:tr w:rsidR="00E126C1" w:rsidRPr="00251B46" w14:paraId="2D18734F" w14:textId="77777777" w:rsidTr="006365EF">
        <w:trPr>
          <w:trHeight w:val="315"/>
          <w:jc w:val="center"/>
        </w:trPr>
        <w:tc>
          <w:tcPr>
            <w:tcW w:w="2268" w:type="dxa"/>
            <w:tcBorders>
              <w:top w:val="nil"/>
              <w:left w:val="nil"/>
              <w:right w:val="nil"/>
            </w:tcBorders>
            <w:shd w:val="clear" w:color="auto" w:fill="auto"/>
            <w:vAlign w:val="center"/>
          </w:tcPr>
          <w:p w14:paraId="5925DCC7" w14:textId="45ACF71A" w:rsidR="00E126C1" w:rsidRPr="00251B46" w:rsidRDefault="00E126C1"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Biogas plant</w:t>
            </w:r>
          </w:p>
        </w:tc>
        <w:tc>
          <w:tcPr>
            <w:tcW w:w="2268" w:type="dxa"/>
            <w:tcBorders>
              <w:top w:val="nil"/>
              <w:left w:val="nil"/>
              <w:right w:val="nil"/>
            </w:tcBorders>
            <w:shd w:val="clear" w:color="auto" w:fill="auto"/>
            <w:vAlign w:val="center"/>
          </w:tcPr>
          <w:p w14:paraId="1C93A985" w14:textId="5A39D01F" w:rsidR="00E126C1" w:rsidRPr="00251B46" w:rsidRDefault="00916D8E"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2,015</w:t>
            </w:r>
            <w:r w:rsidR="00DC3511">
              <w:rPr>
                <w:rFonts w:ascii="Times New Roman" w:eastAsia="Times New Roman" w:hAnsi="Times New Roman" w:cs="Times New Roman"/>
                <w:lang w:val="en-MY"/>
              </w:rPr>
              <w:t>.00</w:t>
            </w:r>
          </w:p>
        </w:tc>
        <w:tc>
          <w:tcPr>
            <w:tcW w:w="2410" w:type="dxa"/>
            <w:tcBorders>
              <w:top w:val="nil"/>
              <w:left w:val="nil"/>
              <w:right w:val="nil"/>
            </w:tcBorders>
            <w:shd w:val="clear" w:color="auto" w:fill="auto"/>
            <w:vAlign w:val="center"/>
          </w:tcPr>
          <w:p w14:paraId="67DB0405" w14:textId="18E7AD31" w:rsidR="00E126C1" w:rsidRPr="00251B46" w:rsidRDefault="00916D8E"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 xml:space="preserve">100.75 </w:t>
            </w:r>
          </w:p>
        </w:tc>
        <w:sdt>
          <w:sdtPr>
            <w:rPr>
              <w:rFonts w:ascii="Times New Roman" w:eastAsia="Times New Roman" w:hAnsi="Times New Roman" w:cs="Times New Roman"/>
              <w:color w:val="000000"/>
              <w:lang w:val="en-MY"/>
            </w:rPr>
            <w:tag w:val="MENDELEY_CITATION_v3_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"/>
            <w:id w:val="1646852234"/>
            <w:placeholder>
              <w:docPart w:val="DefaultPlaceholder_-1854013440"/>
            </w:placeholder>
          </w:sdtPr>
          <w:sdtContent>
            <w:tc>
              <w:tcPr>
                <w:tcW w:w="1988" w:type="dxa"/>
                <w:tcBorders>
                  <w:top w:val="nil"/>
                  <w:left w:val="nil"/>
                  <w:right w:val="nil"/>
                </w:tcBorders>
                <w:shd w:val="clear" w:color="auto" w:fill="auto"/>
                <w:vAlign w:val="center"/>
              </w:tcPr>
              <w:p w14:paraId="58361034" w14:textId="6B69B83D" w:rsidR="00E126C1" w:rsidRPr="00251B46" w:rsidRDefault="005939F7" w:rsidP="00A3434A">
                <w:pPr>
                  <w:spacing w:after="0" w:line="240" w:lineRule="auto"/>
                  <w:jc w:val="center"/>
                  <w:rPr>
                    <w:rFonts w:ascii="Times New Roman" w:eastAsia="Times New Roman" w:hAnsi="Times New Roman" w:cs="Times New Roman"/>
                    <w:lang w:val="en-MY"/>
                  </w:rPr>
                </w:pPr>
                <w:r w:rsidRPr="005939F7">
                  <w:rPr>
                    <w:rFonts w:ascii="Times New Roman" w:eastAsia="Times New Roman" w:hAnsi="Times New Roman" w:cs="Times New Roman"/>
                    <w:color w:val="000000"/>
                    <w:lang w:val="en-MY"/>
                  </w:rPr>
                  <w:t>(Al-</w:t>
                </w:r>
                <w:proofErr w:type="spellStart"/>
                <w:r w:rsidRPr="005939F7">
                  <w:rPr>
                    <w:rFonts w:ascii="Times New Roman" w:eastAsia="Times New Roman" w:hAnsi="Times New Roman" w:cs="Times New Roman"/>
                    <w:color w:val="000000"/>
                    <w:lang w:val="en-MY"/>
                  </w:rPr>
                  <w:t>Wahaibi</w:t>
                </w:r>
                <w:proofErr w:type="spellEnd"/>
                <w:r w:rsidRPr="005939F7">
                  <w:rPr>
                    <w:rFonts w:ascii="Times New Roman" w:eastAsia="Times New Roman" w:hAnsi="Times New Roman" w:cs="Times New Roman"/>
                    <w:color w:val="000000"/>
                    <w:lang w:val="en-MY"/>
                  </w:rPr>
                  <w:t xml:space="preserve"> et al., 2020)</w:t>
                </w:r>
              </w:p>
            </w:tc>
          </w:sdtContent>
        </w:sdt>
      </w:tr>
      <w:tr w:rsidR="00251B46" w:rsidRPr="00251B46" w14:paraId="3B0706DF" w14:textId="77777777" w:rsidTr="006365EF">
        <w:trPr>
          <w:trHeight w:val="315"/>
          <w:jc w:val="center"/>
        </w:trPr>
        <w:tc>
          <w:tcPr>
            <w:tcW w:w="2268" w:type="dxa"/>
            <w:tcBorders>
              <w:top w:val="nil"/>
              <w:left w:val="nil"/>
              <w:right w:val="nil"/>
            </w:tcBorders>
            <w:shd w:val="clear" w:color="auto" w:fill="auto"/>
            <w:vAlign w:val="center"/>
            <w:hideMark/>
          </w:tcPr>
          <w:p w14:paraId="1EBD786E"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WWTP</w:t>
            </w:r>
          </w:p>
        </w:tc>
        <w:tc>
          <w:tcPr>
            <w:tcW w:w="2268" w:type="dxa"/>
            <w:tcBorders>
              <w:top w:val="nil"/>
              <w:left w:val="nil"/>
              <w:right w:val="nil"/>
            </w:tcBorders>
            <w:shd w:val="clear" w:color="auto" w:fill="auto"/>
            <w:vAlign w:val="center"/>
            <w:hideMark/>
          </w:tcPr>
          <w:p w14:paraId="65C1C9AF" w14:textId="416D5362"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540</w:t>
            </w:r>
            <w:r w:rsidR="00DC3511">
              <w:rPr>
                <w:rFonts w:ascii="Times New Roman" w:eastAsia="Times New Roman" w:hAnsi="Times New Roman" w:cs="Times New Roman"/>
                <w:lang w:val="en-MY"/>
              </w:rPr>
              <w:t>.00</w:t>
            </w:r>
          </w:p>
        </w:tc>
        <w:tc>
          <w:tcPr>
            <w:tcW w:w="2410" w:type="dxa"/>
            <w:tcBorders>
              <w:top w:val="nil"/>
              <w:left w:val="nil"/>
              <w:right w:val="nil"/>
            </w:tcBorders>
            <w:shd w:val="clear" w:color="auto" w:fill="auto"/>
            <w:vAlign w:val="center"/>
            <w:hideMark/>
          </w:tcPr>
          <w:p w14:paraId="5663217B" w14:textId="312063CA"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320</w:t>
            </w:r>
            <w:r w:rsidR="00DC3511">
              <w:rPr>
                <w:rFonts w:ascii="Times New Roman" w:eastAsia="Times New Roman" w:hAnsi="Times New Roman" w:cs="Times New Roman"/>
                <w:lang w:val="en-MY"/>
              </w:rPr>
              <w:t>.00</w:t>
            </w:r>
          </w:p>
        </w:tc>
        <w:tc>
          <w:tcPr>
            <w:tcW w:w="1988" w:type="dxa"/>
            <w:tcBorders>
              <w:top w:val="nil"/>
              <w:left w:val="nil"/>
              <w:right w:val="nil"/>
            </w:tcBorders>
            <w:shd w:val="clear" w:color="auto" w:fill="auto"/>
            <w:vAlign w:val="center"/>
            <w:hideMark/>
          </w:tcPr>
          <w:p w14:paraId="34083C88" w14:textId="7210FCB8" w:rsidR="0097191B" w:rsidRPr="00251B46" w:rsidRDefault="00D53CE8"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10.1201/b20723-20","ISBN":"9781771884174","ISSN":"25243438","author":[{"dropping-particle":"","family":"Singh","given":"Pratima","non-dropping-particle":"","parse-names":false,"suffix":""},{"dropping-particle":"","family":"Carliell-Marquet","given":"Cynthia","non-dropping-particle":"","parse-names":false,"suffix":""},{"dropping-particle":"","family":"Kansal","given":"Arun","non-dropping-particle":"","parse-names":false,"suffix":""}],"container-title":"Improving Urban Environments: Strategies for Healthier and More Sustainable Cities","id":"ITEM-1","issued":{"date-parts":[["2016"]]},"title":"Energy Pattern Analysis of a Wastewater Treatment Plant","type":"chapter"},"uris":["http://www.mendeley.com/documents/?uuid=4e44cedc-00fc-44d5-9d06-ef7aad6dc914"]}],"mendeley":{"formattedCitation":"(Singh &lt;i&gt;et al.&lt;/i&gt;, 2016)","plainTextFormattedCitation":"(Singh et al., 2016)","previouslyFormattedCitation":"(Singh &lt;i&gt;et al.&lt;/i&gt;, 2016)"},"properties":{"noteIndex":0},"schema":"https://github.com/citation-style-language/schema/raw/master/csl-citation.json"}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(Singh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2016)</w:t>
            </w:r>
            <w:r>
              <w:rPr>
                <w:rFonts w:ascii="Times New Roman" w:eastAsia="Times New Roman" w:hAnsi="Times New Roman" w:cs="Times New Roman"/>
                <w:lang w:val="en-MY"/>
              </w:rPr>
              <w:fldChar w:fldCharType="end"/>
            </w:r>
          </w:p>
        </w:tc>
      </w:tr>
      <w:tr w:rsidR="00E126C1" w:rsidRPr="00251B46" w14:paraId="433A16FC" w14:textId="77777777" w:rsidTr="006365EF">
        <w:trPr>
          <w:trHeight w:val="315"/>
          <w:jc w:val="center"/>
        </w:trPr>
        <w:tc>
          <w:tcPr>
            <w:tcW w:w="2268" w:type="dxa"/>
            <w:tcBorders>
              <w:top w:val="nil"/>
              <w:left w:val="nil"/>
              <w:right w:val="nil"/>
            </w:tcBorders>
            <w:shd w:val="clear" w:color="auto" w:fill="auto"/>
            <w:vAlign w:val="center"/>
          </w:tcPr>
          <w:p w14:paraId="1AB73E7F" w14:textId="6B84D6AD" w:rsidR="00E126C1" w:rsidRPr="009026A2" w:rsidRDefault="00E126C1" w:rsidP="00A3434A">
            <w:pPr>
              <w:spacing w:after="0" w:line="240" w:lineRule="auto"/>
              <w:jc w:val="center"/>
              <w:rPr>
                <w:rFonts w:ascii="Times New Roman" w:eastAsia="Times New Roman" w:hAnsi="Times New Roman" w:cs="Times New Roman"/>
                <w:lang w:val="en-MY"/>
              </w:rPr>
            </w:pPr>
            <w:r w:rsidRPr="009026A2">
              <w:rPr>
                <w:rFonts w:ascii="Times New Roman" w:eastAsia="Times New Roman" w:hAnsi="Times New Roman" w:cs="Times New Roman"/>
                <w:lang w:val="en-MY"/>
              </w:rPr>
              <w:t>CHP</w:t>
            </w:r>
          </w:p>
        </w:tc>
        <w:tc>
          <w:tcPr>
            <w:tcW w:w="2268" w:type="dxa"/>
            <w:tcBorders>
              <w:top w:val="nil"/>
              <w:left w:val="nil"/>
              <w:right w:val="nil"/>
            </w:tcBorders>
            <w:shd w:val="clear" w:color="auto" w:fill="auto"/>
            <w:vAlign w:val="center"/>
          </w:tcPr>
          <w:p w14:paraId="02E554F3" w14:textId="6E2DA38B" w:rsidR="00E126C1" w:rsidRPr="009026A2" w:rsidRDefault="00DC3511"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266.21</w:t>
            </w:r>
          </w:p>
        </w:tc>
        <w:tc>
          <w:tcPr>
            <w:tcW w:w="2410" w:type="dxa"/>
            <w:tcBorders>
              <w:top w:val="nil"/>
              <w:left w:val="nil"/>
              <w:right w:val="nil"/>
            </w:tcBorders>
            <w:shd w:val="clear" w:color="auto" w:fill="auto"/>
            <w:vAlign w:val="center"/>
          </w:tcPr>
          <w:p w14:paraId="32F89458" w14:textId="1A221CAC" w:rsidR="00E126C1" w:rsidRPr="009026A2" w:rsidRDefault="00DC3511"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121.28</w:t>
            </w:r>
          </w:p>
        </w:tc>
        <w:sdt>
          <w:sdtPr>
            <w:rPr>
              <w:rFonts w:ascii="Times New Roman" w:eastAsia="Times New Roman" w:hAnsi="Times New Roman" w:cs="Times New Roman"/>
              <w:color w:val="000000"/>
              <w:lang w:val="en-MY"/>
            </w:rPr>
            <w:tag w:val="MENDELEY_CITATION_v3_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"/>
            <w:id w:val="839116655"/>
            <w:placeholder>
              <w:docPart w:val="DefaultPlaceholder_-1854013440"/>
            </w:placeholder>
          </w:sdtPr>
          <w:sdtContent>
            <w:tc>
              <w:tcPr>
                <w:tcW w:w="1988" w:type="dxa"/>
                <w:tcBorders>
                  <w:top w:val="nil"/>
                  <w:left w:val="nil"/>
                  <w:right w:val="nil"/>
                </w:tcBorders>
                <w:shd w:val="clear" w:color="auto" w:fill="auto"/>
                <w:vAlign w:val="center"/>
              </w:tcPr>
              <w:p w14:paraId="055FB1F1" w14:textId="3B14F78A" w:rsidR="00E126C1" w:rsidRPr="009026A2" w:rsidRDefault="005939F7" w:rsidP="00A3434A">
                <w:pPr>
                  <w:spacing w:after="0" w:line="240" w:lineRule="auto"/>
                  <w:jc w:val="center"/>
                  <w:rPr>
                    <w:rFonts w:ascii="Times New Roman" w:eastAsia="Times New Roman" w:hAnsi="Times New Roman" w:cs="Times New Roman"/>
                    <w:lang w:val="en-MY"/>
                  </w:rPr>
                </w:pPr>
                <w:r w:rsidRPr="005939F7">
                  <w:rPr>
                    <w:rFonts w:ascii="Times New Roman" w:eastAsia="Times New Roman" w:hAnsi="Times New Roman" w:cs="Times New Roman"/>
                    <w:color w:val="000000"/>
                    <w:lang w:val="en-MY"/>
                  </w:rPr>
                  <w:t>(Camporeale et al., 2015)</w:t>
                </w:r>
              </w:p>
            </w:tc>
          </w:sdtContent>
        </w:sdt>
      </w:tr>
      <w:tr w:rsidR="00251B46" w:rsidRPr="00251B46" w14:paraId="2E029FCC" w14:textId="77777777" w:rsidTr="006365EF">
        <w:trPr>
          <w:trHeight w:val="315"/>
          <w:jc w:val="center"/>
        </w:trPr>
        <w:tc>
          <w:tcPr>
            <w:tcW w:w="2268" w:type="dxa"/>
            <w:tcBorders>
              <w:top w:val="nil"/>
              <w:left w:val="nil"/>
              <w:right w:val="nil"/>
            </w:tcBorders>
            <w:shd w:val="clear" w:color="auto" w:fill="auto"/>
            <w:vAlign w:val="center"/>
            <w:hideMark/>
          </w:tcPr>
          <w:p w14:paraId="179F6E35"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FT process</w:t>
            </w:r>
          </w:p>
        </w:tc>
        <w:tc>
          <w:tcPr>
            <w:tcW w:w="2268" w:type="dxa"/>
            <w:tcBorders>
              <w:top w:val="nil"/>
              <w:left w:val="nil"/>
              <w:right w:val="nil"/>
            </w:tcBorders>
            <w:shd w:val="clear" w:color="auto" w:fill="auto"/>
            <w:vAlign w:val="center"/>
            <w:hideMark/>
          </w:tcPr>
          <w:p w14:paraId="5A53AEE2" w14:textId="0443A19C"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37.2</w:t>
            </w:r>
            <w:r w:rsidR="00DC3511">
              <w:rPr>
                <w:rFonts w:ascii="Times New Roman" w:eastAsia="Times New Roman" w:hAnsi="Times New Roman" w:cs="Times New Roman"/>
                <w:lang w:val="en-MY"/>
              </w:rPr>
              <w:t>0</w:t>
            </w:r>
            <w:r w:rsidR="00030AEC">
              <w:rPr>
                <w:rFonts w:ascii="Times New Roman" w:eastAsia="Times New Roman" w:hAnsi="Times New Roman" w:cs="Times New Roman"/>
                <w:lang w:val="en-MY"/>
              </w:rPr>
              <w:t xml:space="preserve"> </w:t>
            </w:r>
          </w:p>
        </w:tc>
        <w:tc>
          <w:tcPr>
            <w:tcW w:w="2410" w:type="dxa"/>
            <w:tcBorders>
              <w:top w:val="nil"/>
              <w:left w:val="nil"/>
              <w:right w:val="nil"/>
            </w:tcBorders>
            <w:shd w:val="clear" w:color="auto" w:fill="auto"/>
            <w:vAlign w:val="center"/>
            <w:hideMark/>
          </w:tcPr>
          <w:p w14:paraId="576906D1" w14:textId="1D0AD863"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43</w:t>
            </w:r>
            <w:r w:rsidR="00DC3511">
              <w:rPr>
                <w:rFonts w:ascii="Times New Roman" w:eastAsia="Times New Roman" w:hAnsi="Times New Roman" w:cs="Times New Roman"/>
                <w:lang w:val="en-MY"/>
              </w:rPr>
              <w:t>.00</w:t>
            </w:r>
          </w:p>
        </w:tc>
        <w:tc>
          <w:tcPr>
            <w:tcW w:w="1988" w:type="dxa"/>
            <w:tcBorders>
              <w:top w:val="nil"/>
              <w:left w:val="nil"/>
              <w:right w:val="nil"/>
            </w:tcBorders>
            <w:shd w:val="clear" w:color="auto" w:fill="auto"/>
            <w:vAlign w:val="center"/>
            <w:hideMark/>
          </w:tcPr>
          <w:p w14:paraId="73375D49" w14:textId="09FF21CF" w:rsidR="0097191B" w:rsidRPr="00251B46" w:rsidRDefault="00D53CE8"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{"citationItems":[{"id":"ITEM-1","itemData":{"author":[{"dropping-particle":"","family":"Mawhood","given":"Rebecca","non-dropping-particle":"","parse-names":false,"suffix":""},{"dropping-particle":"","family":"Cobas","given":"Adriana Rodriguez","non-dropping-particle":"","parse-names":false,"suffix":""},{"dropping-particle":"","family":"Slade","given":"Raphael","non-dropping-particle":"","parse-names":false,"suffix":""}],"id":"ITEM-1","issued":{"date-parts":[["2014"]]},"title":"Establishing a European renewable jet fuel supply chain: the technoeconomic potential of biomass conversion technologies","type":"report"},"uris":["http://www.mendeley.com/documents/?uuid=4dabfc2e-1957-4c52-bf15-20302bff1fb6"]}],"mendeley":{"formattedCitation":"(Mawhood &lt;i&gt;et al.&lt;/i&gt;, 2014)","plainTextFormattedCitation":"(Mawhood et al., 2014)","previouslyFormattedCitation":"(Mawhood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(Mawhood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E126C1" w:rsidRPr="00251B46" w14:paraId="2EC8205F" w14:textId="77777777" w:rsidTr="006365EF">
        <w:trPr>
          <w:trHeight w:val="315"/>
          <w:jc w:val="center"/>
        </w:trPr>
        <w:tc>
          <w:tcPr>
            <w:tcW w:w="2268" w:type="dxa"/>
            <w:tcBorders>
              <w:top w:val="nil"/>
              <w:left w:val="nil"/>
              <w:right w:val="nil"/>
            </w:tcBorders>
            <w:shd w:val="clear" w:color="auto" w:fill="auto"/>
            <w:vAlign w:val="center"/>
          </w:tcPr>
          <w:p w14:paraId="1EBB3A6A" w14:textId="05015941" w:rsidR="00E126C1" w:rsidRPr="009026A2" w:rsidRDefault="00E126C1" w:rsidP="00A3434A">
            <w:pPr>
              <w:spacing w:after="0" w:line="240" w:lineRule="auto"/>
              <w:jc w:val="center"/>
              <w:rPr>
                <w:rFonts w:ascii="Times New Roman" w:eastAsia="Times New Roman" w:hAnsi="Times New Roman" w:cs="Times New Roman"/>
                <w:lang w:val="en-MY"/>
              </w:rPr>
            </w:pPr>
            <w:r w:rsidRPr="009026A2">
              <w:rPr>
                <w:rFonts w:ascii="Times New Roman" w:eastAsia="Times New Roman" w:hAnsi="Times New Roman" w:cs="Times New Roman"/>
                <w:lang w:val="en-MY"/>
              </w:rPr>
              <w:t>Hydrotreating</w:t>
            </w:r>
          </w:p>
        </w:tc>
        <w:tc>
          <w:tcPr>
            <w:tcW w:w="2268" w:type="dxa"/>
            <w:tcBorders>
              <w:top w:val="nil"/>
              <w:left w:val="nil"/>
              <w:right w:val="nil"/>
            </w:tcBorders>
            <w:shd w:val="clear" w:color="auto" w:fill="auto"/>
            <w:vAlign w:val="center"/>
          </w:tcPr>
          <w:p w14:paraId="0FBCC462" w14:textId="319B89A8" w:rsidR="00E126C1" w:rsidRPr="009026A2" w:rsidRDefault="0099318C" w:rsidP="00A3434A">
            <w:pPr>
              <w:spacing w:after="0" w:line="240" w:lineRule="auto"/>
              <w:jc w:val="center"/>
              <w:rPr>
                <w:rFonts w:ascii="Times New Roman" w:eastAsia="Times New Roman" w:hAnsi="Times New Roman" w:cs="Times New Roman"/>
                <w:lang w:val="en-MY"/>
              </w:rPr>
            </w:pPr>
            <w:r w:rsidRPr="009026A2">
              <w:rPr>
                <w:rFonts w:ascii="Times New Roman" w:eastAsia="Times New Roman" w:hAnsi="Times New Roman" w:cs="Times New Roman"/>
                <w:lang w:val="en-MY"/>
              </w:rPr>
              <w:t>281.9</w:t>
            </w:r>
            <w:r w:rsidR="00DC3511">
              <w:rPr>
                <w:rFonts w:ascii="Times New Roman" w:eastAsia="Times New Roman" w:hAnsi="Times New Roman" w:cs="Times New Roman"/>
                <w:lang w:val="en-MY"/>
              </w:rPr>
              <w:t>0</w:t>
            </w:r>
            <w:r w:rsidR="00030AEC" w:rsidRPr="009026A2">
              <w:rPr>
                <w:rFonts w:ascii="Times New Roman" w:eastAsia="Times New Roman" w:hAnsi="Times New Roman" w:cs="Times New Roman"/>
                <w:lang w:val="en-MY"/>
              </w:rPr>
              <w:t xml:space="preserve"> </w:t>
            </w:r>
          </w:p>
        </w:tc>
        <w:tc>
          <w:tcPr>
            <w:tcW w:w="2410" w:type="dxa"/>
            <w:tcBorders>
              <w:top w:val="nil"/>
              <w:left w:val="nil"/>
              <w:right w:val="nil"/>
            </w:tcBorders>
            <w:shd w:val="clear" w:color="auto" w:fill="auto"/>
            <w:vAlign w:val="center"/>
          </w:tcPr>
          <w:p w14:paraId="57C6AF34" w14:textId="441C0988" w:rsidR="00E126C1" w:rsidRPr="009026A2" w:rsidRDefault="0099318C" w:rsidP="00A3434A">
            <w:pPr>
              <w:spacing w:after="0" w:line="240" w:lineRule="auto"/>
              <w:jc w:val="center"/>
              <w:rPr>
                <w:rFonts w:ascii="Times New Roman" w:eastAsia="Times New Roman" w:hAnsi="Times New Roman" w:cs="Times New Roman"/>
                <w:lang w:val="en-MY"/>
              </w:rPr>
            </w:pPr>
            <w:r w:rsidRPr="009026A2">
              <w:rPr>
                <w:rFonts w:ascii="Times New Roman" w:eastAsia="Times New Roman" w:hAnsi="Times New Roman" w:cs="Times New Roman"/>
                <w:lang w:val="en-MY"/>
              </w:rPr>
              <w:t>41.9</w:t>
            </w:r>
            <w:r w:rsidR="00DC3511">
              <w:rPr>
                <w:rFonts w:ascii="Times New Roman" w:eastAsia="Times New Roman" w:hAnsi="Times New Roman" w:cs="Times New Roman"/>
                <w:lang w:val="en-MY"/>
              </w:rPr>
              <w:t>0</w:t>
            </w:r>
          </w:p>
        </w:tc>
        <w:tc>
          <w:tcPr>
            <w:tcW w:w="1988" w:type="dxa"/>
            <w:tcBorders>
              <w:top w:val="nil"/>
              <w:left w:val="nil"/>
              <w:right w:val="nil"/>
            </w:tcBorders>
            <w:shd w:val="clear" w:color="auto" w:fill="auto"/>
            <w:vAlign w:val="center"/>
          </w:tcPr>
          <w:p w14:paraId="7C3C424B" w14:textId="5FDF20B3" w:rsidR="00E126C1" w:rsidRPr="009026A2" w:rsidRDefault="00826FF6"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251B46" w:rsidRPr="00251B46" w14:paraId="576E2B03" w14:textId="77777777" w:rsidTr="006365EF">
        <w:trPr>
          <w:trHeight w:val="315"/>
          <w:jc w:val="center"/>
        </w:trPr>
        <w:tc>
          <w:tcPr>
            <w:tcW w:w="2268" w:type="dxa"/>
            <w:tcBorders>
              <w:top w:val="nil"/>
              <w:left w:val="nil"/>
              <w:right w:val="nil"/>
            </w:tcBorders>
            <w:shd w:val="clear" w:color="auto" w:fill="auto"/>
            <w:vAlign w:val="center"/>
            <w:hideMark/>
          </w:tcPr>
          <w:p w14:paraId="35B92CB4"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Aquaponics</w:t>
            </w:r>
          </w:p>
        </w:tc>
        <w:tc>
          <w:tcPr>
            <w:tcW w:w="2268" w:type="dxa"/>
            <w:tcBorders>
              <w:top w:val="nil"/>
              <w:left w:val="nil"/>
              <w:right w:val="nil"/>
            </w:tcBorders>
            <w:shd w:val="clear" w:color="auto" w:fill="auto"/>
            <w:vAlign w:val="center"/>
            <w:hideMark/>
          </w:tcPr>
          <w:p w14:paraId="1BF4B5D5" w14:textId="781F6D10"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31</w:t>
            </w:r>
            <w:r w:rsidR="00DC3511">
              <w:rPr>
                <w:rFonts w:ascii="Times New Roman" w:eastAsia="Times New Roman" w:hAnsi="Times New Roman" w:cs="Times New Roman"/>
                <w:lang w:val="en-MY"/>
              </w:rPr>
              <w:t>.00</w:t>
            </w:r>
          </w:p>
        </w:tc>
        <w:tc>
          <w:tcPr>
            <w:tcW w:w="2410" w:type="dxa"/>
            <w:tcBorders>
              <w:top w:val="nil"/>
              <w:left w:val="nil"/>
              <w:right w:val="nil"/>
            </w:tcBorders>
            <w:shd w:val="clear" w:color="auto" w:fill="auto"/>
            <w:vAlign w:val="center"/>
            <w:hideMark/>
          </w:tcPr>
          <w:p w14:paraId="15F067F3" w14:textId="02A68FC2"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27.3</w:t>
            </w:r>
            <w:r w:rsidR="00DC3511">
              <w:rPr>
                <w:rFonts w:ascii="Times New Roman" w:eastAsia="Times New Roman" w:hAnsi="Times New Roman" w:cs="Times New Roman"/>
                <w:lang w:val="en-MY"/>
              </w:rPr>
              <w:t>0</w:t>
            </w:r>
          </w:p>
        </w:tc>
        <w:tc>
          <w:tcPr>
            <w:tcW w:w="1988" w:type="dxa"/>
            <w:tcBorders>
              <w:top w:val="nil"/>
              <w:left w:val="nil"/>
              <w:right w:val="nil"/>
            </w:tcBorders>
            <w:shd w:val="clear" w:color="auto" w:fill="auto"/>
            <w:vAlign w:val="center"/>
            <w:hideMark/>
          </w:tcPr>
          <w:p w14:paraId="42D09843" w14:textId="49FDC75F" w:rsidR="0097191B" w:rsidRPr="00251B46" w:rsidRDefault="00A1082D"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{"citationItems":[{"id":"ITEM-1","itemData":{"DOI":"10.1080/10454438.2017.1414009","ISSN":"15450805","abstract":"This article examined the profitability of aquaponics in the U.S. Midwest. Three sources of data were considered for the study: (1) three active aquaponics farms, (2) a university greenhouse experiment, and (3) published research. The first analysis compares the economics of aquaponics and hydroponics systems under similar operations. Results suggest that the aquaponics system requires higher investment and operating cost but has lower production of vegetables compared with the hydroponics system. However, if aquaponics vegetable production is managed as an organic production, and the produce is sold at 20% premium price, aquaponics becomes profitable. The second analysis constructed three different representative farm sizes of aquaponics production of basil and tilapia—small, medium, and large. The production of basil provides better economic returns than the fish. All farm sizes are feasible when the basil price is above $10.00 per kg. The larger farm has the best results because of lower cost of production.","author":[{"dropping-particle":"","family":"Quagrainie","given":"Kwamena K.","non-dropping-particle":"","parse-names":false,"suffix":""},{"dropping-particle":"","family":"Flores","given":"Roberto Manolio Valladão","non-dropping-particle":"","parse-names":false,"suffix":""},{"dropping-particle":"","family":"Kim","given":"Hye Ji","non-dropping-particle":"","parse-names":false,"suffix":""},{"dropping-particle":"","family":"McClain","given":"Verena","non-dropping-particle":"","parse-names":false,"suffix":""}],"container-title":"Journal of Applied Aquaculture","id":"ITEM-1","issued":{"date-parts":[["2018"]]},"title":"Economic analysis of aquaponics and hydroponics production in the U.S. Midwest","type":"article-journal"},"uris":["http://www.mendeley.com/documents/?uuid=b48b9509-cc1f-4325-a3e7-a9503c749550"]}],"mendeley":{"formattedCitation":"(Quagrainie &lt;i&gt;et al.&lt;/i&gt;, 2018)","plainTextFormattedCitation":"(Quagrainie et al., 2018)","previouslyFormattedCitation":"(Quagrainie &lt;i&gt;et al.&lt;/i&gt;, 2018)"},"properties":{"noteIndex":0},"schema":"https://github.com/citation-style-language/schema/raw/master/csl-citation.json"}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(Quagrainie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2018)</w:t>
            </w:r>
            <w:r>
              <w:rPr>
                <w:rFonts w:ascii="Times New Roman" w:eastAsia="Times New Roman" w:hAnsi="Times New Roman" w:cs="Times New Roman"/>
                <w:lang w:val="en-MY"/>
              </w:rPr>
              <w:fldChar w:fldCharType="end"/>
            </w:r>
          </w:p>
        </w:tc>
      </w:tr>
      <w:tr w:rsidR="00251B46" w:rsidRPr="00251B46" w14:paraId="7F5F52CE" w14:textId="77777777" w:rsidTr="28F7168D">
        <w:trPr>
          <w:trHeight w:val="390"/>
          <w:jc w:val="center"/>
        </w:trPr>
        <w:tc>
          <w:tcPr>
            <w:tcW w:w="2268" w:type="dxa"/>
            <w:tcBorders>
              <w:top w:val="nil"/>
              <w:left w:val="nil"/>
              <w:bottom w:val="single" w:sz="8" w:space="0" w:color="auto"/>
              <w:right w:val="nil"/>
            </w:tcBorders>
            <w:shd w:val="clear" w:color="auto" w:fill="auto"/>
            <w:vAlign w:val="center"/>
            <w:hideMark/>
          </w:tcPr>
          <w:p w14:paraId="387508C7" w14:textId="777777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Hydroponics</w:t>
            </w:r>
          </w:p>
        </w:tc>
        <w:tc>
          <w:tcPr>
            <w:tcW w:w="2268" w:type="dxa"/>
            <w:tcBorders>
              <w:top w:val="nil"/>
              <w:left w:val="nil"/>
              <w:bottom w:val="single" w:sz="8" w:space="0" w:color="auto"/>
              <w:right w:val="nil"/>
            </w:tcBorders>
            <w:shd w:val="clear" w:color="auto" w:fill="auto"/>
            <w:vAlign w:val="center"/>
            <w:hideMark/>
          </w:tcPr>
          <w:p w14:paraId="7CDE8957" w14:textId="1DBA8977"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 xml:space="preserve">38.21 </w:t>
            </w:r>
          </w:p>
        </w:tc>
        <w:tc>
          <w:tcPr>
            <w:tcW w:w="2410" w:type="dxa"/>
            <w:tcBorders>
              <w:top w:val="nil"/>
              <w:left w:val="nil"/>
              <w:bottom w:val="single" w:sz="8" w:space="0" w:color="auto"/>
              <w:right w:val="nil"/>
            </w:tcBorders>
            <w:shd w:val="clear" w:color="auto" w:fill="auto"/>
            <w:vAlign w:val="center"/>
            <w:hideMark/>
          </w:tcPr>
          <w:p w14:paraId="0047C0A7" w14:textId="4A40E5CE" w:rsidR="0097191B" w:rsidRPr="00251B46" w:rsidRDefault="0097191B" w:rsidP="00A3434A">
            <w:pPr>
              <w:spacing w:after="0" w:line="240" w:lineRule="auto"/>
              <w:jc w:val="center"/>
              <w:rPr>
                <w:rFonts w:ascii="Times New Roman" w:eastAsia="Times New Roman" w:hAnsi="Times New Roman" w:cs="Times New Roman"/>
                <w:lang w:val="en-MY"/>
              </w:rPr>
            </w:pPr>
            <w:r w:rsidRPr="00251B46">
              <w:rPr>
                <w:rFonts w:ascii="Times New Roman" w:eastAsia="Times New Roman" w:hAnsi="Times New Roman" w:cs="Times New Roman"/>
                <w:lang w:val="en-MY"/>
              </w:rPr>
              <w:t>19</w:t>
            </w:r>
            <w:r w:rsidR="00DC3511">
              <w:rPr>
                <w:rFonts w:ascii="Times New Roman" w:eastAsia="Times New Roman" w:hAnsi="Times New Roman" w:cs="Times New Roman"/>
                <w:lang w:val="en-MY"/>
              </w:rPr>
              <w:t>.00</w:t>
            </w:r>
            <w:r w:rsidRPr="00251B46">
              <w:rPr>
                <w:rFonts w:ascii="Times New Roman" w:eastAsia="Times New Roman" w:hAnsi="Times New Roman" w:cs="Times New Roman"/>
                <w:lang w:val="en-MY"/>
              </w:rPr>
              <w:t xml:space="preserve"> </w:t>
            </w:r>
          </w:p>
        </w:tc>
        <w:tc>
          <w:tcPr>
            <w:tcW w:w="1988" w:type="dxa"/>
            <w:tcBorders>
              <w:top w:val="nil"/>
              <w:left w:val="nil"/>
              <w:bottom w:val="single" w:sz="8" w:space="0" w:color="auto"/>
              <w:right w:val="nil"/>
            </w:tcBorders>
            <w:shd w:val="clear" w:color="auto" w:fill="auto"/>
            <w:vAlign w:val="center"/>
            <w:hideMark/>
          </w:tcPr>
          <w:p w14:paraId="5BB66576" w14:textId="7095A09A" w:rsidR="0097191B" w:rsidRPr="00251B46" w:rsidRDefault="00A1082D" w:rsidP="00A3434A">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{"citationItems":[{"id":"ITEM-1","itemData":{"DOI":"10.1080/10454438.2017.1414009","ISSN":"15450805","abstract":"This article examined the profitability of aquaponics in the U.S. Midwest. Three sources of data were considered for the study: (1) three active aquaponics farms, (2) a university greenhouse experiment, and (3) published research. The first analysis compares the economics of aquaponics and hydroponics systems under similar operations. Results suggest that the aquaponics system requires higher investment and operating cost but has lower production of vegetables compared with the hydroponics system. However, if aquaponics vegetable production is managed as an organic production, and the produce is sold at 20% premium price, aquaponics becomes profitable. The second analysis constructed three different representative farm sizes of aquaponics production of basil and tilapia—small, medium, and large. The production of basil provides better economic returns than the fish. All farm sizes are feasible when the basil price is above $10.00 per kg. The larger farm has the best results because of lower cost of production.","author":[{"dropping-particle":"","family":"Quagrainie","given":"Kwamena K.","non-dropping-particle":"","parse-names":false,"suffix":""},{"dropping-particle":"","family":"Flores","given":"Roberto Manolio Valladão","non-dropping-particle":"","parse-names":false,"suffix":""},{"dropping-particle":"","family":"Kim","given":"Hye Ji","non-dropping-particle":"","parse-names":false,"suffix":""},{"dropping-particle":"","family":"McClain","given":"Verena","non-dropping-particle":"","parse-names":false,"suffix":""}],"container-title":"Journal of Applied Aquaculture","id":"ITEM-1","issued":{"date-parts":[["2018"]]},"title":"Economic analysis of aquaponics and hydroponics production in the U.S. Midwest","type":"article-journal"},"uris":["http://www.mendeley.com/documents/?uuid=b48b9509-cc1f-4325-a3e7-a9503c749550"]}],"mendeley":{"formattedCitation":"(Quagrainie &lt;i&gt;et al.&lt;/i&gt;, 2018)","plainTextFormattedCitation":"(Quagrainie et al., 2018)","previouslyFormattedCitation":"(Quagrainie &lt;i&gt;et al.&lt;/i&gt;, 2018)"},"properties":{"noteIndex":0},"schema":"https://github.com/citation-style-language/schema/raw/master/csl-citation.json"}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(Quagrainie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2018)</w:t>
            </w:r>
            <w:r>
              <w:rPr>
                <w:rFonts w:ascii="Times New Roman" w:eastAsia="Times New Roman" w:hAnsi="Times New Roman" w:cs="Times New Roman"/>
                <w:lang w:val="en-MY"/>
              </w:rPr>
              <w:fldChar w:fldCharType="end"/>
            </w:r>
          </w:p>
        </w:tc>
      </w:tr>
    </w:tbl>
    <w:p w14:paraId="06F8A97E" w14:textId="3138E7A6" w:rsidR="0097191B" w:rsidRPr="00251B46" w:rsidRDefault="47E8C0C6" w:rsidP="28F7168D">
      <w:pPr>
        <w:rPr>
          <w:rFonts w:ascii="Times New Roman" w:eastAsia="Times New Roman" w:hAnsi="Times New Roman" w:cs="Times New Roman"/>
          <w:lang w:val="en-MY"/>
        </w:rPr>
      </w:pPr>
      <w:r w:rsidRPr="28F7168D">
        <w:rPr>
          <w:rFonts w:ascii="Times New Roman" w:hAnsi="Times New Roman" w:cs="Times New Roman"/>
          <w:vertAlign w:val="superscript"/>
        </w:rPr>
        <w:t xml:space="preserve">a </w:t>
      </w:r>
      <w:r w:rsidRPr="28F7168D">
        <w:rPr>
          <w:rFonts w:ascii="Times New Roman" w:eastAsia="Times New Roman" w:hAnsi="Times New Roman" w:cs="Times New Roman"/>
          <w:lang w:val="en-MY"/>
        </w:rPr>
        <w:t>Pricing is shown in US Dollar</w:t>
      </w:r>
      <w:r w:rsidR="5CABD595" w:rsidRPr="28F7168D">
        <w:rPr>
          <w:rFonts w:ascii="Times New Roman" w:eastAsia="Times New Roman" w:hAnsi="Times New Roman" w:cs="Times New Roman"/>
          <w:lang w:val="en-MY"/>
        </w:rPr>
        <w:t>.</w:t>
      </w:r>
    </w:p>
    <w:p w14:paraId="060B663E" w14:textId="77777777" w:rsidR="00D56C1D" w:rsidRDefault="00D56C1D">
      <w:pPr>
        <w:rPr>
          <w:rFonts w:ascii="Times New Roman" w:hAnsi="Times New Roman" w:cs="Times New Roman"/>
          <w:b/>
          <w:bCs/>
          <w:sz w:val="24"/>
          <w:szCs w:val="24"/>
        </w:rPr>
      </w:pPr>
      <w:r>
        <w:rPr>
          <w:rFonts w:ascii="Times New Roman" w:hAnsi="Times New Roman" w:cs="Times New Roman"/>
          <w:b/>
          <w:bCs/>
          <w:i/>
          <w:iCs/>
          <w:sz w:val="24"/>
          <w:szCs w:val="24"/>
        </w:rPr>
        <w:br w:type="page"/>
      </w:r>
    </w:p>
    <w:p w14:paraId="0C8AF59B" w14:textId="19C06C67" w:rsidR="0097191B" w:rsidRPr="00251B46" w:rsidRDefault="0097191B" w:rsidP="0097191B">
      <w:pPr>
        <w:pStyle w:val="Caption"/>
        <w:keepNext/>
        <w:rPr>
          <w:rFonts w:ascii="Times New Roman" w:hAnsi="Times New Roman" w:cs="Times New Roman"/>
          <w:i w:val="0"/>
          <w:iCs w:val="0"/>
          <w:color w:val="auto"/>
          <w:sz w:val="24"/>
          <w:szCs w:val="24"/>
        </w:rPr>
      </w:pPr>
      <w:r w:rsidRPr="0004335D">
        <w:rPr>
          <w:rFonts w:ascii="Times New Roman" w:hAnsi="Times New Roman" w:cs="Times New Roman"/>
          <w:b/>
          <w:bCs/>
          <w:i w:val="0"/>
          <w:iCs w:val="0"/>
          <w:color w:val="auto"/>
          <w:sz w:val="24"/>
          <w:szCs w:val="24"/>
        </w:rPr>
        <w:lastRenderedPageBreak/>
        <w:t xml:space="preserve">Table </w:t>
      </w:r>
      <w:r w:rsidR="00BA41BB" w:rsidRPr="0004335D">
        <w:rPr>
          <w:rFonts w:ascii="Times New Roman" w:hAnsi="Times New Roman" w:cs="Times New Roman"/>
          <w:b/>
          <w:bCs/>
          <w:i w:val="0"/>
          <w:iCs w:val="0"/>
          <w:color w:val="auto"/>
          <w:sz w:val="24"/>
          <w:szCs w:val="24"/>
        </w:rPr>
        <w:t>S</w:t>
      </w:r>
      <w:r w:rsidRPr="0004335D">
        <w:rPr>
          <w:rFonts w:ascii="Times New Roman" w:hAnsi="Times New Roman" w:cs="Times New Roman"/>
          <w:b/>
          <w:bCs/>
          <w:i w:val="0"/>
          <w:iCs w:val="0"/>
          <w:color w:val="auto"/>
          <w:sz w:val="24"/>
          <w:szCs w:val="24"/>
        </w:rPr>
        <w:fldChar w:fldCharType="begin"/>
      </w:r>
      <w:r w:rsidRPr="0004335D">
        <w:rPr>
          <w:rFonts w:ascii="Times New Roman" w:hAnsi="Times New Roman" w:cs="Times New Roman"/>
          <w:b/>
          <w:bCs/>
          <w:i w:val="0"/>
          <w:iCs w:val="0"/>
          <w:color w:val="auto"/>
          <w:sz w:val="24"/>
          <w:szCs w:val="24"/>
        </w:rPr>
        <w:instrText xml:space="preserve"> SEQ Table \* ARABIC </w:instrText>
      </w:r>
      <w:r w:rsidRPr="0004335D">
        <w:rPr>
          <w:rFonts w:ascii="Times New Roman" w:hAnsi="Times New Roman" w:cs="Times New Roman"/>
          <w:b/>
          <w:bCs/>
          <w:i w:val="0"/>
          <w:iCs w:val="0"/>
          <w:color w:val="auto"/>
          <w:sz w:val="24"/>
          <w:szCs w:val="24"/>
        </w:rPr>
        <w:fldChar w:fldCharType="separate"/>
      </w:r>
      <w:r w:rsidRPr="0004335D">
        <w:rPr>
          <w:rFonts w:ascii="Times New Roman" w:hAnsi="Times New Roman" w:cs="Times New Roman"/>
          <w:b/>
          <w:bCs/>
          <w:i w:val="0"/>
          <w:iCs w:val="0"/>
          <w:noProof/>
          <w:color w:val="auto"/>
          <w:sz w:val="24"/>
          <w:szCs w:val="24"/>
        </w:rPr>
        <w:t>3</w:t>
      </w:r>
      <w:r w:rsidRPr="0004335D">
        <w:rPr>
          <w:rFonts w:ascii="Times New Roman" w:hAnsi="Times New Roman" w:cs="Times New Roman"/>
          <w:b/>
          <w:bCs/>
          <w:i w:val="0"/>
          <w:iCs w:val="0"/>
          <w:color w:val="auto"/>
          <w:sz w:val="24"/>
          <w:szCs w:val="24"/>
        </w:rPr>
        <w:fldChar w:fldCharType="end"/>
      </w:r>
      <w:r w:rsidRPr="0004335D">
        <w:rPr>
          <w:rFonts w:ascii="Times New Roman" w:hAnsi="Times New Roman" w:cs="Times New Roman"/>
          <w:b/>
          <w:bCs/>
          <w:i w:val="0"/>
          <w:iCs w:val="0"/>
          <w:color w:val="auto"/>
          <w:sz w:val="24"/>
          <w:szCs w:val="24"/>
        </w:rPr>
        <w:t>:</w:t>
      </w:r>
      <w:r w:rsidRPr="0004335D">
        <w:rPr>
          <w:rFonts w:ascii="Times New Roman" w:hAnsi="Times New Roman" w:cs="Times New Roman"/>
          <w:i w:val="0"/>
          <w:iCs w:val="0"/>
          <w:color w:val="auto"/>
          <w:sz w:val="24"/>
          <w:szCs w:val="24"/>
        </w:rPr>
        <w:t xml:space="preserve"> Unit cost of imported resources and output products</w:t>
      </w:r>
    </w:p>
    <w:tbl>
      <w:tblPr>
        <w:tblW w:w="8898" w:type="dxa"/>
        <w:jc w:val="center"/>
        <w:tblLook w:val="04A0" w:firstRow="1" w:lastRow="0" w:firstColumn="1" w:lastColumn="0" w:noHBand="0" w:noVBand="1"/>
      </w:tblPr>
      <w:tblGrid>
        <w:gridCol w:w="3239"/>
        <w:gridCol w:w="2534"/>
        <w:gridCol w:w="3125"/>
      </w:tblGrid>
      <w:tr w:rsidR="00251B46" w:rsidRPr="00251B46" w14:paraId="15863413" w14:textId="77777777" w:rsidTr="006365EF">
        <w:trPr>
          <w:trHeight w:val="360"/>
          <w:jc w:val="center"/>
        </w:trPr>
        <w:tc>
          <w:tcPr>
            <w:tcW w:w="3239" w:type="dxa"/>
            <w:tcBorders>
              <w:top w:val="single" w:sz="8" w:space="0" w:color="auto"/>
              <w:left w:val="nil"/>
              <w:bottom w:val="single" w:sz="4" w:space="0" w:color="auto"/>
              <w:right w:val="nil"/>
            </w:tcBorders>
            <w:shd w:val="clear" w:color="auto" w:fill="auto"/>
            <w:hideMark/>
          </w:tcPr>
          <w:p w14:paraId="49FD02F1" w14:textId="77777777" w:rsidR="0097191B" w:rsidRPr="00251B46" w:rsidRDefault="0097191B" w:rsidP="00427D83">
            <w:pPr>
              <w:spacing w:after="0" w:line="240" w:lineRule="auto"/>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Facility</w:t>
            </w:r>
          </w:p>
        </w:tc>
        <w:tc>
          <w:tcPr>
            <w:tcW w:w="2534" w:type="dxa"/>
            <w:tcBorders>
              <w:top w:val="single" w:sz="8" w:space="0" w:color="auto"/>
              <w:left w:val="nil"/>
              <w:bottom w:val="single" w:sz="4" w:space="0" w:color="auto"/>
              <w:right w:val="nil"/>
            </w:tcBorders>
            <w:shd w:val="clear" w:color="auto" w:fill="auto"/>
            <w:hideMark/>
          </w:tcPr>
          <w:p w14:paraId="0A66A3E8" w14:textId="1A62B064" w:rsidR="0097191B" w:rsidRPr="00251B46" w:rsidRDefault="0097191B" w:rsidP="28F7168D">
            <w:pPr>
              <w:spacing w:after="0" w:line="240" w:lineRule="auto"/>
              <w:rPr>
                <w:rFonts w:ascii="Times New Roman" w:hAnsi="Times New Roman" w:cs="Times New Roman"/>
                <w:vertAlign w:val="superscript"/>
                <w:lang w:val="en-MY"/>
              </w:rPr>
            </w:pPr>
            <w:r w:rsidRPr="28F7168D">
              <w:rPr>
                <w:rFonts w:ascii="Times New Roman" w:eastAsia="Times New Roman" w:hAnsi="Times New Roman" w:cs="Times New Roman"/>
                <w:b/>
                <w:bCs/>
                <w:lang w:val="en-MY"/>
              </w:rPr>
              <w:t>Price</w:t>
            </w:r>
            <w:r w:rsidR="246D86C8" w:rsidRPr="28F7168D">
              <w:rPr>
                <w:rFonts w:ascii="Times New Roman" w:eastAsia="Times New Roman" w:hAnsi="Times New Roman" w:cs="Times New Roman"/>
                <w:b/>
                <w:bCs/>
                <w:lang w:val="en-MY"/>
              </w:rPr>
              <w:t xml:space="preserve"> </w:t>
            </w:r>
            <w:r w:rsidR="246D86C8" w:rsidRPr="28F7168D">
              <w:rPr>
                <w:rFonts w:ascii="Times New Roman" w:hAnsi="Times New Roman" w:cs="Times New Roman"/>
                <w:vertAlign w:val="superscript"/>
              </w:rPr>
              <w:t>a</w:t>
            </w:r>
          </w:p>
        </w:tc>
        <w:tc>
          <w:tcPr>
            <w:tcW w:w="3125" w:type="dxa"/>
            <w:tcBorders>
              <w:top w:val="single" w:sz="8" w:space="0" w:color="auto"/>
              <w:left w:val="nil"/>
              <w:bottom w:val="single" w:sz="4" w:space="0" w:color="auto"/>
              <w:right w:val="nil"/>
            </w:tcBorders>
            <w:shd w:val="clear" w:color="auto" w:fill="auto"/>
            <w:hideMark/>
          </w:tcPr>
          <w:p w14:paraId="1EAAB248" w14:textId="77777777" w:rsidR="0097191B" w:rsidRPr="00251B46" w:rsidRDefault="0097191B" w:rsidP="00427D83">
            <w:pPr>
              <w:spacing w:after="0" w:line="240" w:lineRule="auto"/>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References</w:t>
            </w:r>
          </w:p>
        </w:tc>
      </w:tr>
      <w:tr w:rsidR="00427D83" w:rsidRPr="00251B46" w14:paraId="6E587F35" w14:textId="77777777" w:rsidTr="006365EF">
        <w:trPr>
          <w:trHeight w:val="319"/>
          <w:jc w:val="center"/>
        </w:trPr>
        <w:tc>
          <w:tcPr>
            <w:tcW w:w="8898" w:type="dxa"/>
            <w:gridSpan w:val="3"/>
            <w:tcBorders>
              <w:top w:val="single" w:sz="4" w:space="0" w:color="auto"/>
              <w:left w:val="nil"/>
              <w:bottom w:val="single" w:sz="4" w:space="0" w:color="auto"/>
              <w:right w:val="nil"/>
            </w:tcBorders>
            <w:shd w:val="clear" w:color="auto" w:fill="auto"/>
          </w:tcPr>
          <w:p w14:paraId="76C4936C" w14:textId="36925317" w:rsidR="00427D83" w:rsidRPr="00251B46" w:rsidRDefault="00427D83" w:rsidP="006365EF">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b/>
                <w:bCs/>
                <w:i/>
                <w:iCs/>
                <w:lang w:val="en-MY"/>
              </w:rPr>
              <w:t>Imported</w:t>
            </w:r>
          </w:p>
        </w:tc>
      </w:tr>
      <w:tr w:rsidR="00E126C1" w:rsidRPr="00251B46" w14:paraId="40F43EED" w14:textId="77777777" w:rsidTr="006365EF">
        <w:trPr>
          <w:trHeight w:val="319"/>
          <w:jc w:val="center"/>
        </w:trPr>
        <w:tc>
          <w:tcPr>
            <w:tcW w:w="3239" w:type="dxa"/>
            <w:tcBorders>
              <w:top w:val="single" w:sz="4" w:space="0" w:color="auto"/>
              <w:left w:val="nil"/>
              <w:right w:val="nil"/>
            </w:tcBorders>
            <w:shd w:val="clear" w:color="auto" w:fill="auto"/>
          </w:tcPr>
          <w:p w14:paraId="4DFDB819" w14:textId="3C7DA581"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Steam</w:t>
            </w:r>
          </w:p>
        </w:tc>
        <w:tc>
          <w:tcPr>
            <w:tcW w:w="2534" w:type="dxa"/>
            <w:tcBorders>
              <w:top w:val="single" w:sz="4" w:space="0" w:color="auto"/>
              <w:left w:val="nil"/>
              <w:right w:val="nil"/>
            </w:tcBorders>
            <w:shd w:val="clear" w:color="auto" w:fill="auto"/>
          </w:tcPr>
          <w:p w14:paraId="198C7E1C" w14:textId="3B4324CC"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9.68 $/t HPS</w:t>
            </w:r>
          </w:p>
        </w:tc>
        <w:tc>
          <w:tcPr>
            <w:tcW w:w="3125" w:type="dxa"/>
            <w:tcBorders>
              <w:top w:val="single" w:sz="4" w:space="0" w:color="auto"/>
              <w:left w:val="nil"/>
              <w:right w:val="nil"/>
            </w:tcBorders>
            <w:shd w:val="clear" w:color="auto" w:fill="auto"/>
          </w:tcPr>
          <w:p w14:paraId="3DCEC8A5" w14:textId="455F6206" w:rsidR="00E126C1" w:rsidRPr="00251B46" w:rsidRDefault="00D53CE8"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(Saeidi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E126C1" w:rsidRPr="00251B46" w14:paraId="4BFC1DD7" w14:textId="77777777" w:rsidTr="006365EF">
        <w:trPr>
          <w:trHeight w:val="319"/>
          <w:jc w:val="center"/>
        </w:trPr>
        <w:tc>
          <w:tcPr>
            <w:tcW w:w="3239" w:type="dxa"/>
            <w:tcBorders>
              <w:top w:val="nil"/>
              <w:left w:val="nil"/>
              <w:right w:val="nil"/>
            </w:tcBorders>
            <w:shd w:val="clear" w:color="auto" w:fill="auto"/>
            <w:hideMark/>
          </w:tcPr>
          <w:p w14:paraId="54150086" w14:textId="77777777"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Electricity</w:t>
            </w:r>
          </w:p>
        </w:tc>
        <w:tc>
          <w:tcPr>
            <w:tcW w:w="2534" w:type="dxa"/>
            <w:tcBorders>
              <w:top w:val="nil"/>
              <w:left w:val="nil"/>
              <w:right w:val="nil"/>
            </w:tcBorders>
            <w:shd w:val="clear" w:color="auto" w:fill="auto"/>
            <w:hideMark/>
          </w:tcPr>
          <w:p w14:paraId="44C200A7" w14:textId="77777777"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0.16 $/kWh</w:t>
            </w:r>
          </w:p>
        </w:tc>
        <w:tc>
          <w:tcPr>
            <w:tcW w:w="3125" w:type="dxa"/>
            <w:tcBorders>
              <w:top w:val="nil"/>
              <w:left w:val="nil"/>
              <w:right w:val="nil"/>
            </w:tcBorders>
            <w:shd w:val="clear" w:color="auto" w:fill="auto"/>
            <w:hideMark/>
          </w:tcPr>
          <w:p w14:paraId="619FD6B1" w14:textId="17364924" w:rsidR="00E126C1" w:rsidRPr="00251B46" w:rsidRDefault="00A1082D"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{"citationItems":[{"id":"ITEM-1","itemData":{"DOI":"10.4155/bfs.11.114","ISSN":"17597269","abstract":"This article examines the potential of fish waste for liquid and gaseous biofuels, with focus on Norway but also some consideration of other markets. Fish production and processing wastes are a significant source of material for bioenergy production. Norway is a country of high fish production, but currently low development of the bioenergy sector due to the ample availability of hydropower. World fish consumption per capita nearly doubled over the last 45 years. The resulting increase in fish processing wastes and the expansion of the renewable energy market imply that fish processing wastes could play a part in the future of biofuels. Fish processing wastes rich in fat may be used for biodiesel, although blending with other diesels may be necessary to meet biodiesel specification standards. Fish processing wastes are also suitable for biogas production, although these materials will have to be added as a co-substrate to boost the biogas production of plants treating agricultural or municipal wastes, due to the inhibitory effects of long chain fatty acids and high protein concentrations. A sustainable use of biogas in Norway would be as fuel for vehicles, as is the preferred future utilization in neighboring Sweden. In other countries with better developed gas grids, an increasing proportion of biogas will likely be used for grid injection to replace natural gas. © Future Science Ltd.","author":[{"dropping-particle":"","family":"Ward","given":"Alastair James","non-dropping-particle":"","parse-names":false,"suffix":""},{"dropping-particle":"","family":"Løes","given":"Anne Kristin","non-dropping-particle":"","parse-names":false,"suffix":""}],"container-title":"Biofuels","id":"ITEM-1","issued":{"date-parts":[["2011"]]},"title":"The potential of fish and fish oil waste for bioenergy generation: Norway and beyond","type":"article-journal"},"uris":["http://www.mendeley.com/documents/?uuid=d6c8b329-3315-4234-b981-1129492113aa"]}],"mendeley":{"formattedCitation":"(Ward and Løes, 2011)","plainTextFormattedCitation":"(Ward and Løes, 2011)","previouslyFormattedCitation":"(Ward and Løes, 2011)"},"properties":{"noteIndex":0},"schema":"https://github.com/citation-style-language/schema/raw/master/csl-citation.json"}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(Ward and Løes, 2011)</w:t>
            </w:r>
            <w:r>
              <w:rPr>
                <w:rFonts w:ascii="Times New Roman" w:eastAsia="Times New Roman" w:hAnsi="Times New Roman" w:cs="Times New Roman"/>
                <w:lang w:val="en-MY"/>
              </w:rPr>
              <w:fldChar w:fldCharType="end"/>
            </w:r>
          </w:p>
        </w:tc>
      </w:tr>
      <w:tr w:rsidR="006B5612" w:rsidRPr="00251B46" w14:paraId="6B54B6E3" w14:textId="77777777" w:rsidTr="006365EF">
        <w:trPr>
          <w:trHeight w:val="319"/>
          <w:jc w:val="center"/>
        </w:trPr>
        <w:tc>
          <w:tcPr>
            <w:tcW w:w="3239" w:type="dxa"/>
            <w:tcBorders>
              <w:top w:val="nil"/>
              <w:left w:val="nil"/>
              <w:right w:val="nil"/>
            </w:tcBorders>
            <w:shd w:val="clear" w:color="auto" w:fill="auto"/>
          </w:tcPr>
          <w:p w14:paraId="46F1146F" w14:textId="547087AA"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Water</w:t>
            </w:r>
          </w:p>
        </w:tc>
        <w:tc>
          <w:tcPr>
            <w:tcW w:w="2534" w:type="dxa"/>
            <w:tcBorders>
              <w:top w:val="nil"/>
              <w:left w:val="nil"/>
              <w:right w:val="nil"/>
            </w:tcBorders>
            <w:shd w:val="clear" w:color="auto" w:fill="auto"/>
          </w:tcPr>
          <w:p w14:paraId="29A9AF02" w14:textId="452FCDF6" w:rsidR="006B5612" w:rsidRPr="00251B46" w:rsidRDefault="00707823"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0.22$/t</w:t>
            </w:r>
          </w:p>
        </w:tc>
        <w:sdt>
          <w:sdtPr>
            <w:rPr>
              <w:rFonts w:ascii="Times New Roman" w:eastAsia="Times New Roman" w:hAnsi="Times New Roman" w:cs="Times New Roman"/>
              <w:color w:val="000000"/>
              <w:lang w:val="en-MY"/>
            </w:rPr>
            <w:tag w:val="MENDELEY_CITATION_v3_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"/>
            <w:id w:val="953760415"/>
            <w:placeholder>
              <w:docPart w:val="DefaultPlaceholder_-1854013440"/>
            </w:placeholder>
          </w:sdtPr>
          <w:sdtContent>
            <w:tc>
              <w:tcPr>
                <w:tcW w:w="3125" w:type="dxa"/>
                <w:tcBorders>
                  <w:top w:val="nil"/>
                  <w:left w:val="nil"/>
                  <w:right w:val="nil"/>
                </w:tcBorders>
                <w:shd w:val="clear" w:color="auto" w:fill="auto"/>
              </w:tcPr>
              <w:p w14:paraId="6DAB9A8B" w14:textId="3F57771A" w:rsidR="006B5612" w:rsidRPr="00251B46" w:rsidRDefault="005939F7" w:rsidP="00427D83">
                <w:pPr>
                  <w:spacing w:after="0" w:line="240" w:lineRule="auto"/>
                  <w:rPr>
                    <w:rFonts w:ascii="Times New Roman" w:eastAsia="Times New Roman" w:hAnsi="Times New Roman" w:cs="Times New Roman"/>
                    <w:lang w:val="en-MY"/>
                  </w:rPr>
                </w:pPr>
                <w:r w:rsidRPr="005939F7">
                  <w:rPr>
                    <w:rFonts w:ascii="Times New Roman" w:eastAsia="Times New Roman" w:hAnsi="Times New Roman" w:cs="Times New Roman"/>
                    <w:color w:val="000000"/>
                    <w:lang w:val="en-MY"/>
                  </w:rPr>
                  <w:t>(KWB, 2023)</w:t>
                </w:r>
              </w:p>
            </w:tc>
          </w:sdtContent>
        </w:sdt>
      </w:tr>
      <w:tr w:rsidR="006B5612" w:rsidRPr="00251B46" w14:paraId="40E573F3" w14:textId="77777777" w:rsidTr="006365EF">
        <w:trPr>
          <w:trHeight w:val="319"/>
          <w:jc w:val="center"/>
        </w:trPr>
        <w:tc>
          <w:tcPr>
            <w:tcW w:w="3239" w:type="dxa"/>
            <w:tcBorders>
              <w:top w:val="nil"/>
              <w:left w:val="nil"/>
              <w:right w:val="nil"/>
            </w:tcBorders>
            <w:shd w:val="clear" w:color="auto" w:fill="auto"/>
          </w:tcPr>
          <w:p w14:paraId="751B42E2" w14:textId="35673DFB"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Chitosan</w:t>
            </w:r>
          </w:p>
        </w:tc>
        <w:tc>
          <w:tcPr>
            <w:tcW w:w="2534" w:type="dxa"/>
            <w:tcBorders>
              <w:top w:val="nil"/>
              <w:left w:val="nil"/>
              <w:right w:val="nil"/>
            </w:tcBorders>
            <w:shd w:val="clear" w:color="auto" w:fill="auto"/>
          </w:tcPr>
          <w:p w14:paraId="31E1CD5E" w14:textId="0FBDD561" w:rsidR="006B5612" w:rsidRPr="00251B46" w:rsidRDefault="00E24B86"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400 $/t</w:t>
            </w:r>
          </w:p>
        </w:tc>
        <w:tc>
          <w:tcPr>
            <w:tcW w:w="3125" w:type="dxa"/>
            <w:tcBorders>
              <w:top w:val="nil"/>
              <w:left w:val="nil"/>
              <w:right w:val="nil"/>
            </w:tcBorders>
            <w:shd w:val="clear" w:color="auto" w:fill="auto"/>
          </w:tcPr>
          <w:p w14:paraId="3E904CF7" w14:textId="6A12A26C"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50E321F2" w14:textId="77777777" w:rsidTr="006365EF">
        <w:trPr>
          <w:trHeight w:val="319"/>
          <w:jc w:val="center"/>
        </w:trPr>
        <w:tc>
          <w:tcPr>
            <w:tcW w:w="3239" w:type="dxa"/>
            <w:tcBorders>
              <w:top w:val="nil"/>
              <w:left w:val="nil"/>
              <w:right w:val="nil"/>
            </w:tcBorders>
            <w:shd w:val="clear" w:color="auto" w:fill="auto"/>
          </w:tcPr>
          <w:p w14:paraId="463C80C2" w14:textId="4EF5454C"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Fish feed</w:t>
            </w:r>
          </w:p>
        </w:tc>
        <w:tc>
          <w:tcPr>
            <w:tcW w:w="2534" w:type="dxa"/>
            <w:tcBorders>
              <w:top w:val="nil"/>
              <w:left w:val="nil"/>
              <w:right w:val="nil"/>
            </w:tcBorders>
            <w:shd w:val="clear" w:color="auto" w:fill="auto"/>
          </w:tcPr>
          <w:p w14:paraId="1A2476F5" w14:textId="76A46508" w:rsidR="006B5612" w:rsidRPr="00251B46" w:rsidRDefault="00E24B86"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430 $/t</w:t>
            </w:r>
          </w:p>
        </w:tc>
        <w:tc>
          <w:tcPr>
            <w:tcW w:w="3125" w:type="dxa"/>
            <w:tcBorders>
              <w:top w:val="nil"/>
              <w:left w:val="nil"/>
              <w:right w:val="nil"/>
            </w:tcBorders>
            <w:shd w:val="clear" w:color="auto" w:fill="auto"/>
          </w:tcPr>
          <w:p w14:paraId="03F45EBD" w14:textId="67EDF68D"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0C718AEE" w14:textId="77777777" w:rsidTr="006365EF">
        <w:trPr>
          <w:trHeight w:val="319"/>
          <w:jc w:val="center"/>
        </w:trPr>
        <w:tc>
          <w:tcPr>
            <w:tcW w:w="3239" w:type="dxa"/>
            <w:tcBorders>
              <w:top w:val="nil"/>
              <w:left w:val="nil"/>
              <w:bottom w:val="single" w:sz="4" w:space="0" w:color="auto"/>
              <w:right w:val="nil"/>
            </w:tcBorders>
            <w:shd w:val="clear" w:color="auto" w:fill="auto"/>
          </w:tcPr>
          <w:p w14:paraId="3AEBDE3E" w14:textId="2293F571"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Vege seed</w:t>
            </w:r>
          </w:p>
        </w:tc>
        <w:tc>
          <w:tcPr>
            <w:tcW w:w="2534" w:type="dxa"/>
            <w:tcBorders>
              <w:top w:val="nil"/>
              <w:left w:val="nil"/>
              <w:bottom w:val="single" w:sz="4" w:space="0" w:color="auto"/>
              <w:right w:val="nil"/>
            </w:tcBorders>
            <w:shd w:val="clear" w:color="auto" w:fill="auto"/>
          </w:tcPr>
          <w:p w14:paraId="05B9CBB7" w14:textId="67AB9FCD" w:rsidR="006B5612" w:rsidRPr="00251B46" w:rsidRDefault="00E24B86"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179 $/</w:t>
            </w:r>
            <w:r w:rsidR="00555F01">
              <w:rPr>
                <w:rFonts w:ascii="Times New Roman" w:eastAsia="Times New Roman" w:hAnsi="Times New Roman" w:cs="Times New Roman"/>
                <w:lang w:val="en-MY"/>
              </w:rPr>
              <w:t>t</w:t>
            </w:r>
          </w:p>
        </w:tc>
        <w:tc>
          <w:tcPr>
            <w:tcW w:w="3125" w:type="dxa"/>
            <w:tcBorders>
              <w:top w:val="nil"/>
              <w:left w:val="nil"/>
              <w:bottom w:val="single" w:sz="4" w:space="0" w:color="auto"/>
              <w:right w:val="nil"/>
            </w:tcBorders>
            <w:shd w:val="clear" w:color="auto" w:fill="auto"/>
          </w:tcPr>
          <w:p w14:paraId="43C8E121" w14:textId="2F187FF3"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427D83" w:rsidRPr="00251B46" w14:paraId="615456F5" w14:textId="77777777" w:rsidTr="006365EF">
        <w:trPr>
          <w:trHeight w:val="319"/>
          <w:jc w:val="center"/>
        </w:trPr>
        <w:tc>
          <w:tcPr>
            <w:tcW w:w="8898" w:type="dxa"/>
            <w:gridSpan w:val="3"/>
            <w:tcBorders>
              <w:top w:val="single" w:sz="4" w:space="0" w:color="auto"/>
              <w:left w:val="nil"/>
              <w:bottom w:val="single" w:sz="4" w:space="0" w:color="auto"/>
              <w:right w:val="nil"/>
            </w:tcBorders>
            <w:shd w:val="clear" w:color="auto" w:fill="auto"/>
          </w:tcPr>
          <w:p w14:paraId="4F0A831A" w14:textId="3BEB8001" w:rsidR="00427D83" w:rsidRPr="00251B46" w:rsidRDefault="00427D83" w:rsidP="006365EF">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b/>
                <w:bCs/>
                <w:i/>
                <w:iCs/>
                <w:lang w:val="en-MY"/>
              </w:rPr>
              <w:t>Exported</w:t>
            </w:r>
          </w:p>
        </w:tc>
      </w:tr>
      <w:tr w:rsidR="006B5612" w:rsidRPr="00251B46" w14:paraId="2AB53E5F" w14:textId="77777777" w:rsidTr="006365EF">
        <w:trPr>
          <w:trHeight w:val="319"/>
          <w:jc w:val="center"/>
        </w:trPr>
        <w:tc>
          <w:tcPr>
            <w:tcW w:w="3239" w:type="dxa"/>
            <w:tcBorders>
              <w:top w:val="single" w:sz="4" w:space="0" w:color="auto"/>
              <w:left w:val="nil"/>
              <w:right w:val="nil"/>
            </w:tcBorders>
            <w:shd w:val="clear" w:color="auto" w:fill="auto"/>
          </w:tcPr>
          <w:p w14:paraId="7C1F70E5" w14:textId="73E80D49"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Bio</w:t>
            </w:r>
            <w:r w:rsidR="006872C4">
              <w:rPr>
                <w:rFonts w:ascii="Times New Roman" w:eastAsia="Times New Roman" w:hAnsi="Times New Roman" w:cs="Times New Roman"/>
                <w:lang w:val="en-MY"/>
              </w:rPr>
              <w:t>fuel</w:t>
            </w:r>
          </w:p>
        </w:tc>
        <w:tc>
          <w:tcPr>
            <w:tcW w:w="2534" w:type="dxa"/>
            <w:tcBorders>
              <w:top w:val="single" w:sz="4" w:space="0" w:color="auto"/>
              <w:left w:val="nil"/>
              <w:right w:val="nil"/>
            </w:tcBorders>
            <w:shd w:val="clear" w:color="auto" w:fill="auto"/>
          </w:tcPr>
          <w:p w14:paraId="5D3AF22F" w14:textId="584F2EF3" w:rsidR="006B5612" w:rsidRPr="00251B46" w:rsidRDefault="004A529E"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1072</w:t>
            </w:r>
            <w:r w:rsidR="00B02C64">
              <w:rPr>
                <w:rFonts w:ascii="Times New Roman" w:eastAsia="Times New Roman" w:hAnsi="Times New Roman" w:cs="Times New Roman"/>
                <w:lang w:val="en-MY"/>
              </w:rPr>
              <w:t>$/t</w:t>
            </w:r>
          </w:p>
        </w:tc>
        <w:tc>
          <w:tcPr>
            <w:tcW w:w="3125" w:type="dxa"/>
            <w:tcBorders>
              <w:top w:val="single" w:sz="4" w:space="0" w:color="auto"/>
              <w:left w:val="nil"/>
              <w:right w:val="nil"/>
            </w:tcBorders>
            <w:shd w:val="clear" w:color="auto" w:fill="auto"/>
          </w:tcPr>
          <w:p w14:paraId="3969CB9E" w14:textId="59F1695D"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5F93C62E" w14:textId="77777777" w:rsidTr="006365EF">
        <w:trPr>
          <w:trHeight w:val="319"/>
          <w:jc w:val="center"/>
        </w:trPr>
        <w:tc>
          <w:tcPr>
            <w:tcW w:w="3239" w:type="dxa"/>
            <w:tcBorders>
              <w:top w:val="nil"/>
              <w:left w:val="nil"/>
              <w:right w:val="nil"/>
            </w:tcBorders>
            <w:shd w:val="clear" w:color="auto" w:fill="auto"/>
          </w:tcPr>
          <w:p w14:paraId="45B41FA7" w14:textId="504390E8"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Biochar</w:t>
            </w:r>
          </w:p>
        </w:tc>
        <w:tc>
          <w:tcPr>
            <w:tcW w:w="2534" w:type="dxa"/>
            <w:tcBorders>
              <w:top w:val="nil"/>
              <w:left w:val="nil"/>
              <w:right w:val="nil"/>
            </w:tcBorders>
            <w:shd w:val="clear" w:color="auto" w:fill="auto"/>
          </w:tcPr>
          <w:p w14:paraId="2A2F28D4" w14:textId="273FE8A2" w:rsidR="006B5612" w:rsidRPr="00251B46" w:rsidRDefault="00E24B86"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350 $/t</w:t>
            </w:r>
          </w:p>
        </w:tc>
        <w:sdt>
          <w:sdtPr>
            <w:rPr>
              <w:rFonts w:ascii="Times New Roman" w:eastAsia="Times New Roman" w:hAnsi="Times New Roman" w:cs="Times New Roman"/>
              <w:lang w:val="en-MY"/>
            </w:rPr>
            <w:tag w:val="MENDELEY_CITATION_v3_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"/>
            <w:id w:val="-258681256"/>
            <w:placeholder>
              <w:docPart w:val="DefaultPlaceholder_-1854013440"/>
            </w:placeholder>
          </w:sdtPr>
          <w:sdtContent>
            <w:tc>
              <w:tcPr>
                <w:tcW w:w="3125" w:type="dxa"/>
                <w:tcBorders>
                  <w:top w:val="nil"/>
                  <w:left w:val="nil"/>
                  <w:right w:val="nil"/>
                </w:tcBorders>
                <w:shd w:val="clear" w:color="auto" w:fill="auto"/>
              </w:tcPr>
              <w:p w14:paraId="6E3E1AB7" w14:textId="0577AA5E" w:rsidR="006B5612" w:rsidRPr="005939F7" w:rsidRDefault="005939F7" w:rsidP="00427D83">
                <w:pPr>
                  <w:spacing w:after="0" w:line="240" w:lineRule="auto"/>
                  <w:rPr>
                    <w:rFonts w:ascii="Times New Roman" w:eastAsia="Times New Roman" w:hAnsi="Times New Roman" w:cs="Times New Roman"/>
                    <w:lang w:val="en-MY"/>
                  </w:rPr>
                </w:pPr>
                <w:r w:rsidRPr="005939F7">
                  <w:rPr>
                    <w:rFonts w:ascii="Times New Roman" w:eastAsia="Times New Roman" w:hAnsi="Times New Roman" w:cs="Times New Roman"/>
                  </w:rPr>
                  <w:t>(Amherst &amp; Kulyk, 2012)</w:t>
                </w:r>
              </w:p>
            </w:tc>
          </w:sdtContent>
        </w:sdt>
      </w:tr>
      <w:tr w:rsidR="006B5612" w:rsidRPr="00251B46" w14:paraId="4A4B9838" w14:textId="77777777" w:rsidTr="006365EF">
        <w:trPr>
          <w:trHeight w:val="319"/>
          <w:jc w:val="center"/>
        </w:trPr>
        <w:tc>
          <w:tcPr>
            <w:tcW w:w="3239" w:type="dxa"/>
            <w:tcBorders>
              <w:top w:val="nil"/>
              <w:left w:val="nil"/>
              <w:right w:val="nil"/>
            </w:tcBorders>
            <w:shd w:val="clear" w:color="auto" w:fill="auto"/>
          </w:tcPr>
          <w:p w14:paraId="04F13A3E" w14:textId="4429A0AE"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Bio-oil</w:t>
            </w:r>
          </w:p>
        </w:tc>
        <w:tc>
          <w:tcPr>
            <w:tcW w:w="2534" w:type="dxa"/>
            <w:tcBorders>
              <w:top w:val="nil"/>
              <w:left w:val="nil"/>
              <w:right w:val="nil"/>
            </w:tcBorders>
            <w:shd w:val="clear" w:color="auto" w:fill="auto"/>
          </w:tcPr>
          <w:p w14:paraId="35541073" w14:textId="3FF8183F" w:rsidR="006B5612" w:rsidRPr="00251B46" w:rsidRDefault="00555F01"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80 $/t</w:t>
            </w:r>
          </w:p>
        </w:tc>
        <w:sdt>
          <w:sdtPr>
            <w:rPr>
              <w:rFonts w:ascii="Times New Roman" w:eastAsia="Times New Roman" w:hAnsi="Times New Roman" w:cs="Times New Roman"/>
              <w:color w:val="000000"/>
              <w:lang w:val="en-MY"/>
            </w:rPr>
            <w:tag w:val="MENDELEY_CITATION_v3_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"/>
            <w:id w:val="1934708643"/>
            <w:placeholder>
              <w:docPart w:val="DefaultPlaceholder_-1854013440"/>
            </w:placeholder>
          </w:sdtPr>
          <w:sdtContent>
            <w:tc>
              <w:tcPr>
                <w:tcW w:w="3125" w:type="dxa"/>
                <w:tcBorders>
                  <w:top w:val="nil"/>
                  <w:left w:val="nil"/>
                  <w:right w:val="nil"/>
                </w:tcBorders>
                <w:shd w:val="clear" w:color="auto" w:fill="auto"/>
              </w:tcPr>
              <w:p w14:paraId="7507E0E5" w14:textId="397E41DE" w:rsidR="006B5612" w:rsidRPr="00251B46" w:rsidRDefault="005939F7" w:rsidP="00427D83">
                <w:pPr>
                  <w:spacing w:after="0" w:line="240" w:lineRule="auto"/>
                  <w:rPr>
                    <w:rFonts w:ascii="Times New Roman" w:eastAsia="Times New Roman" w:hAnsi="Times New Roman" w:cs="Times New Roman"/>
                    <w:lang w:val="en-MY"/>
                  </w:rPr>
                </w:pPr>
                <w:r w:rsidRPr="005939F7">
                  <w:rPr>
                    <w:rFonts w:ascii="Times New Roman" w:eastAsia="Times New Roman" w:hAnsi="Times New Roman" w:cs="Times New Roman"/>
                    <w:color w:val="000000"/>
                    <w:lang w:val="en-MY"/>
                  </w:rPr>
                  <w:t>(EUBIA, 2012)</w:t>
                </w:r>
              </w:p>
            </w:tc>
          </w:sdtContent>
        </w:sdt>
      </w:tr>
      <w:tr w:rsidR="006B5612" w:rsidRPr="00251B46" w14:paraId="49796779" w14:textId="77777777" w:rsidTr="006365EF">
        <w:trPr>
          <w:trHeight w:val="319"/>
          <w:jc w:val="center"/>
        </w:trPr>
        <w:tc>
          <w:tcPr>
            <w:tcW w:w="3239" w:type="dxa"/>
            <w:tcBorders>
              <w:top w:val="nil"/>
              <w:left w:val="nil"/>
              <w:right w:val="nil"/>
            </w:tcBorders>
            <w:shd w:val="clear" w:color="auto" w:fill="auto"/>
          </w:tcPr>
          <w:p w14:paraId="697ED09D" w14:textId="65B00C01"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Chitosan</w:t>
            </w:r>
          </w:p>
        </w:tc>
        <w:tc>
          <w:tcPr>
            <w:tcW w:w="2534" w:type="dxa"/>
            <w:tcBorders>
              <w:top w:val="nil"/>
              <w:left w:val="nil"/>
              <w:right w:val="nil"/>
            </w:tcBorders>
            <w:shd w:val="clear" w:color="auto" w:fill="auto"/>
          </w:tcPr>
          <w:p w14:paraId="4115FCB7" w14:textId="21E7A966" w:rsidR="006B5612" w:rsidRPr="00251B46" w:rsidRDefault="00E24B86"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400 $/t</w:t>
            </w:r>
          </w:p>
        </w:tc>
        <w:tc>
          <w:tcPr>
            <w:tcW w:w="3125" w:type="dxa"/>
            <w:tcBorders>
              <w:top w:val="nil"/>
              <w:left w:val="nil"/>
              <w:right w:val="nil"/>
            </w:tcBorders>
            <w:shd w:val="clear" w:color="auto" w:fill="auto"/>
          </w:tcPr>
          <w:p w14:paraId="038CBE9E" w14:textId="1D63F7B1"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E126C1" w:rsidRPr="00251B46" w14:paraId="661881DF" w14:textId="77777777" w:rsidTr="006365EF">
        <w:trPr>
          <w:trHeight w:val="319"/>
          <w:jc w:val="center"/>
        </w:trPr>
        <w:tc>
          <w:tcPr>
            <w:tcW w:w="3239" w:type="dxa"/>
            <w:tcBorders>
              <w:top w:val="nil"/>
              <w:left w:val="nil"/>
              <w:right w:val="nil"/>
            </w:tcBorders>
            <w:shd w:val="clear" w:color="auto" w:fill="auto"/>
            <w:hideMark/>
          </w:tcPr>
          <w:p w14:paraId="5AC540B5" w14:textId="77777777"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Biogas</w:t>
            </w:r>
          </w:p>
        </w:tc>
        <w:tc>
          <w:tcPr>
            <w:tcW w:w="2534" w:type="dxa"/>
            <w:tcBorders>
              <w:top w:val="nil"/>
              <w:left w:val="nil"/>
              <w:right w:val="nil"/>
            </w:tcBorders>
            <w:shd w:val="clear" w:color="auto" w:fill="auto"/>
            <w:hideMark/>
          </w:tcPr>
          <w:p w14:paraId="5C503924" w14:textId="70C316C5" w:rsidR="00E126C1" w:rsidRPr="004A529E"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0.22 $/m</w:t>
            </w:r>
            <w:r w:rsidRPr="00C82132">
              <w:rPr>
                <w:rFonts w:ascii="Times New Roman" w:eastAsia="Times New Roman" w:hAnsi="Times New Roman" w:cs="Times New Roman"/>
                <w:vertAlign w:val="superscript"/>
                <w:lang w:val="en-MY"/>
              </w:rPr>
              <w:t>3</w:t>
            </w:r>
            <w:r w:rsidR="004A529E">
              <w:rPr>
                <w:rFonts w:ascii="Times New Roman" w:eastAsia="Times New Roman" w:hAnsi="Times New Roman" w:cs="Times New Roman"/>
                <w:lang w:val="en-MY"/>
              </w:rPr>
              <w:t>; 176 $/t</w:t>
            </w:r>
          </w:p>
        </w:tc>
        <w:tc>
          <w:tcPr>
            <w:tcW w:w="3125" w:type="dxa"/>
            <w:tcBorders>
              <w:top w:val="nil"/>
              <w:left w:val="nil"/>
              <w:right w:val="nil"/>
            </w:tcBorders>
            <w:shd w:val="clear" w:color="auto" w:fill="auto"/>
            <w:hideMark/>
          </w:tcPr>
          <w:p w14:paraId="0CAD0EAC" w14:textId="0DD14490" w:rsidR="00E126C1" w:rsidRPr="00251B46" w:rsidRDefault="00A1082D"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{"citationItems":[{"id":"ITEM-1","itemData":{"DOI":"10.1111/j.1750-3841.2009.01312.x","ISSN":"00221147","PMID":"19799663","abstract":"ABSTRACT The purpose of this study was to judge the feasibility of gasification for the disposal of waste streams generated through salmon harvesting. Gasification is the process of converting carbonaceous materials into combustible \"syngas\" in a high temperature (above 700 °C), oxygen deficient environment. Syngas can be combusted to generate power, which recycles energy from waste products. At 66% to 79% moisture, raw salmon waste streams are too wet to undergo pyrolysis and combustion. Ground raw or de-oiled salmon whole fish, heads, viscera, or frames were therefore \"dried\" by mixing with wood pellets to a final moisture content of 20%. Ground whole salmon with moisture reduced to 12% moisture was gasified without a drying agent. Gasification tests were performed in a small-scale, fixed-bed, updraft gasifer. After an initial start-up period, the gasifier was loaded with 1.5 kg of biomass. Temperature was recorded at 6 points in the gasifier. Syngas was collected during the short steady-state period during each gasifier run and analyzed. Percentages of each type of gas in the syngas were used to calculate syngas heating value. High heating value (HHV) ranged from 1.45 to 1.98 MJ/kg. Bomb calorimetry determined maximum heating value for the salmon by-products. Comparing heating values shows the efficiency of gasification. Cold gas efficiencies of 13.6% to 26% were obtained from the various samples gasified. Though research of gasification as a means of salmon waste disposal and energy production is ongoing, it can be concluded that pre-dried salmon or relatively low moisture content mixtures of waste with wood are gasifiable. © 2009 Institute of Food Technologists®.","author":[{"dropping-particle":"","family":"Rowland","given":"Sarah","non-dropping-particle":"","parse-names":false,"suffix":""},{"dropping-particle":"","family":"Bower","given":"Cynthia K.","non-dropping-particle":"","parse-names":false,"suffix":""},{"dropping-particle":"","family":"Patil","given":"Krushna N.","non-dropping-particle":"","parse-names":false,"suffix":""},{"dropping-particle":"","family":"DeWitt","given":"Christina A.Mireles","non-dropping-particle":"","parse-names":false,"suffix":""}],"container-title":"Journal of Food Science","id":"ITEM-1","issued":{"date-parts":[["2009"]]},"title":"Updraft gasification of salmon processing waste","type":"article-journal"},"uris":["http://www.mendeley.com/documents/?uuid=0439becc-0ef6-4b1d-8f30-fd12d49245ff"]}],"mendeley":{"formattedCitation":"(Rowland &lt;i&gt;et al.&lt;/i&gt;, 2009)","plainTextFormattedCitation":"(Rowland et al., 2009)","previouslyFormattedCitation":"(Rowland &lt;i&gt;et al.&lt;/i&gt;, 2009)"},"properties":{"noteIndex":0},"schema":"https://github.com/citation-style-language/schema/raw/master/csl-citation.json"}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(Rowland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2009)</w:t>
            </w:r>
            <w:r>
              <w:rPr>
                <w:rFonts w:ascii="Times New Roman" w:eastAsia="Times New Roman" w:hAnsi="Times New Roman" w:cs="Times New Roman"/>
                <w:lang w:val="en-MY"/>
              </w:rPr>
              <w:fldChar w:fldCharType="end"/>
            </w:r>
          </w:p>
        </w:tc>
      </w:tr>
      <w:tr w:rsidR="006B5612" w:rsidRPr="00251B46" w14:paraId="18EC6B7C" w14:textId="77777777" w:rsidTr="006365EF">
        <w:trPr>
          <w:trHeight w:val="319"/>
          <w:jc w:val="center"/>
        </w:trPr>
        <w:tc>
          <w:tcPr>
            <w:tcW w:w="3239" w:type="dxa"/>
            <w:tcBorders>
              <w:top w:val="nil"/>
              <w:left w:val="nil"/>
              <w:right w:val="nil"/>
            </w:tcBorders>
            <w:shd w:val="clear" w:color="auto" w:fill="auto"/>
          </w:tcPr>
          <w:p w14:paraId="7BD42694" w14:textId="417BADDF"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Syngas</w:t>
            </w:r>
          </w:p>
        </w:tc>
        <w:tc>
          <w:tcPr>
            <w:tcW w:w="2534" w:type="dxa"/>
            <w:tcBorders>
              <w:top w:val="nil"/>
              <w:left w:val="nil"/>
              <w:right w:val="nil"/>
            </w:tcBorders>
            <w:shd w:val="clear" w:color="auto" w:fill="auto"/>
          </w:tcPr>
          <w:p w14:paraId="14D8F740" w14:textId="5F284E5F" w:rsidR="006B5612" w:rsidRPr="004A529E" w:rsidRDefault="00C8213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0.10 $/m</w:t>
            </w:r>
            <w:r>
              <w:rPr>
                <w:rFonts w:ascii="Times New Roman" w:eastAsia="Times New Roman" w:hAnsi="Times New Roman" w:cs="Times New Roman"/>
                <w:vertAlign w:val="superscript"/>
                <w:lang w:val="en-MY"/>
              </w:rPr>
              <w:t>3</w:t>
            </w:r>
            <w:r w:rsidR="004A529E">
              <w:rPr>
                <w:rFonts w:ascii="Times New Roman" w:eastAsia="Times New Roman" w:hAnsi="Times New Roman" w:cs="Times New Roman"/>
                <w:vertAlign w:val="superscript"/>
                <w:lang w:val="en-MY"/>
              </w:rPr>
              <w:t xml:space="preserve"> </w:t>
            </w:r>
            <w:r w:rsidR="004A529E">
              <w:rPr>
                <w:rFonts w:ascii="Times New Roman" w:eastAsia="Times New Roman" w:hAnsi="Times New Roman" w:cs="Times New Roman"/>
                <w:lang w:val="en-MY"/>
              </w:rPr>
              <w:t>;  105 $/t</w:t>
            </w:r>
          </w:p>
        </w:tc>
        <w:tc>
          <w:tcPr>
            <w:tcW w:w="3125" w:type="dxa"/>
            <w:tcBorders>
              <w:top w:val="nil"/>
              <w:left w:val="nil"/>
              <w:right w:val="nil"/>
            </w:tcBorders>
            <w:shd w:val="clear" w:color="auto" w:fill="auto"/>
          </w:tcPr>
          <w:p w14:paraId="629212E9" w14:textId="1F221227"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E126C1" w:rsidRPr="00251B46" w14:paraId="07EFA72B" w14:textId="77777777" w:rsidTr="006365EF">
        <w:trPr>
          <w:trHeight w:val="319"/>
          <w:jc w:val="center"/>
        </w:trPr>
        <w:tc>
          <w:tcPr>
            <w:tcW w:w="3239" w:type="dxa"/>
            <w:tcBorders>
              <w:top w:val="nil"/>
              <w:left w:val="nil"/>
              <w:right w:val="nil"/>
            </w:tcBorders>
            <w:shd w:val="clear" w:color="auto" w:fill="auto"/>
            <w:hideMark/>
          </w:tcPr>
          <w:p w14:paraId="553B3A5A" w14:textId="77777777" w:rsidR="00E126C1" w:rsidRPr="00251B46" w:rsidRDefault="00E126C1"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Vegetables</w:t>
            </w:r>
          </w:p>
        </w:tc>
        <w:tc>
          <w:tcPr>
            <w:tcW w:w="2534" w:type="dxa"/>
            <w:tcBorders>
              <w:top w:val="nil"/>
              <w:left w:val="nil"/>
              <w:right w:val="nil"/>
            </w:tcBorders>
            <w:shd w:val="clear" w:color="auto" w:fill="auto"/>
            <w:hideMark/>
          </w:tcPr>
          <w:p w14:paraId="5C3A6F94" w14:textId="2275CE5A" w:rsidR="00E126C1" w:rsidRPr="00251B46" w:rsidRDefault="00555F01"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838</w:t>
            </w:r>
            <w:r w:rsidR="00E126C1" w:rsidRPr="00251B46">
              <w:rPr>
                <w:rFonts w:ascii="Times New Roman" w:eastAsia="Times New Roman" w:hAnsi="Times New Roman" w:cs="Times New Roman"/>
                <w:lang w:val="en-MY"/>
              </w:rPr>
              <w:t xml:space="preserve"> $/t</w:t>
            </w:r>
          </w:p>
        </w:tc>
        <w:tc>
          <w:tcPr>
            <w:tcW w:w="3125" w:type="dxa"/>
            <w:tcBorders>
              <w:top w:val="nil"/>
              <w:left w:val="nil"/>
              <w:right w:val="nil"/>
            </w:tcBorders>
            <w:shd w:val="clear" w:color="auto" w:fill="auto"/>
          </w:tcPr>
          <w:p w14:paraId="48D75549" w14:textId="791F1544" w:rsidR="00E126C1"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0DE33668" w14:textId="77777777" w:rsidTr="006365EF">
        <w:trPr>
          <w:trHeight w:val="319"/>
          <w:jc w:val="center"/>
        </w:trPr>
        <w:tc>
          <w:tcPr>
            <w:tcW w:w="3239" w:type="dxa"/>
            <w:tcBorders>
              <w:top w:val="nil"/>
              <w:left w:val="nil"/>
              <w:right w:val="nil"/>
            </w:tcBorders>
            <w:shd w:val="clear" w:color="auto" w:fill="auto"/>
          </w:tcPr>
          <w:p w14:paraId="46C1B408" w14:textId="08A2BD26"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Fish feed</w:t>
            </w:r>
          </w:p>
        </w:tc>
        <w:tc>
          <w:tcPr>
            <w:tcW w:w="2534" w:type="dxa"/>
            <w:tcBorders>
              <w:top w:val="nil"/>
              <w:left w:val="nil"/>
              <w:right w:val="nil"/>
            </w:tcBorders>
            <w:shd w:val="clear" w:color="auto" w:fill="auto"/>
          </w:tcPr>
          <w:p w14:paraId="102475D8" w14:textId="4FC9BA48" w:rsidR="006B5612" w:rsidRPr="00251B46" w:rsidRDefault="00C8213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430 S/t</w:t>
            </w:r>
          </w:p>
        </w:tc>
        <w:tc>
          <w:tcPr>
            <w:tcW w:w="3125" w:type="dxa"/>
            <w:tcBorders>
              <w:top w:val="nil"/>
              <w:left w:val="nil"/>
              <w:right w:val="nil"/>
            </w:tcBorders>
            <w:shd w:val="clear" w:color="auto" w:fill="auto"/>
          </w:tcPr>
          <w:p w14:paraId="61C99843" w14:textId="387FCD43"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46D59065" w14:textId="77777777" w:rsidTr="006365EF">
        <w:trPr>
          <w:trHeight w:val="319"/>
          <w:jc w:val="center"/>
        </w:trPr>
        <w:tc>
          <w:tcPr>
            <w:tcW w:w="3239" w:type="dxa"/>
            <w:tcBorders>
              <w:top w:val="nil"/>
              <w:left w:val="nil"/>
              <w:right w:val="nil"/>
            </w:tcBorders>
            <w:shd w:val="clear" w:color="auto" w:fill="auto"/>
          </w:tcPr>
          <w:p w14:paraId="552A2D17" w14:textId="7280ADAB"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Fish product</w:t>
            </w:r>
          </w:p>
        </w:tc>
        <w:tc>
          <w:tcPr>
            <w:tcW w:w="2534" w:type="dxa"/>
            <w:tcBorders>
              <w:top w:val="nil"/>
              <w:left w:val="nil"/>
              <w:right w:val="nil"/>
            </w:tcBorders>
            <w:shd w:val="clear" w:color="auto" w:fill="auto"/>
          </w:tcPr>
          <w:p w14:paraId="4E109D7A" w14:textId="72958965" w:rsidR="006B5612" w:rsidRPr="00251B46" w:rsidRDefault="00555F01"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2479 $/t</w:t>
            </w:r>
          </w:p>
        </w:tc>
        <w:tc>
          <w:tcPr>
            <w:tcW w:w="3125" w:type="dxa"/>
            <w:tcBorders>
              <w:top w:val="nil"/>
              <w:left w:val="nil"/>
              <w:right w:val="nil"/>
            </w:tcBorders>
            <w:shd w:val="clear" w:color="auto" w:fill="auto"/>
          </w:tcPr>
          <w:p w14:paraId="6E762E27" w14:textId="19F24B0D" w:rsidR="006B5612" w:rsidRPr="00251B46" w:rsidRDefault="005939F7"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w:t>
            </w:r>
          </w:p>
        </w:tc>
      </w:tr>
      <w:tr w:rsidR="006B5612" w:rsidRPr="00251B46" w14:paraId="4F0C5C28" w14:textId="77777777" w:rsidTr="006365EF">
        <w:trPr>
          <w:trHeight w:val="319"/>
          <w:jc w:val="center"/>
        </w:trPr>
        <w:tc>
          <w:tcPr>
            <w:tcW w:w="3239" w:type="dxa"/>
            <w:tcBorders>
              <w:top w:val="nil"/>
              <w:left w:val="nil"/>
              <w:right w:val="nil"/>
            </w:tcBorders>
            <w:shd w:val="clear" w:color="auto" w:fill="auto"/>
          </w:tcPr>
          <w:p w14:paraId="7F0A5C30" w14:textId="3C739745" w:rsidR="006B5612" w:rsidRPr="00251B46"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Electricity</w:t>
            </w:r>
          </w:p>
        </w:tc>
        <w:tc>
          <w:tcPr>
            <w:tcW w:w="2534" w:type="dxa"/>
            <w:tcBorders>
              <w:top w:val="nil"/>
              <w:left w:val="nil"/>
              <w:right w:val="nil"/>
            </w:tcBorders>
            <w:shd w:val="clear" w:color="auto" w:fill="auto"/>
          </w:tcPr>
          <w:p w14:paraId="4B7FA0B6" w14:textId="580B6E30" w:rsidR="006B5612" w:rsidRPr="00251B46" w:rsidRDefault="00C82132" w:rsidP="00427D83">
            <w:pPr>
              <w:spacing w:after="0" w:line="240" w:lineRule="auto"/>
              <w:rPr>
                <w:rFonts w:ascii="Times New Roman" w:eastAsia="Times New Roman" w:hAnsi="Times New Roman" w:cs="Times New Roman"/>
                <w:lang w:val="en-MY"/>
              </w:rPr>
            </w:pPr>
            <w:r w:rsidRPr="00251B46">
              <w:rPr>
                <w:rFonts w:ascii="Times New Roman" w:eastAsia="Times New Roman" w:hAnsi="Times New Roman" w:cs="Times New Roman"/>
                <w:lang w:val="en-MY"/>
              </w:rPr>
              <w:t>0.16 $/kWh</w:t>
            </w:r>
          </w:p>
        </w:tc>
        <w:tc>
          <w:tcPr>
            <w:tcW w:w="3125" w:type="dxa"/>
            <w:tcBorders>
              <w:top w:val="nil"/>
              <w:left w:val="nil"/>
              <w:right w:val="nil"/>
            </w:tcBorders>
            <w:shd w:val="clear" w:color="auto" w:fill="auto"/>
          </w:tcPr>
          <w:p w14:paraId="7A4548F2" w14:textId="7243CB76" w:rsidR="006B5612" w:rsidRPr="00251B46" w:rsidRDefault="00A1082D"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sidR="00D53CE8">
              <w:rPr>
                <w:rFonts w:ascii="Times New Roman" w:eastAsia="Times New Roman" w:hAnsi="Times New Roman" w:cs="Times New Roman"/>
                <w:lang w:val="en-MY"/>
              </w:rPr>
              <w:instrText>ADDIN CSL_CITATION {"citationItems":[{"id":"ITEM-1","itemData":{"DOI":"10.4155/bfs.11.114","ISSN":"17597269","abstract":"This article examines the potential of fish waste for liquid and gaseous biofuels, with focus on Norway but also some consideration of other markets. Fish production and processing wastes are a significant source of material for bioenergy production. Norway is a country of high fish production, but currently low development of the bioenergy sector due to the ample availability of hydropower. World fish consumption per capita nearly doubled over the last 45 years. The resulting increase in fish processing wastes and the expansion of the renewable energy market imply that fish processing wastes could play a part in the future of biofuels. Fish processing wastes rich in fat may be used for biodiesel, although blending with other diesels may be necessary to meet biodiesel specification standards. Fish processing wastes are also suitable for biogas production, although these materials will have to be added as a co-substrate to boost the biogas production of plants treating agricultural or municipal wastes, due to the inhibitory effects of long chain fatty acids and high protein concentrations. A sustainable use of biogas in Norway would be as fuel for vehicles, as is the preferred future utilization in neighboring Sweden. In other countries with better developed gas grids, an increasing proportion of biogas will likely be used for grid injection to replace natural gas. © Future Science Ltd.","author":[{"dropping-particle":"","family":"Ward","given":"Alastair James","non-dropping-particle":"","parse-names":false,"suffix":""},{"dropping-particle":"","family":"Løes","given":"Anne Kristin","non-dropping-particle":"","parse-names":false,"suffix":""}],"container-title":"Biofuels","id":"ITEM-1","issued":{"date-parts":[["2011"]]},"title":"The potential of fish and fish oil waste for bioenergy generation: Norway and beyond","type":"article-journal"},"uris":["http://www.mendeley.com/documents/?uuid=d6c8b329-3315-4234-b981-1129492113aa"]}],"mendeley":{"formattedCitation":"(Ward and Løes, 2011)","plainTextFormattedCitation":"(Ward and Løes, 2011)","previouslyFormattedCitation":"(Ward and Løes, 2011)"},"properties":{"noteIndex":0},"schema":"https://github.com/citation-style-language/schema/raw/master/csl-citation.json"}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(Ward and Løes, 2011)</w:t>
            </w:r>
            <w:r>
              <w:rPr>
                <w:rFonts w:ascii="Times New Roman" w:eastAsia="Times New Roman" w:hAnsi="Times New Roman" w:cs="Times New Roman"/>
                <w:lang w:val="en-MY"/>
              </w:rPr>
              <w:fldChar w:fldCharType="end"/>
            </w:r>
          </w:p>
        </w:tc>
      </w:tr>
      <w:tr w:rsidR="006B5612" w:rsidRPr="00251B46" w14:paraId="66B40772" w14:textId="77777777" w:rsidTr="006365EF">
        <w:trPr>
          <w:trHeight w:val="319"/>
          <w:jc w:val="center"/>
        </w:trPr>
        <w:tc>
          <w:tcPr>
            <w:tcW w:w="3239" w:type="dxa"/>
            <w:tcBorders>
              <w:top w:val="nil"/>
              <w:left w:val="nil"/>
              <w:right w:val="nil"/>
            </w:tcBorders>
            <w:shd w:val="clear" w:color="auto" w:fill="auto"/>
          </w:tcPr>
          <w:p w14:paraId="319D4351" w14:textId="37FF6DE4" w:rsidR="006B5612" w:rsidRDefault="006B561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Steam</w:t>
            </w:r>
          </w:p>
        </w:tc>
        <w:tc>
          <w:tcPr>
            <w:tcW w:w="2534" w:type="dxa"/>
            <w:tcBorders>
              <w:top w:val="nil"/>
              <w:left w:val="nil"/>
              <w:right w:val="nil"/>
            </w:tcBorders>
            <w:shd w:val="clear" w:color="auto" w:fill="auto"/>
          </w:tcPr>
          <w:p w14:paraId="792C4F64" w14:textId="069FE53F" w:rsidR="006B5612" w:rsidRPr="00251B46" w:rsidRDefault="00C82132"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t>9.68 $/t HPS</w:t>
            </w:r>
          </w:p>
        </w:tc>
        <w:tc>
          <w:tcPr>
            <w:tcW w:w="3125" w:type="dxa"/>
            <w:tcBorders>
              <w:top w:val="nil"/>
              <w:left w:val="nil"/>
              <w:right w:val="nil"/>
            </w:tcBorders>
            <w:shd w:val="clear" w:color="auto" w:fill="auto"/>
          </w:tcPr>
          <w:p w14:paraId="33EEAEC8" w14:textId="3E20C23F" w:rsidR="006B5612" w:rsidRPr="00251B46" w:rsidRDefault="00D53CE8"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(Saeidi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E126C1" w:rsidRPr="00251B46" w14:paraId="282D30C6" w14:textId="77777777" w:rsidTr="006365EF">
        <w:trPr>
          <w:trHeight w:val="319"/>
          <w:jc w:val="center"/>
        </w:trPr>
        <w:tc>
          <w:tcPr>
            <w:tcW w:w="3239" w:type="dxa"/>
            <w:tcBorders>
              <w:left w:val="nil"/>
              <w:bottom w:val="single" w:sz="4" w:space="0" w:color="auto"/>
              <w:right w:val="nil"/>
            </w:tcBorders>
            <w:shd w:val="clear" w:color="auto" w:fill="auto"/>
          </w:tcPr>
          <w:p w14:paraId="5DA45AD4" w14:textId="755166BB" w:rsidR="00E126C1" w:rsidRPr="00826FF6" w:rsidRDefault="00E126C1" w:rsidP="00427D83">
            <w:pPr>
              <w:spacing w:after="0" w:line="240" w:lineRule="auto"/>
              <w:rPr>
                <w:rFonts w:ascii="Times New Roman" w:eastAsia="Times New Roman" w:hAnsi="Times New Roman" w:cs="Times New Roman"/>
                <w:lang w:val="en-MY"/>
              </w:rPr>
            </w:pPr>
            <w:r w:rsidRPr="00826FF6">
              <w:rPr>
                <w:rFonts w:ascii="Times New Roman" w:eastAsia="Times New Roman" w:hAnsi="Times New Roman" w:cs="Times New Roman"/>
                <w:lang w:val="en-MY"/>
              </w:rPr>
              <w:t>Water</w:t>
            </w:r>
          </w:p>
        </w:tc>
        <w:tc>
          <w:tcPr>
            <w:tcW w:w="2534" w:type="dxa"/>
            <w:tcBorders>
              <w:left w:val="nil"/>
              <w:bottom w:val="single" w:sz="4" w:space="0" w:color="auto"/>
              <w:right w:val="nil"/>
            </w:tcBorders>
            <w:shd w:val="clear" w:color="auto" w:fill="auto"/>
          </w:tcPr>
          <w:p w14:paraId="053D6623" w14:textId="4EDEFDE2" w:rsidR="00E126C1" w:rsidRPr="00826FF6" w:rsidRDefault="00E126C1" w:rsidP="00427D83">
            <w:pPr>
              <w:spacing w:after="0" w:line="240" w:lineRule="auto"/>
              <w:rPr>
                <w:rFonts w:ascii="Times New Roman" w:eastAsia="Times New Roman" w:hAnsi="Times New Roman" w:cs="Times New Roman"/>
                <w:lang w:val="en-MY"/>
              </w:rPr>
            </w:pPr>
            <w:r w:rsidRPr="006822DC">
              <w:rPr>
                <w:rFonts w:ascii="Times New Roman" w:eastAsia="Times New Roman" w:hAnsi="Times New Roman" w:cs="Times New Roman"/>
                <w:lang w:val="en-MY"/>
              </w:rPr>
              <w:t>1,200 $/t</w:t>
            </w:r>
          </w:p>
        </w:tc>
        <w:tc>
          <w:tcPr>
            <w:tcW w:w="3125" w:type="dxa"/>
            <w:tcBorders>
              <w:left w:val="nil"/>
              <w:bottom w:val="single" w:sz="4" w:space="0" w:color="auto"/>
              <w:right w:val="nil"/>
            </w:tcBorders>
            <w:shd w:val="clear" w:color="auto" w:fill="auto"/>
          </w:tcPr>
          <w:p w14:paraId="1F840E81" w14:textId="6D24EC07" w:rsidR="00E126C1" w:rsidRPr="00826FF6" w:rsidRDefault="00A1082D" w:rsidP="00427D83">
            <w:pPr>
              <w:spacing w:after="0" w:line="240" w:lineRule="auto"/>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{"citationItems":[{"id":"ITEM-1","itemData":{"DOI":"10.1080/10454438.2017.1414009","ISSN":"15450805","abstract":"This article examined the profitability of aquaponics in the U.S. Midwest. Three sources of data were considered for the study: (1) three active aquaponics farms, (2) a university greenhouse experiment, and (3) published research. The first analysis compares the economics of aquaponics and hydroponics systems under similar operations. Results suggest that the aquaponics system requires higher investment and operating cost but has lower production of vegetables compared with the hydroponics system. However, if aquaponics vegetable production is managed as an organic production, and the produce is sold at 20% premium price, aquaponics becomes profitable. The second analysis constructed three different representative farm sizes of aquaponics production of basil and tilapia—small, medium, and large. The production of basil provides better economic returns than the fish. All farm sizes are feasible when the basil price is above $10.00 per kg. The larger farm has the best results because of lower cost of production.","author":[{"dropping-particle":"","family":"Quagrainie","given":"Kwamena K.","non-dropping-particle":"","parse-names":false,"suffix":""},{"dropping-particle":"","family":"Flores","given":"Roberto Manolio Valladão","non-dropping-particle":"","parse-names":false,"suffix":""},{"dropping-particle":"","family":"Kim","given":"Hye Ji","non-dropping-particle":"","parse-names":false,"suffix":""},{"dropping-particle":"","family":"McClain","given":"Verena","non-dropping-particle":"","parse-names":false,"suffix":""}],"container-title":"Journal of Applied Aquaculture","id":"ITEM-1","issued":{"date-parts":[["2018"]]},"title":"Economic analysis of aquaponics and hydroponics production in the U.S. Midwest","type":"article-journal"},"uris":["http://www.mendeley.com/documents/?uuid=b48b9509-cc1f-4325-a3e7-a9503c749550"]}],"mendeley":{"formattedCitation":"(Quagrainie &lt;i&gt;et al.&lt;/i&gt;, 2018)","plainTextFormattedCitation":"(Quagrainie et al., 2018)","previouslyFormattedCitation":"(Quagrainie &lt;i&gt;et al.&lt;/i&gt;, 2018)"},"properties":{"noteIndex":0},"schema":"https://github.com/citation-style-language/schema/raw/master/csl-citation.json"}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(Quagrainie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2018)</w:t>
            </w:r>
            <w:r>
              <w:rPr>
                <w:rFonts w:ascii="Times New Roman" w:eastAsia="Times New Roman" w:hAnsi="Times New Roman" w:cs="Times New Roman"/>
                <w:lang w:val="en-MY"/>
              </w:rPr>
              <w:fldChar w:fldCharType="end"/>
            </w:r>
          </w:p>
        </w:tc>
      </w:tr>
    </w:tbl>
    <w:p w14:paraId="48C18A11" w14:textId="2F1A9228" w:rsidR="0097191B" w:rsidRPr="00251B46" w:rsidRDefault="69AA9B10" w:rsidP="28F7168D">
      <w:pPr>
        <w:rPr>
          <w:rFonts w:ascii="Times New Roman" w:eastAsia="Times New Roman" w:hAnsi="Times New Roman" w:cs="Times New Roman"/>
          <w:lang w:val="en-MY"/>
        </w:rPr>
      </w:pPr>
      <w:r w:rsidRPr="28F7168D">
        <w:rPr>
          <w:rFonts w:ascii="Times New Roman" w:hAnsi="Times New Roman" w:cs="Times New Roman"/>
          <w:vertAlign w:val="superscript"/>
        </w:rPr>
        <w:t xml:space="preserve">a </w:t>
      </w:r>
      <w:r w:rsidRPr="28F7168D">
        <w:rPr>
          <w:rFonts w:ascii="Times New Roman" w:eastAsia="Times New Roman" w:hAnsi="Times New Roman" w:cs="Times New Roman"/>
          <w:lang w:val="en-MY"/>
        </w:rPr>
        <w:t>Pricing is shown in US Dollar</w:t>
      </w:r>
      <w:r w:rsidR="5838C65C" w:rsidRPr="28F7168D">
        <w:rPr>
          <w:rFonts w:ascii="Times New Roman" w:eastAsia="Times New Roman" w:hAnsi="Times New Roman" w:cs="Times New Roman"/>
          <w:lang w:val="en-MY"/>
        </w:rPr>
        <w:t>.</w:t>
      </w:r>
    </w:p>
    <w:p w14:paraId="0D004F1A" w14:textId="70063DEB" w:rsidR="0097191B" w:rsidRPr="00251B46" w:rsidRDefault="0097191B" w:rsidP="28F7168D">
      <w:pPr>
        <w:rPr>
          <w:rFonts w:ascii="Times New Roman" w:hAnsi="Times New Roman" w:cs="Times New Roman"/>
          <w:lang w:val="en-US"/>
        </w:rPr>
      </w:pPr>
    </w:p>
    <w:p w14:paraId="5FE74BC5" w14:textId="06006E03" w:rsidR="0097191B" w:rsidRPr="00251B46" w:rsidRDefault="0097191B" w:rsidP="0097191B">
      <w:pPr>
        <w:pStyle w:val="Caption"/>
        <w:keepNext/>
        <w:rPr>
          <w:rFonts w:ascii="Times New Roman" w:hAnsi="Times New Roman" w:cs="Times New Roman"/>
          <w:i w:val="0"/>
          <w:iCs w:val="0"/>
          <w:color w:val="auto"/>
          <w:sz w:val="24"/>
          <w:szCs w:val="24"/>
        </w:rPr>
      </w:pPr>
      <w:r w:rsidRPr="009026A2">
        <w:rPr>
          <w:rFonts w:ascii="Times New Roman" w:hAnsi="Times New Roman" w:cs="Times New Roman"/>
          <w:b/>
          <w:bCs/>
          <w:i w:val="0"/>
          <w:iCs w:val="0"/>
          <w:color w:val="auto"/>
          <w:sz w:val="24"/>
          <w:szCs w:val="24"/>
        </w:rPr>
        <w:t xml:space="preserve">Table </w:t>
      </w:r>
      <w:r w:rsidR="00BA41BB" w:rsidRPr="009026A2">
        <w:rPr>
          <w:rFonts w:ascii="Times New Roman" w:hAnsi="Times New Roman" w:cs="Times New Roman"/>
          <w:b/>
          <w:bCs/>
          <w:i w:val="0"/>
          <w:iCs w:val="0"/>
          <w:color w:val="auto"/>
          <w:sz w:val="24"/>
          <w:szCs w:val="24"/>
        </w:rPr>
        <w:t>S</w:t>
      </w:r>
      <w:r w:rsidRPr="009026A2">
        <w:rPr>
          <w:rFonts w:ascii="Times New Roman" w:hAnsi="Times New Roman" w:cs="Times New Roman"/>
          <w:b/>
          <w:bCs/>
          <w:i w:val="0"/>
          <w:iCs w:val="0"/>
          <w:color w:val="auto"/>
          <w:sz w:val="24"/>
          <w:szCs w:val="24"/>
        </w:rPr>
        <w:fldChar w:fldCharType="begin"/>
      </w:r>
      <w:r w:rsidRPr="009026A2">
        <w:rPr>
          <w:rFonts w:ascii="Times New Roman" w:hAnsi="Times New Roman" w:cs="Times New Roman"/>
          <w:b/>
          <w:bCs/>
          <w:i w:val="0"/>
          <w:iCs w:val="0"/>
          <w:color w:val="auto"/>
          <w:sz w:val="24"/>
          <w:szCs w:val="24"/>
        </w:rPr>
        <w:instrText xml:space="preserve"> SEQ Table \* ARABIC </w:instrText>
      </w:r>
      <w:r w:rsidRPr="009026A2">
        <w:rPr>
          <w:rFonts w:ascii="Times New Roman" w:hAnsi="Times New Roman" w:cs="Times New Roman"/>
          <w:b/>
          <w:bCs/>
          <w:i w:val="0"/>
          <w:iCs w:val="0"/>
          <w:color w:val="auto"/>
          <w:sz w:val="24"/>
          <w:szCs w:val="24"/>
        </w:rPr>
        <w:fldChar w:fldCharType="separate"/>
      </w:r>
      <w:r w:rsidRPr="009026A2">
        <w:rPr>
          <w:rFonts w:ascii="Times New Roman" w:hAnsi="Times New Roman" w:cs="Times New Roman"/>
          <w:b/>
          <w:bCs/>
          <w:i w:val="0"/>
          <w:iCs w:val="0"/>
          <w:noProof/>
          <w:color w:val="auto"/>
          <w:sz w:val="24"/>
          <w:szCs w:val="24"/>
        </w:rPr>
        <w:t>4</w:t>
      </w:r>
      <w:r w:rsidRPr="009026A2">
        <w:rPr>
          <w:rFonts w:ascii="Times New Roman" w:hAnsi="Times New Roman" w:cs="Times New Roman"/>
          <w:b/>
          <w:bCs/>
          <w:i w:val="0"/>
          <w:iCs w:val="0"/>
          <w:color w:val="auto"/>
          <w:sz w:val="24"/>
          <w:szCs w:val="24"/>
        </w:rPr>
        <w:fldChar w:fldCharType="end"/>
      </w:r>
      <w:r w:rsidRPr="009026A2">
        <w:rPr>
          <w:rFonts w:ascii="Times New Roman" w:hAnsi="Times New Roman" w:cs="Times New Roman"/>
          <w:b/>
          <w:bCs/>
          <w:i w:val="0"/>
          <w:iCs w:val="0"/>
          <w:color w:val="auto"/>
          <w:sz w:val="24"/>
          <w:szCs w:val="24"/>
        </w:rPr>
        <w:t>:</w:t>
      </w:r>
      <w:r w:rsidRPr="009026A2">
        <w:rPr>
          <w:rFonts w:ascii="Times New Roman" w:hAnsi="Times New Roman" w:cs="Times New Roman"/>
          <w:i w:val="0"/>
          <w:iCs w:val="0"/>
          <w:color w:val="auto"/>
          <w:sz w:val="24"/>
          <w:szCs w:val="24"/>
        </w:rPr>
        <w:t xml:space="preserve"> CO</w:t>
      </w:r>
      <w:r w:rsidRPr="009026A2">
        <w:rPr>
          <w:rFonts w:ascii="Times New Roman" w:hAnsi="Times New Roman" w:cs="Times New Roman"/>
          <w:i w:val="0"/>
          <w:iCs w:val="0"/>
          <w:color w:val="auto"/>
          <w:sz w:val="24"/>
          <w:szCs w:val="24"/>
          <w:vertAlign w:val="subscript"/>
        </w:rPr>
        <w:t>2</w:t>
      </w:r>
      <w:r w:rsidRPr="009026A2">
        <w:rPr>
          <w:rFonts w:ascii="Times New Roman" w:hAnsi="Times New Roman" w:cs="Times New Roman"/>
          <w:i w:val="0"/>
          <w:iCs w:val="0"/>
          <w:color w:val="auto"/>
          <w:sz w:val="24"/>
          <w:szCs w:val="24"/>
        </w:rPr>
        <w:t xml:space="preserve"> emissions from FWEIP facilities</w:t>
      </w:r>
    </w:p>
    <w:tbl>
      <w:tblPr>
        <w:tblW w:w="8793" w:type="dxa"/>
        <w:tblLook w:val="04A0" w:firstRow="1" w:lastRow="0" w:firstColumn="1" w:lastColumn="0" w:noHBand="0" w:noVBand="1"/>
      </w:tblPr>
      <w:tblGrid>
        <w:gridCol w:w="3261"/>
        <w:gridCol w:w="2551"/>
        <w:gridCol w:w="2981"/>
      </w:tblGrid>
      <w:tr w:rsidR="00251B46" w:rsidRPr="00251B46" w14:paraId="77DA08AC" w14:textId="77777777" w:rsidTr="006365EF">
        <w:trPr>
          <w:trHeight w:val="740"/>
        </w:trPr>
        <w:tc>
          <w:tcPr>
            <w:tcW w:w="3261" w:type="dxa"/>
            <w:tcBorders>
              <w:top w:val="single" w:sz="8" w:space="0" w:color="auto"/>
              <w:left w:val="nil"/>
              <w:bottom w:val="single" w:sz="8" w:space="0" w:color="auto"/>
              <w:right w:val="nil"/>
            </w:tcBorders>
            <w:shd w:val="clear" w:color="auto" w:fill="auto"/>
            <w:vAlign w:val="center"/>
            <w:hideMark/>
          </w:tcPr>
          <w:p w14:paraId="4752AEAA" w14:textId="77777777" w:rsidR="0097191B" w:rsidRPr="00251B46" w:rsidRDefault="0097191B" w:rsidP="00427D83">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Facility</w:t>
            </w:r>
          </w:p>
        </w:tc>
        <w:tc>
          <w:tcPr>
            <w:tcW w:w="2551" w:type="dxa"/>
            <w:tcBorders>
              <w:top w:val="single" w:sz="8" w:space="0" w:color="auto"/>
              <w:left w:val="nil"/>
              <w:bottom w:val="single" w:sz="8" w:space="0" w:color="auto"/>
              <w:right w:val="nil"/>
            </w:tcBorders>
            <w:shd w:val="clear" w:color="auto" w:fill="auto"/>
            <w:vAlign w:val="center"/>
            <w:hideMark/>
          </w:tcPr>
          <w:p w14:paraId="4A039164" w14:textId="77777777" w:rsidR="0097191B" w:rsidRPr="00251B46" w:rsidRDefault="0097191B" w:rsidP="00427D83">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CO</w:t>
            </w:r>
            <w:r w:rsidRPr="00251B46">
              <w:rPr>
                <w:rFonts w:ascii="Times New Roman" w:eastAsia="Times New Roman" w:hAnsi="Times New Roman" w:cs="Times New Roman"/>
                <w:b/>
                <w:bCs/>
                <w:vertAlign w:val="subscript"/>
                <w:lang w:val="en-MY"/>
              </w:rPr>
              <w:t>2</w:t>
            </w:r>
            <w:r w:rsidRPr="00251B46">
              <w:rPr>
                <w:rFonts w:ascii="Times New Roman" w:eastAsia="Times New Roman" w:hAnsi="Times New Roman" w:cs="Times New Roman"/>
                <w:b/>
                <w:bCs/>
                <w:lang w:val="en-MY"/>
              </w:rPr>
              <w:t xml:space="preserve"> emission</w:t>
            </w:r>
          </w:p>
          <w:p w14:paraId="05ED76CF" w14:textId="77777777" w:rsidR="0097191B" w:rsidRPr="00251B46" w:rsidRDefault="0097191B" w:rsidP="00427D83">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(kg-CO</w:t>
            </w:r>
            <w:r w:rsidRPr="00251B46">
              <w:rPr>
                <w:rFonts w:ascii="Times New Roman" w:eastAsia="Times New Roman" w:hAnsi="Times New Roman" w:cs="Times New Roman"/>
                <w:b/>
                <w:bCs/>
                <w:vertAlign w:val="subscript"/>
                <w:lang w:val="en-MY"/>
              </w:rPr>
              <w:t>2</w:t>
            </w:r>
            <w:r w:rsidRPr="00251B46">
              <w:rPr>
                <w:rFonts w:ascii="Times New Roman" w:eastAsia="Times New Roman" w:hAnsi="Times New Roman" w:cs="Times New Roman"/>
                <w:b/>
                <w:bCs/>
                <w:lang w:val="en-MY"/>
              </w:rPr>
              <w:t>e/unit)</w:t>
            </w:r>
          </w:p>
        </w:tc>
        <w:tc>
          <w:tcPr>
            <w:tcW w:w="2981" w:type="dxa"/>
            <w:tcBorders>
              <w:top w:val="single" w:sz="8" w:space="0" w:color="auto"/>
              <w:left w:val="nil"/>
              <w:bottom w:val="single" w:sz="8" w:space="0" w:color="auto"/>
              <w:right w:val="nil"/>
            </w:tcBorders>
            <w:shd w:val="clear" w:color="auto" w:fill="auto"/>
            <w:vAlign w:val="center"/>
            <w:hideMark/>
          </w:tcPr>
          <w:p w14:paraId="01F38FA3" w14:textId="77777777" w:rsidR="0097191B" w:rsidRPr="00251B46" w:rsidRDefault="0097191B" w:rsidP="00427D83">
            <w:pPr>
              <w:spacing w:after="0" w:line="240" w:lineRule="auto"/>
              <w:jc w:val="center"/>
              <w:rPr>
                <w:rFonts w:ascii="Times New Roman" w:eastAsia="Times New Roman" w:hAnsi="Times New Roman" w:cs="Times New Roman"/>
                <w:b/>
                <w:bCs/>
                <w:lang w:val="en-MY"/>
              </w:rPr>
            </w:pPr>
            <w:r w:rsidRPr="00251B46">
              <w:rPr>
                <w:rFonts w:ascii="Times New Roman" w:eastAsia="Times New Roman" w:hAnsi="Times New Roman" w:cs="Times New Roman"/>
                <w:b/>
                <w:bCs/>
                <w:lang w:val="en-MY"/>
              </w:rPr>
              <w:t>References</w:t>
            </w:r>
          </w:p>
        </w:tc>
      </w:tr>
      <w:tr w:rsidR="006B5612" w:rsidRPr="00251B46" w14:paraId="50529474" w14:textId="77777777" w:rsidTr="006365EF">
        <w:trPr>
          <w:trHeight w:val="358"/>
        </w:trPr>
        <w:tc>
          <w:tcPr>
            <w:tcW w:w="3261" w:type="dxa"/>
            <w:tcBorders>
              <w:top w:val="single" w:sz="8" w:space="0" w:color="auto"/>
              <w:left w:val="nil"/>
              <w:right w:val="nil"/>
            </w:tcBorders>
            <w:shd w:val="clear" w:color="auto" w:fill="auto"/>
            <w:vAlign w:val="center"/>
          </w:tcPr>
          <w:p w14:paraId="3C6DD577" w14:textId="47ED25E8" w:rsidR="006B5612" w:rsidRPr="00427D83" w:rsidRDefault="006B5612" w:rsidP="00427D83">
            <w:pPr>
              <w:spacing w:after="0" w:line="240" w:lineRule="auto"/>
              <w:jc w:val="center"/>
              <w:rPr>
                <w:rFonts w:ascii="Times New Roman" w:eastAsia="Times New Roman" w:hAnsi="Times New Roman" w:cs="Times New Roman"/>
                <w:lang w:val="en-MY"/>
              </w:rPr>
            </w:pPr>
            <w:r w:rsidRPr="00427D83">
              <w:rPr>
                <w:rFonts w:ascii="Times New Roman" w:eastAsia="Times New Roman" w:hAnsi="Times New Roman" w:cs="Times New Roman"/>
                <w:lang w:val="en-MY"/>
              </w:rPr>
              <w:t xml:space="preserve">Emission </w:t>
            </w:r>
            <w:r w:rsidR="00427D83" w:rsidRPr="00427D83">
              <w:rPr>
                <w:rFonts w:ascii="Times New Roman" w:eastAsia="Times New Roman" w:hAnsi="Times New Roman" w:cs="Times New Roman"/>
                <w:lang w:val="en-MY"/>
              </w:rPr>
              <w:t xml:space="preserve">from </w:t>
            </w:r>
            <w:r w:rsidRPr="00427D83">
              <w:rPr>
                <w:rFonts w:ascii="Times New Roman" w:eastAsia="Times New Roman" w:hAnsi="Times New Roman" w:cs="Times New Roman"/>
                <w:lang w:val="en-MY"/>
              </w:rPr>
              <w:t>electricity consumption</w:t>
            </w:r>
            <w:r w:rsidR="00E41761">
              <w:rPr>
                <w:rFonts w:ascii="Times New Roman" w:eastAsia="Times New Roman" w:hAnsi="Times New Roman" w:cs="Times New Roman"/>
                <w:lang w:val="en-MY"/>
              </w:rPr>
              <w:t xml:space="preserve"> </w:t>
            </w:r>
          </w:p>
        </w:tc>
        <w:tc>
          <w:tcPr>
            <w:tcW w:w="2551" w:type="dxa"/>
            <w:tcBorders>
              <w:top w:val="single" w:sz="8" w:space="0" w:color="auto"/>
              <w:left w:val="nil"/>
              <w:right w:val="nil"/>
            </w:tcBorders>
            <w:shd w:val="clear" w:color="auto" w:fill="auto"/>
            <w:vAlign w:val="center"/>
          </w:tcPr>
          <w:p w14:paraId="5CA306DA" w14:textId="4030B4AF" w:rsidR="006B5612" w:rsidRPr="00B02C64" w:rsidRDefault="00E91007"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0.57</w:t>
            </w:r>
          </w:p>
        </w:tc>
        <w:sdt>
          <w:sdtPr>
            <w:rPr>
              <w:rFonts w:ascii="Times New Roman" w:eastAsia="Times New Roman" w:hAnsi="Times New Roman" w:cs="Times New Roman"/>
              <w:strike/>
              <w:color w:val="000000"/>
              <w:lang w:val="en-MY"/>
            </w:rPr>
            <w:tag w:val="MENDELEY_CITATION_v3_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"/>
            <w:id w:val="-321127407"/>
            <w:placeholder>
              <w:docPart w:val="DefaultPlaceholder_-1854013440"/>
            </w:placeholder>
          </w:sdtPr>
          <w:sdtContent>
            <w:tc>
              <w:tcPr>
                <w:tcW w:w="2981" w:type="dxa"/>
                <w:tcBorders>
                  <w:top w:val="single" w:sz="8" w:space="0" w:color="auto"/>
                  <w:left w:val="nil"/>
                  <w:right w:val="nil"/>
                </w:tcBorders>
                <w:shd w:val="clear" w:color="auto" w:fill="auto"/>
                <w:vAlign w:val="center"/>
              </w:tcPr>
              <w:p w14:paraId="754AC41D" w14:textId="5A29DE50" w:rsidR="006B5612" w:rsidRPr="006B5612" w:rsidRDefault="005939F7" w:rsidP="00427D83">
                <w:pPr>
                  <w:spacing w:after="0" w:line="240" w:lineRule="auto"/>
                  <w:jc w:val="center"/>
                  <w:rPr>
                    <w:rFonts w:ascii="Times New Roman" w:eastAsia="Times New Roman" w:hAnsi="Times New Roman" w:cs="Times New Roman"/>
                    <w:strike/>
                    <w:lang w:val="en-MY"/>
                  </w:rPr>
                </w:pPr>
                <w:r w:rsidRPr="005939F7">
                  <w:rPr>
                    <w:rFonts w:ascii="Times New Roman" w:eastAsia="Times New Roman" w:hAnsi="Times New Roman" w:cs="Times New Roman"/>
                    <w:color w:val="000000"/>
                    <w:lang w:val="en-MY"/>
                  </w:rPr>
                  <w:t>(World Benchmarking Alliance, 2020)</w:t>
                </w:r>
              </w:p>
            </w:tc>
          </w:sdtContent>
        </w:sdt>
      </w:tr>
      <w:tr w:rsidR="00CC409F" w:rsidRPr="00251B46" w14:paraId="0837193F" w14:textId="77777777" w:rsidTr="006365EF">
        <w:trPr>
          <w:trHeight w:val="358"/>
        </w:trPr>
        <w:tc>
          <w:tcPr>
            <w:tcW w:w="3261" w:type="dxa"/>
            <w:tcBorders>
              <w:top w:val="nil"/>
              <w:left w:val="nil"/>
              <w:right w:val="nil"/>
            </w:tcBorders>
            <w:shd w:val="clear" w:color="auto" w:fill="auto"/>
            <w:vAlign w:val="center"/>
            <w:hideMark/>
          </w:tcPr>
          <w:p w14:paraId="719DD22A" w14:textId="77777777" w:rsidR="00CC409F" w:rsidRPr="000437BF" w:rsidRDefault="00CC409F"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Gasification</w:t>
            </w:r>
          </w:p>
        </w:tc>
        <w:tc>
          <w:tcPr>
            <w:tcW w:w="2551" w:type="dxa"/>
            <w:tcBorders>
              <w:top w:val="nil"/>
              <w:left w:val="nil"/>
              <w:right w:val="nil"/>
            </w:tcBorders>
            <w:shd w:val="clear" w:color="auto" w:fill="auto"/>
            <w:vAlign w:val="center"/>
            <w:hideMark/>
          </w:tcPr>
          <w:p w14:paraId="4E948B32" w14:textId="2AD62690" w:rsidR="00CC409F" w:rsidRPr="000437BF" w:rsidRDefault="00CC409F"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45</w:t>
            </w:r>
            <w:r w:rsidR="00E41761">
              <w:rPr>
                <w:rFonts w:ascii="Times New Roman" w:eastAsia="Times New Roman" w:hAnsi="Times New Roman" w:cs="Times New Roman"/>
                <w:lang w:val="en-MY"/>
              </w:rPr>
              <w:t>.00</w:t>
            </w:r>
          </w:p>
        </w:tc>
        <w:tc>
          <w:tcPr>
            <w:tcW w:w="2981" w:type="dxa"/>
            <w:tcBorders>
              <w:top w:val="nil"/>
              <w:left w:val="nil"/>
              <w:right w:val="nil"/>
            </w:tcBorders>
            <w:shd w:val="clear" w:color="auto" w:fill="auto"/>
            <w:vAlign w:val="center"/>
            <w:hideMark/>
          </w:tcPr>
          <w:p w14:paraId="33ACD368" w14:textId="23F9DEC0" w:rsidR="00CC409F" w:rsidRPr="000437BF" w:rsidRDefault="00D53CE8"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(Saeidi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251B46" w:rsidRPr="00251B46" w14:paraId="47276D91" w14:textId="77777777" w:rsidTr="006365EF">
        <w:trPr>
          <w:trHeight w:val="358"/>
        </w:trPr>
        <w:tc>
          <w:tcPr>
            <w:tcW w:w="3261" w:type="dxa"/>
            <w:tcBorders>
              <w:left w:val="nil"/>
              <w:right w:val="nil"/>
            </w:tcBorders>
            <w:shd w:val="clear" w:color="auto" w:fill="auto"/>
            <w:vAlign w:val="center"/>
            <w:hideMark/>
          </w:tcPr>
          <w:p w14:paraId="74DE3BE2" w14:textId="77777777"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Combined Heat and Power (CHP)</w:t>
            </w:r>
          </w:p>
        </w:tc>
        <w:tc>
          <w:tcPr>
            <w:tcW w:w="2551" w:type="dxa"/>
            <w:tcBorders>
              <w:left w:val="nil"/>
              <w:right w:val="nil"/>
            </w:tcBorders>
            <w:shd w:val="clear" w:color="auto" w:fill="auto"/>
            <w:vAlign w:val="center"/>
            <w:hideMark/>
          </w:tcPr>
          <w:p w14:paraId="0CAC48E3" w14:textId="01983D95"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0.4</w:t>
            </w:r>
            <w:r w:rsidR="00E41761">
              <w:rPr>
                <w:rFonts w:ascii="Times New Roman" w:eastAsia="Times New Roman" w:hAnsi="Times New Roman" w:cs="Times New Roman"/>
                <w:lang w:val="en-MY"/>
              </w:rPr>
              <w:t>3</w:t>
            </w:r>
          </w:p>
        </w:tc>
        <w:tc>
          <w:tcPr>
            <w:tcW w:w="2981" w:type="dxa"/>
            <w:tcBorders>
              <w:left w:val="nil"/>
              <w:right w:val="nil"/>
            </w:tcBorders>
            <w:shd w:val="clear" w:color="auto" w:fill="auto"/>
            <w:vAlign w:val="center"/>
            <w:hideMark/>
          </w:tcPr>
          <w:p w14:paraId="4874E2A3" w14:textId="1A8F1488" w:rsidR="0097191B" w:rsidRPr="000437BF" w:rsidRDefault="00D53CE8"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(Saeidi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251B46" w:rsidRPr="00251B46" w14:paraId="5B33ABC0" w14:textId="77777777" w:rsidTr="006365EF">
        <w:trPr>
          <w:trHeight w:val="358"/>
        </w:trPr>
        <w:tc>
          <w:tcPr>
            <w:tcW w:w="3261" w:type="dxa"/>
            <w:tcBorders>
              <w:left w:val="nil"/>
              <w:right w:val="nil"/>
            </w:tcBorders>
            <w:shd w:val="clear" w:color="auto" w:fill="auto"/>
            <w:vAlign w:val="center"/>
            <w:hideMark/>
          </w:tcPr>
          <w:p w14:paraId="4EA33229" w14:textId="77777777"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Fischer-</w:t>
            </w:r>
            <w:proofErr w:type="spellStart"/>
            <w:r w:rsidRPr="000437BF">
              <w:rPr>
                <w:rFonts w:ascii="Times New Roman" w:eastAsia="Times New Roman" w:hAnsi="Times New Roman" w:cs="Times New Roman"/>
                <w:lang w:val="en-MY"/>
              </w:rPr>
              <w:t>Tropsch</w:t>
            </w:r>
            <w:proofErr w:type="spellEnd"/>
            <w:r w:rsidRPr="000437BF">
              <w:rPr>
                <w:rFonts w:ascii="Times New Roman" w:eastAsia="Times New Roman" w:hAnsi="Times New Roman" w:cs="Times New Roman"/>
                <w:lang w:val="en-MY"/>
              </w:rPr>
              <w:t xml:space="preserve"> Process</w:t>
            </w:r>
          </w:p>
        </w:tc>
        <w:tc>
          <w:tcPr>
            <w:tcW w:w="2551" w:type="dxa"/>
            <w:tcBorders>
              <w:left w:val="nil"/>
              <w:right w:val="nil"/>
            </w:tcBorders>
            <w:shd w:val="clear" w:color="auto" w:fill="auto"/>
            <w:vAlign w:val="center"/>
            <w:hideMark/>
          </w:tcPr>
          <w:p w14:paraId="65C82A9B" w14:textId="487F3B18"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1.7</w:t>
            </w:r>
            <w:r w:rsidR="00E41761">
              <w:rPr>
                <w:rFonts w:ascii="Times New Roman" w:eastAsia="Times New Roman" w:hAnsi="Times New Roman" w:cs="Times New Roman"/>
                <w:lang w:val="en-MY"/>
              </w:rPr>
              <w:t>0</w:t>
            </w:r>
          </w:p>
        </w:tc>
        <w:tc>
          <w:tcPr>
            <w:tcW w:w="2981" w:type="dxa"/>
            <w:tcBorders>
              <w:left w:val="nil"/>
              <w:right w:val="nil"/>
            </w:tcBorders>
            <w:shd w:val="clear" w:color="auto" w:fill="auto"/>
            <w:vAlign w:val="center"/>
            <w:hideMark/>
          </w:tcPr>
          <w:p w14:paraId="4B1762BC" w14:textId="4EC93215" w:rsidR="0097191B" w:rsidRPr="000437BF" w:rsidRDefault="00D53CE8"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{"citationItems":[{"id":"ITEM-1","itemData":{"DOI":"10.1515/ijcre-2014-0045","ISSN":"15426580","abstract":"Higherature Fischer-Tropsch (HTFT) process aims to produce lighter cuts such as gasoline and diesel. For many years there have been studies and improvements on HTFT process to make the existing reactors more efficient. Recent studies proposed new configurations such as dual-type membrane reactor and coupling configurations reactor, which improved the performances of this process. This achievement persuades us to update the existing knowledge about the available reactors for HTFT process. In this article, features and performances overview of two classes of reactors are reviewed. The first class consists of the reactors which are based on older studies, and the second one includes recent studies which are called product intensifier reactors. Finally, it is shown that the product intensifier reactors have higher CO conversions and lower selectivity of undesired by-products which results in higher production yield of gasoline. Furthermore, the place of product intensifier reactor among common reactors with regard to the influence of the process parameters on the product distribution has been estimated.","author":[{"dropping-particle":"","family":"Saeidi","given":"Samrand","non-dropping-particle":"","parse-names":false,"suffix":""},{"dropping-particle":"","family":"Amiri","given":"Masoud Talebi","non-dropping-particle":"","parse-names":false,"suffix":""},{"dropping-particle":"","family":"Amin","given":"Nor Aishah Saidina","non-dropping-particle":"","parse-names":false,"suffix":""},{"dropping-particle":"","family":"Rahimpour","given":"Mohammad Reza","non-dropping-particle":"","parse-names":false,"suffix":""}],"container-title":"International Journal of Chemical Reactor Engineering","id":"ITEM-1","issued":{"date-parts":[["2014"]]},"title":"Progress in reactors for higherature fischer-tropsch process: Determination place of intensifier reactor perspective","type":"article"},"uris":["http://www.mendeley.com/documents/?uuid=4b33442f-232c-426e-a944-2608372b1f2e"]}],"mendeley":{"formattedCitation":"(Saeidi &lt;i&gt;et al.&lt;/i&gt;, 2014)","plainTextFormattedCitation":"(Saeidi et al., 2014)","previouslyFormattedCitation":"(Saeidi &lt;i&gt;et al.&lt;/i&gt;, 2014)"},"properties":{"noteIndex":0},"schema":"https://github.com/citation-style-language/schema/raw/master/csl-citation.json"}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(Saeidi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2014)</w:t>
            </w:r>
            <w:r>
              <w:rPr>
                <w:rFonts w:ascii="Times New Roman" w:eastAsia="Times New Roman" w:hAnsi="Times New Roman" w:cs="Times New Roman"/>
                <w:lang w:val="en-MY"/>
              </w:rPr>
              <w:fldChar w:fldCharType="end"/>
            </w:r>
          </w:p>
        </w:tc>
      </w:tr>
      <w:tr w:rsidR="006B5612" w:rsidRPr="00251B46" w14:paraId="4B7D1731" w14:textId="77777777" w:rsidTr="006365EF">
        <w:trPr>
          <w:trHeight w:val="358"/>
        </w:trPr>
        <w:tc>
          <w:tcPr>
            <w:tcW w:w="3261" w:type="dxa"/>
            <w:tcBorders>
              <w:left w:val="nil"/>
              <w:right w:val="nil"/>
            </w:tcBorders>
            <w:shd w:val="clear" w:color="auto" w:fill="auto"/>
            <w:vAlign w:val="center"/>
          </w:tcPr>
          <w:p w14:paraId="03BE85C1" w14:textId="5E67ACBB" w:rsidR="006B5612" w:rsidRPr="000B565E" w:rsidRDefault="006B5612"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Hydrotreating</w:t>
            </w:r>
            <w:r w:rsidR="000B565E">
              <w:rPr>
                <w:rFonts w:ascii="Times New Roman" w:eastAsia="Times New Roman" w:hAnsi="Times New Roman" w:cs="Times New Roman"/>
                <w:lang w:val="en-MY"/>
              </w:rPr>
              <w:t xml:space="preserve"> </w:t>
            </w:r>
            <w:r w:rsidR="000B565E">
              <w:rPr>
                <w:rFonts w:ascii="Times New Roman" w:eastAsia="Times New Roman" w:hAnsi="Times New Roman" w:cs="Times New Roman"/>
                <w:vertAlign w:val="superscript"/>
                <w:lang w:val="en-MY"/>
              </w:rPr>
              <w:t>a</w:t>
            </w:r>
          </w:p>
        </w:tc>
        <w:tc>
          <w:tcPr>
            <w:tcW w:w="2551" w:type="dxa"/>
            <w:tcBorders>
              <w:left w:val="nil"/>
              <w:right w:val="nil"/>
            </w:tcBorders>
            <w:shd w:val="clear" w:color="auto" w:fill="auto"/>
            <w:vAlign w:val="center"/>
          </w:tcPr>
          <w:p w14:paraId="3F1DE679" w14:textId="5E015F56" w:rsidR="006B5612" w:rsidRPr="000437BF" w:rsidRDefault="000B565E"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t>0</w:t>
            </w:r>
          </w:p>
        </w:tc>
        <w:tc>
          <w:tcPr>
            <w:tcW w:w="2981" w:type="dxa"/>
            <w:tcBorders>
              <w:left w:val="nil"/>
              <w:right w:val="nil"/>
            </w:tcBorders>
            <w:shd w:val="clear" w:color="auto" w:fill="auto"/>
            <w:vAlign w:val="center"/>
          </w:tcPr>
          <w:p w14:paraId="791F93FC" w14:textId="2CE4FFCE" w:rsidR="006B5612" w:rsidRPr="000437BF" w:rsidRDefault="009026A2"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w:t>
            </w:r>
          </w:p>
        </w:tc>
      </w:tr>
      <w:tr w:rsidR="00251B46" w:rsidRPr="00251B46" w14:paraId="3C2A868B" w14:textId="77777777" w:rsidTr="006365EF">
        <w:trPr>
          <w:trHeight w:val="358"/>
        </w:trPr>
        <w:tc>
          <w:tcPr>
            <w:tcW w:w="3261" w:type="dxa"/>
            <w:tcBorders>
              <w:top w:val="nil"/>
              <w:left w:val="nil"/>
              <w:right w:val="nil"/>
            </w:tcBorders>
            <w:shd w:val="clear" w:color="auto" w:fill="auto"/>
            <w:vAlign w:val="center"/>
            <w:hideMark/>
          </w:tcPr>
          <w:p w14:paraId="6850BC57" w14:textId="77777777"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Anaerobic Digestion</w:t>
            </w:r>
          </w:p>
        </w:tc>
        <w:tc>
          <w:tcPr>
            <w:tcW w:w="2551" w:type="dxa"/>
            <w:tcBorders>
              <w:top w:val="nil"/>
              <w:left w:val="nil"/>
              <w:right w:val="nil"/>
            </w:tcBorders>
            <w:shd w:val="clear" w:color="auto" w:fill="auto"/>
            <w:vAlign w:val="center"/>
            <w:hideMark/>
          </w:tcPr>
          <w:p w14:paraId="7C563C67" w14:textId="540AE9E0"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21.5</w:t>
            </w:r>
            <w:r w:rsidR="00E41761">
              <w:rPr>
                <w:rFonts w:ascii="Times New Roman" w:eastAsia="Times New Roman" w:hAnsi="Times New Roman" w:cs="Times New Roman"/>
                <w:lang w:val="en-MY"/>
              </w:rPr>
              <w:t>0</w:t>
            </w:r>
          </w:p>
        </w:tc>
        <w:tc>
          <w:tcPr>
            <w:tcW w:w="2981" w:type="dxa"/>
            <w:tcBorders>
              <w:top w:val="nil"/>
              <w:left w:val="nil"/>
              <w:right w:val="nil"/>
            </w:tcBorders>
            <w:shd w:val="clear" w:color="auto" w:fill="auto"/>
            <w:vAlign w:val="center"/>
            <w:hideMark/>
          </w:tcPr>
          <w:p w14:paraId="135843B7" w14:textId="30BE47EC" w:rsidR="0097191B" w:rsidRPr="000437BF" w:rsidRDefault="00A1082D"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{"citationItems":[{"id":"ITEM-1","itemData":{"DOI":"10.1016/j.renene.2019.08.140","ISSN":"18790682","abstract":"The use of industrial fish processing waste as the only substrate to produce biogas may be an efficient procedure due to its characteristic lipid content. The relationship between the microbial community and the biogas/methane production was evaluated during the anaerobic digestion at 35 °C of two waste types derived from the fish processing industry. The experiments showed that fish waste (FW) and fish crude oil waste (FCOW) produced methane at 540.5 CH4 mL gVS−1 and 426.3 CH4 mL gVS− 1, respectively. Clostridia, Synergistia were the predominant bacterial classes and the Methanomicrobia archeal class at the end of the anaerobic digestion in both substrates. The fungal community was similar in both treatments. The fungal diversity included orders of the Ascomycota phylum: Eurotiales, Sordariales, Saccharomycetales, Sporidiales, Capnodiales and Microascales. Representatives of Basidiomycota included Wallemiales and Tremellales. This research demonstrated that industrial fish processing waste can be efficiently converted to methane in a mono-digestion process.","author":[{"dropping-particle":"","family":"Bücker","given":"Francielle","non-dropping-particle":"","parse-names":false,"suffix":""},{"dropping-particle":"","family":"Marder","given":"Munique","non-dropping-particle":"","parse-names":false,"suffix":""},{"dropping-particle":"","family":"Peiter","given":"Marina Regina","non-dropping-particle":"","parse-names":false,"suffix":""},{"dropping-particle":"","family":"Lehn","given":"Daniel Neutzling","non-dropping-particle":"","parse-names":false,"suffix":""},{"dropping-particle":"","family":"Esquerdo","given":"Vanessa Mendonça","non-dropping-particle":"","parse-names":false,"suffix":""},{"dropping-particle":"","family":"Antonio de Almeida Pinto","given":"Luiz","non-dropping-particle":"","parse-names":false,"suffix":""},{"dropping-particle":"","family":"Konrad","given":"Odorico","non-dropping-particle":"","parse-names":false,"suffix":""}],"container-title":"Renewable Energy","id":"ITEM-1","issued":{"date-parts":[["2020"]]},"title":"Fish waste: An efficient alternative to biogas and methane production in an anaerobic mono-digestion system","type":"article-journal"},"uris":["http://www.mendeley.com/documents/?uuid=c7b11580-a3c1-4249-9e16-364de088e2d8"]}],"mendeley":{"formattedCitation":"(Bücker &lt;i&gt;et al.&lt;/i&gt;, 2020)","plainTextFormattedCitation":"(Bücker et al., 2020)","previouslyFormattedCitation":"(Bücker &lt;i&gt;et al.&lt;/i&gt;, 2020)"},"properties":{"noteIndex":0},"schema":"https://github.com/citation-style-language/schema/raw/master/csl-citation.json"}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(Bücker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2020)</w:t>
            </w:r>
            <w:r>
              <w:rPr>
                <w:rFonts w:ascii="Times New Roman" w:eastAsia="Times New Roman" w:hAnsi="Times New Roman" w:cs="Times New Roman"/>
                <w:lang w:val="en-MY"/>
              </w:rPr>
              <w:fldChar w:fldCharType="end"/>
            </w:r>
          </w:p>
        </w:tc>
      </w:tr>
      <w:tr w:rsidR="00251B46" w:rsidRPr="00251B46" w14:paraId="08AAFC79" w14:textId="77777777" w:rsidTr="006365EF">
        <w:trPr>
          <w:trHeight w:val="358"/>
        </w:trPr>
        <w:tc>
          <w:tcPr>
            <w:tcW w:w="3261" w:type="dxa"/>
            <w:tcBorders>
              <w:top w:val="nil"/>
              <w:left w:val="nil"/>
              <w:right w:val="nil"/>
            </w:tcBorders>
            <w:shd w:val="clear" w:color="auto" w:fill="auto"/>
            <w:vAlign w:val="center"/>
            <w:hideMark/>
          </w:tcPr>
          <w:p w14:paraId="46784BC7" w14:textId="77777777"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BSF facility</w:t>
            </w:r>
          </w:p>
        </w:tc>
        <w:tc>
          <w:tcPr>
            <w:tcW w:w="2551" w:type="dxa"/>
            <w:tcBorders>
              <w:top w:val="nil"/>
              <w:left w:val="nil"/>
              <w:right w:val="nil"/>
            </w:tcBorders>
            <w:shd w:val="clear" w:color="auto" w:fill="auto"/>
            <w:vAlign w:val="center"/>
            <w:hideMark/>
          </w:tcPr>
          <w:p w14:paraId="0FFFDD80" w14:textId="41BB19BB"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182</w:t>
            </w:r>
            <w:r w:rsidR="00E41761">
              <w:rPr>
                <w:rFonts w:ascii="Times New Roman" w:eastAsia="Times New Roman" w:hAnsi="Times New Roman" w:cs="Times New Roman"/>
                <w:lang w:val="en-MY"/>
              </w:rPr>
              <w:t>.00</w:t>
            </w:r>
          </w:p>
        </w:tc>
        <w:tc>
          <w:tcPr>
            <w:tcW w:w="2981" w:type="dxa"/>
            <w:tcBorders>
              <w:top w:val="nil"/>
              <w:left w:val="nil"/>
              <w:right w:val="nil"/>
            </w:tcBorders>
            <w:shd w:val="clear" w:color="auto" w:fill="auto"/>
            <w:vAlign w:val="center"/>
            <w:hideMark/>
          </w:tcPr>
          <w:p w14:paraId="65E1208F" w14:textId="43600F22" w:rsidR="0097191B" w:rsidRPr="000437BF" w:rsidRDefault="00A1082D"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{"citationItems":[{"id":"ITEM-1","itemData":{"DOI":"10.1016/j.jafr.2021.100153","ISSN":"26661543","abstract":"Promoting black soldier fly (BSF) rearing in Benin to replace fishmeal in fish diet could reduce fish production costs. This study aims to set up a breeding technique of BSF as a protein source. BSF reproduction has been carried out in sunlight. Two densities (8500 individuals/m3 and 10,500 individuals/m3) associated with 2 attractants (soybean and pineapple waste) were tested on imago egg-laying. A larvarium with a prepupae self-harvesting system was designed and its efficiency was evaluated by testing 3 densities of larval rearing (1 larva/g, 2 larva/g, 3 larva/g). Two diets, VGD (soybean meal ​+ ​euphorbia leaves and seeds ​+ ​colza oil) and FOD (soybean meal ​+ ​fish offal) were formulated to optimize polyunsaturated fatty acid profile of prepupae to meet nutritional requirements of tilapia. Best oviposition was obtained with 8500 individuals/m3 with pineapple waste and optimal larval load density was 2 larva/g. Prepupae fed with VGD accumulated C18:2n-6 (10.1%) which is essential for tilapia. Prepupae fed with FOD contained C20:5n-3 (2.20%), a fatty acid beneficial to humans. The lowest production cost of BSF meal was estimated at $1.84/Kg and was obtained with the FOD diet. BSF can easily be reared under local conditions throughout the year. Its nutritional qualities are very interesting to meet Nile tilapia requirements.","author":[{"dropping-particle":"","family":"Gougbedji","given":"Armel","non-dropping-particle":"","parse-names":false,"suffix":""},{"dropping-particle":"","family":"Agbohessou","given":"Pamphile","non-dropping-particle":"","parse-names":false,"suffix":""},{"dropping-particle":"","family":"Lalèyè","given":"Philippe A.","non-dropping-particle":"","parse-names":false,"suffix":""},{"dropping-particle":"","family":"Francis","given":"Frédéric","non-dropping-particle":"","parse-names":false,"suffix":""},{"dropping-particle":"","family":"Caparros Megido","given":"Rudy","non-dropping-particle":"","parse-names":false,"suffix":""}],"container-title":"Journal of Agriculture and Food Research","id":"ITEM-1","issued":{"date-parts":[["2021"]]},"title":"Technical basis for the small-scale production of black soldier fly, Hermetia illucens (L. 1758), meal as fish feed in Benin","type":"article-journal"},"uris":["http://www.mendeley.com/documents/?uuid=9e6f73f5-22b1-40d7-aee2-3d57c5172492"]}],"mendeley":{"formattedCitation":"(Gougbedji &lt;i&gt;et al.&lt;/i&gt;, 2021)","plainTextFormattedCitation":"(Gougbedji et al., 2021)","previouslyFormattedCitation":"(Gougbedji &lt;i&gt;et al.&lt;/i&gt;, 2021)"},"properties":{"noteIndex":0},"schema":"https://github.com/citation-style-language/schema/raw/master/csl-citation.json"}</w:instrText>
            </w:r>
            <w:r>
              <w:rPr>
                <w:rFonts w:ascii="Times New Roman" w:eastAsia="Times New Roman" w:hAnsi="Times New Roman" w:cs="Times New Roman"/>
                <w:lang w:val="en-MY"/>
              </w:rPr>
              <w:fldChar w:fldCharType="separate"/>
            </w:r>
            <w:r w:rsidRPr="00A1082D">
              <w:rPr>
                <w:rFonts w:ascii="Times New Roman" w:eastAsia="Times New Roman" w:hAnsi="Times New Roman" w:cs="Times New Roman"/>
                <w:noProof/>
                <w:lang w:val="en-MY"/>
              </w:rPr>
              <w:t xml:space="preserve">(Gougbedji </w:t>
            </w:r>
            <w:r w:rsidRPr="00A1082D">
              <w:rPr>
                <w:rFonts w:ascii="Times New Roman" w:eastAsia="Times New Roman" w:hAnsi="Times New Roman" w:cs="Times New Roman"/>
                <w:i/>
                <w:noProof/>
                <w:lang w:val="en-MY"/>
              </w:rPr>
              <w:t>et al.</w:t>
            </w:r>
            <w:r w:rsidRPr="00A1082D">
              <w:rPr>
                <w:rFonts w:ascii="Times New Roman" w:eastAsia="Times New Roman" w:hAnsi="Times New Roman" w:cs="Times New Roman"/>
                <w:noProof/>
                <w:lang w:val="en-MY"/>
              </w:rPr>
              <w:t>, 2021)</w:t>
            </w:r>
            <w:r>
              <w:rPr>
                <w:rFonts w:ascii="Times New Roman" w:eastAsia="Times New Roman" w:hAnsi="Times New Roman" w:cs="Times New Roman"/>
                <w:lang w:val="en-MY"/>
              </w:rPr>
              <w:fldChar w:fldCharType="end"/>
            </w:r>
          </w:p>
        </w:tc>
      </w:tr>
      <w:tr w:rsidR="00251B46" w:rsidRPr="00251B46" w14:paraId="6AC60274" w14:textId="77777777" w:rsidTr="00427D83">
        <w:trPr>
          <w:trHeight w:val="358"/>
        </w:trPr>
        <w:tc>
          <w:tcPr>
            <w:tcW w:w="3261" w:type="dxa"/>
            <w:tcBorders>
              <w:top w:val="nil"/>
              <w:left w:val="nil"/>
              <w:bottom w:val="single" w:sz="8" w:space="0" w:color="auto"/>
              <w:right w:val="nil"/>
            </w:tcBorders>
            <w:shd w:val="clear" w:color="auto" w:fill="auto"/>
            <w:vAlign w:val="center"/>
            <w:hideMark/>
          </w:tcPr>
          <w:p w14:paraId="22A45E5D" w14:textId="77777777"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Pyrolysis</w:t>
            </w:r>
          </w:p>
        </w:tc>
        <w:tc>
          <w:tcPr>
            <w:tcW w:w="2551" w:type="dxa"/>
            <w:tcBorders>
              <w:top w:val="nil"/>
              <w:left w:val="nil"/>
              <w:bottom w:val="single" w:sz="8" w:space="0" w:color="auto"/>
              <w:right w:val="nil"/>
            </w:tcBorders>
            <w:shd w:val="clear" w:color="auto" w:fill="auto"/>
            <w:vAlign w:val="center"/>
            <w:hideMark/>
          </w:tcPr>
          <w:p w14:paraId="16C4D64D" w14:textId="41D6EF3A" w:rsidR="0097191B" w:rsidRPr="000437BF" w:rsidRDefault="0097191B" w:rsidP="00427D83">
            <w:pPr>
              <w:spacing w:after="0" w:line="240" w:lineRule="auto"/>
              <w:jc w:val="center"/>
              <w:rPr>
                <w:rFonts w:ascii="Times New Roman" w:eastAsia="Times New Roman" w:hAnsi="Times New Roman" w:cs="Times New Roman"/>
                <w:lang w:val="en-MY"/>
              </w:rPr>
            </w:pPr>
            <w:r w:rsidRPr="000437BF">
              <w:rPr>
                <w:rFonts w:ascii="Times New Roman" w:eastAsia="Times New Roman" w:hAnsi="Times New Roman" w:cs="Times New Roman"/>
                <w:lang w:val="en-MY"/>
              </w:rPr>
              <w:t>93.4</w:t>
            </w:r>
            <w:r w:rsidR="00E41761">
              <w:rPr>
                <w:rFonts w:ascii="Times New Roman" w:eastAsia="Times New Roman" w:hAnsi="Times New Roman" w:cs="Times New Roman"/>
                <w:lang w:val="en-MY"/>
              </w:rPr>
              <w:t>0</w:t>
            </w:r>
          </w:p>
        </w:tc>
        <w:tc>
          <w:tcPr>
            <w:tcW w:w="2981" w:type="dxa"/>
            <w:tcBorders>
              <w:top w:val="nil"/>
              <w:left w:val="nil"/>
              <w:bottom w:val="single" w:sz="8" w:space="0" w:color="auto"/>
              <w:right w:val="nil"/>
            </w:tcBorders>
            <w:shd w:val="clear" w:color="auto" w:fill="auto"/>
            <w:vAlign w:val="center"/>
            <w:hideMark/>
          </w:tcPr>
          <w:p w14:paraId="185E0A83" w14:textId="1E894A3C" w:rsidR="0097191B" w:rsidRPr="000437BF" w:rsidRDefault="00D53CE8" w:rsidP="00427D83">
            <w:pPr>
              <w:spacing w:after="0" w:line="240" w:lineRule="auto"/>
              <w:jc w:val="center"/>
              <w:rPr>
                <w:rFonts w:ascii="Times New Roman" w:eastAsia="Times New Roman" w:hAnsi="Times New Roman" w:cs="Times New Roman"/>
                <w:lang w:val="en-MY"/>
              </w:rPr>
            </w:pPr>
            <w:r>
              <w:rPr>
                <w:rFonts w:ascii="Times New Roman" w:eastAsia="Times New Roman" w:hAnsi="Times New Roman" w:cs="Times New Roman"/>
                <w:lang w:val="en-MY"/>
              </w:rPr>
              <w:fldChar w:fldCharType="begin" w:fldLock="1"/>
            </w:r>
            <w:r>
              <w:rPr>
                <w:rFonts w:ascii="Times New Roman" w:eastAsia="Times New Roman" w:hAnsi="Times New Roman" w:cs="Times New Roman"/>
                <w:lang w:val="en-MY"/>
              </w:rPr>
              <w:instrText>ADDIN CSL_CITATION {"citationItems":[{"id":"ITEM-1","itemData":{"DOI":"10.1016/j.fuel.2010.07.029","ISSN":"00162361","abstract":"This techno-economic study examines fast pyrolysis of corn stover to bio-oil with subsequent upgrading of the bio-oil to naphtha and diesel range fuels. Two 2000 dry tonne per day scenarios are developed: the first scenario separates a fraction of the bio-oil to generate hydrogen on-site for fuel upgrading, while the second scenario relies on merchant hydrogen. The modeling effort resulted in liquid fuel production rates of 134 and 220 million liters per year for the hydrogen production and purchase scenarios, respectively. Capital costs for these plants are $287 and $200 million. Fuel product value estimates are $3.09 and $2.11 per gallon of gasoline equivalent ($0.82 and $0.56 per liter). While calculated costs of this biofuel are competitive with other kinds of alternative fuels, further research is required to better determine the effect of feedstock properties and process conditions on the ultimate yield of liquid fuel from bio-oil. Pioneer plant analysis estimates capital costs to be $911 and $585 million for construction of a first-of-a-kind fast pyrolysis and upgrading biorefinery with product values of $6.55 and $3.41 per gge ($1.73 and $0.90 per liter). © 2010 Elsevier Ltd. All rights reserved.","author":[{"dropping-particle":"","family":"Wright","given":"Mark M.","non-dropping-particle":"","parse-names":false,"suffix":""},{"dropping-particle":"","family":"Daugaard","given":"Daren E.","non-dropping-particle":"","parse-names":false,"suffix":""},{"dropping-particle":"","family":"Satrio","given":"Justinus A.","non-dropping-particle":"","parse-names":false,"suffix":""},{"dropping-particle":"","family":"Brown","given":"Robert C.","non-dropping-particle":"","parse-names":false,"suffix":""}],"container-title":"Fuel","id":"ITEM-1","issued":{"date-parts":[["2010"]]},"title":"Techno-economic analysis of biomass fast pyrolysis to transportation fuels","type":"article-journal"},"uris":["http://www.mendeley.com/documents/?uuid=c8db86a3-3a54-4a70-9cb9-5a636f3abff4"]}],"mendeley":{"formattedCitation":"(Wright &lt;i&gt;et al.&lt;/i&gt;, 2010)","plainTextFormattedCitation":"(Wright et al., 2010)","previouslyFormattedCitation":"(Wright &lt;i&gt;et al.&lt;/i&gt;, 2010)"},"properties":{"noteIndex":0},"schema":"https://github.com/citation-style-language/schema/raw/master/csl-citation.json"}</w:instrText>
            </w:r>
            <w:r>
              <w:rPr>
                <w:rFonts w:ascii="Times New Roman" w:eastAsia="Times New Roman" w:hAnsi="Times New Roman" w:cs="Times New Roman"/>
                <w:lang w:val="en-MY"/>
              </w:rPr>
              <w:fldChar w:fldCharType="separate"/>
            </w:r>
            <w:r w:rsidRPr="00D53CE8">
              <w:rPr>
                <w:rFonts w:ascii="Times New Roman" w:eastAsia="Times New Roman" w:hAnsi="Times New Roman" w:cs="Times New Roman"/>
                <w:noProof/>
                <w:lang w:val="en-MY"/>
              </w:rPr>
              <w:t xml:space="preserve">(Wright </w:t>
            </w:r>
            <w:r w:rsidRPr="00D53CE8">
              <w:rPr>
                <w:rFonts w:ascii="Times New Roman" w:eastAsia="Times New Roman" w:hAnsi="Times New Roman" w:cs="Times New Roman"/>
                <w:i/>
                <w:noProof/>
                <w:lang w:val="en-MY"/>
              </w:rPr>
              <w:t>et al.</w:t>
            </w:r>
            <w:r w:rsidRPr="00D53CE8">
              <w:rPr>
                <w:rFonts w:ascii="Times New Roman" w:eastAsia="Times New Roman" w:hAnsi="Times New Roman" w:cs="Times New Roman"/>
                <w:noProof/>
                <w:lang w:val="en-MY"/>
              </w:rPr>
              <w:t>, 2010)</w:t>
            </w:r>
            <w:r>
              <w:rPr>
                <w:rFonts w:ascii="Times New Roman" w:eastAsia="Times New Roman" w:hAnsi="Times New Roman" w:cs="Times New Roman"/>
                <w:lang w:val="en-MY"/>
              </w:rPr>
              <w:fldChar w:fldCharType="end"/>
            </w:r>
          </w:p>
        </w:tc>
      </w:tr>
    </w:tbl>
    <w:p w14:paraId="103F6B21" w14:textId="031D0B8C" w:rsidR="0097191B" w:rsidRDefault="000B565E">
      <w:pPr>
        <w:rPr>
          <w:rFonts w:ascii="Times New Roman" w:eastAsia="Times New Roman" w:hAnsi="Times New Roman" w:cs="Times New Roman"/>
          <w:lang w:val="en-MY"/>
        </w:rPr>
      </w:pPr>
      <w:r>
        <w:rPr>
          <w:rFonts w:ascii="Times New Roman" w:hAnsi="Times New Roman" w:cs="Times New Roman"/>
          <w:vertAlign w:val="superscript"/>
          <w:lang w:val="en-MY"/>
        </w:rPr>
        <w:t>a</w:t>
      </w:r>
      <w:r>
        <w:rPr>
          <w:rFonts w:ascii="Times New Roman" w:hAnsi="Times New Roman" w:cs="Times New Roman"/>
          <w:lang w:val="en-MY"/>
        </w:rPr>
        <w:t xml:space="preserve"> </w:t>
      </w:r>
      <w:r w:rsidRPr="000437BF">
        <w:rPr>
          <w:rFonts w:ascii="Times New Roman" w:eastAsia="Times New Roman" w:hAnsi="Times New Roman" w:cs="Times New Roman"/>
          <w:lang w:val="en-MY"/>
        </w:rPr>
        <w:t>Assume no carbon dioxide emission, process itself does not produce CO2</w:t>
      </w:r>
      <w:r>
        <w:rPr>
          <w:rFonts w:ascii="Times New Roman" w:eastAsia="Times New Roman" w:hAnsi="Times New Roman" w:cs="Times New Roman"/>
          <w:lang w:val="en-MY"/>
        </w:rPr>
        <w:t>.</w:t>
      </w:r>
    </w:p>
    <w:p w14:paraId="0C50A77F" w14:textId="77777777" w:rsidR="000B565E" w:rsidRPr="000B565E" w:rsidRDefault="000B565E">
      <w:pPr>
        <w:rPr>
          <w:rFonts w:ascii="Times New Roman" w:hAnsi="Times New Roman" w:cs="Times New Roman"/>
          <w:lang w:val="en-MY"/>
        </w:rPr>
      </w:pPr>
    </w:p>
    <w:p w14:paraId="09465A7F" w14:textId="33706C1D" w:rsidR="003946B2" w:rsidRPr="009026A2" w:rsidRDefault="003946B2" w:rsidP="009026A2">
      <w:pPr>
        <w:pStyle w:val="Caption"/>
        <w:keepNext/>
        <w:rPr>
          <w:rFonts w:ascii="Times New Roman" w:hAnsi="Times New Roman" w:cs="Times New Roman"/>
          <w:i w:val="0"/>
          <w:iCs w:val="0"/>
          <w:color w:val="auto"/>
          <w:sz w:val="24"/>
          <w:szCs w:val="24"/>
        </w:rPr>
      </w:pPr>
      <w:r w:rsidRPr="009026A2">
        <w:rPr>
          <w:rFonts w:ascii="Times New Roman" w:hAnsi="Times New Roman" w:cs="Times New Roman"/>
          <w:b/>
          <w:bCs/>
          <w:i w:val="0"/>
          <w:iCs w:val="0"/>
          <w:color w:val="auto"/>
          <w:sz w:val="24"/>
          <w:szCs w:val="24"/>
        </w:rPr>
        <w:lastRenderedPageBreak/>
        <w:t>Table S</w:t>
      </w:r>
      <w:r w:rsidR="009026A2">
        <w:rPr>
          <w:rFonts w:ascii="Times New Roman" w:hAnsi="Times New Roman" w:cs="Times New Roman"/>
          <w:b/>
          <w:bCs/>
          <w:i w:val="0"/>
          <w:iCs w:val="0"/>
          <w:color w:val="auto"/>
          <w:sz w:val="24"/>
          <w:szCs w:val="24"/>
        </w:rPr>
        <w:t>5</w:t>
      </w:r>
      <w:r w:rsidRPr="009026A2">
        <w:rPr>
          <w:rFonts w:ascii="Times New Roman" w:hAnsi="Times New Roman" w:cs="Times New Roman"/>
          <w:b/>
          <w:bCs/>
          <w:i w:val="0"/>
          <w:iCs w:val="0"/>
          <w:color w:val="auto"/>
          <w:sz w:val="24"/>
          <w:szCs w:val="24"/>
        </w:rPr>
        <w:t>:</w:t>
      </w:r>
      <w:r w:rsidRPr="009026A2">
        <w:rPr>
          <w:rFonts w:ascii="Times New Roman" w:hAnsi="Times New Roman" w:cs="Times New Roman"/>
          <w:i w:val="0"/>
          <w:iCs w:val="0"/>
          <w:color w:val="auto"/>
          <w:sz w:val="24"/>
          <w:szCs w:val="24"/>
        </w:rPr>
        <w:t xml:space="preserve"> Scale factor of steam and electricity demand.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8"/>
        <w:gridCol w:w="2410"/>
        <w:gridCol w:w="2514"/>
        <w:gridCol w:w="2254"/>
      </w:tblGrid>
      <w:tr w:rsidR="003946B2" w:rsidRPr="009026A2" w14:paraId="7045137A" w14:textId="77777777" w:rsidTr="006365EF">
        <w:tc>
          <w:tcPr>
            <w:tcW w:w="1838" w:type="dxa"/>
            <w:tcBorders>
              <w:bottom w:val="single" w:sz="4" w:space="0" w:color="auto"/>
            </w:tcBorders>
            <w:vAlign w:val="center"/>
          </w:tcPr>
          <w:p w14:paraId="3FC2070D" w14:textId="673AC175" w:rsidR="003946B2" w:rsidRPr="009026A2" w:rsidRDefault="003946B2" w:rsidP="00221FC0">
            <w:pPr>
              <w:spacing w:before="60" w:after="60"/>
              <w:jc w:val="center"/>
              <w:rPr>
                <w:rFonts w:ascii="Times New Roman" w:hAnsi="Times New Roman" w:cs="Times New Roman"/>
                <w:b/>
                <w:bCs/>
              </w:rPr>
            </w:pPr>
            <w:r w:rsidRPr="009026A2">
              <w:rPr>
                <w:rFonts w:ascii="Times New Roman" w:hAnsi="Times New Roman" w:cs="Times New Roman"/>
                <w:b/>
                <w:bCs/>
              </w:rPr>
              <w:t>Site/Technology</w:t>
            </w:r>
          </w:p>
        </w:tc>
        <w:tc>
          <w:tcPr>
            <w:tcW w:w="2410" w:type="dxa"/>
            <w:tcBorders>
              <w:bottom w:val="single" w:sz="4" w:space="0" w:color="auto"/>
            </w:tcBorders>
            <w:vAlign w:val="center"/>
          </w:tcPr>
          <w:p w14:paraId="11956427" w14:textId="0FC25110" w:rsidR="003946B2" w:rsidRPr="009026A2" w:rsidRDefault="003946B2" w:rsidP="00221FC0">
            <w:pPr>
              <w:spacing w:before="60" w:after="60"/>
              <w:jc w:val="center"/>
              <w:rPr>
                <w:rFonts w:ascii="Times New Roman" w:hAnsi="Times New Roman" w:cs="Times New Roman"/>
                <w:b/>
                <w:bCs/>
              </w:rPr>
            </w:pPr>
            <w:r w:rsidRPr="009026A2">
              <w:rPr>
                <w:rFonts w:ascii="Times New Roman" w:hAnsi="Times New Roman" w:cs="Times New Roman"/>
                <w:b/>
                <w:bCs/>
              </w:rPr>
              <w:t>Steam, t MPS/t input</w:t>
            </w:r>
          </w:p>
        </w:tc>
        <w:tc>
          <w:tcPr>
            <w:tcW w:w="2514" w:type="dxa"/>
            <w:tcBorders>
              <w:bottom w:val="single" w:sz="4" w:space="0" w:color="auto"/>
            </w:tcBorders>
            <w:vAlign w:val="center"/>
          </w:tcPr>
          <w:p w14:paraId="2B2FEB42" w14:textId="090FE594" w:rsidR="003946B2" w:rsidRPr="009026A2" w:rsidRDefault="003946B2" w:rsidP="00221FC0">
            <w:pPr>
              <w:spacing w:before="60" w:after="60"/>
              <w:jc w:val="center"/>
              <w:rPr>
                <w:rFonts w:ascii="Times New Roman" w:hAnsi="Times New Roman" w:cs="Times New Roman"/>
                <w:b/>
                <w:bCs/>
              </w:rPr>
            </w:pPr>
            <w:r w:rsidRPr="009026A2">
              <w:rPr>
                <w:rFonts w:ascii="Times New Roman" w:hAnsi="Times New Roman" w:cs="Times New Roman"/>
                <w:b/>
                <w:bCs/>
              </w:rPr>
              <w:t>Electricity, kWh/t input</w:t>
            </w:r>
          </w:p>
        </w:tc>
        <w:tc>
          <w:tcPr>
            <w:tcW w:w="2254" w:type="dxa"/>
            <w:tcBorders>
              <w:bottom w:val="single" w:sz="4" w:space="0" w:color="auto"/>
            </w:tcBorders>
            <w:vAlign w:val="center"/>
          </w:tcPr>
          <w:p w14:paraId="68611A91" w14:textId="273389D5" w:rsidR="003946B2" w:rsidRPr="009026A2" w:rsidRDefault="003946B2" w:rsidP="00221FC0">
            <w:pPr>
              <w:spacing w:before="60" w:after="60"/>
              <w:jc w:val="center"/>
              <w:rPr>
                <w:rFonts w:ascii="Times New Roman" w:hAnsi="Times New Roman" w:cs="Times New Roman"/>
                <w:b/>
                <w:bCs/>
              </w:rPr>
            </w:pPr>
            <w:r w:rsidRPr="009026A2">
              <w:rPr>
                <w:rFonts w:ascii="Times New Roman" w:hAnsi="Times New Roman" w:cs="Times New Roman"/>
                <w:b/>
                <w:bCs/>
              </w:rPr>
              <w:t>Ref.</w:t>
            </w:r>
          </w:p>
        </w:tc>
      </w:tr>
      <w:tr w:rsidR="000B565E" w:rsidRPr="009026A2" w14:paraId="602B7439" w14:textId="77777777" w:rsidTr="006365EF">
        <w:tc>
          <w:tcPr>
            <w:tcW w:w="1838" w:type="dxa"/>
            <w:tcBorders>
              <w:bottom w:val="nil"/>
            </w:tcBorders>
            <w:vAlign w:val="center"/>
          </w:tcPr>
          <w:p w14:paraId="25091141" w14:textId="1FC011AC"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Fish tank</w:t>
            </w:r>
          </w:p>
        </w:tc>
        <w:tc>
          <w:tcPr>
            <w:tcW w:w="2410" w:type="dxa"/>
            <w:tcBorders>
              <w:bottom w:val="nil"/>
            </w:tcBorders>
            <w:vAlign w:val="center"/>
          </w:tcPr>
          <w:p w14:paraId="67E7ADAC" w14:textId="19C32100"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bottom w:val="nil"/>
            </w:tcBorders>
            <w:vAlign w:val="center"/>
          </w:tcPr>
          <w:p w14:paraId="3DFE8F21" w14:textId="18FAB4FB"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122</w:t>
            </w:r>
            <w:r>
              <w:rPr>
                <w:rFonts w:ascii="Times New Roman" w:hAnsi="Times New Roman" w:cs="Times New Roman"/>
              </w:rPr>
              <w:t>.00</w:t>
            </w:r>
            <w:r w:rsidRPr="009026A2">
              <w:rPr>
                <w:rFonts w:ascii="Times New Roman" w:hAnsi="Times New Roman" w:cs="Times New Roman"/>
              </w:rPr>
              <w:t xml:space="preserve"> </w:t>
            </w:r>
          </w:p>
        </w:tc>
        <w:sdt>
          <w:sdtPr>
            <w:rPr>
              <w:rFonts w:ascii="Times New Roman" w:hAnsi="Times New Roman" w:cs="Times New Roman"/>
              <w:color w:val="000000"/>
            </w:rPr>
            <w:tag w:val="MENDELEY_CITATION_v3_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"/>
            <w:id w:val="-1119227386"/>
            <w:placeholder>
              <w:docPart w:val="DefaultPlaceholder_-1854013440"/>
            </w:placeholder>
          </w:sdtPr>
          <w:sdtContent>
            <w:tc>
              <w:tcPr>
                <w:tcW w:w="2254" w:type="dxa"/>
                <w:vMerge w:val="restart"/>
                <w:tcBorders>
                  <w:bottom w:val="nil"/>
                </w:tcBorders>
                <w:vAlign w:val="center"/>
              </w:tcPr>
              <w:p w14:paraId="69C5B130" w14:textId="4C3442BE" w:rsidR="000B565E" w:rsidRPr="009026A2" w:rsidRDefault="005939F7" w:rsidP="00221FC0">
                <w:pPr>
                  <w:spacing w:before="60" w:after="60"/>
                  <w:jc w:val="center"/>
                  <w:rPr>
                    <w:rFonts w:ascii="Times New Roman" w:hAnsi="Times New Roman" w:cs="Times New Roman"/>
                  </w:rPr>
                </w:pPr>
                <w:r w:rsidRPr="005939F7">
                  <w:rPr>
                    <w:rFonts w:ascii="Times New Roman" w:hAnsi="Times New Roman" w:cs="Times New Roman"/>
                    <w:color w:val="000000"/>
                  </w:rPr>
                  <w:t>(Love et al., 2015)</w:t>
                </w:r>
              </w:p>
            </w:tc>
          </w:sdtContent>
        </w:sdt>
      </w:tr>
      <w:tr w:rsidR="000B565E" w:rsidRPr="009026A2" w14:paraId="1B1F22C5" w14:textId="77777777" w:rsidTr="006365EF">
        <w:tc>
          <w:tcPr>
            <w:tcW w:w="1838" w:type="dxa"/>
            <w:tcBorders>
              <w:top w:val="nil"/>
              <w:bottom w:val="nil"/>
            </w:tcBorders>
            <w:vAlign w:val="center"/>
          </w:tcPr>
          <w:p w14:paraId="7E169D39" w14:textId="4B69DCB0"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Vege tank</w:t>
            </w:r>
          </w:p>
        </w:tc>
        <w:tc>
          <w:tcPr>
            <w:tcW w:w="2410" w:type="dxa"/>
            <w:tcBorders>
              <w:top w:val="nil"/>
              <w:bottom w:val="nil"/>
            </w:tcBorders>
            <w:vAlign w:val="center"/>
          </w:tcPr>
          <w:p w14:paraId="449A90D6" w14:textId="6DD5C275"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78B348C4" w14:textId="529E44C1" w:rsidR="000B565E" w:rsidRPr="009026A2" w:rsidRDefault="000B565E" w:rsidP="00221FC0">
            <w:pPr>
              <w:spacing w:before="60" w:after="60"/>
              <w:jc w:val="center"/>
              <w:rPr>
                <w:rFonts w:ascii="Times New Roman" w:hAnsi="Times New Roman" w:cs="Times New Roman"/>
              </w:rPr>
            </w:pPr>
            <w:r w:rsidRPr="009026A2">
              <w:rPr>
                <w:rFonts w:ascii="Times New Roman" w:hAnsi="Times New Roman" w:cs="Times New Roman"/>
              </w:rPr>
              <w:t>112</w:t>
            </w:r>
            <w:r>
              <w:rPr>
                <w:rFonts w:ascii="Times New Roman" w:hAnsi="Times New Roman" w:cs="Times New Roman"/>
              </w:rPr>
              <w:t>.00</w:t>
            </w:r>
            <w:r w:rsidRPr="009026A2">
              <w:rPr>
                <w:rFonts w:ascii="Times New Roman" w:hAnsi="Times New Roman" w:cs="Times New Roman"/>
              </w:rPr>
              <w:t xml:space="preserve"> </w:t>
            </w:r>
          </w:p>
        </w:tc>
        <w:tc>
          <w:tcPr>
            <w:tcW w:w="2254" w:type="dxa"/>
            <w:vMerge/>
            <w:tcBorders>
              <w:top w:val="nil"/>
              <w:bottom w:val="nil"/>
            </w:tcBorders>
            <w:vAlign w:val="center"/>
          </w:tcPr>
          <w:p w14:paraId="10FB7E0B" w14:textId="77777777" w:rsidR="000B565E" w:rsidRPr="009026A2" w:rsidRDefault="000B565E" w:rsidP="00221FC0">
            <w:pPr>
              <w:spacing w:before="60" w:after="60"/>
              <w:jc w:val="center"/>
              <w:rPr>
                <w:rFonts w:ascii="Times New Roman" w:hAnsi="Times New Roman" w:cs="Times New Roman"/>
              </w:rPr>
            </w:pPr>
          </w:p>
        </w:tc>
      </w:tr>
      <w:tr w:rsidR="003946B2" w:rsidRPr="009026A2" w14:paraId="631A73E8" w14:textId="77777777" w:rsidTr="006365EF">
        <w:tc>
          <w:tcPr>
            <w:tcW w:w="1838" w:type="dxa"/>
            <w:tcBorders>
              <w:top w:val="nil"/>
              <w:bottom w:val="nil"/>
            </w:tcBorders>
            <w:vAlign w:val="center"/>
          </w:tcPr>
          <w:p w14:paraId="1485B0F1" w14:textId="4CCC90CD"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Fish processing plant</w:t>
            </w:r>
          </w:p>
        </w:tc>
        <w:tc>
          <w:tcPr>
            <w:tcW w:w="2410" w:type="dxa"/>
            <w:tcBorders>
              <w:top w:val="nil"/>
              <w:bottom w:val="nil"/>
            </w:tcBorders>
            <w:vAlign w:val="center"/>
          </w:tcPr>
          <w:p w14:paraId="67E1CB11" w14:textId="3C91EAF4"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5C3829E2" w14:textId="24A5A969" w:rsidR="003946B2" w:rsidRPr="009026A2" w:rsidRDefault="00A76F1E" w:rsidP="00221FC0">
            <w:pPr>
              <w:spacing w:before="60" w:after="60"/>
              <w:jc w:val="center"/>
              <w:rPr>
                <w:rFonts w:ascii="Times New Roman" w:hAnsi="Times New Roman" w:cs="Times New Roman"/>
              </w:rPr>
            </w:pPr>
            <w:r w:rsidRPr="009026A2">
              <w:rPr>
                <w:rFonts w:ascii="Times New Roman" w:hAnsi="Times New Roman" w:cs="Times New Roman"/>
              </w:rPr>
              <w:t>87</w:t>
            </w:r>
            <w:r w:rsidR="000B565E">
              <w:rPr>
                <w:rFonts w:ascii="Times New Roman" w:hAnsi="Times New Roman" w:cs="Times New Roman"/>
              </w:rPr>
              <w:t>.00</w:t>
            </w:r>
            <w:r w:rsidRPr="009026A2">
              <w:rPr>
                <w:rFonts w:ascii="Times New Roman" w:hAnsi="Times New Roman" w:cs="Times New Roman"/>
              </w:rPr>
              <w:t xml:space="preserve"> </w:t>
            </w:r>
          </w:p>
        </w:tc>
        <w:sdt>
          <w:sdtPr>
            <w:rPr>
              <w:rFonts w:ascii="Times New Roman" w:hAnsi="Times New Roman" w:cs="Times New Roman"/>
              <w:color w:val="000000"/>
            </w:rPr>
            <w:tag w:val="MENDELEY_CITATION_v3_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"/>
            <w:id w:val="-200176570"/>
            <w:placeholder>
              <w:docPart w:val="DefaultPlaceholder_-1854013440"/>
            </w:placeholder>
          </w:sdtPr>
          <w:sdtContent>
            <w:tc>
              <w:tcPr>
                <w:tcW w:w="2254" w:type="dxa"/>
                <w:tcBorders>
                  <w:top w:val="nil"/>
                  <w:bottom w:val="nil"/>
                </w:tcBorders>
                <w:vAlign w:val="center"/>
              </w:tcPr>
              <w:p w14:paraId="71ABB3B7" w14:textId="120BC80F" w:rsidR="003946B2" w:rsidRPr="009026A2" w:rsidRDefault="005939F7" w:rsidP="00221FC0">
                <w:pPr>
                  <w:spacing w:before="60" w:after="60"/>
                  <w:jc w:val="center"/>
                  <w:rPr>
                    <w:rFonts w:ascii="Times New Roman" w:hAnsi="Times New Roman" w:cs="Times New Roman"/>
                  </w:rPr>
                </w:pPr>
                <w:r w:rsidRPr="005939F7">
                  <w:rPr>
                    <w:rFonts w:ascii="Times New Roman" w:hAnsi="Times New Roman" w:cs="Times New Roman"/>
                    <w:color w:val="000000"/>
                  </w:rPr>
                  <w:t>(Murali et al., 2021)</w:t>
                </w:r>
              </w:p>
            </w:tc>
          </w:sdtContent>
        </w:sdt>
      </w:tr>
      <w:tr w:rsidR="003946B2" w:rsidRPr="009026A2" w14:paraId="0034097A" w14:textId="77777777" w:rsidTr="006365EF">
        <w:tc>
          <w:tcPr>
            <w:tcW w:w="1838" w:type="dxa"/>
            <w:tcBorders>
              <w:top w:val="nil"/>
              <w:bottom w:val="nil"/>
            </w:tcBorders>
            <w:vAlign w:val="center"/>
          </w:tcPr>
          <w:p w14:paraId="08DD7203" w14:textId="3B036CC7"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BSF Facility</w:t>
            </w:r>
          </w:p>
        </w:tc>
        <w:tc>
          <w:tcPr>
            <w:tcW w:w="2410" w:type="dxa"/>
            <w:tcBorders>
              <w:top w:val="nil"/>
              <w:bottom w:val="nil"/>
            </w:tcBorders>
            <w:vAlign w:val="center"/>
          </w:tcPr>
          <w:p w14:paraId="326B91B1" w14:textId="156134A5"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63C0FA68" w14:textId="42906C75" w:rsidR="003946B2" w:rsidRPr="009026A2" w:rsidRDefault="001D2AA8" w:rsidP="00221FC0">
            <w:pPr>
              <w:spacing w:before="60" w:after="60"/>
              <w:jc w:val="center"/>
              <w:rPr>
                <w:rFonts w:ascii="Times New Roman" w:hAnsi="Times New Roman" w:cs="Times New Roman"/>
              </w:rPr>
            </w:pPr>
            <w:r w:rsidRPr="009026A2">
              <w:rPr>
                <w:rFonts w:ascii="Times New Roman" w:hAnsi="Times New Roman" w:cs="Times New Roman"/>
              </w:rPr>
              <w:t>14.5</w:t>
            </w:r>
            <w:r w:rsidR="000B565E">
              <w:rPr>
                <w:rFonts w:ascii="Times New Roman" w:hAnsi="Times New Roman" w:cs="Times New Roman"/>
              </w:rPr>
              <w:t>0</w:t>
            </w:r>
          </w:p>
        </w:tc>
        <w:sdt>
          <w:sdtPr>
            <w:rPr>
              <w:rFonts w:ascii="Times New Roman" w:hAnsi="Times New Roman" w:cs="Times New Roman"/>
              <w:color w:val="000000"/>
            </w:rPr>
            <w:tag w:val="MENDELEY_CITATION_v3_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"/>
            <w:id w:val="-1388101432"/>
            <w:placeholder>
              <w:docPart w:val="DefaultPlaceholder_-1854013440"/>
            </w:placeholder>
          </w:sdtPr>
          <w:sdtContent>
            <w:tc>
              <w:tcPr>
                <w:tcW w:w="2254" w:type="dxa"/>
                <w:tcBorders>
                  <w:top w:val="nil"/>
                  <w:bottom w:val="nil"/>
                </w:tcBorders>
                <w:vAlign w:val="center"/>
              </w:tcPr>
              <w:p w14:paraId="7D535014" w14:textId="58BD9C00" w:rsidR="003946B2" w:rsidRPr="009026A2" w:rsidRDefault="005939F7" w:rsidP="00221FC0">
                <w:pPr>
                  <w:spacing w:before="60" w:after="60"/>
                  <w:jc w:val="center"/>
                  <w:rPr>
                    <w:rFonts w:ascii="Times New Roman" w:hAnsi="Times New Roman" w:cs="Times New Roman"/>
                  </w:rPr>
                </w:pPr>
                <w:r w:rsidRPr="005939F7">
                  <w:rPr>
                    <w:rFonts w:ascii="Times New Roman" w:hAnsi="Times New Roman" w:cs="Times New Roman"/>
                    <w:color w:val="000000"/>
                  </w:rPr>
                  <w:t>(</w:t>
                </w:r>
                <w:proofErr w:type="spellStart"/>
                <w:r w:rsidRPr="005939F7">
                  <w:rPr>
                    <w:rFonts w:ascii="Times New Roman" w:hAnsi="Times New Roman" w:cs="Times New Roman"/>
                    <w:color w:val="000000"/>
                  </w:rPr>
                  <w:t>Soeters</w:t>
                </w:r>
                <w:proofErr w:type="spellEnd"/>
                <w:r w:rsidRPr="005939F7">
                  <w:rPr>
                    <w:rFonts w:ascii="Times New Roman" w:hAnsi="Times New Roman" w:cs="Times New Roman"/>
                    <w:color w:val="000000"/>
                  </w:rPr>
                  <w:t xml:space="preserve"> et al., 2021)</w:t>
                </w:r>
              </w:p>
            </w:tc>
          </w:sdtContent>
        </w:sdt>
      </w:tr>
      <w:tr w:rsidR="003946B2" w:rsidRPr="009026A2" w14:paraId="3658DC68" w14:textId="77777777" w:rsidTr="006365EF">
        <w:tc>
          <w:tcPr>
            <w:tcW w:w="1838" w:type="dxa"/>
            <w:tcBorders>
              <w:top w:val="nil"/>
              <w:bottom w:val="nil"/>
            </w:tcBorders>
            <w:vAlign w:val="center"/>
          </w:tcPr>
          <w:p w14:paraId="6A5A1A81" w14:textId="089A9FD5"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WWTP</w:t>
            </w:r>
          </w:p>
        </w:tc>
        <w:tc>
          <w:tcPr>
            <w:tcW w:w="2410" w:type="dxa"/>
            <w:tcBorders>
              <w:top w:val="nil"/>
              <w:bottom w:val="nil"/>
            </w:tcBorders>
            <w:vAlign w:val="center"/>
          </w:tcPr>
          <w:p w14:paraId="1DB7C917" w14:textId="4D2D47E7"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2EAA455B" w14:textId="340BC4FA" w:rsidR="003946B2" w:rsidRPr="009026A2" w:rsidRDefault="000B565E" w:rsidP="00221FC0">
            <w:pPr>
              <w:spacing w:before="60" w:after="60"/>
              <w:jc w:val="center"/>
              <w:rPr>
                <w:rFonts w:ascii="Times New Roman" w:hAnsi="Times New Roman" w:cs="Times New Roman"/>
              </w:rPr>
            </w:pPr>
            <w:r>
              <w:rPr>
                <w:rFonts w:ascii="Times New Roman" w:hAnsi="Times New Roman" w:cs="Times New Roman"/>
              </w:rPr>
              <w:t>0.80</w:t>
            </w:r>
          </w:p>
        </w:tc>
        <w:tc>
          <w:tcPr>
            <w:tcW w:w="2254" w:type="dxa"/>
            <w:tcBorders>
              <w:top w:val="nil"/>
              <w:bottom w:val="nil"/>
            </w:tcBorders>
            <w:vAlign w:val="center"/>
          </w:tcPr>
          <w:p w14:paraId="55339145" w14:textId="3A581309" w:rsidR="003946B2" w:rsidRPr="009026A2" w:rsidRDefault="00826FF6" w:rsidP="00221FC0">
            <w:pPr>
              <w:spacing w:before="60" w:after="60"/>
              <w:jc w:val="center"/>
              <w:rPr>
                <w:rFonts w:ascii="Times New Roman" w:hAnsi="Times New Roman" w:cs="Times New Roman"/>
              </w:rPr>
            </w:pPr>
            <w:r>
              <w:rPr>
                <w:rFonts w:ascii="Times New Roman" w:hAnsi="Times New Roman" w:cs="Times New Roman"/>
              </w:rPr>
              <w:t>-</w:t>
            </w:r>
          </w:p>
        </w:tc>
      </w:tr>
      <w:tr w:rsidR="003946B2" w:rsidRPr="009026A2" w14:paraId="2BB69E2D" w14:textId="77777777" w:rsidTr="006365EF">
        <w:tc>
          <w:tcPr>
            <w:tcW w:w="1838" w:type="dxa"/>
            <w:tcBorders>
              <w:top w:val="nil"/>
              <w:bottom w:val="nil"/>
            </w:tcBorders>
            <w:vAlign w:val="center"/>
          </w:tcPr>
          <w:p w14:paraId="291BE184" w14:textId="7E2F9FCD"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Biogas plant</w:t>
            </w:r>
          </w:p>
        </w:tc>
        <w:tc>
          <w:tcPr>
            <w:tcW w:w="2410" w:type="dxa"/>
            <w:tcBorders>
              <w:top w:val="nil"/>
              <w:bottom w:val="nil"/>
            </w:tcBorders>
            <w:vAlign w:val="center"/>
          </w:tcPr>
          <w:p w14:paraId="2DA75F05" w14:textId="1279F122" w:rsidR="003946B2" w:rsidRPr="009026A2" w:rsidRDefault="00CC7779"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08F50309" w14:textId="428564D4" w:rsidR="003946B2" w:rsidRPr="009026A2" w:rsidRDefault="00CC7779" w:rsidP="00221FC0">
            <w:pPr>
              <w:spacing w:before="60" w:after="60"/>
              <w:jc w:val="center"/>
              <w:rPr>
                <w:rFonts w:ascii="Times New Roman" w:hAnsi="Times New Roman" w:cs="Times New Roman"/>
              </w:rPr>
            </w:pPr>
            <w:r w:rsidRPr="009026A2">
              <w:rPr>
                <w:rFonts w:ascii="Times New Roman" w:hAnsi="Times New Roman" w:cs="Times New Roman"/>
              </w:rPr>
              <w:t>46.52</w:t>
            </w:r>
          </w:p>
        </w:tc>
        <w:sdt>
          <w:sdtPr>
            <w:rPr>
              <w:rFonts w:ascii="Times New Roman" w:hAnsi="Times New Roman" w:cs="Times New Roman"/>
              <w:color w:val="000000"/>
            </w:rPr>
            <w:tag w:val="MENDELEY_CITATION_v3_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"/>
            <w:id w:val="652261729"/>
            <w:placeholder>
              <w:docPart w:val="DefaultPlaceholder_-1854013440"/>
            </w:placeholder>
          </w:sdtPr>
          <w:sdtContent>
            <w:tc>
              <w:tcPr>
                <w:tcW w:w="2254" w:type="dxa"/>
                <w:tcBorders>
                  <w:top w:val="nil"/>
                  <w:bottom w:val="nil"/>
                </w:tcBorders>
                <w:vAlign w:val="center"/>
              </w:tcPr>
              <w:p w14:paraId="3A8216EF" w14:textId="145E28B6" w:rsidR="003946B2" w:rsidRPr="009026A2" w:rsidRDefault="005939F7" w:rsidP="00221FC0">
                <w:pPr>
                  <w:spacing w:before="60" w:after="60"/>
                  <w:jc w:val="center"/>
                  <w:rPr>
                    <w:rFonts w:ascii="Times New Roman" w:hAnsi="Times New Roman" w:cs="Times New Roman"/>
                  </w:rPr>
                </w:pPr>
                <w:r w:rsidRPr="005939F7">
                  <w:rPr>
                    <w:rFonts w:ascii="Times New Roman" w:hAnsi="Times New Roman" w:cs="Times New Roman"/>
                    <w:color w:val="000000"/>
                  </w:rPr>
                  <w:t>(Jin et al., 2015)</w:t>
                </w:r>
              </w:p>
            </w:tc>
          </w:sdtContent>
        </w:sdt>
      </w:tr>
      <w:tr w:rsidR="003946B2" w:rsidRPr="009026A2" w14:paraId="4D107586" w14:textId="77777777" w:rsidTr="006365EF">
        <w:tc>
          <w:tcPr>
            <w:tcW w:w="1838" w:type="dxa"/>
            <w:tcBorders>
              <w:top w:val="nil"/>
              <w:bottom w:val="nil"/>
            </w:tcBorders>
            <w:vAlign w:val="center"/>
          </w:tcPr>
          <w:p w14:paraId="044A8AA9" w14:textId="782D5555"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Pyrolysis</w:t>
            </w:r>
          </w:p>
        </w:tc>
        <w:tc>
          <w:tcPr>
            <w:tcW w:w="2410" w:type="dxa"/>
            <w:tcBorders>
              <w:top w:val="nil"/>
              <w:bottom w:val="nil"/>
            </w:tcBorders>
            <w:vAlign w:val="center"/>
          </w:tcPr>
          <w:p w14:paraId="3AB630D0" w14:textId="51B6B5B2" w:rsidR="003946B2" w:rsidRPr="009026A2" w:rsidRDefault="009E5796" w:rsidP="00221FC0">
            <w:pPr>
              <w:spacing w:before="60" w:after="60"/>
              <w:jc w:val="center"/>
              <w:rPr>
                <w:rFonts w:ascii="Times New Roman" w:hAnsi="Times New Roman" w:cs="Times New Roman"/>
              </w:rPr>
            </w:pPr>
            <w:r w:rsidRPr="009026A2">
              <w:rPr>
                <w:rFonts w:ascii="Times New Roman" w:hAnsi="Times New Roman" w:cs="Times New Roman"/>
              </w:rPr>
              <w:t>0.5</w:t>
            </w:r>
            <w:r w:rsidR="00BD21BC">
              <w:rPr>
                <w:rFonts w:ascii="Times New Roman" w:hAnsi="Times New Roman" w:cs="Times New Roman"/>
              </w:rPr>
              <w:t>0</w:t>
            </w:r>
          </w:p>
        </w:tc>
        <w:tc>
          <w:tcPr>
            <w:tcW w:w="2514" w:type="dxa"/>
            <w:tcBorders>
              <w:top w:val="nil"/>
              <w:bottom w:val="nil"/>
            </w:tcBorders>
            <w:vAlign w:val="center"/>
          </w:tcPr>
          <w:p w14:paraId="7A7B76F9" w14:textId="64FDC092" w:rsidR="003946B2" w:rsidRPr="009026A2" w:rsidRDefault="009E5796" w:rsidP="00221FC0">
            <w:pPr>
              <w:spacing w:before="60" w:after="60"/>
              <w:jc w:val="center"/>
              <w:rPr>
                <w:rFonts w:ascii="Times New Roman" w:hAnsi="Times New Roman" w:cs="Times New Roman"/>
              </w:rPr>
            </w:pPr>
            <w:r w:rsidRPr="009026A2">
              <w:rPr>
                <w:rFonts w:ascii="Times New Roman" w:hAnsi="Times New Roman" w:cs="Times New Roman"/>
              </w:rPr>
              <w:t>36.8</w:t>
            </w:r>
            <w:r w:rsidR="000B565E">
              <w:rPr>
                <w:rFonts w:ascii="Times New Roman" w:hAnsi="Times New Roman" w:cs="Times New Roman"/>
              </w:rPr>
              <w:t>0</w:t>
            </w:r>
          </w:p>
        </w:tc>
        <w:sdt>
          <w:sdtPr>
            <w:rPr>
              <w:rFonts w:ascii="Times New Roman" w:hAnsi="Times New Roman" w:cs="Times New Roman"/>
              <w:color w:val="000000"/>
            </w:rPr>
            <w:tag w:val="MENDELEY_CITATION_v3_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"/>
            <w:id w:val="1021434167"/>
            <w:placeholder>
              <w:docPart w:val="DefaultPlaceholder_-1854013440"/>
            </w:placeholder>
          </w:sdtPr>
          <w:sdtContent>
            <w:tc>
              <w:tcPr>
                <w:tcW w:w="2254" w:type="dxa"/>
                <w:tcBorders>
                  <w:top w:val="nil"/>
                  <w:bottom w:val="nil"/>
                </w:tcBorders>
                <w:vAlign w:val="center"/>
              </w:tcPr>
              <w:p w14:paraId="6D901F5F" w14:textId="3F102CAC" w:rsidR="003946B2" w:rsidRPr="009026A2" w:rsidRDefault="005939F7" w:rsidP="00221FC0">
                <w:pPr>
                  <w:spacing w:before="60" w:after="60"/>
                  <w:jc w:val="center"/>
                  <w:rPr>
                    <w:rFonts w:ascii="Times New Roman" w:hAnsi="Times New Roman" w:cs="Times New Roman"/>
                  </w:rPr>
                </w:pPr>
                <w:r w:rsidRPr="005939F7">
                  <w:rPr>
                    <w:rFonts w:ascii="Times New Roman" w:hAnsi="Times New Roman" w:cs="Times New Roman"/>
                    <w:color w:val="000000"/>
                  </w:rPr>
                  <w:t>(</w:t>
                </w:r>
                <w:proofErr w:type="spellStart"/>
                <w:r w:rsidRPr="005939F7">
                  <w:rPr>
                    <w:rFonts w:ascii="Times New Roman" w:hAnsi="Times New Roman" w:cs="Times New Roman"/>
                    <w:color w:val="000000"/>
                  </w:rPr>
                  <w:t>Kantarelis</w:t>
                </w:r>
                <w:proofErr w:type="spellEnd"/>
                <w:r w:rsidRPr="005939F7">
                  <w:rPr>
                    <w:rFonts w:ascii="Times New Roman" w:hAnsi="Times New Roman" w:cs="Times New Roman"/>
                    <w:color w:val="000000"/>
                  </w:rPr>
                  <w:t>, 2014; Yang et al., n.d.)</w:t>
                </w:r>
              </w:p>
            </w:tc>
          </w:sdtContent>
        </w:sdt>
      </w:tr>
      <w:tr w:rsidR="003946B2" w:rsidRPr="009026A2" w14:paraId="5FF5C0F5" w14:textId="77777777" w:rsidTr="006365EF">
        <w:tc>
          <w:tcPr>
            <w:tcW w:w="1838" w:type="dxa"/>
            <w:tcBorders>
              <w:top w:val="nil"/>
              <w:bottom w:val="nil"/>
            </w:tcBorders>
            <w:vAlign w:val="center"/>
          </w:tcPr>
          <w:p w14:paraId="675C4AAF" w14:textId="1618A666"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Gasification</w:t>
            </w:r>
          </w:p>
        </w:tc>
        <w:tc>
          <w:tcPr>
            <w:tcW w:w="2410" w:type="dxa"/>
            <w:tcBorders>
              <w:top w:val="nil"/>
              <w:bottom w:val="nil"/>
            </w:tcBorders>
            <w:vAlign w:val="center"/>
          </w:tcPr>
          <w:p w14:paraId="5AAA12B6" w14:textId="3799854D" w:rsidR="003946B2" w:rsidRPr="009026A2" w:rsidRDefault="00924D86" w:rsidP="00221FC0">
            <w:pPr>
              <w:spacing w:before="60" w:after="60"/>
              <w:jc w:val="center"/>
              <w:rPr>
                <w:rFonts w:ascii="Times New Roman" w:hAnsi="Times New Roman" w:cs="Times New Roman"/>
              </w:rPr>
            </w:pPr>
            <w:r w:rsidRPr="009026A2">
              <w:rPr>
                <w:rFonts w:ascii="Times New Roman" w:hAnsi="Times New Roman" w:cs="Times New Roman"/>
              </w:rPr>
              <w:t>0.45</w:t>
            </w:r>
          </w:p>
        </w:tc>
        <w:tc>
          <w:tcPr>
            <w:tcW w:w="2514" w:type="dxa"/>
            <w:tcBorders>
              <w:top w:val="nil"/>
              <w:bottom w:val="nil"/>
            </w:tcBorders>
            <w:vAlign w:val="center"/>
          </w:tcPr>
          <w:p w14:paraId="499CB100" w14:textId="63F69B24" w:rsidR="003946B2" w:rsidRPr="009026A2" w:rsidRDefault="00924D86" w:rsidP="00221FC0">
            <w:pPr>
              <w:spacing w:before="60" w:after="60"/>
              <w:jc w:val="center"/>
              <w:rPr>
                <w:rFonts w:ascii="Times New Roman" w:hAnsi="Times New Roman" w:cs="Times New Roman"/>
              </w:rPr>
            </w:pPr>
            <w:r w:rsidRPr="009026A2">
              <w:rPr>
                <w:rFonts w:ascii="Times New Roman" w:hAnsi="Times New Roman" w:cs="Times New Roman"/>
              </w:rPr>
              <w:t>280</w:t>
            </w:r>
            <w:r w:rsidR="000B565E">
              <w:rPr>
                <w:rFonts w:ascii="Times New Roman" w:hAnsi="Times New Roman" w:cs="Times New Roman"/>
              </w:rPr>
              <w:t>.00</w:t>
            </w:r>
          </w:p>
        </w:tc>
        <w:tc>
          <w:tcPr>
            <w:tcW w:w="2254" w:type="dxa"/>
            <w:tcBorders>
              <w:top w:val="nil"/>
              <w:bottom w:val="nil"/>
            </w:tcBorders>
            <w:vAlign w:val="center"/>
          </w:tcPr>
          <w:p w14:paraId="1B3F2186" w14:textId="6D964EC0" w:rsidR="003946B2" w:rsidRPr="009026A2" w:rsidRDefault="00826FF6" w:rsidP="00221FC0">
            <w:pPr>
              <w:spacing w:before="60" w:after="60"/>
              <w:jc w:val="center"/>
              <w:rPr>
                <w:rFonts w:ascii="Times New Roman" w:hAnsi="Times New Roman" w:cs="Times New Roman"/>
              </w:rPr>
            </w:pPr>
            <w:r>
              <w:rPr>
                <w:rFonts w:ascii="Times New Roman" w:hAnsi="Times New Roman" w:cs="Times New Roman"/>
              </w:rPr>
              <w:t>-</w:t>
            </w:r>
          </w:p>
        </w:tc>
      </w:tr>
      <w:tr w:rsidR="003946B2" w:rsidRPr="009026A2" w14:paraId="3F8C60B3" w14:textId="77777777" w:rsidTr="006365EF">
        <w:tc>
          <w:tcPr>
            <w:tcW w:w="1838" w:type="dxa"/>
            <w:tcBorders>
              <w:top w:val="nil"/>
              <w:bottom w:val="nil"/>
            </w:tcBorders>
            <w:vAlign w:val="center"/>
          </w:tcPr>
          <w:p w14:paraId="54E0C889" w14:textId="6F0B2624" w:rsidR="003946B2" w:rsidRPr="009026A2" w:rsidRDefault="003946B2" w:rsidP="00221FC0">
            <w:pPr>
              <w:spacing w:before="60" w:after="60"/>
              <w:jc w:val="center"/>
              <w:rPr>
                <w:rFonts w:ascii="Times New Roman" w:hAnsi="Times New Roman" w:cs="Times New Roman"/>
              </w:rPr>
            </w:pPr>
            <w:r w:rsidRPr="009026A2">
              <w:rPr>
                <w:rFonts w:ascii="Times New Roman" w:hAnsi="Times New Roman" w:cs="Times New Roman"/>
              </w:rPr>
              <w:t>FT Process</w:t>
            </w:r>
          </w:p>
        </w:tc>
        <w:tc>
          <w:tcPr>
            <w:tcW w:w="2410" w:type="dxa"/>
            <w:tcBorders>
              <w:top w:val="nil"/>
              <w:bottom w:val="nil"/>
            </w:tcBorders>
            <w:vAlign w:val="center"/>
          </w:tcPr>
          <w:p w14:paraId="4E7A0590" w14:textId="6B247034" w:rsidR="003946B2" w:rsidRPr="009026A2" w:rsidRDefault="00CC7779"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bottom w:val="nil"/>
            </w:tcBorders>
            <w:vAlign w:val="center"/>
          </w:tcPr>
          <w:p w14:paraId="3A343E54" w14:textId="2513554F" w:rsidR="003946B2" w:rsidRPr="009026A2" w:rsidRDefault="00D424D6" w:rsidP="00221FC0">
            <w:pPr>
              <w:spacing w:before="60" w:after="60"/>
              <w:jc w:val="center"/>
              <w:rPr>
                <w:rFonts w:ascii="Times New Roman" w:hAnsi="Times New Roman" w:cs="Times New Roman"/>
              </w:rPr>
            </w:pPr>
            <w:r w:rsidRPr="009026A2">
              <w:rPr>
                <w:rFonts w:ascii="Times New Roman" w:hAnsi="Times New Roman" w:cs="Times New Roman"/>
              </w:rPr>
              <w:t>50</w:t>
            </w:r>
            <w:r w:rsidR="000B565E">
              <w:rPr>
                <w:rFonts w:ascii="Times New Roman" w:hAnsi="Times New Roman" w:cs="Times New Roman"/>
              </w:rPr>
              <w:t>.00</w:t>
            </w:r>
          </w:p>
        </w:tc>
        <w:tc>
          <w:tcPr>
            <w:tcW w:w="2254" w:type="dxa"/>
            <w:tcBorders>
              <w:top w:val="nil"/>
              <w:bottom w:val="nil"/>
            </w:tcBorders>
            <w:vAlign w:val="center"/>
          </w:tcPr>
          <w:p w14:paraId="0147EE44" w14:textId="431FAF55" w:rsidR="003946B2" w:rsidRPr="009026A2" w:rsidRDefault="009026A2" w:rsidP="00221FC0">
            <w:pPr>
              <w:spacing w:before="60" w:after="60"/>
              <w:jc w:val="center"/>
              <w:rPr>
                <w:rFonts w:ascii="Times New Roman" w:hAnsi="Times New Roman" w:cs="Times New Roman"/>
              </w:rPr>
            </w:pPr>
            <w:r>
              <w:rPr>
                <w:rFonts w:ascii="Times New Roman" w:hAnsi="Times New Roman" w:cs="Times New Roman"/>
              </w:rPr>
              <w:t>-</w:t>
            </w:r>
          </w:p>
        </w:tc>
      </w:tr>
      <w:tr w:rsidR="002C259F" w:rsidRPr="009026A2" w14:paraId="025E8468" w14:textId="77777777" w:rsidTr="006365EF">
        <w:tc>
          <w:tcPr>
            <w:tcW w:w="1838" w:type="dxa"/>
            <w:tcBorders>
              <w:top w:val="nil"/>
            </w:tcBorders>
            <w:vAlign w:val="center"/>
          </w:tcPr>
          <w:p w14:paraId="15043DE7" w14:textId="5EF4E70C" w:rsidR="002C259F" w:rsidRPr="009026A2" w:rsidRDefault="002C259F" w:rsidP="00221FC0">
            <w:pPr>
              <w:spacing w:before="60" w:after="60"/>
              <w:jc w:val="center"/>
              <w:rPr>
                <w:rFonts w:ascii="Times New Roman" w:hAnsi="Times New Roman" w:cs="Times New Roman"/>
              </w:rPr>
            </w:pPr>
            <w:r w:rsidRPr="009026A2">
              <w:rPr>
                <w:rFonts w:ascii="Times New Roman" w:hAnsi="Times New Roman" w:cs="Times New Roman"/>
              </w:rPr>
              <w:t>Hydrotreating</w:t>
            </w:r>
          </w:p>
        </w:tc>
        <w:tc>
          <w:tcPr>
            <w:tcW w:w="2410" w:type="dxa"/>
            <w:tcBorders>
              <w:top w:val="nil"/>
            </w:tcBorders>
            <w:vAlign w:val="center"/>
          </w:tcPr>
          <w:p w14:paraId="5EC790DF" w14:textId="6FF16656" w:rsidR="002C259F" w:rsidRPr="009026A2" w:rsidRDefault="00CC7779" w:rsidP="00221FC0">
            <w:pPr>
              <w:spacing w:before="60" w:after="60"/>
              <w:jc w:val="center"/>
              <w:rPr>
                <w:rFonts w:ascii="Times New Roman" w:hAnsi="Times New Roman" w:cs="Times New Roman"/>
              </w:rPr>
            </w:pPr>
            <w:r w:rsidRPr="009026A2">
              <w:rPr>
                <w:rFonts w:ascii="Times New Roman" w:hAnsi="Times New Roman" w:cs="Times New Roman"/>
              </w:rPr>
              <w:t>-</w:t>
            </w:r>
          </w:p>
        </w:tc>
        <w:tc>
          <w:tcPr>
            <w:tcW w:w="2514" w:type="dxa"/>
            <w:tcBorders>
              <w:top w:val="nil"/>
            </w:tcBorders>
            <w:vAlign w:val="center"/>
          </w:tcPr>
          <w:p w14:paraId="290D9F91" w14:textId="49CAE2EF" w:rsidR="002C259F" w:rsidRPr="009026A2" w:rsidRDefault="00D424D6" w:rsidP="00221FC0">
            <w:pPr>
              <w:spacing w:before="60" w:after="60"/>
              <w:jc w:val="center"/>
              <w:rPr>
                <w:rFonts w:ascii="Times New Roman" w:hAnsi="Times New Roman" w:cs="Times New Roman"/>
              </w:rPr>
            </w:pPr>
            <w:r w:rsidRPr="009026A2">
              <w:rPr>
                <w:rFonts w:ascii="Times New Roman" w:hAnsi="Times New Roman" w:cs="Times New Roman"/>
              </w:rPr>
              <w:t>60</w:t>
            </w:r>
            <w:r w:rsidR="000B565E">
              <w:rPr>
                <w:rFonts w:ascii="Times New Roman" w:hAnsi="Times New Roman" w:cs="Times New Roman"/>
              </w:rPr>
              <w:t>.00</w:t>
            </w:r>
          </w:p>
        </w:tc>
        <w:tc>
          <w:tcPr>
            <w:tcW w:w="2254" w:type="dxa"/>
            <w:tcBorders>
              <w:top w:val="nil"/>
            </w:tcBorders>
            <w:vAlign w:val="center"/>
          </w:tcPr>
          <w:p w14:paraId="0AAF4E61" w14:textId="31963A0E" w:rsidR="002C259F" w:rsidRPr="009026A2" w:rsidRDefault="009026A2" w:rsidP="00221FC0">
            <w:pPr>
              <w:spacing w:before="60" w:after="60"/>
              <w:jc w:val="center"/>
              <w:rPr>
                <w:rFonts w:ascii="Times New Roman" w:hAnsi="Times New Roman" w:cs="Times New Roman"/>
              </w:rPr>
            </w:pPr>
            <w:r>
              <w:rPr>
                <w:rFonts w:ascii="Times New Roman" w:hAnsi="Times New Roman" w:cs="Times New Roman"/>
              </w:rPr>
              <w:t>-</w:t>
            </w:r>
          </w:p>
        </w:tc>
      </w:tr>
    </w:tbl>
    <w:p w14:paraId="0D4C4CFB" w14:textId="77777777" w:rsidR="003946B2" w:rsidRDefault="003946B2" w:rsidP="003946B2"/>
    <w:p w14:paraId="10389160" w14:textId="236DD3DB" w:rsidR="00C01D7C" w:rsidRPr="00F7215B" w:rsidRDefault="00C01D7C" w:rsidP="00C01D7C">
      <w:pPr>
        <w:pStyle w:val="Caption"/>
        <w:keepNext/>
        <w:rPr>
          <w:rFonts w:ascii="Times New Roman" w:hAnsi="Times New Roman" w:cs="Times New Roman"/>
          <w:i w:val="0"/>
          <w:iCs w:val="0"/>
          <w:color w:val="auto"/>
          <w:sz w:val="24"/>
          <w:szCs w:val="24"/>
        </w:rPr>
      </w:pPr>
      <w:r w:rsidRPr="00251B46">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S</w:t>
      </w:r>
      <w:r w:rsidRPr="00251B46">
        <w:rPr>
          <w:rFonts w:ascii="Times New Roman" w:hAnsi="Times New Roman" w:cs="Times New Roman"/>
          <w:b/>
          <w:bCs/>
          <w:i w:val="0"/>
          <w:iCs w:val="0"/>
          <w:color w:val="auto"/>
          <w:sz w:val="24"/>
          <w:szCs w:val="24"/>
        </w:rPr>
        <w:fldChar w:fldCharType="begin"/>
      </w:r>
      <w:r w:rsidRPr="00251B46">
        <w:rPr>
          <w:rFonts w:ascii="Times New Roman" w:hAnsi="Times New Roman" w:cs="Times New Roman"/>
          <w:b/>
          <w:bCs/>
          <w:i w:val="0"/>
          <w:iCs w:val="0"/>
          <w:color w:val="auto"/>
          <w:sz w:val="24"/>
          <w:szCs w:val="24"/>
        </w:rPr>
        <w:instrText xml:space="preserve"> SEQ Table \* ARABIC </w:instrText>
      </w:r>
      <w:r w:rsidRPr="00251B4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251B46">
        <w:rPr>
          <w:rFonts w:ascii="Times New Roman" w:hAnsi="Times New Roman" w:cs="Times New Roman"/>
          <w:b/>
          <w:bCs/>
          <w:i w:val="0"/>
          <w:iCs w:val="0"/>
          <w:color w:val="auto"/>
          <w:sz w:val="24"/>
          <w:szCs w:val="24"/>
        </w:rPr>
        <w:fldChar w:fldCharType="end"/>
      </w:r>
      <w:r w:rsidRPr="00251B46">
        <w:rPr>
          <w:rFonts w:ascii="Times New Roman" w:hAnsi="Times New Roman" w:cs="Times New Roman"/>
          <w:b/>
          <w:bCs/>
          <w:i w:val="0"/>
          <w:iCs w:val="0"/>
          <w:color w:val="auto"/>
          <w:sz w:val="24"/>
          <w:szCs w:val="24"/>
        </w:rPr>
        <w:t>:</w:t>
      </w:r>
      <w:r w:rsidRPr="00251B4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Frequency of technology as pivotal player for the 3 cases.</w:t>
      </w:r>
    </w:p>
    <w:tbl>
      <w:tblPr>
        <w:tblW w:w="9134" w:type="dxa"/>
        <w:tblLayout w:type="fixed"/>
        <w:tblLook w:val="04A0" w:firstRow="1" w:lastRow="0" w:firstColumn="1" w:lastColumn="0" w:noHBand="0" w:noVBand="1"/>
      </w:tblPr>
      <w:tblGrid>
        <w:gridCol w:w="2268"/>
        <w:gridCol w:w="1701"/>
        <w:gridCol w:w="2552"/>
        <w:gridCol w:w="2613"/>
      </w:tblGrid>
      <w:tr w:rsidR="00C01D7C" w:rsidRPr="00D33073" w14:paraId="76A1AF6A" w14:textId="77777777" w:rsidTr="001B3E3C">
        <w:trPr>
          <w:trHeight w:val="702"/>
        </w:trPr>
        <w:tc>
          <w:tcPr>
            <w:tcW w:w="2268" w:type="dxa"/>
            <w:tcBorders>
              <w:top w:val="single" w:sz="4" w:space="0" w:color="auto"/>
              <w:bottom w:val="single" w:sz="4" w:space="0" w:color="auto"/>
            </w:tcBorders>
            <w:shd w:val="clear" w:color="auto" w:fill="auto"/>
            <w:noWrap/>
            <w:vAlign w:val="center"/>
            <w:hideMark/>
          </w:tcPr>
          <w:p w14:paraId="652DBA0F"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Cases</w:t>
            </w:r>
          </w:p>
        </w:tc>
        <w:tc>
          <w:tcPr>
            <w:tcW w:w="1701" w:type="dxa"/>
            <w:tcBorders>
              <w:top w:val="single" w:sz="4" w:space="0" w:color="auto"/>
              <w:bottom w:val="single" w:sz="4" w:space="0" w:color="auto"/>
            </w:tcBorders>
            <w:shd w:val="clear" w:color="auto" w:fill="auto"/>
            <w:vAlign w:val="center"/>
            <w:hideMark/>
          </w:tcPr>
          <w:p w14:paraId="2647B568"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Gasification</w:t>
            </w:r>
            <w:r w:rsidRPr="00D33073">
              <w:rPr>
                <w:rFonts w:ascii="Times New Roman" w:eastAsia="Times New Roman" w:hAnsi="Times New Roman" w:cs="Times New Roman"/>
                <w:b/>
                <w:bCs/>
                <w:color w:val="000000"/>
                <w:lang w:val="en-MY"/>
              </w:rPr>
              <w:br/>
              <w:t>(Rank 1)</w:t>
            </w:r>
          </w:p>
        </w:tc>
        <w:tc>
          <w:tcPr>
            <w:tcW w:w="2552" w:type="dxa"/>
            <w:tcBorders>
              <w:top w:val="single" w:sz="4" w:space="0" w:color="auto"/>
              <w:bottom w:val="single" w:sz="4" w:space="0" w:color="auto"/>
            </w:tcBorders>
            <w:shd w:val="clear" w:color="auto" w:fill="auto"/>
            <w:vAlign w:val="center"/>
            <w:hideMark/>
          </w:tcPr>
          <w:p w14:paraId="28071619"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BSF</w:t>
            </w:r>
            <w:r w:rsidRPr="00D33073">
              <w:rPr>
                <w:rFonts w:ascii="Times New Roman" w:eastAsia="Times New Roman" w:hAnsi="Times New Roman" w:cs="Times New Roman"/>
                <w:b/>
                <w:bCs/>
                <w:color w:val="000000"/>
                <w:lang w:val="en-MY"/>
              </w:rPr>
              <w:br/>
              <w:t>(Rank 3)</w:t>
            </w:r>
          </w:p>
        </w:tc>
        <w:tc>
          <w:tcPr>
            <w:tcW w:w="2613" w:type="dxa"/>
            <w:tcBorders>
              <w:top w:val="single" w:sz="4" w:space="0" w:color="auto"/>
              <w:bottom w:val="single" w:sz="4" w:space="0" w:color="auto"/>
            </w:tcBorders>
            <w:shd w:val="clear" w:color="auto" w:fill="auto"/>
            <w:vAlign w:val="center"/>
            <w:hideMark/>
          </w:tcPr>
          <w:p w14:paraId="32E78337"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 xml:space="preserve">Pyrolysis &amp; Gasification </w:t>
            </w:r>
            <w:r w:rsidRPr="00D33073">
              <w:rPr>
                <w:rFonts w:ascii="Times New Roman" w:eastAsia="Times New Roman" w:hAnsi="Times New Roman" w:cs="Times New Roman"/>
                <w:b/>
                <w:bCs/>
                <w:color w:val="000000"/>
                <w:lang w:val="en-MY"/>
              </w:rPr>
              <w:br/>
              <w:t>(Rank 11)</w:t>
            </w:r>
          </w:p>
        </w:tc>
      </w:tr>
      <w:tr w:rsidR="00C01D7C" w:rsidRPr="00D33073" w14:paraId="5BF3BD13" w14:textId="77777777" w:rsidTr="001B3E3C">
        <w:trPr>
          <w:trHeight w:val="308"/>
        </w:trPr>
        <w:tc>
          <w:tcPr>
            <w:tcW w:w="2268" w:type="dxa"/>
            <w:tcBorders>
              <w:top w:val="single" w:sz="4" w:space="0" w:color="auto"/>
            </w:tcBorders>
            <w:shd w:val="clear" w:color="auto" w:fill="auto"/>
            <w:noWrap/>
            <w:vAlign w:val="center"/>
            <w:hideMark/>
          </w:tcPr>
          <w:p w14:paraId="33D37EED"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WWTP</w:t>
            </w:r>
          </w:p>
        </w:tc>
        <w:tc>
          <w:tcPr>
            <w:tcW w:w="1701" w:type="dxa"/>
            <w:tcBorders>
              <w:top w:val="single" w:sz="4" w:space="0" w:color="auto"/>
            </w:tcBorders>
            <w:shd w:val="clear" w:color="auto" w:fill="auto"/>
            <w:noWrap/>
            <w:vAlign w:val="center"/>
            <w:hideMark/>
          </w:tcPr>
          <w:p w14:paraId="53B92908"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w:t>
            </w:r>
          </w:p>
        </w:tc>
        <w:tc>
          <w:tcPr>
            <w:tcW w:w="2552" w:type="dxa"/>
            <w:tcBorders>
              <w:top w:val="single" w:sz="4" w:space="0" w:color="auto"/>
            </w:tcBorders>
            <w:shd w:val="clear" w:color="auto" w:fill="auto"/>
            <w:noWrap/>
            <w:vAlign w:val="center"/>
            <w:hideMark/>
          </w:tcPr>
          <w:p w14:paraId="0167F712"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w:t>
            </w:r>
          </w:p>
        </w:tc>
        <w:tc>
          <w:tcPr>
            <w:tcW w:w="2613" w:type="dxa"/>
            <w:tcBorders>
              <w:top w:val="single" w:sz="4" w:space="0" w:color="auto"/>
            </w:tcBorders>
            <w:shd w:val="clear" w:color="auto" w:fill="auto"/>
            <w:noWrap/>
            <w:vAlign w:val="center"/>
            <w:hideMark/>
          </w:tcPr>
          <w:p w14:paraId="0C7E14E1"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w:t>
            </w:r>
          </w:p>
        </w:tc>
      </w:tr>
      <w:tr w:rsidR="00C01D7C" w:rsidRPr="00D33073" w14:paraId="0E0413BC" w14:textId="77777777" w:rsidTr="001B3E3C">
        <w:trPr>
          <w:trHeight w:val="323"/>
        </w:trPr>
        <w:tc>
          <w:tcPr>
            <w:tcW w:w="2268" w:type="dxa"/>
            <w:shd w:val="clear" w:color="auto" w:fill="auto"/>
            <w:noWrap/>
            <w:vAlign w:val="center"/>
            <w:hideMark/>
          </w:tcPr>
          <w:p w14:paraId="30A9763B"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Hydroponic</w:t>
            </w:r>
          </w:p>
        </w:tc>
        <w:tc>
          <w:tcPr>
            <w:tcW w:w="1701" w:type="dxa"/>
            <w:shd w:val="clear" w:color="auto" w:fill="auto"/>
            <w:noWrap/>
            <w:vAlign w:val="center"/>
            <w:hideMark/>
          </w:tcPr>
          <w:p w14:paraId="70297C03"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10</w:t>
            </w:r>
          </w:p>
        </w:tc>
        <w:tc>
          <w:tcPr>
            <w:tcW w:w="2552" w:type="dxa"/>
            <w:shd w:val="clear" w:color="auto" w:fill="auto"/>
            <w:noWrap/>
            <w:vAlign w:val="center"/>
            <w:hideMark/>
          </w:tcPr>
          <w:p w14:paraId="02878358"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3</w:t>
            </w:r>
          </w:p>
        </w:tc>
        <w:tc>
          <w:tcPr>
            <w:tcW w:w="2613" w:type="dxa"/>
            <w:shd w:val="clear" w:color="auto" w:fill="auto"/>
            <w:noWrap/>
            <w:vAlign w:val="center"/>
            <w:hideMark/>
          </w:tcPr>
          <w:p w14:paraId="23C66B03"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696</w:t>
            </w:r>
          </w:p>
        </w:tc>
      </w:tr>
      <w:tr w:rsidR="00C01D7C" w:rsidRPr="00D33073" w14:paraId="4B1B43D7" w14:textId="77777777" w:rsidTr="001B3E3C">
        <w:trPr>
          <w:trHeight w:val="308"/>
        </w:trPr>
        <w:tc>
          <w:tcPr>
            <w:tcW w:w="2268" w:type="dxa"/>
            <w:shd w:val="clear" w:color="auto" w:fill="auto"/>
            <w:noWrap/>
            <w:vAlign w:val="center"/>
            <w:hideMark/>
          </w:tcPr>
          <w:p w14:paraId="4D75BBE8"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Gasification</w:t>
            </w:r>
          </w:p>
        </w:tc>
        <w:tc>
          <w:tcPr>
            <w:tcW w:w="1701" w:type="dxa"/>
            <w:shd w:val="clear" w:color="auto" w:fill="auto"/>
            <w:noWrap/>
            <w:vAlign w:val="center"/>
            <w:hideMark/>
          </w:tcPr>
          <w:p w14:paraId="38B69E5B"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7</w:t>
            </w:r>
          </w:p>
        </w:tc>
        <w:tc>
          <w:tcPr>
            <w:tcW w:w="2552" w:type="dxa"/>
            <w:shd w:val="clear" w:color="auto" w:fill="auto"/>
            <w:noWrap/>
            <w:vAlign w:val="center"/>
            <w:hideMark/>
          </w:tcPr>
          <w:p w14:paraId="50E5D230"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613" w:type="dxa"/>
            <w:shd w:val="clear" w:color="auto" w:fill="auto"/>
            <w:noWrap/>
            <w:vAlign w:val="center"/>
            <w:hideMark/>
          </w:tcPr>
          <w:p w14:paraId="1BBD6012"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w:t>
            </w:r>
          </w:p>
        </w:tc>
      </w:tr>
      <w:tr w:rsidR="00C01D7C" w:rsidRPr="00D33073" w14:paraId="5429226C" w14:textId="77777777" w:rsidTr="001B3E3C">
        <w:trPr>
          <w:trHeight w:val="308"/>
        </w:trPr>
        <w:tc>
          <w:tcPr>
            <w:tcW w:w="2268" w:type="dxa"/>
            <w:shd w:val="clear" w:color="auto" w:fill="auto"/>
            <w:noWrap/>
            <w:vAlign w:val="center"/>
            <w:hideMark/>
          </w:tcPr>
          <w:p w14:paraId="70067CDF"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FT Process</w:t>
            </w:r>
          </w:p>
        </w:tc>
        <w:tc>
          <w:tcPr>
            <w:tcW w:w="1701" w:type="dxa"/>
            <w:shd w:val="clear" w:color="auto" w:fill="auto"/>
            <w:noWrap/>
            <w:vAlign w:val="center"/>
            <w:hideMark/>
          </w:tcPr>
          <w:p w14:paraId="43F17B2F"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7</w:t>
            </w:r>
          </w:p>
        </w:tc>
        <w:tc>
          <w:tcPr>
            <w:tcW w:w="2552" w:type="dxa"/>
            <w:shd w:val="clear" w:color="auto" w:fill="auto"/>
            <w:noWrap/>
            <w:vAlign w:val="center"/>
            <w:hideMark/>
          </w:tcPr>
          <w:p w14:paraId="220FA3CD"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613" w:type="dxa"/>
            <w:shd w:val="clear" w:color="auto" w:fill="auto"/>
            <w:noWrap/>
            <w:vAlign w:val="center"/>
            <w:hideMark/>
          </w:tcPr>
          <w:p w14:paraId="4D0BAE43"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w:t>
            </w:r>
          </w:p>
        </w:tc>
      </w:tr>
      <w:tr w:rsidR="00C01D7C" w:rsidRPr="00D33073" w14:paraId="0BD7B94D" w14:textId="77777777" w:rsidTr="001B3E3C">
        <w:trPr>
          <w:trHeight w:val="308"/>
        </w:trPr>
        <w:tc>
          <w:tcPr>
            <w:tcW w:w="2268" w:type="dxa"/>
            <w:shd w:val="clear" w:color="auto" w:fill="auto"/>
            <w:noWrap/>
            <w:vAlign w:val="center"/>
            <w:hideMark/>
          </w:tcPr>
          <w:p w14:paraId="491A5A28"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lang w:val="en-MY"/>
              </w:rPr>
              <w:t>BSF facility</w:t>
            </w:r>
          </w:p>
        </w:tc>
        <w:tc>
          <w:tcPr>
            <w:tcW w:w="1701" w:type="dxa"/>
            <w:shd w:val="clear" w:color="auto" w:fill="auto"/>
            <w:noWrap/>
            <w:vAlign w:val="center"/>
            <w:hideMark/>
          </w:tcPr>
          <w:p w14:paraId="130190F8"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52" w:type="dxa"/>
            <w:shd w:val="clear" w:color="auto" w:fill="auto"/>
            <w:noWrap/>
            <w:vAlign w:val="center"/>
            <w:hideMark/>
          </w:tcPr>
          <w:p w14:paraId="3E2324CE"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3</w:t>
            </w:r>
          </w:p>
        </w:tc>
        <w:tc>
          <w:tcPr>
            <w:tcW w:w="2613" w:type="dxa"/>
            <w:shd w:val="clear" w:color="auto" w:fill="auto"/>
            <w:noWrap/>
            <w:vAlign w:val="center"/>
            <w:hideMark/>
          </w:tcPr>
          <w:p w14:paraId="6547BAD7"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r>
      <w:tr w:rsidR="00C01D7C" w:rsidRPr="00D33073" w14:paraId="0745C42A" w14:textId="77777777" w:rsidTr="001B3E3C">
        <w:trPr>
          <w:trHeight w:val="308"/>
        </w:trPr>
        <w:tc>
          <w:tcPr>
            <w:tcW w:w="2268" w:type="dxa"/>
            <w:shd w:val="clear" w:color="auto" w:fill="auto"/>
            <w:noWrap/>
            <w:vAlign w:val="center"/>
            <w:hideMark/>
          </w:tcPr>
          <w:p w14:paraId="6DEC87BA"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Pyrolysis</w:t>
            </w:r>
          </w:p>
        </w:tc>
        <w:tc>
          <w:tcPr>
            <w:tcW w:w="1701" w:type="dxa"/>
            <w:shd w:val="clear" w:color="auto" w:fill="auto"/>
            <w:noWrap/>
            <w:vAlign w:val="center"/>
            <w:hideMark/>
          </w:tcPr>
          <w:p w14:paraId="261FD2B9"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52" w:type="dxa"/>
            <w:shd w:val="clear" w:color="auto" w:fill="auto"/>
            <w:noWrap/>
            <w:vAlign w:val="center"/>
            <w:hideMark/>
          </w:tcPr>
          <w:p w14:paraId="2DE3C944"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613" w:type="dxa"/>
            <w:shd w:val="clear" w:color="auto" w:fill="auto"/>
            <w:noWrap/>
            <w:vAlign w:val="center"/>
            <w:hideMark/>
          </w:tcPr>
          <w:p w14:paraId="16AD092D"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w:t>
            </w:r>
          </w:p>
        </w:tc>
      </w:tr>
      <w:tr w:rsidR="00C01D7C" w:rsidRPr="00D33073" w14:paraId="78ADAFB0" w14:textId="77777777" w:rsidTr="001B3E3C">
        <w:trPr>
          <w:trHeight w:val="308"/>
        </w:trPr>
        <w:tc>
          <w:tcPr>
            <w:tcW w:w="2268" w:type="dxa"/>
            <w:shd w:val="clear" w:color="auto" w:fill="auto"/>
            <w:noWrap/>
            <w:vAlign w:val="center"/>
            <w:hideMark/>
          </w:tcPr>
          <w:p w14:paraId="1A83374F"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CHP</w:t>
            </w:r>
          </w:p>
        </w:tc>
        <w:tc>
          <w:tcPr>
            <w:tcW w:w="1701" w:type="dxa"/>
            <w:shd w:val="clear" w:color="auto" w:fill="auto"/>
            <w:noWrap/>
            <w:vAlign w:val="center"/>
            <w:hideMark/>
          </w:tcPr>
          <w:p w14:paraId="36ED8015"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52" w:type="dxa"/>
            <w:shd w:val="clear" w:color="auto" w:fill="auto"/>
            <w:noWrap/>
            <w:vAlign w:val="center"/>
            <w:hideMark/>
          </w:tcPr>
          <w:p w14:paraId="505769D0"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613" w:type="dxa"/>
            <w:shd w:val="clear" w:color="auto" w:fill="auto"/>
            <w:noWrap/>
            <w:vAlign w:val="center"/>
            <w:hideMark/>
          </w:tcPr>
          <w:p w14:paraId="448335A4"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w:t>
            </w:r>
          </w:p>
        </w:tc>
      </w:tr>
      <w:tr w:rsidR="00C01D7C" w:rsidRPr="00D33073" w14:paraId="2C0DC3AD" w14:textId="77777777" w:rsidTr="001B3E3C">
        <w:trPr>
          <w:trHeight w:val="836"/>
        </w:trPr>
        <w:tc>
          <w:tcPr>
            <w:tcW w:w="2268" w:type="dxa"/>
            <w:tcBorders>
              <w:bottom w:val="single" w:sz="4" w:space="0" w:color="auto"/>
            </w:tcBorders>
            <w:shd w:val="clear" w:color="auto" w:fill="auto"/>
            <w:noWrap/>
            <w:vAlign w:val="center"/>
            <w:hideMark/>
          </w:tcPr>
          <w:p w14:paraId="3A39EE58" w14:textId="2A40322B" w:rsidR="00C01D7C" w:rsidRPr="00D33073" w:rsidRDefault="001B3E3C" w:rsidP="00B024D9">
            <w:pPr>
              <w:spacing w:after="0" w:line="240" w:lineRule="auto"/>
              <w:rPr>
                <w:rFonts w:ascii="Times New Roman" w:eastAsia="Times New Roman" w:hAnsi="Times New Roman" w:cs="Times New Roman"/>
                <w:b/>
                <w:bCs/>
                <w:color w:val="000000"/>
                <w:lang w:val="en-MY"/>
              </w:rPr>
            </w:pPr>
            <w:r>
              <w:rPr>
                <w:rFonts w:ascii="Times New Roman" w:eastAsia="Times New Roman" w:hAnsi="Times New Roman" w:cs="Times New Roman"/>
                <w:b/>
                <w:bCs/>
                <w:color w:val="000000"/>
                <w:lang w:val="en-MY"/>
              </w:rPr>
              <w:t>Total Premutation (N!)</w:t>
            </w:r>
          </w:p>
        </w:tc>
        <w:tc>
          <w:tcPr>
            <w:tcW w:w="1701" w:type="dxa"/>
            <w:tcBorders>
              <w:bottom w:val="single" w:sz="4" w:space="0" w:color="auto"/>
            </w:tcBorders>
            <w:shd w:val="clear" w:color="auto" w:fill="auto"/>
            <w:noWrap/>
            <w:vAlign w:val="center"/>
            <w:hideMark/>
          </w:tcPr>
          <w:p w14:paraId="5B79861A"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24</w:t>
            </w:r>
          </w:p>
        </w:tc>
        <w:tc>
          <w:tcPr>
            <w:tcW w:w="2552" w:type="dxa"/>
            <w:tcBorders>
              <w:bottom w:val="single" w:sz="4" w:space="0" w:color="auto"/>
            </w:tcBorders>
            <w:shd w:val="clear" w:color="auto" w:fill="auto"/>
            <w:noWrap/>
            <w:vAlign w:val="center"/>
            <w:hideMark/>
          </w:tcPr>
          <w:p w14:paraId="601A6F02"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6</w:t>
            </w:r>
          </w:p>
        </w:tc>
        <w:tc>
          <w:tcPr>
            <w:tcW w:w="2613" w:type="dxa"/>
            <w:tcBorders>
              <w:bottom w:val="single" w:sz="4" w:space="0" w:color="auto"/>
            </w:tcBorders>
            <w:shd w:val="clear" w:color="auto" w:fill="auto"/>
            <w:noWrap/>
            <w:vAlign w:val="center"/>
            <w:hideMark/>
          </w:tcPr>
          <w:p w14:paraId="71217837"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720</w:t>
            </w:r>
          </w:p>
        </w:tc>
      </w:tr>
    </w:tbl>
    <w:p w14:paraId="27189AB1" w14:textId="77777777" w:rsidR="00C01D7C" w:rsidRDefault="00C01D7C" w:rsidP="00C01D7C">
      <w:pPr>
        <w:rPr>
          <w:rFonts w:ascii="Times New Roman" w:hAnsi="Times New Roman" w:cs="Times New Roman"/>
          <w:lang w:val="en-MY"/>
        </w:rPr>
      </w:pPr>
    </w:p>
    <w:p w14:paraId="75F33FC8" w14:textId="77777777" w:rsidR="00C01D7C" w:rsidRPr="00063DD0" w:rsidRDefault="00C01D7C" w:rsidP="00C01D7C">
      <w:pPr>
        <w:pStyle w:val="Caption"/>
        <w:keepNext/>
        <w:rPr>
          <w:rFonts w:ascii="Times New Roman" w:hAnsi="Times New Roman" w:cs="Times New Roman"/>
          <w:i w:val="0"/>
          <w:iCs w:val="0"/>
          <w:color w:val="auto"/>
          <w:sz w:val="24"/>
          <w:szCs w:val="24"/>
        </w:rPr>
      </w:pPr>
      <w:r w:rsidRPr="00251B46">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t>S</w:t>
      </w:r>
      <w:r w:rsidRPr="00251B46">
        <w:rPr>
          <w:rFonts w:ascii="Times New Roman" w:hAnsi="Times New Roman" w:cs="Times New Roman"/>
          <w:b/>
          <w:bCs/>
          <w:i w:val="0"/>
          <w:iCs w:val="0"/>
          <w:color w:val="auto"/>
          <w:sz w:val="24"/>
          <w:szCs w:val="24"/>
        </w:rPr>
        <w:fldChar w:fldCharType="begin"/>
      </w:r>
      <w:r w:rsidRPr="00251B46">
        <w:rPr>
          <w:rFonts w:ascii="Times New Roman" w:hAnsi="Times New Roman" w:cs="Times New Roman"/>
          <w:b/>
          <w:bCs/>
          <w:i w:val="0"/>
          <w:iCs w:val="0"/>
          <w:color w:val="auto"/>
          <w:sz w:val="24"/>
          <w:szCs w:val="24"/>
        </w:rPr>
        <w:instrText xml:space="preserve"> SEQ Table \* ARABIC </w:instrText>
      </w:r>
      <w:r w:rsidRPr="00251B46">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251B46">
        <w:rPr>
          <w:rFonts w:ascii="Times New Roman" w:hAnsi="Times New Roman" w:cs="Times New Roman"/>
          <w:b/>
          <w:bCs/>
          <w:i w:val="0"/>
          <w:iCs w:val="0"/>
          <w:color w:val="auto"/>
          <w:sz w:val="24"/>
          <w:szCs w:val="24"/>
        </w:rPr>
        <w:fldChar w:fldCharType="end"/>
      </w:r>
      <w:r w:rsidRPr="00251B46">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w:t>
      </w:r>
      <w:r w:rsidRPr="00063DD0">
        <w:rPr>
          <w:rFonts w:ascii="Times New Roman" w:hAnsi="Times New Roman" w:cs="Times New Roman"/>
          <w:i w:val="0"/>
          <w:iCs w:val="0"/>
          <w:color w:val="auto"/>
          <w:sz w:val="24"/>
          <w:szCs w:val="24"/>
        </w:rPr>
        <w:t>Shapley-</w:t>
      </w:r>
      <w:proofErr w:type="spellStart"/>
      <w:r w:rsidRPr="00063DD0">
        <w:rPr>
          <w:rFonts w:ascii="Times New Roman" w:hAnsi="Times New Roman" w:cs="Times New Roman"/>
          <w:i w:val="0"/>
          <w:iCs w:val="0"/>
          <w:color w:val="auto"/>
          <w:sz w:val="24"/>
          <w:szCs w:val="24"/>
        </w:rPr>
        <w:t>Shubik</w:t>
      </w:r>
      <w:proofErr w:type="spellEnd"/>
      <w:r w:rsidRPr="00063DD0">
        <w:rPr>
          <w:rFonts w:ascii="Times New Roman" w:hAnsi="Times New Roman" w:cs="Times New Roman"/>
          <w:i w:val="0"/>
          <w:iCs w:val="0"/>
          <w:color w:val="auto"/>
          <w:sz w:val="24"/>
          <w:szCs w:val="24"/>
        </w:rPr>
        <w:t xml:space="preserve"> Power Index</w:t>
      </w:r>
      <w:r>
        <w:rPr>
          <w:rFonts w:ascii="Times New Roman" w:hAnsi="Times New Roman" w:cs="Times New Roman"/>
          <w:i w:val="0"/>
          <w:iCs w:val="0"/>
          <w:color w:val="auto"/>
          <w:sz w:val="24"/>
          <w:szCs w:val="24"/>
        </w:rPr>
        <w:t xml:space="preserve">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P</m:t>
            </m:r>
          </m:sub>
        </m:sSub>
      </m:oMath>
      <w:r>
        <w:rPr>
          <w:rFonts w:ascii="Times New Roman" w:hAnsi="Times New Roman" w:cs="Times New Roman"/>
          <w:i w:val="0"/>
          <w:iCs w:val="0"/>
          <w:color w:val="auto"/>
          <w:sz w:val="24"/>
          <w:szCs w:val="24"/>
        </w:rPr>
        <w:t>) of respective technology for the 3 cases.</w:t>
      </w:r>
    </w:p>
    <w:tbl>
      <w:tblPr>
        <w:tblW w:w="8784" w:type="dxa"/>
        <w:tblLayout w:type="fixed"/>
        <w:tblLook w:val="04A0" w:firstRow="1" w:lastRow="0" w:firstColumn="1" w:lastColumn="0" w:noHBand="0" w:noVBand="1"/>
      </w:tblPr>
      <w:tblGrid>
        <w:gridCol w:w="1985"/>
        <w:gridCol w:w="2266"/>
        <w:gridCol w:w="1986"/>
        <w:gridCol w:w="2547"/>
      </w:tblGrid>
      <w:tr w:rsidR="00C01D7C" w:rsidRPr="00D33073" w14:paraId="71D7B888" w14:textId="77777777" w:rsidTr="001B3E3C">
        <w:trPr>
          <w:trHeight w:val="641"/>
        </w:trPr>
        <w:tc>
          <w:tcPr>
            <w:tcW w:w="1985" w:type="dxa"/>
            <w:tcBorders>
              <w:top w:val="single" w:sz="4" w:space="0" w:color="auto"/>
              <w:bottom w:val="single" w:sz="4" w:space="0" w:color="auto"/>
            </w:tcBorders>
            <w:shd w:val="clear" w:color="auto" w:fill="auto"/>
            <w:noWrap/>
            <w:vAlign w:val="center"/>
            <w:hideMark/>
          </w:tcPr>
          <w:p w14:paraId="0FE2C070"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Cases</w:t>
            </w:r>
          </w:p>
        </w:tc>
        <w:tc>
          <w:tcPr>
            <w:tcW w:w="2266" w:type="dxa"/>
            <w:tcBorders>
              <w:top w:val="single" w:sz="4" w:space="0" w:color="auto"/>
              <w:bottom w:val="single" w:sz="4" w:space="0" w:color="auto"/>
            </w:tcBorders>
            <w:shd w:val="clear" w:color="auto" w:fill="auto"/>
            <w:vAlign w:val="center"/>
            <w:hideMark/>
          </w:tcPr>
          <w:p w14:paraId="08FD4801"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Gasification</w:t>
            </w:r>
            <w:r w:rsidRPr="00D33073">
              <w:rPr>
                <w:rFonts w:ascii="Times New Roman" w:eastAsia="Times New Roman" w:hAnsi="Times New Roman" w:cs="Times New Roman"/>
                <w:b/>
                <w:bCs/>
                <w:color w:val="000000"/>
                <w:lang w:val="en-MY"/>
              </w:rPr>
              <w:br/>
              <w:t>(Rank 1)</w:t>
            </w:r>
          </w:p>
        </w:tc>
        <w:tc>
          <w:tcPr>
            <w:tcW w:w="1986" w:type="dxa"/>
            <w:tcBorders>
              <w:top w:val="single" w:sz="4" w:space="0" w:color="auto"/>
              <w:bottom w:val="single" w:sz="4" w:space="0" w:color="auto"/>
            </w:tcBorders>
            <w:shd w:val="clear" w:color="auto" w:fill="auto"/>
            <w:vAlign w:val="center"/>
            <w:hideMark/>
          </w:tcPr>
          <w:p w14:paraId="77C0147E"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BSF</w:t>
            </w:r>
            <w:r w:rsidRPr="00D33073">
              <w:rPr>
                <w:rFonts w:ascii="Times New Roman" w:eastAsia="Times New Roman" w:hAnsi="Times New Roman" w:cs="Times New Roman"/>
                <w:b/>
                <w:bCs/>
                <w:color w:val="000000"/>
                <w:lang w:val="en-MY"/>
              </w:rPr>
              <w:br/>
              <w:t>(Rank 3)</w:t>
            </w:r>
          </w:p>
        </w:tc>
        <w:tc>
          <w:tcPr>
            <w:tcW w:w="2547" w:type="dxa"/>
            <w:tcBorders>
              <w:top w:val="single" w:sz="4" w:space="0" w:color="auto"/>
              <w:bottom w:val="single" w:sz="4" w:space="0" w:color="auto"/>
            </w:tcBorders>
            <w:shd w:val="clear" w:color="auto" w:fill="auto"/>
            <w:vAlign w:val="center"/>
            <w:hideMark/>
          </w:tcPr>
          <w:p w14:paraId="1EDF2694" w14:textId="77777777" w:rsidR="00C01D7C" w:rsidRPr="00D33073" w:rsidRDefault="00C01D7C" w:rsidP="00B024D9">
            <w:pPr>
              <w:spacing w:after="0" w:line="240" w:lineRule="auto"/>
              <w:jc w:val="center"/>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 xml:space="preserve">Pyrolysis &amp; Gasification </w:t>
            </w:r>
            <w:r w:rsidRPr="00D33073">
              <w:rPr>
                <w:rFonts w:ascii="Times New Roman" w:eastAsia="Times New Roman" w:hAnsi="Times New Roman" w:cs="Times New Roman"/>
                <w:b/>
                <w:bCs/>
                <w:color w:val="000000"/>
                <w:lang w:val="en-MY"/>
              </w:rPr>
              <w:br/>
              <w:t>(Rank 11)</w:t>
            </w:r>
          </w:p>
        </w:tc>
      </w:tr>
      <w:tr w:rsidR="00C01D7C" w:rsidRPr="00D33073" w14:paraId="07462C1A" w14:textId="77777777" w:rsidTr="001B3E3C">
        <w:trPr>
          <w:trHeight w:val="308"/>
        </w:trPr>
        <w:tc>
          <w:tcPr>
            <w:tcW w:w="1985" w:type="dxa"/>
            <w:tcBorders>
              <w:top w:val="single" w:sz="4" w:space="0" w:color="auto"/>
            </w:tcBorders>
            <w:shd w:val="clear" w:color="auto" w:fill="auto"/>
            <w:noWrap/>
            <w:vAlign w:val="center"/>
            <w:hideMark/>
          </w:tcPr>
          <w:p w14:paraId="7BCF1F28"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WWTP</w:t>
            </w:r>
          </w:p>
        </w:tc>
        <w:tc>
          <w:tcPr>
            <w:tcW w:w="2266" w:type="dxa"/>
            <w:tcBorders>
              <w:top w:val="single" w:sz="4" w:space="0" w:color="auto"/>
            </w:tcBorders>
            <w:shd w:val="clear" w:color="auto" w:fill="auto"/>
            <w:noWrap/>
            <w:vAlign w:val="center"/>
            <w:hideMark/>
          </w:tcPr>
          <w:p w14:paraId="53EB3525"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0.00%</w:t>
            </w:r>
          </w:p>
        </w:tc>
        <w:tc>
          <w:tcPr>
            <w:tcW w:w="1986" w:type="dxa"/>
            <w:tcBorders>
              <w:top w:val="single" w:sz="4" w:space="0" w:color="auto"/>
            </w:tcBorders>
            <w:shd w:val="clear" w:color="auto" w:fill="auto"/>
            <w:noWrap/>
            <w:vAlign w:val="center"/>
            <w:hideMark/>
          </w:tcPr>
          <w:p w14:paraId="0162B0C6"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0.00%</w:t>
            </w:r>
          </w:p>
        </w:tc>
        <w:tc>
          <w:tcPr>
            <w:tcW w:w="2547" w:type="dxa"/>
            <w:tcBorders>
              <w:top w:val="single" w:sz="4" w:space="0" w:color="auto"/>
            </w:tcBorders>
            <w:shd w:val="clear" w:color="auto" w:fill="auto"/>
            <w:noWrap/>
            <w:vAlign w:val="center"/>
            <w:hideMark/>
          </w:tcPr>
          <w:p w14:paraId="422457B9"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0.00%</w:t>
            </w:r>
          </w:p>
        </w:tc>
      </w:tr>
      <w:tr w:rsidR="00C01D7C" w:rsidRPr="00D33073" w14:paraId="170B5201" w14:textId="77777777" w:rsidTr="001B3E3C">
        <w:trPr>
          <w:trHeight w:val="323"/>
        </w:trPr>
        <w:tc>
          <w:tcPr>
            <w:tcW w:w="1985" w:type="dxa"/>
            <w:shd w:val="clear" w:color="auto" w:fill="auto"/>
            <w:noWrap/>
            <w:vAlign w:val="center"/>
            <w:hideMark/>
          </w:tcPr>
          <w:p w14:paraId="2A16A2DC"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Hydroponic</w:t>
            </w:r>
          </w:p>
        </w:tc>
        <w:tc>
          <w:tcPr>
            <w:tcW w:w="2266" w:type="dxa"/>
            <w:shd w:val="clear" w:color="auto" w:fill="auto"/>
            <w:noWrap/>
            <w:vAlign w:val="center"/>
            <w:hideMark/>
          </w:tcPr>
          <w:p w14:paraId="41729B5A"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41.67%</w:t>
            </w:r>
          </w:p>
        </w:tc>
        <w:tc>
          <w:tcPr>
            <w:tcW w:w="1986" w:type="dxa"/>
            <w:shd w:val="clear" w:color="auto" w:fill="auto"/>
            <w:noWrap/>
            <w:vAlign w:val="center"/>
            <w:hideMark/>
          </w:tcPr>
          <w:p w14:paraId="64BEA5D5"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50.00%</w:t>
            </w:r>
          </w:p>
        </w:tc>
        <w:tc>
          <w:tcPr>
            <w:tcW w:w="2547" w:type="dxa"/>
            <w:shd w:val="clear" w:color="auto" w:fill="auto"/>
            <w:noWrap/>
            <w:vAlign w:val="center"/>
            <w:hideMark/>
          </w:tcPr>
          <w:p w14:paraId="00ECC9EE"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96.67%</w:t>
            </w:r>
          </w:p>
        </w:tc>
      </w:tr>
      <w:tr w:rsidR="00C01D7C" w:rsidRPr="00D33073" w14:paraId="0EAB4366" w14:textId="77777777" w:rsidTr="001B3E3C">
        <w:trPr>
          <w:trHeight w:val="308"/>
        </w:trPr>
        <w:tc>
          <w:tcPr>
            <w:tcW w:w="1985" w:type="dxa"/>
            <w:shd w:val="clear" w:color="auto" w:fill="auto"/>
            <w:noWrap/>
            <w:vAlign w:val="center"/>
            <w:hideMark/>
          </w:tcPr>
          <w:p w14:paraId="2855C017"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Gasification</w:t>
            </w:r>
          </w:p>
        </w:tc>
        <w:tc>
          <w:tcPr>
            <w:tcW w:w="2266" w:type="dxa"/>
            <w:shd w:val="clear" w:color="auto" w:fill="auto"/>
            <w:noWrap/>
            <w:vAlign w:val="center"/>
            <w:hideMark/>
          </w:tcPr>
          <w:p w14:paraId="7CB6FB85"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29.17%</w:t>
            </w:r>
          </w:p>
        </w:tc>
        <w:tc>
          <w:tcPr>
            <w:tcW w:w="1986" w:type="dxa"/>
            <w:shd w:val="clear" w:color="auto" w:fill="auto"/>
            <w:noWrap/>
            <w:vAlign w:val="center"/>
            <w:hideMark/>
          </w:tcPr>
          <w:p w14:paraId="12DC189D"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47" w:type="dxa"/>
            <w:shd w:val="clear" w:color="auto" w:fill="auto"/>
            <w:noWrap/>
            <w:vAlign w:val="center"/>
            <w:hideMark/>
          </w:tcPr>
          <w:p w14:paraId="20A90180"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0.83%</w:t>
            </w:r>
          </w:p>
        </w:tc>
      </w:tr>
      <w:tr w:rsidR="00C01D7C" w:rsidRPr="00D33073" w14:paraId="2BA245EE" w14:textId="77777777" w:rsidTr="001B3E3C">
        <w:trPr>
          <w:trHeight w:val="308"/>
        </w:trPr>
        <w:tc>
          <w:tcPr>
            <w:tcW w:w="1985" w:type="dxa"/>
            <w:shd w:val="clear" w:color="auto" w:fill="auto"/>
            <w:noWrap/>
            <w:vAlign w:val="center"/>
            <w:hideMark/>
          </w:tcPr>
          <w:p w14:paraId="5B4566DC"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FT Process</w:t>
            </w:r>
          </w:p>
        </w:tc>
        <w:tc>
          <w:tcPr>
            <w:tcW w:w="2266" w:type="dxa"/>
            <w:shd w:val="clear" w:color="auto" w:fill="auto"/>
            <w:noWrap/>
            <w:vAlign w:val="center"/>
            <w:hideMark/>
          </w:tcPr>
          <w:p w14:paraId="1087F8B7"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29.17%</w:t>
            </w:r>
          </w:p>
        </w:tc>
        <w:tc>
          <w:tcPr>
            <w:tcW w:w="1986" w:type="dxa"/>
            <w:shd w:val="clear" w:color="auto" w:fill="auto"/>
            <w:noWrap/>
            <w:vAlign w:val="center"/>
            <w:hideMark/>
          </w:tcPr>
          <w:p w14:paraId="4B5D4272"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47" w:type="dxa"/>
            <w:shd w:val="clear" w:color="auto" w:fill="auto"/>
            <w:noWrap/>
            <w:vAlign w:val="center"/>
            <w:hideMark/>
          </w:tcPr>
          <w:p w14:paraId="53CAF192"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0.83%</w:t>
            </w:r>
          </w:p>
        </w:tc>
      </w:tr>
      <w:tr w:rsidR="00C01D7C" w:rsidRPr="00D33073" w14:paraId="10ECF0D1" w14:textId="77777777" w:rsidTr="001B3E3C">
        <w:trPr>
          <w:trHeight w:val="308"/>
        </w:trPr>
        <w:tc>
          <w:tcPr>
            <w:tcW w:w="1985" w:type="dxa"/>
            <w:shd w:val="clear" w:color="auto" w:fill="auto"/>
            <w:noWrap/>
            <w:vAlign w:val="center"/>
            <w:hideMark/>
          </w:tcPr>
          <w:p w14:paraId="0B6197C7"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lang w:val="en-MY"/>
              </w:rPr>
              <w:t>BSF facility</w:t>
            </w:r>
          </w:p>
        </w:tc>
        <w:tc>
          <w:tcPr>
            <w:tcW w:w="2266" w:type="dxa"/>
            <w:shd w:val="clear" w:color="auto" w:fill="auto"/>
            <w:noWrap/>
            <w:vAlign w:val="center"/>
            <w:hideMark/>
          </w:tcPr>
          <w:p w14:paraId="3A085861"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1986" w:type="dxa"/>
            <w:shd w:val="clear" w:color="auto" w:fill="auto"/>
            <w:noWrap/>
            <w:vAlign w:val="center"/>
            <w:hideMark/>
          </w:tcPr>
          <w:p w14:paraId="6D3345B8"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50.00%</w:t>
            </w:r>
          </w:p>
        </w:tc>
        <w:tc>
          <w:tcPr>
            <w:tcW w:w="2547" w:type="dxa"/>
            <w:shd w:val="clear" w:color="auto" w:fill="auto"/>
            <w:noWrap/>
            <w:vAlign w:val="center"/>
            <w:hideMark/>
          </w:tcPr>
          <w:p w14:paraId="6306A4CB"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r>
      <w:tr w:rsidR="00C01D7C" w:rsidRPr="00D33073" w14:paraId="0C7AFBC3" w14:textId="77777777" w:rsidTr="001B3E3C">
        <w:trPr>
          <w:trHeight w:val="308"/>
        </w:trPr>
        <w:tc>
          <w:tcPr>
            <w:tcW w:w="1985" w:type="dxa"/>
            <w:shd w:val="clear" w:color="auto" w:fill="auto"/>
            <w:noWrap/>
            <w:vAlign w:val="center"/>
            <w:hideMark/>
          </w:tcPr>
          <w:p w14:paraId="6CDF3912"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Pyrolysis</w:t>
            </w:r>
          </w:p>
        </w:tc>
        <w:tc>
          <w:tcPr>
            <w:tcW w:w="2266" w:type="dxa"/>
            <w:shd w:val="clear" w:color="auto" w:fill="auto"/>
            <w:noWrap/>
            <w:vAlign w:val="center"/>
            <w:hideMark/>
          </w:tcPr>
          <w:p w14:paraId="4A9D5BC1"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1986" w:type="dxa"/>
            <w:shd w:val="clear" w:color="auto" w:fill="auto"/>
            <w:noWrap/>
            <w:vAlign w:val="center"/>
            <w:hideMark/>
          </w:tcPr>
          <w:p w14:paraId="11D5CA77"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47" w:type="dxa"/>
            <w:shd w:val="clear" w:color="auto" w:fill="auto"/>
            <w:noWrap/>
            <w:vAlign w:val="center"/>
            <w:hideMark/>
          </w:tcPr>
          <w:p w14:paraId="51C4F86B"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0.83%</w:t>
            </w:r>
          </w:p>
        </w:tc>
      </w:tr>
      <w:tr w:rsidR="00C01D7C" w:rsidRPr="00D33073" w14:paraId="4E9F6030" w14:textId="77777777" w:rsidTr="001B3E3C">
        <w:trPr>
          <w:trHeight w:val="308"/>
        </w:trPr>
        <w:tc>
          <w:tcPr>
            <w:tcW w:w="1985" w:type="dxa"/>
            <w:tcBorders>
              <w:bottom w:val="single" w:sz="4" w:space="0" w:color="auto"/>
            </w:tcBorders>
            <w:shd w:val="clear" w:color="auto" w:fill="auto"/>
            <w:noWrap/>
            <w:vAlign w:val="center"/>
            <w:hideMark/>
          </w:tcPr>
          <w:p w14:paraId="651927FA" w14:textId="77777777" w:rsidR="00C01D7C" w:rsidRPr="00D33073" w:rsidRDefault="00C01D7C" w:rsidP="00B024D9">
            <w:pPr>
              <w:spacing w:after="0" w:line="240" w:lineRule="auto"/>
              <w:rPr>
                <w:rFonts w:ascii="Times New Roman" w:eastAsia="Times New Roman" w:hAnsi="Times New Roman" w:cs="Times New Roman"/>
                <w:b/>
                <w:bCs/>
                <w:color w:val="000000"/>
                <w:lang w:val="en-MY"/>
              </w:rPr>
            </w:pPr>
            <w:r w:rsidRPr="00D33073">
              <w:rPr>
                <w:rFonts w:ascii="Times New Roman" w:eastAsia="Times New Roman" w:hAnsi="Times New Roman" w:cs="Times New Roman"/>
                <w:b/>
                <w:bCs/>
                <w:color w:val="000000"/>
                <w:lang w:val="en-MY"/>
              </w:rPr>
              <w:t>CHP</w:t>
            </w:r>
          </w:p>
        </w:tc>
        <w:tc>
          <w:tcPr>
            <w:tcW w:w="2266" w:type="dxa"/>
            <w:tcBorders>
              <w:bottom w:val="single" w:sz="4" w:space="0" w:color="auto"/>
            </w:tcBorders>
            <w:shd w:val="clear" w:color="auto" w:fill="auto"/>
            <w:noWrap/>
            <w:vAlign w:val="center"/>
            <w:hideMark/>
          </w:tcPr>
          <w:p w14:paraId="111F8E3F"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1986" w:type="dxa"/>
            <w:tcBorders>
              <w:bottom w:val="single" w:sz="4" w:space="0" w:color="auto"/>
            </w:tcBorders>
            <w:shd w:val="clear" w:color="auto" w:fill="auto"/>
            <w:noWrap/>
            <w:vAlign w:val="center"/>
            <w:hideMark/>
          </w:tcPr>
          <w:p w14:paraId="02A0B3FF"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w:t>
            </w:r>
          </w:p>
        </w:tc>
        <w:tc>
          <w:tcPr>
            <w:tcW w:w="2547" w:type="dxa"/>
            <w:tcBorders>
              <w:bottom w:val="single" w:sz="4" w:space="0" w:color="auto"/>
            </w:tcBorders>
            <w:shd w:val="clear" w:color="auto" w:fill="auto"/>
            <w:noWrap/>
            <w:vAlign w:val="center"/>
            <w:hideMark/>
          </w:tcPr>
          <w:p w14:paraId="6A25FE73" w14:textId="77777777" w:rsidR="00C01D7C" w:rsidRPr="00D33073" w:rsidRDefault="00C01D7C" w:rsidP="00B024D9">
            <w:pPr>
              <w:spacing w:after="0" w:line="240" w:lineRule="auto"/>
              <w:jc w:val="center"/>
              <w:rPr>
                <w:rFonts w:ascii="Times New Roman" w:eastAsia="Times New Roman" w:hAnsi="Times New Roman" w:cs="Times New Roman"/>
                <w:color w:val="000000"/>
                <w:lang w:val="en-MY"/>
              </w:rPr>
            </w:pPr>
            <w:r w:rsidRPr="00D33073">
              <w:rPr>
                <w:rFonts w:ascii="Times New Roman" w:eastAsia="Times New Roman" w:hAnsi="Times New Roman" w:cs="Times New Roman"/>
                <w:color w:val="000000"/>
                <w:lang w:val="en-MY"/>
              </w:rPr>
              <w:t>0.83%</w:t>
            </w:r>
          </w:p>
        </w:tc>
      </w:tr>
    </w:tbl>
    <w:p w14:paraId="5339FD2F" w14:textId="77777777" w:rsidR="00C01D7C" w:rsidRDefault="00C01D7C" w:rsidP="00C01D7C">
      <w:pPr>
        <w:rPr>
          <w:rFonts w:ascii="Times New Roman" w:hAnsi="Times New Roman" w:cs="Times New Roman"/>
          <w:lang w:val="en-MY"/>
        </w:rPr>
      </w:pPr>
    </w:p>
    <w:sectPr w:rsidR="00C01D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yMDE2MzEzMTYwMDVX0lEKTi0uzszPAykwqgUAtBicbiwAAAA="/>
  </w:docVars>
  <w:rsids>
    <w:rsidRoot w:val="00C60458"/>
    <w:rsid w:val="00007F29"/>
    <w:rsid w:val="00026AFF"/>
    <w:rsid w:val="00030AEC"/>
    <w:rsid w:val="000327F4"/>
    <w:rsid w:val="0004335D"/>
    <w:rsid w:val="000437BF"/>
    <w:rsid w:val="000627E5"/>
    <w:rsid w:val="000A44B9"/>
    <w:rsid w:val="000B565E"/>
    <w:rsid w:val="000E2356"/>
    <w:rsid w:val="00117D9B"/>
    <w:rsid w:val="00145C91"/>
    <w:rsid w:val="00192E46"/>
    <w:rsid w:val="001B3E3C"/>
    <w:rsid w:val="001D2AA8"/>
    <w:rsid w:val="00221FC0"/>
    <w:rsid w:val="0024490E"/>
    <w:rsid w:val="00251B46"/>
    <w:rsid w:val="002B149D"/>
    <w:rsid w:val="002C259F"/>
    <w:rsid w:val="002E6118"/>
    <w:rsid w:val="003946B2"/>
    <w:rsid w:val="003C32D3"/>
    <w:rsid w:val="00411862"/>
    <w:rsid w:val="00420842"/>
    <w:rsid w:val="00427D83"/>
    <w:rsid w:val="00487D29"/>
    <w:rsid w:val="004A529E"/>
    <w:rsid w:val="004B178A"/>
    <w:rsid w:val="004E78B6"/>
    <w:rsid w:val="00514D39"/>
    <w:rsid w:val="005421CF"/>
    <w:rsid w:val="00555F01"/>
    <w:rsid w:val="005939F7"/>
    <w:rsid w:val="006216FA"/>
    <w:rsid w:val="006365EF"/>
    <w:rsid w:val="00670A0A"/>
    <w:rsid w:val="006822DC"/>
    <w:rsid w:val="006872C4"/>
    <w:rsid w:val="006B5612"/>
    <w:rsid w:val="006C248B"/>
    <w:rsid w:val="0070092F"/>
    <w:rsid w:val="00707823"/>
    <w:rsid w:val="00713318"/>
    <w:rsid w:val="007D2FD8"/>
    <w:rsid w:val="007D711D"/>
    <w:rsid w:val="00807473"/>
    <w:rsid w:val="00826FF6"/>
    <w:rsid w:val="00887CA7"/>
    <w:rsid w:val="008B4F78"/>
    <w:rsid w:val="009026A2"/>
    <w:rsid w:val="00916D8E"/>
    <w:rsid w:val="00924D86"/>
    <w:rsid w:val="00932704"/>
    <w:rsid w:val="0097191B"/>
    <w:rsid w:val="0099318C"/>
    <w:rsid w:val="009E5796"/>
    <w:rsid w:val="00A1082D"/>
    <w:rsid w:val="00A161E0"/>
    <w:rsid w:val="00A3434A"/>
    <w:rsid w:val="00A75F09"/>
    <w:rsid w:val="00A76F1E"/>
    <w:rsid w:val="00AE7A55"/>
    <w:rsid w:val="00B02C64"/>
    <w:rsid w:val="00B41DEA"/>
    <w:rsid w:val="00B56B16"/>
    <w:rsid w:val="00BA2AAE"/>
    <w:rsid w:val="00BA41BB"/>
    <w:rsid w:val="00BD21BC"/>
    <w:rsid w:val="00C01D7C"/>
    <w:rsid w:val="00C26FA4"/>
    <w:rsid w:val="00C55CD3"/>
    <w:rsid w:val="00C60458"/>
    <w:rsid w:val="00C82132"/>
    <w:rsid w:val="00CC11BA"/>
    <w:rsid w:val="00CC409F"/>
    <w:rsid w:val="00CC7779"/>
    <w:rsid w:val="00CF3553"/>
    <w:rsid w:val="00CF3E9C"/>
    <w:rsid w:val="00D0061E"/>
    <w:rsid w:val="00D2757B"/>
    <w:rsid w:val="00D424D6"/>
    <w:rsid w:val="00D45ACE"/>
    <w:rsid w:val="00D53CE8"/>
    <w:rsid w:val="00D56C1D"/>
    <w:rsid w:val="00DA26E4"/>
    <w:rsid w:val="00DC3511"/>
    <w:rsid w:val="00E126C1"/>
    <w:rsid w:val="00E24B86"/>
    <w:rsid w:val="00E41761"/>
    <w:rsid w:val="00E56679"/>
    <w:rsid w:val="00E71AA3"/>
    <w:rsid w:val="00E91007"/>
    <w:rsid w:val="00EA46C5"/>
    <w:rsid w:val="00F82249"/>
    <w:rsid w:val="1BA6079C"/>
    <w:rsid w:val="246D86C8"/>
    <w:rsid w:val="28F7168D"/>
    <w:rsid w:val="2E4BBEBA"/>
    <w:rsid w:val="47E8C0C6"/>
    <w:rsid w:val="5838C65C"/>
    <w:rsid w:val="590170B0"/>
    <w:rsid w:val="5CABD595"/>
    <w:rsid w:val="621CFC3C"/>
    <w:rsid w:val="69AA9B10"/>
    <w:rsid w:val="744AD015"/>
    <w:rsid w:val="7EC29BA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0E21"/>
  <w15:chartTrackingRefBased/>
  <w15:docId w15:val="{A9516BD3-AA42-43A4-B651-4F6CDF16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719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91B"/>
    <w:rPr>
      <w:rFonts w:asciiTheme="majorHAnsi" w:eastAsiaTheme="majorEastAsia" w:hAnsiTheme="majorHAnsi" w:cstheme="majorBidi"/>
      <w:color w:val="2F5496" w:themeColor="accent1" w:themeShade="BF"/>
      <w:sz w:val="32"/>
      <w:szCs w:val="32"/>
      <w:lang w:val="en-GB"/>
    </w:rPr>
  </w:style>
  <w:style w:type="paragraph" w:styleId="Caption">
    <w:name w:val="caption"/>
    <w:basedOn w:val="Normal"/>
    <w:next w:val="Normal"/>
    <w:uiPriority w:val="35"/>
    <w:unhideWhenUsed/>
    <w:qFormat/>
    <w:rsid w:val="0097191B"/>
    <w:pPr>
      <w:spacing w:after="200" w:line="240" w:lineRule="auto"/>
    </w:pPr>
    <w:rPr>
      <w:i/>
      <w:iCs/>
      <w:color w:val="44546A" w:themeColor="text2"/>
      <w:sz w:val="18"/>
      <w:szCs w:val="18"/>
    </w:rPr>
  </w:style>
  <w:style w:type="table" w:styleId="TableGrid">
    <w:name w:val="Table Grid"/>
    <w:basedOn w:val="TableNormal"/>
    <w:uiPriority w:val="39"/>
    <w:rsid w:val="00542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1DEA"/>
    <w:rPr>
      <w:color w:val="808080"/>
    </w:rPr>
  </w:style>
  <w:style w:type="character" w:styleId="CommentReference">
    <w:name w:val="annotation reference"/>
    <w:basedOn w:val="DefaultParagraphFont"/>
    <w:uiPriority w:val="99"/>
    <w:semiHidden/>
    <w:unhideWhenUsed/>
    <w:rsid w:val="00B56B16"/>
    <w:rPr>
      <w:sz w:val="16"/>
      <w:szCs w:val="16"/>
    </w:rPr>
  </w:style>
  <w:style w:type="paragraph" w:styleId="CommentText">
    <w:name w:val="annotation text"/>
    <w:basedOn w:val="Normal"/>
    <w:link w:val="CommentTextChar"/>
    <w:uiPriority w:val="99"/>
    <w:semiHidden/>
    <w:unhideWhenUsed/>
    <w:rsid w:val="00B56B16"/>
    <w:pPr>
      <w:spacing w:line="240" w:lineRule="auto"/>
    </w:pPr>
    <w:rPr>
      <w:sz w:val="20"/>
      <w:szCs w:val="20"/>
    </w:rPr>
  </w:style>
  <w:style w:type="character" w:customStyle="1" w:styleId="CommentTextChar">
    <w:name w:val="Comment Text Char"/>
    <w:basedOn w:val="DefaultParagraphFont"/>
    <w:link w:val="CommentText"/>
    <w:uiPriority w:val="99"/>
    <w:semiHidden/>
    <w:rsid w:val="00B56B16"/>
    <w:rPr>
      <w:sz w:val="20"/>
      <w:szCs w:val="20"/>
      <w:lang w:val="en-GB"/>
    </w:rPr>
  </w:style>
  <w:style w:type="paragraph" w:styleId="CommentSubject">
    <w:name w:val="annotation subject"/>
    <w:basedOn w:val="CommentText"/>
    <w:next w:val="CommentText"/>
    <w:link w:val="CommentSubjectChar"/>
    <w:uiPriority w:val="99"/>
    <w:semiHidden/>
    <w:unhideWhenUsed/>
    <w:rsid w:val="00B56B16"/>
    <w:rPr>
      <w:b/>
      <w:bCs/>
    </w:rPr>
  </w:style>
  <w:style w:type="character" w:customStyle="1" w:styleId="CommentSubjectChar">
    <w:name w:val="Comment Subject Char"/>
    <w:basedOn w:val="CommentTextChar"/>
    <w:link w:val="CommentSubject"/>
    <w:uiPriority w:val="99"/>
    <w:semiHidden/>
    <w:rsid w:val="00B56B16"/>
    <w:rPr>
      <w:b/>
      <w:bCs/>
      <w:sz w:val="20"/>
      <w:szCs w:val="20"/>
      <w:lang w:val="en-GB"/>
    </w:rPr>
  </w:style>
  <w:style w:type="paragraph" w:styleId="BalloonText">
    <w:name w:val="Balloon Text"/>
    <w:basedOn w:val="Normal"/>
    <w:link w:val="BalloonTextChar"/>
    <w:uiPriority w:val="99"/>
    <w:semiHidden/>
    <w:unhideWhenUsed/>
    <w:rsid w:val="00B56B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B1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17943">
      <w:bodyDiv w:val="1"/>
      <w:marLeft w:val="0"/>
      <w:marRight w:val="0"/>
      <w:marTop w:val="0"/>
      <w:marBottom w:val="0"/>
      <w:divBdr>
        <w:top w:val="none" w:sz="0" w:space="0" w:color="auto"/>
        <w:left w:val="none" w:sz="0" w:space="0" w:color="auto"/>
        <w:bottom w:val="none" w:sz="0" w:space="0" w:color="auto"/>
        <w:right w:val="none" w:sz="0" w:space="0" w:color="auto"/>
      </w:divBdr>
    </w:div>
    <w:div w:id="142167463">
      <w:bodyDiv w:val="1"/>
      <w:marLeft w:val="0"/>
      <w:marRight w:val="0"/>
      <w:marTop w:val="0"/>
      <w:marBottom w:val="0"/>
      <w:divBdr>
        <w:top w:val="none" w:sz="0" w:space="0" w:color="auto"/>
        <w:left w:val="none" w:sz="0" w:space="0" w:color="auto"/>
        <w:bottom w:val="none" w:sz="0" w:space="0" w:color="auto"/>
        <w:right w:val="none" w:sz="0" w:space="0" w:color="auto"/>
      </w:divBdr>
    </w:div>
    <w:div w:id="161510450">
      <w:bodyDiv w:val="1"/>
      <w:marLeft w:val="0"/>
      <w:marRight w:val="0"/>
      <w:marTop w:val="0"/>
      <w:marBottom w:val="0"/>
      <w:divBdr>
        <w:top w:val="none" w:sz="0" w:space="0" w:color="auto"/>
        <w:left w:val="none" w:sz="0" w:space="0" w:color="auto"/>
        <w:bottom w:val="none" w:sz="0" w:space="0" w:color="auto"/>
        <w:right w:val="none" w:sz="0" w:space="0" w:color="auto"/>
      </w:divBdr>
    </w:div>
    <w:div w:id="637303347">
      <w:bodyDiv w:val="1"/>
      <w:marLeft w:val="0"/>
      <w:marRight w:val="0"/>
      <w:marTop w:val="0"/>
      <w:marBottom w:val="0"/>
      <w:divBdr>
        <w:top w:val="none" w:sz="0" w:space="0" w:color="auto"/>
        <w:left w:val="none" w:sz="0" w:space="0" w:color="auto"/>
        <w:bottom w:val="none" w:sz="0" w:space="0" w:color="auto"/>
        <w:right w:val="none" w:sz="0" w:space="0" w:color="auto"/>
      </w:divBdr>
    </w:div>
    <w:div w:id="824320210">
      <w:bodyDiv w:val="1"/>
      <w:marLeft w:val="0"/>
      <w:marRight w:val="0"/>
      <w:marTop w:val="0"/>
      <w:marBottom w:val="0"/>
      <w:divBdr>
        <w:top w:val="none" w:sz="0" w:space="0" w:color="auto"/>
        <w:left w:val="none" w:sz="0" w:space="0" w:color="auto"/>
        <w:bottom w:val="none" w:sz="0" w:space="0" w:color="auto"/>
        <w:right w:val="none" w:sz="0" w:space="0" w:color="auto"/>
      </w:divBdr>
    </w:div>
    <w:div w:id="944964274">
      <w:bodyDiv w:val="1"/>
      <w:marLeft w:val="0"/>
      <w:marRight w:val="0"/>
      <w:marTop w:val="0"/>
      <w:marBottom w:val="0"/>
      <w:divBdr>
        <w:top w:val="none" w:sz="0" w:space="0" w:color="auto"/>
        <w:left w:val="none" w:sz="0" w:space="0" w:color="auto"/>
        <w:bottom w:val="none" w:sz="0" w:space="0" w:color="auto"/>
        <w:right w:val="none" w:sz="0" w:space="0" w:color="auto"/>
      </w:divBdr>
    </w:div>
    <w:div w:id="979656523">
      <w:bodyDiv w:val="1"/>
      <w:marLeft w:val="0"/>
      <w:marRight w:val="0"/>
      <w:marTop w:val="0"/>
      <w:marBottom w:val="0"/>
      <w:divBdr>
        <w:top w:val="none" w:sz="0" w:space="0" w:color="auto"/>
        <w:left w:val="none" w:sz="0" w:space="0" w:color="auto"/>
        <w:bottom w:val="none" w:sz="0" w:space="0" w:color="auto"/>
        <w:right w:val="none" w:sz="0" w:space="0" w:color="auto"/>
      </w:divBdr>
    </w:div>
    <w:div w:id="1015495492">
      <w:bodyDiv w:val="1"/>
      <w:marLeft w:val="0"/>
      <w:marRight w:val="0"/>
      <w:marTop w:val="0"/>
      <w:marBottom w:val="0"/>
      <w:divBdr>
        <w:top w:val="none" w:sz="0" w:space="0" w:color="auto"/>
        <w:left w:val="none" w:sz="0" w:space="0" w:color="auto"/>
        <w:bottom w:val="none" w:sz="0" w:space="0" w:color="auto"/>
        <w:right w:val="none" w:sz="0" w:space="0" w:color="auto"/>
      </w:divBdr>
    </w:div>
    <w:div w:id="1020157866">
      <w:bodyDiv w:val="1"/>
      <w:marLeft w:val="0"/>
      <w:marRight w:val="0"/>
      <w:marTop w:val="0"/>
      <w:marBottom w:val="0"/>
      <w:divBdr>
        <w:top w:val="none" w:sz="0" w:space="0" w:color="auto"/>
        <w:left w:val="none" w:sz="0" w:space="0" w:color="auto"/>
        <w:bottom w:val="none" w:sz="0" w:space="0" w:color="auto"/>
        <w:right w:val="none" w:sz="0" w:space="0" w:color="auto"/>
      </w:divBdr>
    </w:div>
    <w:div w:id="1065104338">
      <w:bodyDiv w:val="1"/>
      <w:marLeft w:val="0"/>
      <w:marRight w:val="0"/>
      <w:marTop w:val="0"/>
      <w:marBottom w:val="0"/>
      <w:divBdr>
        <w:top w:val="none" w:sz="0" w:space="0" w:color="auto"/>
        <w:left w:val="none" w:sz="0" w:space="0" w:color="auto"/>
        <w:bottom w:val="none" w:sz="0" w:space="0" w:color="auto"/>
        <w:right w:val="none" w:sz="0" w:space="0" w:color="auto"/>
      </w:divBdr>
    </w:div>
    <w:div w:id="1465614147">
      <w:bodyDiv w:val="1"/>
      <w:marLeft w:val="0"/>
      <w:marRight w:val="0"/>
      <w:marTop w:val="0"/>
      <w:marBottom w:val="0"/>
      <w:divBdr>
        <w:top w:val="none" w:sz="0" w:space="0" w:color="auto"/>
        <w:left w:val="none" w:sz="0" w:space="0" w:color="auto"/>
        <w:bottom w:val="none" w:sz="0" w:space="0" w:color="auto"/>
        <w:right w:val="none" w:sz="0" w:space="0" w:color="auto"/>
      </w:divBdr>
    </w:div>
    <w:div w:id="1553156383">
      <w:bodyDiv w:val="1"/>
      <w:marLeft w:val="0"/>
      <w:marRight w:val="0"/>
      <w:marTop w:val="0"/>
      <w:marBottom w:val="0"/>
      <w:divBdr>
        <w:top w:val="none" w:sz="0" w:space="0" w:color="auto"/>
        <w:left w:val="none" w:sz="0" w:space="0" w:color="auto"/>
        <w:bottom w:val="none" w:sz="0" w:space="0" w:color="auto"/>
        <w:right w:val="none" w:sz="0" w:space="0" w:color="auto"/>
      </w:divBdr>
    </w:div>
    <w:div w:id="1620985283">
      <w:bodyDiv w:val="1"/>
      <w:marLeft w:val="0"/>
      <w:marRight w:val="0"/>
      <w:marTop w:val="0"/>
      <w:marBottom w:val="0"/>
      <w:divBdr>
        <w:top w:val="none" w:sz="0" w:space="0" w:color="auto"/>
        <w:left w:val="none" w:sz="0" w:space="0" w:color="auto"/>
        <w:bottom w:val="none" w:sz="0" w:space="0" w:color="auto"/>
        <w:right w:val="none" w:sz="0" w:space="0" w:color="auto"/>
      </w:divBdr>
    </w:div>
    <w:div w:id="1795782519">
      <w:bodyDiv w:val="1"/>
      <w:marLeft w:val="0"/>
      <w:marRight w:val="0"/>
      <w:marTop w:val="0"/>
      <w:marBottom w:val="0"/>
      <w:divBdr>
        <w:top w:val="none" w:sz="0" w:space="0" w:color="auto"/>
        <w:left w:val="none" w:sz="0" w:space="0" w:color="auto"/>
        <w:bottom w:val="none" w:sz="0" w:space="0" w:color="auto"/>
        <w:right w:val="none" w:sz="0" w:space="0" w:color="auto"/>
      </w:divBdr>
    </w:div>
    <w:div w:id="1800536549">
      <w:bodyDiv w:val="1"/>
      <w:marLeft w:val="0"/>
      <w:marRight w:val="0"/>
      <w:marTop w:val="0"/>
      <w:marBottom w:val="0"/>
      <w:divBdr>
        <w:top w:val="none" w:sz="0" w:space="0" w:color="auto"/>
        <w:left w:val="none" w:sz="0" w:space="0" w:color="auto"/>
        <w:bottom w:val="none" w:sz="0" w:space="0" w:color="auto"/>
        <w:right w:val="none" w:sz="0" w:space="0" w:color="auto"/>
      </w:divBdr>
    </w:div>
    <w:div w:id="1840732266">
      <w:bodyDiv w:val="1"/>
      <w:marLeft w:val="0"/>
      <w:marRight w:val="0"/>
      <w:marTop w:val="0"/>
      <w:marBottom w:val="0"/>
      <w:divBdr>
        <w:top w:val="none" w:sz="0" w:space="0" w:color="auto"/>
        <w:left w:val="none" w:sz="0" w:space="0" w:color="auto"/>
        <w:bottom w:val="none" w:sz="0" w:space="0" w:color="auto"/>
        <w:right w:val="none" w:sz="0" w:space="0" w:color="auto"/>
      </w:divBdr>
    </w:div>
    <w:div w:id="206486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ECAE5E0-5D80-2949-A0B3-94D1F0461F03}"/>
      </w:docPartPr>
      <w:docPartBody>
        <w:p w:rsidR="00C40CE5" w:rsidRDefault="005F76E1">
          <w:r w:rsidRPr="000B30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6E1"/>
    <w:rsid w:val="000703BD"/>
    <w:rsid w:val="00316B3E"/>
    <w:rsid w:val="003F6AA3"/>
    <w:rsid w:val="005419D8"/>
    <w:rsid w:val="005F76E1"/>
    <w:rsid w:val="00BA6F20"/>
    <w:rsid w:val="00C40CE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6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1E5AC8-4281-4A4D-ACFC-173030578135}">
  <we:reference id="f78a3046-9e99-4300-aa2b-5814002b01a2" version="1.55.1.0" store="EXCatalog" storeType="EXCatalog"/>
  <we:alternateReferences>
    <we:reference id="WA104382081" version="1.55.1.0" store="en-MY" storeType="OMEX"/>
  </we:alternateReferences>
  <we:properties>
    <we:property name="MENDELEY_CITATIONS" value="[{&quot;properties&quot;:{&quot;noteIndex&quot;:0},&quot;citationID&quot;:&quot;MENDELEY_CITATION_be63a107-c42b-480d-9fe0-81e4bebccb68&quot;,&quot;isEdited&quot;:false,&quot;citationTag&quot;:&quot;MENDELEY_CITATION_v3_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&quot;,&quot;citationItems&quot;:[{&quot;id&quot;:&quot;b0ff4cf6-d739-376c-b419-bbfea30faaed&quot;,&quot;isTemporary&quot;:false,&quot;itemData&quot;:{&quot;type&quot;:&quot;article-journal&quot;,&quot;id&quot;:&quot;b0ff4cf6-d739-376c-b419-bbfea30faaed&quot;,&quot;title&quot;:&quot;Techno-economic evaluation of biogas production from food waste via anaerobic digestion&quot;,&quot;author&quot;:[{&quot;family&quot;:&quot;Al-Wahaibi&quot;,&quot;given&quot;:&quot;Abeer&quot;,&quot;parse-names&quot;:false,&quot;dropping-particle&quot;:&quot;&quot;,&quot;non-dropping-particle&quot;:&quot;&quot;},{&quot;family&quot;:&quot;Osman&quot;,&quot;given&quot;:&quot;Ahmed I.&quot;,&quot;parse-names&quot;:false,&quot;dropping-particle&quot;:&quot;&quot;,&quot;non-dropping-particle&quot;:&quot;&quot;},{&quot;family&quot;:&quot;Al-Muhtaseb&quot;,&quot;given&quot;:&quot;Ala’a H.&quot;,&quot;parse-names&quot;:false,&quot;dropping-particle&quot;:&quot;&quot;,&quot;non-dropping-particle&quot;:&quot;&quot;},{&quot;family&quot;:&quot;Alqaisi&quot;,&quot;given&quot;:&quot;Othman&quot;,&quot;parse-names&quot;:false,&quot;dropping-particle&quot;:&quot;&quot;,&quot;non-dropping-particle&quot;:&quot;&quot;},{&quot;family&quot;:&quot;Baawain&quot;,&quot;given&quot;:&quot;Mahad&quot;,&quot;parse-names&quot;:false,&quot;dropping-particle&quot;:&quot;&quot;,&quot;non-dropping-particle&quot;:&quot;&quot;},{&quot;family&quot;:&quot;Fawzy&quot;,&quot;given&quot;:&quot;Samer&quot;,&quot;parse-names&quot;:false,&quot;dropping-particle&quot;:&quot;&quot;,&quot;non-dropping-particle&quot;:&quot;&quot;},{&quot;family&quot;:&quot;Rooney&quot;,&quot;given&quot;:&quot;David W.&quot;,&quot;parse-names&quot;:false,&quot;dropping-particle&quot;:&quot;&quot;,&quot;non-dropping-particle&quot;:&quot;&quot;}],&quot;container-title&quot;:&quot;Scientific Reports&quot;,&quot;container-title-short&quot;:&quot;Sci Rep&quot;,&quot;DOI&quot;:&quot;10.1038/s41598-020-72897-5&quot;,&quot;ISSN&quot;:&quot;20452322&quot;,&quot;PMID&quot;:&quot;32973335&quot;,&quot;issued&quot;:{&quot;date-parts&quot;:[[2020,12,1]]},&quot;abstract&quot;:&quot;Food waste is a major constituent in municipal solid wastes and its accumulation or disposal of in landfills is problematic, causing environmental issues. Herein, a techno-economic study is carried out on the potential of biogas production from different types of food waste generated locally. The biogas production tests were at two-time sets; 24-h and 21-day intervals and results showed a good correlation between those two-time sets. Thus, we propose to use the 24-h time set to evaluate feedstock fermentation capacity that is intended for longer periods. Our approach could potentially be applied within industry as the 24-h test can give a good indication of the potential substrate gas production as a quick test that saves time, with minimal effort required. Furthermore, polynomial models were used to predict the production of total gas and methane during the fermentation periods, which showed good matching between the theoretical and practical values with a coefficient of determination R2 = 0.99. At day 21, the accumulative gas production value from mixed food waste samples was 1550 mL per 1 g of dry matter. An economic evaluation was conducted and showed that the case study breaks-even at $0.2944 per cubic metre. Any prices above this rate yield a positive net present value (NPV); at $0.39/m3 a discounted payback period of six years and a positive NPV of $3108 were calculated. If waste management fee savings are to be incorporated, the total savings would be higher, increasing annual cash flows and enhancing financial results. This economic evaluation serves as a preliminary guide to assess the economic feasibility based on the fluctuating value of methane when producing biogas from food waste via anaerobic digestion, thus could help biogas project developers investigate similar scale scenarios.&quot;,&quot;publisher&quot;:&quot;Nature Research&quot;,&quot;issue&quot;:&quot;1&quot;,&quot;volume&quot;:&quot;10&quot;}}],&quot;manualOverride&quot;:{&quot;isManuallyOverridden&quot;:false,&quot;manualOverrideText&quot;:&quot;&quot;,&quot;citeprocText&quot;:&quot;(Al-Wahaibi et al., 2020)&quot;}},{&quot;properties&quot;:{&quot;noteIndex&quot;:0},&quot;citationID&quot;:&quot;MENDELEY_CITATION_66a521c8-a4ca-4f4f-99f1-8ed89ffc16fc&quot;,&quot;isEdited&quot;:false,&quot;citationTag&quot;:&quot;MENDELEY_CITATION_v3_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&quot;,&quot;citationItems&quot;:[{&quot;id&quot;:&quot;a8efc89d-12e3-3d3f-9b87-c85e9085b101&quot;,&quot;isTemporary&quot;:false,&quot;itemData&quot;:{&quot;type&quot;:&quot;article-journal&quot;,&quot;id&quot;:&quot;a8efc89d-12e3-3d3f-9b87-c85e9085b101&quot;,&quot;title&quot;:&quot;Part load performance and operating strategies of a natural gas-biomass dual fueled microturbine for combined heat and power generation&quot;,&quot;author&quot;:[{&quot;family&quot;:&quot;Camporeale&quot;,&quot;given&quot;:&quot;Sergio Mario&quot;,&quot;parse-names&quot;:false,&quot;dropping-particle&quot;:&quot;&quot;,&quot;non-dropping-particle&quot;:&quot;&quot;},{&quot;family&quot;:&quot;Fortunato&quot;,&quot;given&quot;:&quot;Bernardo&quot;,&quot;parse-names&quot;:false,&quot;dropping-particle&quot;:&quot;&quot;,&quot;non-dropping-particle&quot;:&quot;&quot;},{&quot;family&quot;:&quot;Torresi&quot;,&quot;given&quot;:&quot;Marco&quot;,&quot;parse-names&quot;:false,&quot;dropping-particle&quot;:&quot;&quot;,&quot;non-dropping-particle&quot;:&quot;&quot;},{&quot;family&quot;:&quot;Turi&quot;,&quot;given&quot;:&quot;Flavia&quot;,&quot;parse-names&quot;:false,&quot;dropping-particle&quot;:&quot;&quot;,&quot;non-dropping-particle&quot;:&quot;&quot;},{&quot;family&quot;:&quot;Pantaleo&quot;,&quot;given&quot;:&quot;Antonio Marco&quot;,&quot;parse-names&quot;:false,&quot;dropping-particle&quot;:&quot;&quot;,&quot;non-dropping-particle&quot;:&quot;&quot;},{&quot;family&quot;:&quot;Pellerano&quot;,&quot;given&quot;:&quot;Achille&quot;,&quot;parse-names&quot;:false,&quot;dropping-particle&quot;:&quot;&quot;,&quot;non-dropping-particle&quot;:&quot;&quot;}],&quot;container-title&quot;:&quot;Journal of Engineering for Gas Turbines and Power&quot;,&quot;container-title-short&quot;:&quot;J Eng Gas Turbine Power&quot;,&quot;DOI&quot;:&quot;10.1115/1.4030499&quot;,&quot;ISSN&quot;:&quot;15288919&quot;,&quot;issued&quot;:{&quot;date-parts&quot;:[[2015,12,1]]},&quot;abstract&quot;:&quot;The focus of this paper is on the part load performance of a small scale (100 kWe) combined heat and power (CHP) plant fired by natural gas (NG) and solid biomass to serve a residential energy demand. The plant is based on a modified regenerative microgas turbine (MGT), where compressed air exiting from recuperator is externally heated by the hot gases produced in a biomass furnace; then the air is conveyed to combustion chamber where a conventional internal combustion with NG takes place, reaching the maximum cycle temperature allowed by the turbine blades. The hot gas expands in the turbine and then feeds the recuperator, while the biomass combustion flue gases are used for preheating the combustion air that feeds the furnace. The part load efficiency is examined considering a single shaft layout of the gas turbine and variable speed regulation. In this layout, the turbine shaft is connected to a high speed electric generator and a frequency converter is used to adjust the frequency of the produced electric power. The results show that the variable rotational speed operation allows high the part load efficiency, mainly due to maximum cycle temperature that can be kept about constant. Different biomass/NG energy input ratios are also modeled, in order to assess the trade-offs between: (i) lower energy conversion efficiency and higher investment cost when increasing the biomass input rate and (ii) higher primary energy savings (PESs) and revenues from feed-in tariff available for biomass electricity fed into the grid. The strategies of baseload (BL), heat driven (HD), and electricity driven (ED) plant operation are compared, for an aggregate of residential end-users in cold, average, and mild climate conditions.&quot;,&quot;publisher&quot;:&quot;American Society of Mechanical Engineers (ASME)&quot;,&quot;issue&quot;:&quot;12&quot;,&quot;volume&quot;:&quot;137&quot;}}],&quot;manualOverride&quot;:{&quot;isManuallyOverridden&quot;:false,&quot;manualOverrideText&quot;:&quot;&quot;,&quot;citeprocText&quot;:&quot;(Camporeale et al., 2015)&quot;}},{&quot;properties&quot;:{&quot;noteIndex&quot;:0},&quot;citationID&quot;:&quot;MENDELEY_CITATION_aaf1be61-5304-4214-803c-215880d84a67&quot;,&quot;isEdited&quot;:false,&quot;citationTag&quot;:&quot;MENDELEY_CITATION_v3_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&quot;,&quot;citationItems&quot;:[{&quot;id&quot;:&quot;773485c4-3f6d-39fa-be2f-b62fa6dde20a&quot;,&quot;isTemporary&quot;:false,&quot;itemData&quot;:{&quot;type&quot;:&quot;webpage&quot;,&quot;id&quot;:&quot;773485c4-3f6d-39fa-be2f-b62fa6dde20a&quot;,&quot;title&quot;:&quot;Water Rates&quot;,&quot;author&quot;:[{&quot;family&quot;:&quot;KWB&quot;,&quot;given&quot;:&quot;&quot;,&quot;parse-names&quot;:false,&quot;dropping-particle&quot;:&quot;&quot;,&quot;non-dropping-particle&quot;:&quot;&quot;}],&quot;accessed&quot;:{&quot;date-parts&quot;:[[2023,5,24]]},&quot;URL&quot;:&quot;https://www.kwb.gov.my/page-0-171-79-Water-Rates.html&quot;,&quot;issued&quot;:{&quot;date-parts&quot;:[[2023]]}}}],&quot;manualOverride&quot;:{&quot;isManuallyOverridden&quot;:false,&quot;manualOverrideText&quot;:&quot;&quot;,&quot;citeprocText&quot;:&quot;(KWB, 2023)&quot;}},{&quot;properties&quot;:{&quot;noteIndex&quot;:0},&quot;citationID&quot;:&quot;MENDELEY_CITATION_83af30a3-83f1-4097-91ea-1ec46aefda08&quot;,&quot;isEdited&quot;:false,&quot;citationTag&quot;:&quot;MENDELEY_CITATION_v3_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&quot;,&quot;citationItems&quot;:[{&quot;id&quot;:&quot;5a6c1a71-1ed2-32be-a1dc-0ac79ce2dd00&quot;,&quot;isTemporary&quot;:false,&quot;itemData&quot;:{&quot;type&quot;:&quot;report&quot;,&quot;id&quot;:&quot;5a6c1a71-1ed2-32be-a1dc-0ac79ce2dd00&quot;,&quot;title&quot;:&quot;Cost-Benefit Analysis of the Biochar Application in the U.S. Cereal Crop Cultivation&quot;,&quot;author&quot;:[{&quot;family&quot;:&quot;Amherst&quot;,&quot;given&quot;:&quot;Scholarworks@umass&quot;,&quot;parse-names&quot;:false,&quot;dropping-particle&quot;:&quot;&quot;,&quot;non-dropping-particle&quot;:&quot;&quot;},{&quot;family&quot;:&quot;Kulyk&quot;,&quot;given&quot;:&quot;Nataliya&quot;,&quot;parse-names&quot;:false,&quot;dropping-particle&quot;:&quot;&quot;,&quot;non-dropping-particle&quot;:&quot;&quot;}],&quot;URL&quot;:&quot;https://scholarworks.umass.edu/cppa_capstonesRetrievedfromhttps://scholarworks.umass.edu/cppa_capstones/12&quot;,&quot;issued&quot;:{&quot;date-parts&quot;:[[2012]]},&quot;number-of-pages&quot;:&quot;12&quot;,&quot;container-title-short&quot;:&quot;&quot;}}],&quot;manualOverride&quot;:{&quot;isManuallyOverridden&quot;:false,&quot;manualOverrideText&quot;:&quot;&quot;,&quot;citeprocText&quot;:&quot;(Amherst &amp;#38; Kulyk, 2012)&quot;}},{&quot;properties&quot;:{&quot;noteIndex&quot;:0},&quot;citationID&quot;:&quot;MENDELEY_CITATION_6bac4db0-49f7-4008-965a-3da9f5bd277d&quot;,&quot;isEdited&quot;:false,&quot;citationTag&quot;:&quot;MENDELEY_CITATION_v3_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&quot;,&quot;citationItems&quot;:[{&quot;id&quot;:&quot;395a0fbb-3cd5-37d3-a391-b29955617492&quot;,&quot;isTemporary&quot;:false,&quot;itemData&quot;:{&quot;type&quot;:&quot;webpage&quot;,&quot;id&quot;:&quot;395a0fbb-3cd5-37d3-a391-b29955617492&quot;,&quot;title&quot;:&quot;Pyrolysis &quot;,&quot;author&quot;:[{&quot;family&quot;:&quot;EUBIA&quot;,&quot;given&quot;:&quot;&quot;,&quot;parse-names&quot;:false,&quot;dropping-particle&quot;:&quot;&quot;,&quot;non-dropping-particle&quot;:&quot;&quot;}],&quot;accessed&quot;:{&quot;date-parts&quot;:[[2023,5,24]]},&quot;URL&quot;:&quot;https://www.eubia.org/cms/wiki-biomass/pyrolysis-and-gasification/pyrolysis/&quot;,&quot;issued&quot;:{&quot;date-parts&quot;:[[2012]]},&quot;container-title-short&quot;:&quot;&quot;}}],&quot;manualOverride&quot;:{&quot;isManuallyOverridden&quot;:false,&quot;manualOverrideText&quot;:&quot;&quot;,&quot;citeprocText&quot;:&quot;(EUBIA, 2012)&quot;}},{&quot;properties&quot;:{&quot;noteIndex&quot;:0},&quot;citationID&quot;:&quot;MENDELEY_CITATION_b956b9b4-a7a0-4c32-b20f-005919f26f59&quot;,&quot;isEdited&quot;:false,&quot;citationTag&quot;:&quot;MENDELEY_CITATION_v3_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&quot;,&quot;citationItems&quot;:[{&quot;id&quot;:&quot;8d16ff6a-da02-3d7a-b953-4205f19d6408&quot;,&quot;isTemporary&quot;:false,&quot;itemData&quot;:{&quot;type&quot;:&quot;webpage&quot;,&quot;id&quot;:&quot;8d16ff6a-da02-3d7a-b953-4205f19d6408&quot;,&quot;title&quot;:&quot;Electric Utilities - Tenaga Nasional&quot;,&quot;author&quot;:[{&quot;family&quot;:&quot;World Benchmarking Alliance&quot;,&quot;given&quot;:&quot;&quot;,&quot;parse-names&quot;:false,&quot;dropping-particle&quot;:&quot;&quot;,&quot;non-dropping-particle&quot;:&quot;&quot;}],&quot;issued&quot;:{&quot;date-parts&quot;:[[2020]]}}}],&quot;manualOverride&quot;:{&quot;isManuallyOverridden&quot;:false,&quot;manualOverrideText&quot;:&quot;&quot;,&quot;citeprocText&quot;:&quot;(World Benchmarking Alliance, 2020)&quot;}},{&quot;properties&quot;:{&quot;noteIndex&quot;:0},&quot;citationID&quot;:&quot;MENDELEY_CITATION_b3f90056-b116-4e16-9776-c668f3e4ab89&quot;,&quot;isEdited&quot;:false,&quot;citationTag&quot;:&quot;MENDELEY_CITATION_v3_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&quot;,&quot;citationItems&quot;:[{&quot;id&quot;:&quot;86eb3c0c-a84e-3151-8246-5d16052e0da7&quot;,&quot;isTemporary&quot;:false,&quot;itemData&quot;:{&quot;type&quot;:&quot;article-journal&quot;,&quot;id&quot;:&quot;86eb3c0c-a84e-3151-8246-5d16052e0da7&quot;,&quot;title&quot;:&quot;Energy and water use of a small-scale raft aquaponics system in Baltimore, Maryland, United States&quot;,&quot;author&quot;:[{&quot;family&quot;:&quot;Love&quot;,&quot;given&quot;:&quot;David C.&quot;,&quot;parse-names&quot;:false,&quot;dropping-particle&quot;:&quot;&quot;,&quot;non-dropping-particle&quot;:&quot;&quot;},{&quot;family&quot;:&quot;Uhl&quot;,&quot;given&quot;:&quot;Michael S.&quot;,&quot;parse-names&quot;:false,&quot;dropping-particle&quot;:&quot;&quot;,&quot;non-dropping-particle&quot;:&quot;&quot;},{&quot;family&quot;:&quot;Genello&quot;,&quot;given&quot;:&quot;Laura&quot;,&quot;parse-names&quot;:false,&quot;dropping-particle&quot;:&quot;&quot;,&quot;non-dropping-particle&quot;:&quot;&quot;}],&quot;container-title&quot;:&quot;Aquacultural Engineering&quot;,&quot;container-title-short&quot;:&quot;Aquac Eng&quot;,&quot;DOI&quot;:&quot;10.1016/j.aquaeng.2015.07.003&quot;,&quot;ISSN&quot;:&quot;01448609&quot;,&quot;issued&quot;:{&quot;date-parts&quot;:[[2015,9,1]]},&quot;page&quot;:&quot;19-27&quot;,&quot;abstract&quot;:&quot;Aquaponics is a form of aquaculture that integrates hydroponics to raise edible plants and fish. There is growing interest in aquaponics because it can be practiced in non-traditional locations for agriculture such as inside warehouses and on marginal lands, and it can provide locally grown products without using synthetic pesticides, chemical fertilizers, or antibiotics. Yet questions remain about the ecological and economic sustainability of aquaponics. The objective of this study was to describe the operating conditions, inputs (energy, water, and fish feed) and outputs (edible crops and fish) and their relationship over two years for a small-scale raft aquaponics operation in Baltimore, Maryland, United States. The system had roughly 1% water loss per day and used an average of 35,950 L for replenishment per year. Predicted values suggest rainfall could completely replace the existing water needs. The average energy use was 19,526 kWh for propane and electricity per year at a cost of $2055 US dollars. The largest uses of electricity were in-tank water heaters. Comparing inputs to outputs, 104 L of water, 0.5 kg feed, and 56 kWh energy ($6 in energy costs) were needed to produce 1 kg of crops; and 292 L of water, 1.3 kg feed, and 159. kWh of energy ($12 in energy costs) were needed to produce a 1 kg increase in tilapia. Raising tilapia was a net loss, while raising crops was a net gain when comparing market prices to energy costs. Understanding energy, water, and feed use in aquaponic systems is essential to inform farm business plans. These data can serve as a point of comparison to other small-scale aquaponic systems, and inform future work on life cycle assessments of aquaponics.&quot;,&quot;publisher&quot;:&quot;Elsevier&quot;,&quot;volume&quot;:&quot;68&quot;}}],&quot;manualOverride&quot;:{&quot;isManuallyOverridden&quot;:false,&quot;manualOverrideText&quot;:&quot;&quot;,&quot;citeprocText&quot;:&quot;(Love et al., 2015)&quot;}},{&quot;properties&quot;:{&quot;noteIndex&quot;:0},&quot;citationID&quot;:&quot;MENDELEY_CITATION_b68ac240-86aa-4bc6-9257-12d49bf6eb8e&quot;,&quot;isEdited&quot;:false,&quot;citationTag&quot;:&quot;MENDELEY_CITATION_v3_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&quot;,&quot;citationItems&quot;:[{&quot;id&quot;:&quot;8c66b792-541e-35bc-9b33-243d27404700&quot;,&quot;isTemporary&quot;:false,&quot;itemData&quot;:{&quot;type&quot;:&quot;article&quot;,&quot;id&quot;:&quot;8c66b792-541e-35bc-9b33-243d27404700&quot;,&quot;title&quot;:&quot;Energy and water consumption pattern in seafood processing industries and its optimization methodologies&quot;,&quot;author&quot;:[{&quot;family&quot;:&quot;Murali&quot;,&quot;given&quot;:&quot;S.&quot;,&quot;parse-names&quot;:false,&quot;dropping-particle&quot;:&quot;&quot;,&quot;non-dropping-particle&quot;:&quot;&quot;},{&quot;family&quot;:&quot;Krishnan&quot;,&quot;given&quot;:&quot;V. Soumya&quot;,&quot;parse-names&quot;:false,&quot;dropping-particle&quot;:&quot;&quot;,&quot;non-dropping-particle&quot;:&quot;&quot;},{&quot;family&quot;:&quot;Amulya&quot;,&quot;given&quot;:&quot;P. R.&quot;,&quot;parse-names&quot;:false,&quot;dropping-particle&quot;:&quot;&quot;,&quot;non-dropping-particle&quot;:&quot;&quot;},{&quot;family&quot;:&quot;Alfiya&quot;,&quot;given&quot;:&quot;P.&quot;,&quot;parse-names&quot;:false,&quot;dropping-particle&quot;:&quot;V.&quot;,&quot;non-dropping-particle&quot;:&quot;&quot;},{&quot;family&quot;:&quot;Delfiya&quot;,&quot;given&quot;:&quot;D. S.Aniesrani&quot;,&quot;parse-names&quot;:false,&quot;dropping-particle&quot;:&quot;&quot;,&quot;non-dropping-particle&quot;:&quot;&quot;},{&quot;family&quot;:&quot;Samuel&quot;,&quot;given&quot;:&quot;Manoj P.&quot;,&quot;parse-names&quot;:false,&quot;dropping-particle&quot;:&quot;&quot;,&quot;non-dropping-particle&quot;:&quot;&quot;}],&quot;container-title&quot;:&quot;Cleaner Engineering and Technology&quot;,&quot;container-title-short&quot;:&quot;Clean Eng Technol&quot;,&quot;DOI&quot;:&quot;10.1016/j.clet.2021.100242&quot;,&quot;ISSN&quot;:&quot;26667908&quot;,&quot;issued&quot;:{&quot;date-parts&quot;:[[2021,10,1]]},&quot;abstract&quot;:&quot;The study aims to comprehensively assess the energy and water consumption pattern in the seafood industries and suggest measures for the sustainable development of the sector. The unscrupulous usage of water and higher consumption of energy resulted in an uncontrolled generation of wastewater and enormous usage of fossil fuels. In the seafood industry, energy is primarily used for machinery and equipment handling processes such as freezing, refrigeration, heating, cooling, and drying. Similarly, a huge amount of clean water is used for cleaning machinery and plant, and for operations like washing of raw material, de-icing, defrosting, and salt splashing. As a consequence, in the energy-water nexus, additional energy is required for drawing fresh water and further processing of wastewater demands energy that results in air pollution and greenhouse gas emissions and incurring additional costs to the plant. Hence, this review mainly focuses on the significance of energy and water use optimization in the seafood industry, the existing trend of energy and water use pattern and management practices, optimization strategies, and the seafood-energy-water nexus and its environmental implications.&quot;,&quot;publisher&quot;:&quot;Elsevier Ltd&quot;,&quot;volume&quot;:&quot;4&quot;}}],&quot;manualOverride&quot;:{&quot;isManuallyOverridden&quot;:false,&quot;manualOverrideText&quot;:&quot;&quot;,&quot;citeprocText&quot;:&quot;(Murali et al., 2021)&quot;}},{&quot;properties&quot;:{&quot;noteIndex&quot;:0},&quot;citationID&quot;:&quot;MENDELEY_CITATION_88155ede-dea6-454e-8b25-539823489ff6&quot;,&quot;isEdited&quot;:false,&quot;citationTag&quot;:&quot;MENDELEY_CITATION_v3_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&quot;,&quot;citationItems&quot;:[{&quot;id&quot;:&quot;67e23f79-92f9-3f31-8a4d-3701e8f67d60&quot;,&quot;isTemporary&quot;:false,&quot;itemData&quot;:{&quot;type&quot;:&quot;chapter&quot;,&quot;id&quot;:&quot;67e23f79-92f9-3f31-8a4d-3701e8f67d60&quot;,&quot;title&quot;:&quot;Black soldier fly (waste) treatment&quot;,&quot;author&quot;:[{&quot;family&quot;:&quot;Soeters&quot;,&quot;given&quot;:&quot;Simone&quot;,&quot;parse-names&quot;:false,&quot;dropping-particle&quot;:&quot;&quot;,&quot;non-dropping-particle&quot;:&quot;&quot;},{&quot;family&quot;:&quot;Mukheibir&quot;,&quot;given&quot;:&quot;Pierre&quot;,&quot;parse-names&quot;:false,&quot;dropping-particle&quot;:&quot;&quot;,&quot;non-dropping-particle&quot;:&quot;&quot;},{&quot;family&quot;:&quot;Willetts&quot;,&quot;given&quot;:&quot;Juliet&quot;,&quot;parse-names&quot;:false,&quot;dropping-particle&quot;:&quot;&quot;,&quot;non-dropping-particle&quot;:&quot;&quot;}],&quot;container-title&quot;:&quot;Treatment technologies in practice: On-the-ground experiences of faecal sludge and wastewater treatment&quot;,&quot;URL&quot;:&quot;https://www.eawag.ch/fileadmin/Domain1/Abteilungen/sandec/publikationen/SWM/BSF/BSF_Biowaste_Processing_HR.pdf&quot;,&quot;issued&quot;:{&quot;date-parts&quot;:[[2021]]},&quot;page&quot;:&quot;49-52&quot;,&quot;container-title-short&quot;:&quot;&quot;}}],&quot;manualOverride&quot;:{&quot;isManuallyOverridden&quot;:false,&quot;manualOverrideText&quot;:&quot;&quot;,&quot;citeprocText&quot;:&quot;(Soeters et al., 2021)&quot;}},{&quot;properties&quot;:{&quot;noteIndex&quot;:0},&quot;citationID&quot;:&quot;MENDELEY_CITATION_28429927-22e3-4d43-8edd-0dc693e3510a&quot;,&quot;isEdited&quot;:false,&quot;citationTag&quot;:&quot;MENDELEY_CITATION_v3_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&quot;,&quot;citationItems&quot;:[{&quot;id&quot;:&quot;9917edc5-b004-3fed-9136-16b3a9cf4ccf&quot;,&quot;isTemporary&quot;:false,&quot;itemData&quot;:{&quot;type&quot;:&quot;article-journal&quot;,&quot;id&quot;:&quot;9917edc5-b004-3fed-9136-16b3a9cf4ccf&quot;,&quot;title&quot;:&quot;Life-cycle assessment of energy consumption and environmental impact of an integrated food waste-based biogas plant&quot;,&quot;author&quot;:[{&quot;family&quot;:&quot;Jin&quot;,&quot;given&quot;:&quot;Yiying&quot;,&quot;parse-names&quot;:false,&quot;dropping-particle&quot;:&quot;&quot;,&quot;non-dropping-particle&quot;:&quot;&quot;},{&quot;family&quot;:&quot;Chen&quot;,&quot;given&quot;:&quot;Ting&quot;,&quot;parse-names&quot;:false,&quot;dropping-particle&quot;:&quot;&quot;,&quot;non-dropping-particle&quot;:&quot;&quot;},{&quot;family&quot;:&quot;Chen&quot;,&quot;given&quot;:&quot;Xin&quot;,&quot;parse-names&quot;:false,&quot;dropping-particle&quot;:&quot;&quot;,&quot;non-dropping-particle&quot;:&quot;&quot;},{&quot;family&quot;:&quot;Yu&quot;,&quot;given&quot;:&quot;Zhixin&quot;,&quot;parse-names&quot;:false,&quot;dropping-particle&quot;:&quot;&quot;,&quot;non-dropping-particle&quot;:&quot;&quot;}],&quot;container-title&quot;:&quot;Applied Energy&quot;,&quot;container-title-short&quot;:&quot;Appl Energy&quot;,&quot;DOI&quot;:&quot;10.1016/j.apenergy.2015.04.058&quot;,&quot;ISSN&quot;:&quot;03062619&quot;,&quot;issued&quot;:{&quot;date-parts&quot;:[[2015,8,1]]},&quot;page&quot;:&quot;227-236&quot;,&quot;abstract&quot;:&quot;Recycling food waste to produce biogas by anaerobic digestion (AD) is a promising process that can both provide renewable energy and dispose solid waste safely. However, this process affects the environment due to greenhouse gas emissions. By lifecycle assessment (LCA), we assessed the energy consumption (EC) and environmental impact (EI) of an integrated food waste-based biogas system and its subsystems. Data were collected from an actual plant in China that adopted a combination of wet-heat treatment and wet AD process at thermophilic condition. The EC of the system for processing 1ton of waste was 663.89MJ, among which 47.76% was from the primary treatment process (including pretreatment and AD). The GWP100 (100-year global warming potential) emission of the system reached 96.97kgCO2-eq/t, and the AP (acidification potential), EP (eutrophication potential), HTPinf (human toxicity potential) and FAETPinf (fresh water ecotoxicity) emissions were low. The EI was mainly generated by two subsystems, namely, the primary treatment and the secondary pollution control. Sensitivity analysis showed that a 40% increase of the feed fat content resulted in 38% increase in the net energy value output and 48% decrease in EP effect. The increase in oil content and biogas production rate could significantly reduce the EC and EI of the system. It has been shown that improving the technology of the process and increasing the recycling rate of products will result in the reduction of EC and EI of the biogas system. In addition, a quantitative assessment model of EC and EI in integrated food waste-based biogas technology is established.&quot;,&quot;publisher&quot;:&quot;Elsevier Ltd&quot;,&quot;volume&quot;:&quot;151&quot;}}],&quot;manualOverride&quot;:{&quot;isManuallyOverridden&quot;:false,&quot;manualOverrideText&quot;:&quot;&quot;,&quot;citeprocText&quot;:&quot;(Jin et al., 2015)&quot;}},{&quot;properties&quot;:{&quot;noteIndex&quot;:0},&quot;citationID&quot;:&quot;MENDELEY_CITATION_e7480605-b15b-4616-b19f-01a44a108ace&quot;,&quot;citationTag&quot;:&quot;MENDELEY_CITATION_v3_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&quot;,&quot;isEdited&quot;:false,&quot;citationItems&quot;:[{&quot;id&quot;:&quot;23fb0076-e0d2-32b1-b3a9-3eec6ea80e96&quot;,&quot;isTemporary&quot;:false,&quot;itemData&quot;:{&quot;type&quot;:&quot;book&quot;,&quot;id&quot;:&quot;23fb0076-e0d2-32b1-b3a9-3eec6ea80e96&quot;,&quot;title&quot;:&quot;Catalytic steam pyrolysis of biomass for production of liquid feedstock&quot;,&quot;author&quot;:[{&quot;family&quot;:&quot;Kantarelis&quot;,&quot;given&quot;:&quot;Efthymios&quot;,&quot;parse-names&quot;:false,&quot;dropping-particle&quot;:&quot;&quot;,&quot;non-dropping-particle&quot;:&quot;&quot;}],&quot;ISBN&quot;:&quot;9789175950235&quot;,&quot;issued&quot;:{&quot;date-parts&quot;:[[2014]]},&quot;abstract&quot;:&quot;QC 20140306. Härtill 5 uppsatser. Diss. (sammanfattning)--Stockholm: Kungliga Tekniska högskolan, 2014.&quot;,&quot;publisher&quot;:&quot;Industrial Engineering and Management, KTH Royal Institute of Technology&quot;}},{&quot;id&quot;:&quot;cc8dbf69-725d-3298-a122-5a425ea8a7c9&quot;,&quot;isTemporary&quot;:false,&quot;itemData&quot;:{&quot;type&quot;:&quot;report&quot;,&quot;id&quot;:&quot;cc8dbf69-725d-3298-a122-5a425ea8a7c9&quot;,&quot;title&quot;:&quot;Combined Heat and Power from the Intermediate Pyrolysis of Biomass Materials: Performance, Economics and Environmental Impact&quot;,&quot;author&quot;:[{&quot;family&quot;:&quot;Yang&quot;,&quot;given&quot;:&quot;Y&quot;,&quot;parse-names&quot;:false,&quot;dropping-particle&quot;:&quot;&quot;,&quot;non-dropping-particle&quot;:&quot;&quot;},{&quot;family&quot;:&quot;Brammer&quot;,&quot;given&quot;:&quot;J G&quot;,&quot;parse-names&quot;:false,&quot;dropping-particle&quot;:&quot;&quot;,&quot;non-dropping-particle&quot;:&quot;&quot;},{&quot;family&quot;:&quot;Wright&quot;,&quot;given&quot;:&quot;D G&quot;,&quot;parse-names&quot;:false,&quot;dropping-particle&quot;:&quot;&quot;,&quot;non-dropping-particle&quot;:&quot;&quot;},{&quot;family&quot;:&quot;Scott&quot;,&quot;given&quot;:&quot;J A&quot;,&quot;parse-names&quot;:false,&quot;dropping-particle&quot;:&quot;&quot;,&quot;non-dropping-particle&quot;:&quot;&quot;},{&quot;family&quot;:&quot;Serrano&quot;,&quot;given&quot;:&quot;C&quot;,&quot;parse-names&quot;:false,&quot;dropping-particle&quot;:&quot;&quot;,&quot;non-dropping-particle&quot;:&quot;&quot;},{&quot;family&quot;:&quot;Bridgwater&quot;,&quot;given&quot;:&quot;A&quot;,&quot;parse-names&quot;:false,&quot;dropping-particle&quot;:&quot;V&quot;,&quot;non-dropping-particle&quot;:&quot;&quot;}],&quot;abstract&quot;:&quot;Combined heat and power from the intermediate pyrolysis of biomass materials offers flexible, on-demand renewable energy with some significant advantages over other renewable routes. To maximise the deployment of this technology an understanding of the dynamics and sensitivities of such a system is required. In the present work the system performance, economics and life-cycle environmental impact is analysed with the aid of the process simulation software Aspen Plus. Under the base conditions for the UK, such schemes are not currently economically competitive with energy and char products produced from conventional means. However, under certain scenarios as modelled using a sensitivity analysis this technology can compete and can therefore potentially contribute to the energy and resource sustainability of the economy, particularly in on-site applications with low-value waste feedstocks. The major areas for potential performance improvement are in reactor cost reductions, the reliable use of waste feedstocks and a high value end use for the char by-product from pyrolysis.&quot;}}],&quot;manualOverride&quot;:{&quot;isManuallyOverridden&quot;:false,&quot;manualOverrideText&quot;:&quot;&quot;,&quot;citeprocText&quot;:&quot;(Kantarelis, 2014; Yang et al., n.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1C142-8165-4C10-B2B4-F56C461C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10518</Words>
  <Characters>59958</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 Siang Yeo</dc:creator>
  <cp:keywords/>
  <dc:description/>
  <cp:lastModifiedBy>Lip Siang Yeo</cp:lastModifiedBy>
  <cp:revision>3</cp:revision>
  <dcterms:created xsi:type="dcterms:W3CDTF">2023-09-05T15:25:00Z</dcterms:created>
  <dcterms:modified xsi:type="dcterms:W3CDTF">2023-09-06T02:47:00Z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http://csl.mendeley.com/styles/691237351/harvard-cite-them-right-2</vt:lpwstr>
  </property>
  <property fmtid="{D5CDD505-2E9C-101B-9397-08002B2CF9AE}" pid="4" name="Mendeley Unique User Id_1">
    <vt:lpwstr>1ecfe7bb-181c-3361-ab2f-38a45bc468c8</vt:lpwstr>
  </property>
</Properties>
</file>