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F0E599" w14:textId="48786D8E" w:rsidR="001E37E3" w:rsidRPr="001A15A5" w:rsidRDefault="00DF41FE" w:rsidP="00333A4A">
      <w:pPr>
        <w:pStyle w:val="sectionhead"/>
      </w:pPr>
      <w:r>
        <w:rPr>
          <w:rStyle w:val="PaperTitleChar"/>
          <w:rFonts w:ascii="Arial" w:hAnsi="Arial" w:cs="Arial"/>
          <w:b/>
          <w:color w:val="000000" w:themeColor="text1"/>
        </w:rPr>
        <w:t xml:space="preserve">Appendix for </w:t>
      </w:r>
      <w:r w:rsidR="003D5A58">
        <w:rPr>
          <w:rStyle w:val="PaperTitleChar"/>
          <w:rFonts w:ascii="Arial" w:hAnsi="Arial" w:cs="Arial"/>
          <w:b/>
          <w:color w:val="000000" w:themeColor="text1"/>
        </w:rPr>
        <w:t>Techno-economic Optimisation of</w:t>
      </w:r>
      <w:r w:rsidR="008E763D">
        <w:rPr>
          <w:rStyle w:val="PaperTitleChar"/>
          <w:rFonts w:ascii="Arial" w:hAnsi="Arial" w:cs="Arial"/>
          <w:b/>
          <w:color w:val="000000" w:themeColor="text1"/>
        </w:rPr>
        <w:t xml:space="preserve"> Green and Clean Hydrogen Production </w:t>
      </w:r>
    </w:p>
    <w:p w14:paraId="153065E4" w14:textId="1A71FF07" w:rsidR="006576A9" w:rsidRPr="008E763D" w:rsidRDefault="008E763D" w:rsidP="008E763D">
      <w:pPr>
        <w:pStyle w:val="AuthorName"/>
        <w:rPr>
          <w:rFonts w:ascii="Arial" w:hAnsi="Arial" w:cs="Arial"/>
          <w:b w:val="0"/>
          <w:bCs/>
          <w:sz w:val="20"/>
          <w:szCs w:val="20"/>
        </w:rPr>
      </w:pPr>
      <w:r w:rsidRPr="00533160">
        <w:rPr>
          <w:rFonts w:ascii="Arial" w:hAnsi="Arial" w:cs="Arial"/>
          <w:b w:val="0"/>
          <w:bCs/>
          <w:sz w:val="20"/>
          <w:szCs w:val="20"/>
        </w:rPr>
        <w:t>Yong Ying Loh</w:t>
      </w:r>
      <w:r w:rsidRPr="00533160">
        <w:rPr>
          <w:rFonts w:ascii="Arial" w:hAnsi="Arial" w:cs="Arial"/>
          <w:b w:val="0"/>
          <w:bCs/>
          <w:sz w:val="20"/>
          <w:szCs w:val="20"/>
          <w:vertAlign w:val="superscript"/>
        </w:rPr>
        <w:t>1</w:t>
      </w:r>
      <w:r w:rsidRPr="00533160">
        <w:rPr>
          <w:rFonts w:ascii="Arial" w:hAnsi="Arial" w:cs="Arial"/>
          <w:b w:val="0"/>
          <w:bCs/>
          <w:sz w:val="20"/>
          <w:szCs w:val="20"/>
        </w:rPr>
        <w:t>, Denny K S Ng</w:t>
      </w:r>
      <w:r w:rsidR="0072585E">
        <w:rPr>
          <w:rFonts w:ascii="Arial" w:hAnsi="Arial" w:cs="Arial"/>
          <w:b w:val="0"/>
          <w:bCs/>
          <w:sz w:val="20"/>
          <w:szCs w:val="20"/>
          <w:vertAlign w:val="superscript"/>
        </w:rPr>
        <w:t>2</w:t>
      </w:r>
      <w:r w:rsidR="00B52218">
        <w:rPr>
          <w:rFonts w:ascii="Arial" w:hAnsi="Arial" w:cs="Arial"/>
          <w:b w:val="0"/>
          <w:bCs/>
          <w:sz w:val="20"/>
          <w:szCs w:val="20"/>
          <w:vertAlign w:val="superscript"/>
        </w:rPr>
        <w:t>,1</w:t>
      </w:r>
      <w:r w:rsidRPr="00533160">
        <w:rPr>
          <w:rFonts w:ascii="Arial" w:hAnsi="Arial" w:cs="Arial"/>
          <w:b w:val="0"/>
          <w:bCs/>
          <w:sz w:val="20"/>
          <w:szCs w:val="20"/>
        </w:rPr>
        <w:t>, Viknesh Andiappan</w:t>
      </w:r>
      <w:r w:rsidR="0072585E">
        <w:rPr>
          <w:rFonts w:ascii="Arial" w:hAnsi="Arial" w:cs="Arial"/>
          <w:b w:val="0"/>
          <w:bCs/>
          <w:sz w:val="20"/>
          <w:szCs w:val="20"/>
          <w:vertAlign w:val="superscript"/>
        </w:rPr>
        <w:t>3</w:t>
      </w:r>
      <w:r w:rsidRPr="00533160">
        <w:rPr>
          <w:rFonts w:ascii="Arial" w:hAnsi="Arial" w:cs="Arial"/>
          <w:b w:val="0"/>
          <w:bCs/>
          <w:sz w:val="20"/>
          <w:szCs w:val="20"/>
          <w:vertAlign w:val="superscript"/>
        </w:rPr>
        <w:t>*</w:t>
      </w:r>
      <w:r>
        <w:rPr>
          <w:rFonts w:ascii="Arial" w:hAnsi="Arial" w:cs="Arial"/>
          <w:b w:val="0"/>
          <w:bCs/>
          <w:sz w:val="20"/>
          <w:szCs w:val="20"/>
          <w:vertAlign w:val="superscript"/>
        </w:rPr>
        <w:t xml:space="preserve"> </w:t>
      </w:r>
    </w:p>
    <w:p w14:paraId="057A6F5B" w14:textId="30F42096" w:rsidR="00FE3B0C" w:rsidRDefault="008E763D" w:rsidP="006576A9">
      <w:pPr>
        <w:pStyle w:val="BodyText1"/>
        <w:ind w:firstLine="0"/>
        <w:rPr>
          <w:rFonts w:cs="Arial"/>
          <w:color w:val="000000" w:themeColor="text1"/>
        </w:rPr>
      </w:pPr>
      <w:r>
        <w:rPr>
          <w:rFonts w:cs="Arial"/>
          <w:color w:val="000000" w:themeColor="text1"/>
          <w:vertAlign w:val="superscript"/>
        </w:rPr>
        <w:t>1</w:t>
      </w:r>
      <w:r w:rsidR="007919E1" w:rsidRPr="001A15A5">
        <w:rPr>
          <w:rFonts w:cs="Arial"/>
          <w:color w:val="000000" w:themeColor="text1"/>
        </w:rPr>
        <w:t>School of Engineering and Physical Sciences, Heriot-Watt University Malaysia, 62200, Putrajaya,</w:t>
      </w:r>
      <w:r w:rsidR="006576A9" w:rsidRPr="001A15A5">
        <w:rPr>
          <w:rFonts w:cs="Arial"/>
          <w:color w:val="000000" w:themeColor="text1"/>
        </w:rPr>
        <w:t xml:space="preserve"> W</w:t>
      </w:r>
      <w:r w:rsidR="007919E1" w:rsidRPr="001A15A5">
        <w:rPr>
          <w:rFonts w:cs="Arial"/>
          <w:color w:val="000000" w:themeColor="text1"/>
        </w:rPr>
        <w:t>ilayah Persekutuan Putrajaya, Malaysia</w:t>
      </w:r>
    </w:p>
    <w:p w14:paraId="2092F575" w14:textId="380C2A15" w:rsidR="0072585E" w:rsidRDefault="0072585E" w:rsidP="006576A9">
      <w:pPr>
        <w:pStyle w:val="BodyText1"/>
        <w:ind w:firstLine="0"/>
        <w:rPr>
          <w:rFonts w:cs="Arial"/>
          <w:color w:val="000000" w:themeColor="text1"/>
        </w:rPr>
      </w:pPr>
      <w:r>
        <w:rPr>
          <w:rFonts w:cs="Arial"/>
          <w:color w:val="000000" w:themeColor="text1"/>
          <w:vertAlign w:val="superscript"/>
        </w:rPr>
        <w:t>2</w:t>
      </w:r>
      <w:r w:rsidRPr="0072585E">
        <w:rPr>
          <w:rFonts w:cs="Arial"/>
          <w:color w:val="000000" w:themeColor="text1"/>
        </w:rPr>
        <w:t>School of Engineering and Technology, Sunway University, No. 5, Jalan Universiti, Bandar Sunway, 47500 Petaling Jaya, Selangor, Malaysia</w:t>
      </w:r>
    </w:p>
    <w:p w14:paraId="11859F52" w14:textId="273C6965" w:rsidR="006576A9" w:rsidRPr="001A15A5" w:rsidRDefault="0072585E" w:rsidP="006576A9">
      <w:pPr>
        <w:pStyle w:val="BodyText1"/>
        <w:ind w:firstLine="0"/>
        <w:rPr>
          <w:rFonts w:cs="Arial"/>
          <w:color w:val="000000" w:themeColor="text1"/>
        </w:rPr>
      </w:pPr>
      <w:r>
        <w:rPr>
          <w:rFonts w:cs="Arial"/>
          <w:bCs/>
          <w:szCs w:val="20"/>
          <w:vertAlign w:val="superscript"/>
        </w:rPr>
        <w:t>3</w:t>
      </w:r>
      <w:r w:rsidRPr="001A15A5">
        <w:rPr>
          <w:rFonts w:cs="Arial"/>
          <w:color w:val="000000" w:themeColor="text1"/>
        </w:rPr>
        <w:t xml:space="preserve">Biomass </w:t>
      </w:r>
      <w:r w:rsidR="008F162D" w:rsidRPr="001A15A5">
        <w:rPr>
          <w:rFonts w:cs="Arial"/>
          <w:color w:val="000000" w:themeColor="text1"/>
        </w:rPr>
        <w:t>Waste-to-Wealth Special Interest Group, R</w:t>
      </w:r>
      <w:r w:rsidR="006576A9" w:rsidRPr="001A15A5">
        <w:rPr>
          <w:rFonts w:cs="Arial"/>
          <w:color w:val="000000" w:themeColor="text1"/>
        </w:rPr>
        <w:t xml:space="preserve">esearch Centre for Sustainable Technologies, Faculty of Engineering, Computing and Science, </w:t>
      </w:r>
      <w:r w:rsidR="00405193" w:rsidRPr="001A15A5">
        <w:rPr>
          <w:rFonts w:cs="Arial"/>
          <w:color w:val="000000" w:themeColor="text1"/>
        </w:rPr>
        <w:t xml:space="preserve">Swinburne University of Technology Sarawak Campus, </w:t>
      </w:r>
      <w:r w:rsidR="006576A9" w:rsidRPr="001A15A5">
        <w:rPr>
          <w:rFonts w:cs="Arial"/>
          <w:color w:val="000000" w:themeColor="text1"/>
        </w:rPr>
        <w:t>Jalan Simpang Tiga, 93350, Kuching, Sarawak, Malaysia</w:t>
      </w:r>
    </w:p>
    <w:p w14:paraId="24BD9E3D" w14:textId="40A3BDE1" w:rsidR="006576A9" w:rsidRPr="00695B40" w:rsidRDefault="00BC5902" w:rsidP="00A15139">
      <w:pPr>
        <w:pStyle w:val="BodyText1"/>
        <w:ind w:firstLine="0"/>
        <w:rPr>
          <w:rFonts w:cs="Arial"/>
          <w:color w:val="000000" w:themeColor="text1"/>
        </w:rPr>
      </w:pPr>
      <w:r w:rsidRPr="007E26F8">
        <w:rPr>
          <w:rFonts w:cs="Arial"/>
          <w:color w:val="000000" w:themeColor="text1"/>
        </w:rPr>
        <w:t>*</w:t>
      </w:r>
      <w:r w:rsidR="00A15139" w:rsidRPr="007E26F8">
        <w:rPr>
          <w:rFonts w:cs="Arial"/>
          <w:color w:val="000000" w:themeColor="text1"/>
        </w:rPr>
        <w:t xml:space="preserve">corresponding author: </w:t>
      </w:r>
      <w:hyperlink r:id="rId11" w:history="1">
        <w:r w:rsidR="006717AD" w:rsidRPr="00730787">
          <w:rPr>
            <w:rStyle w:val="Hyperlink"/>
            <w:rFonts w:cs="Arial"/>
            <w:color w:val="000000" w:themeColor="text1"/>
          </w:rPr>
          <w:t>vmurugappan@swinburne.ed</w:t>
        </w:r>
        <w:r w:rsidR="006717AD" w:rsidRPr="00E65897">
          <w:rPr>
            <w:rStyle w:val="Hyperlink"/>
            <w:rFonts w:cs="Arial"/>
            <w:color w:val="000000" w:themeColor="text1"/>
          </w:rPr>
          <w:t>u.my</w:t>
        </w:r>
      </w:hyperlink>
      <w:r w:rsidR="006717AD" w:rsidRPr="00B425DB">
        <w:rPr>
          <w:rFonts w:cs="Arial"/>
          <w:color w:val="000000" w:themeColor="text1"/>
        </w:rPr>
        <w:t xml:space="preserve"> </w:t>
      </w:r>
      <w:r w:rsidRPr="00B425DB">
        <w:rPr>
          <w:rFonts w:cs="Arial"/>
          <w:color w:val="000000" w:themeColor="text1"/>
        </w:rPr>
        <w:t xml:space="preserve"> </w:t>
      </w:r>
    </w:p>
    <w:p w14:paraId="20D8D5F3" w14:textId="77777777" w:rsidR="006576A9" w:rsidRPr="001A15A5" w:rsidRDefault="006576A9" w:rsidP="006E39BB">
      <w:pPr>
        <w:pStyle w:val="Affiliation"/>
        <w:rPr>
          <w:rFonts w:ascii="Arial" w:hAnsi="Arial" w:cs="Arial"/>
          <w:color w:val="000000" w:themeColor="text1"/>
        </w:rPr>
      </w:pPr>
    </w:p>
    <w:p w14:paraId="43D8D634" w14:textId="67EF0730" w:rsidR="00875DD1" w:rsidRPr="00533160" w:rsidRDefault="00875DD1" w:rsidP="006460CC">
      <w:pPr>
        <w:spacing w:after="0" w:line="360" w:lineRule="auto"/>
        <w:jc w:val="both"/>
        <w:rPr>
          <w:rFonts w:ascii="Arial" w:hAnsi="Arial" w:cs="Arial"/>
          <w:sz w:val="20"/>
          <w:szCs w:val="20"/>
        </w:rPr>
      </w:pPr>
    </w:p>
    <w:p w14:paraId="63284B76" w14:textId="17015A71" w:rsidR="008C163B" w:rsidRDefault="00564801" w:rsidP="00564801">
      <w:pPr>
        <w:autoSpaceDE w:val="0"/>
        <w:autoSpaceDN w:val="0"/>
        <w:adjustRightInd w:val="0"/>
        <w:spacing w:after="0" w:line="240" w:lineRule="auto"/>
        <w:jc w:val="center"/>
        <w:rPr>
          <w:rFonts w:ascii="Arial" w:hAnsi="Arial" w:cs="Arial"/>
          <w:color w:val="000000" w:themeColor="text1"/>
          <w:sz w:val="20"/>
          <w:szCs w:val="20"/>
        </w:rPr>
      </w:pPr>
      <w:r>
        <w:rPr>
          <w:rFonts w:ascii="Arial" w:hAnsi="Arial" w:cs="Arial"/>
          <w:noProof/>
          <w:lang w:val="en-US"/>
        </w:rPr>
        <w:lastRenderedPageBreak/>
        <w:drawing>
          <wp:inline distT="0" distB="0" distL="0" distR="0" wp14:anchorId="5031562F" wp14:editId="0FC433ED">
            <wp:extent cx="3860026" cy="7180289"/>
            <wp:effectExtent l="0" t="0" r="1270" b="0"/>
            <wp:docPr id="32" name="Picture 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875658" cy="7209367"/>
                    </a:xfrm>
                    <a:prstGeom prst="rect">
                      <a:avLst/>
                    </a:prstGeom>
                  </pic:spPr>
                </pic:pic>
              </a:graphicData>
            </a:graphic>
          </wp:inline>
        </w:drawing>
      </w:r>
    </w:p>
    <w:p w14:paraId="06769D9C" w14:textId="6CE8FD9B" w:rsidR="00564801" w:rsidRPr="009F2BAC" w:rsidRDefault="00564801" w:rsidP="00D508E9">
      <w:pPr>
        <w:spacing w:after="0" w:line="360" w:lineRule="auto"/>
        <w:jc w:val="center"/>
        <w:rPr>
          <w:rFonts w:ascii="Arial" w:hAnsi="Arial" w:cs="Arial"/>
          <w:i/>
          <w:iCs/>
          <w:noProof/>
          <w:sz w:val="21"/>
          <w:szCs w:val="21"/>
          <w:lang w:val="en-US"/>
        </w:rPr>
      </w:pPr>
      <w:r w:rsidRPr="009F2BAC">
        <w:rPr>
          <w:rFonts w:ascii="Arial" w:hAnsi="Arial" w:cs="Arial"/>
          <w:b/>
          <w:bCs/>
          <w:i/>
          <w:iCs/>
          <w:sz w:val="18"/>
          <w:szCs w:val="18"/>
          <w:lang w:val="en-US"/>
        </w:rPr>
        <w:t xml:space="preserve">Figure </w:t>
      </w:r>
      <w:r w:rsidR="0088659A">
        <w:rPr>
          <w:rFonts w:ascii="Arial" w:hAnsi="Arial" w:cs="Arial"/>
          <w:b/>
          <w:bCs/>
          <w:i/>
          <w:iCs/>
          <w:sz w:val="18"/>
          <w:szCs w:val="18"/>
          <w:lang w:val="en-US"/>
        </w:rPr>
        <w:t>A</w:t>
      </w:r>
      <w:r w:rsidRPr="009F2BAC">
        <w:rPr>
          <w:rFonts w:ascii="Arial" w:hAnsi="Arial" w:cs="Arial"/>
          <w:b/>
          <w:bCs/>
          <w:i/>
          <w:iCs/>
          <w:sz w:val="18"/>
          <w:szCs w:val="18"/>
          <w:lang w:val="en-US"/>
        </w:rPr>
        <w:t>1:</w:t>
      </w:r>
      <w:r w:rsidRPr="009F2BAC">
        <w:rPr>
          <w:rFonts w:ascii="Arial" w:hAnsi="Arial" w:cs="Arial"/>
          <w:i/>
          <w:iCs/>
          <w:sz w:val="18"/>
          <w:szCs w:val="18"/>
          <w:lang w:val="en-US"/>
        </w:rPr>
        <w:t xml:space="preserve"> Summary of Overall Methodology (S is referring to Stage)</w:t>
      </w:r>
    </w:p>
    <w:p w14:paraId="79DB6152" w14:textId="77777777" w:rsidR="00564801" w:rsidRPr="00564801" w:rsidRDefault="00564801" w:rsidP="00D508E9">
      <w:pPr>
        <w:autoSpaceDE w:val="0"/>
        <w:autoSpaceDN w:val="0"/>
        <w:adjustRightInd w:val="0"/>
        <w:spacing w:after="0" w:line="360" w:lineRule="auto"/>
        <w:jc w:val="center"/>
        <w:rPr>
          <w:rFonts w:ascii="Arial" w:hAnsi="Arial" w:cs="Arial"/>
          <w:color w:val="000000" w:themeColor="text1"/>
          <w:sz w:val="20"/>
          <w:szCs w:val="20"/>
          <w:lang w:val="en-US"/>
        </w:rPr>
      </w:pPr>
    </w:p>
    <w:p w14:paraId="04C77A4C" w14:textId="77777777" w:rsidR="00875DD1" w:rsidRDefault="00875DD1" w:rsidP="00D508E9">
      <w:pPr>
        <w:spacing w:after="0" w:line="360" w:lineRule="auto"/>
        <w:jc w:val="center"/>
        <w:rPr>
          <w:rFonts w:ascii="Arial" w:hAnsi="Arial" w:cs="Arial"/>
          <w:b/>
          <w:bCs/>
          <w:i/>
          <w:iCs/>
          <w:sz w:val="18"/>
          <w:szCs w:val="18"/>
          <w:lang w:val="en-US"/>
        </w:rPr>
      </w:pPr>
    </w:p>
    <w:p w14:paraId="65058B23" w14:textId="77777777" w:rsidR="00875DD1" w:rsidRDefault="00875DD1" w:rsidP="00D508E9">
      <w:pPr>
        <w:spacing w:after="0" w:line="360" w:lineRule="auto"/>
        <w:jc w:val="center"/>
        <w:rPr>
          <w:rFonts w:ascii="Arial" w:hAnsi="Arial" w:cs="Arial"/>
          <w:b/>
          <w:bCs/>
          <w:i/>
          <w:iCs/>
          <w:sz w:val="18"/>
          <w:szCs w:val="18"/>
          <w:lang w:val="en-US"/>
        </w:rPr>
      </w:pPr>
    </w:p>
    <w:p w14:paraId="2DB05788" w14:textId="77777777" w:rsidR="00875DD1" w:rsidRDefault="00875DD1" w:rsidP="00D508E9">
      <w:pPr>
        <w:spacing w:after="0" w:line="360" w:lineRule="auto"/>
        <w:jc w:val="center"/>
        <w:rPr>
          <w:rFonts w:ascii="Arial" w:hAnsi="Arial" w:cs="Arial"/>
          <w:b/>
          <w:bCs/>
          <w:i/>
          <w:iCs/>
          <w:sz w:val="18"/>
          <w:szCs w:val="18"/>
          <w:lang w:val="en-US"/>
        </w:rPr>
      </w:pPr>
    </w:p>
    <w:p w14:paraId="7E9160F2" w14:textId="77777777" w:rsidR="00875DD1" w:rsidRDefault="00875DD1" w:rsidP="00D508E9">
      <w:pPr>
        <w:spacing w:after="0" w:line="360" w:lineRule="auto"/>
        <w:jc w:val="center"/>
        <w:rPr>
          <w:rFonts w:ascii="Arial" w:hAnsi="Arial" w:cs="Arial"/>
          <w:b/>
          <w:bCs/>
          <w:i/>
          <w:iCs/>
          <w:sz w:val="18"/>
          <w:szCs w:val="18"/>
          <w:lang w:val="en-US"/>
        </w:rPr>
      </w:pPr>
    </w:p>
    <w:p w14:paraId="14FE4452" w14:textId="0F3BA764" w:rsidR="009F2BAC" w:rsidRPr="00D508E9" w:rsidRDefault="001268BC" w:rsidP="00D508E9">
      <w:pPr>
        <w:spacing w:after="0" w:line="360" w:lineRule="auto"/>
        <w:jc w:val="center"/>
        <w:rPr>
          <w:rFonts w:ascii="Arial" w:hAnsi="Arial" w:cs="Arial"/>
          <w:i/>
          <w:iCs/>
          <w:sz w:val="18"/>
          <w:szCs w:val="18"/>
          <w:lang w:val="en-US"/>
        </w:rPr>
      </w:pPr>
      <w:r w:rsidRPr="009F2BAC">
        <w:rPr>
          <w:rFonts w:ascii="Arial" w:hAnsi="Arial" w:cs="Arial"/>
          <w:b/>
          <w:bCs/>
          <w:i/>
          <w:iCs/>
          <w:sz w:val="18"/>
          <w:szCs w:val="18"/>
          <w:lang w:val="en-US"/>
        </w:rPr>
        <w:lastRenderedPageBreak/>
        <w:t xml:space="preserve">Table </w:t>
      </w:r>
      <w:r w:rsidR="0088659A">
        <w:rPr>
          <w:rFonts w:ascii="Arial" w:hAnsi="Arial" w:cs="Arial"/>
          <w:b/>
          <w:bCs/>
          <w:i/>
          <w:iCs/>
          <w:sz w:val="18"/>
          <w:szCs w:val="18"/>
          <w:lang w:val="en-US"/>
        </w:rPr>
        <w:t>A</w:t>
      </w:r>
      <w:r w:rsidRPr="009F2BAC">
        <w:rPr>
          <w:rFonts w:ascii="Arial" w:hAnsi="Arial" w:cs="Arial"/>
          <w:b/>
          <w:bCs/>
          <w:i/>
          <w:iCs/>
          <w:sz w:val="18"/>
          <w:szCs w:val="18"/>
          <w:lang w:val="en-US"/>
        </w:rPr>
        <w:t xml:space="preserve">1: </w:t>
      </w:r>
      <w:r w:rsidRPr="009F2BAC">
        <w:rPr>
          <w:rFonts w:ascii="Arial" w:hAnsi="Arial" w:cs="Arial"/>
          <w:i/>
          <w:iCs/>
          <w:sz w:val="18"/>
          <w:szCs w:val="18"/>
          <w:lang w:val="en-US"/>
        </w:rPr>
        <w:t>Efficiency/Yield/Conversion Factor</w:t>
      </w:r>
    </w:p>
    <w:tbl>
      <w:tblPr>
        <w:tblStyle w:val="TableGrid"/>
        <w:tblW w:w="5000" w:type="pct"/>
        <w:tblInd w:w="0" w:type="dxa"/>
        <w:tblLook w:val="04A0" w:firstRow="1" w:lastRow="0" w:firstColumn="1" w:lastColumn="0" w:noHBand="0" w:noVBand="1"/>
      </w:tblPr>
      <w:tblGrid>
        <w:gridCol w:w="1830"/>
        <w:gridCol w:w="1696"/>
        <w:gridCol w:w="1696"/>
        <w:gridCol w:w="1925"/>
        <w:gridCol w:w="1382"/>
        <w:gridCol w:w="1517"/>
      </w:tblGrid>
      <w:tr w:rsidR="001268BC" w:rsidRPr="009445F0" w14:paraId="28D73728" w14:textId="77777777" w:rsidTr="000E579C">
        <w:trPr>
          <w:trHeight w:val="57"/>
        </w:trPr>
        <w:tc>
          <w:tcPr>
            <w:tcW w:w="1755" w:type="pct"/>
            <w:gridSpan w:val="2"/>
            <w:tcBorders>
              <w:top w:val="single" w:sz="12" w:space="0" w:color="auto"/>
              <w:left w:val="single" w:sz="18" w:space="0" w:color="auto"/>
              <w:bottom w:val="single" w:sz="12" w:space="0" w:color="auto"/>
              <w:right w:val="single" w:sz="18" w:space="0" w:color="auto"/>
            </w:tcBorders>
            <w:shd w:val="clear" w:color="auto" w:fill="A8FFB1"/>
            <w:vAlign w:val="center"/>
          </w:tcPr>
          <w:p w14:paraId="6ED5C136"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b/>
                <w:bCs/>
                <w:sz w:val="18"/>
                <w:szCs w:val="18"/>
              </w:rPr>
              <w:t>Electricity Generation</w:t>
            </w:r>
          </w:p>
        </w:tc>
        <w:tc>
          <w:tcPr>
            <w:tcW w:w="1802" w:type="pct"/>
            <w:gridSpan w:val="2"/>
            <w:tcBorders>
              <w:top w:val="single" w:sz="12" w:space="0" w:color="auto"/>
              <w:left w:val="single" w:sz="18" w:space="0" w:color="auto"/>
              <w:bottom w:val="single" w:sz="12" w:space="0" w:color="auto"/>
              <w:right w:val="single" w:sz="18" w:space="0" w:color="auto"/>
            </w:tcBorders>
            <w:shd w:val="clear" w:color="auto" w:fill="A8FFB1"/>
            <w:vAlign w:val="center"/>
          </w:tcPr>
          <w:p w14:paraId="19621846"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b/>
                <w:bCs/>
                <w:sz w:val="18"/>
                <w:szCs w:val="18"/>
              </w:rPr>
              <w:t>H</w:t>
            </w:r>
            <w:r w:rsidRPr="009445F0">
              <w:rPr>
                <w:rFonts w:ascii="Arial" w:hAnsi="Arial" w:cs="Arial"/>
                <w:b/>
                <w:bCs/>
                <w:sz w:val="18"/>
                <w:szCs w:val="18"/>
                <w:vertAlign w:val="subscript"/>
              </w:rPr>
              <w:t>2</w:t>
            </w:r>
            <w:r w:rsidRPr="009445F0">
              <w:rPr>
                <w:rFonts w:ascii="Arial" w:hAnsi="Arial" w:cs="Arial"/>
                <w:b/>
                <w:bCs/>
                <w:sz w:val="18"/>
                <w:szCs w:val="18"/>
              </w:rPr>
              <w:t xml:space="preserve"> Production</w:t>
            </w:r>
          </w:p>
        </w:tc>
        <w:tc>
          <w:tcPr>
            <w:tcW w:w="1443" w:type="pct"/>
            <w:gridSpan w:val="2"/>
            <w:tcBorders>
              <w:top w:val="single" w:sz="12" w:space="0" w:color="auto"/>
              <w:left w:val="single" w:sz="18" w:space="0" w:color="auto"/>
              <w:bottom w:val="single" w:sz="12" w:space="0" w:color="auto"/>
              <w:right w:val="single" w:sz="18" w:space="0" w:color="auto"/>
            </w:tcBorders>
            <w:shd w:val="clear" w:color="auto" w:fill="A8FFB1"/>
            <w:vAlign w:val="center"/>
          </w:tcPr>
          <w:p w14:paraId="6349FF62"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b/>
                <w:bCs/>
                <w:sz w:val="18"/>
                <w:szCs w:val="18"/>
              </w:rPr>
              <w:t>H</w:t>
            </w:r>
            <w:r w:rsidRPr="009445F0">
              <w:rPr>
                <w:rFonts w:ascii="Arial" w:hAnsi="Arial" w:cs="Arial"/>
                <w:b/>
                <w:bCs/>
                <w:sz w:val="18"/>
                <w:szCs w:val="18"/>
                <w:vertAlign w:val="subscript"/>
              </w:rPr>
              <w:t>2</w:t>
            </w:r>
            <w:r w:rsidRPr="009445F0">
              <w:rPr>
                <w:rFonts w:ascii="Arial" w:hAnsi="Arial" w:cs="Arial"/>
                <w:b/>
                <w:bCs/>
                <w:sz w:val="18"/>
                <w:szCs w:val="18"/>
              </w:rPr>
              <w:t xml:space="preserve"> Storage</w:t>
            </w:r>
          </w:p>
        </w:tc>
      </w:tr>
      <w:tr w:rsidR="001268BC" w:rsidRPr="009445F0" w14:paraId="1D595BB8" w14:textId="77777777" w:rsidTr="000E579C">
        <w:trPr>
          <w:trHeight w:val="57"/>
        </w:trPr>
        <w:tc>
          <w:tcPr>
            <w:tcW w:w="1755" w:type="pct"/>
            <w:gridSpan w:val="2"/>
            <w:tcBorders>
              <w:top w:val="single" w:sz="12" w:space="0" w:color="auto"/>
              <w:left w:val="single" w:sz="18" w:space="0" w:color="auto"/>
              <w:bottom w:val="single" w:sz="18" w:space="0" w:color="auto"/>
              <w:right w:val="single" w:sz="18" w:space="0" w:color="auto"/>
            </w:tcBorders>
            <w:shd w:val="clear" w:color="auto" w:fill="A8FFB1"/>
            <w:vAlign w:val="center"/>
          </w:tcPr>
          <w:p w14:paraId="636BCA3A"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Solar Energy</w:t>
            </w:r>
          </w:p>
        </w:tc>
        <w:tc>
          <w:tcPr>
            <w:tcW w:w="1802" w:type="pct"/>
            <w:gridSpan w:val="2"/>
            <w:tcBorders>
              <w:top w:val="single" w:sz="12" w:space="0" w:color="auto"/>
              <w:left w:val="single" w:sz="18" w:space="0" w:color="auto"/>
              <w:bottom w:val="single" w:sz="18" w:space="0" w:color="auto"/>
              <w:right w:val="single" w:sz="18" w:space="0" w:color="auto"/>
            </w:tcBorders>
            <w:shd w:val="clear" w:color="auto" w:fill="A8FFB1"/>
            <w:vAlign w:val="center"/>
          </w:tcPr>
          <w:p w14:paraId="393A04F6"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Green H</w:t>
            </w:r>
            <w:r w:rsidRPr="009445F0">
              <w:rPr>
                <w:rFonts w:ascii="Arial" w:hAnsi="Arial" w:cs="Arial"/>
                <w:b/>
                <w:bCs/>
                <w:sz w:val="18"/>
                <w:szCs w:val="18"/>
                <w:vertAlign w:val="subscript"/>
              </w:rPr>
              <w:t>2</w:t>
            </w:r>
            <w:r w:rsidRPr="009445F0">
              <w:rPr>
                <w:rFonts w:ascii="Arial" w:hAnsi="Arial" w:cs="Arial"/>
                <w:b/>
                <w:bCs/>
                <w:sz w:val="18"/>
                <w:szCs w:val="18"/>
              </w:rPr>
              <w:t xml:space="preserve"> (Electrolysis)</w:t>
            </w:r>
          </w:p>
        </w:tc>
        <w:tc>
          <w:tcPr>
            <w:tcW w:w="1443" w:type="pct"/>
            <w:gridSpan w:val="2"/>
            <w:tcBorders>
              <w:top w:val="single" w:sz="12" w:space="0" w:color="auto"/>
              <w:left w:val="single" w:sz="18" w:space="0" w:color="auto"/>
              <w:bottom w:val="single" w:sz="18" w:space="0" w:color="auto"/>
              <w:right w:val="single" w:sz="18" w:space="0" w:color="auto"/>
            </w:tcBorders>
            <w:shd w:val="clear" w:color="auto" w:fill="A8FFB1"/>
            <w:vAlign w:val="center"/>
          </w:tcPr>
          <w:p w14:paraId="01DD2ECF"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Physical Method</w:t>
            </w:r>
          </w:p>
        </w:tc>
      </w:tr>
      <w:tr w:rsidR="001268BC" w:rsidRPr="009445F0" w14:paraId="25C0842D" w14:textId="77777777" w:rsidTr="000E579C">
        <w:trPr>
          <w:trHeight w:val="57"/>
        </w:trPr>
        <w:tc>
          <w:tcPr>
            <w:tcW w:w="911" w:type="pct"/>
            <w:tcBorders>
              <w:top w:val="single" w:sz="18" w:space="0" w:color="auto"/>
              <w:left w:val="single" w:sz="18" w:space="0" w:color="auto"/>
              <w:right w:val="single" w:sz="18" w:space="0" w:color="auto"/>
            </w:tcBorders>
            <w:shd w:val="clear" w:color="auto" w:fill="auto"/>
            <w:vAlign w:val="center"/>
          </w:tcPr>
          <w:p w14:paraId="0820753F"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CS</w:t>
            </w:r>
          </w:p>
        </w:tc>
        <w:tc>
          <w:tcPr>
            <w:tcW w:w="844" w:type="pct"/>
            <w:tcBorders>
              <w:top w:val="single" w:sz="18" w:space="0" w:color="auto"/>
              <w:left w:val="single" w:sz="18" w:space="0" w:color="auto"/>
              <w:right w:val="single" w:sz="18" w:space="0" w:color="auto"/>
            </w:tcBorders>
            <w:shd w:val="clear" w:color="auto" w:fill="auto"/>
            <w:vAlign w:val="center"/>
          </w:tcPr>
          <w:p w14:paraId="603E9C5F"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22%</w:t>
            </w:r>
          </w:p>
          <w:p w14:paraId="5D01C1FA" w14:textId="3B5466F3"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10.1016/j.heliyon.2020.e05666","ISSN":"24058440","author":[{"dropping-particle":"","family":"Benda","given":"Vítězslav","non-dropping-particle":"","parse-names":false,"suffix":""},{"dropping-particle":"","family":"Černá","given":"Ladislava","non-dropping-particle":"","parse-names":false,"suffix":""}],"container-title":"Heliyon","id":"ITEM-1","issue":"12","issued":{"date-parts":[["2020","12"]]},"page":"e05666","title":"PV cells and modules – State of the art, limits and trends","type":"article-journal","volume":"6"},"uris":["http://www.mendeley.com/documents/?uuid=8ed764e0-a8a7-4337-b402-58b141befc10"]}],"mendeley":{"formattedCitation":"(Benda and Černá, 2020)","manualFormatting":"(Benda, 2020)","plainTextFormattedCitation":"(Benda and Černá, 2020)","previouslyFormattedCitation":"(Benda and Černá, 2020)"},"properties":{"noteIndex":0},"schema":"https://github.com/citation-style-language/schema/raw/master/csl-citation.json"}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(Benda, 2020)</w:t>
            </w:r>
            <w:r w:rsidRPr="009445F0">
              <w:rPr>
                <w:rFonts w:ascii="Arial" w:hAnsi="Arial" w:cs="Arial"/>
                <w:sz w:val="18"/>
                <w:szCs w:val="18"/>
              </w:rPr>
              <w:fldChar w:fldCharType="end"/>
            </w:r>
          </w:p>
        </w:tc>
        <w:tc>
          <w:tcPr>
            <w:tcW w:w="844" w:type="pct"/>
            <w:tcBorders>
              <w:top w:val="single" w:sz="18" w:space="0" w:color="auto"/>
              <w:left w:val="single" w:sz="18" w:space="0" w:color="auto"/>
              <w:right w:val="single" w:sz="18" w:space="0" w:color="auto"/>
            </w:tcBorders>
            <w:shd w:val="clear" w:color="auto" w:fill="auto"/>
            <w:vAlign w:val="center"/>
          </w:tcPr>
          <w:p w14:paraId="277B6904"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PEM</w:t>
            </w:r>
          </w:p>
        </w:tc>
        <w:tc>
          <w:tcPr>
            <w:tcW w:w="958" w:type="pct"/>
            <w:tcBorders>
              <w:top w:val="single" w:sz="12" w:space="0" w:color="auto"/>
              <w:left w:val="single" w:sz="18" w:space="0" w:color="auto"/>
              <w:right w:val="single" w:sz="18" w:space="0" w:color="auto"/>
            </w:tcBorders>
            <w:shd w:val="clear" w:color="auto" w:fill="auto"/>
            <w:vAlign w:val="center"/>
          </w:tcPr>
          <w:p w14:paraId="44788616"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0.0554 kg H</w:t>
            </w:r>
            <w:r w:rsidRPr="009445F0">
              <w:rPr>
                <w:rFonts w:ascii="Arial" w:hAnsi="Arial" w:cs="Arial"/>
                <w:sz w:val="18"/>
                <w:szCs w:val="18"/>
                <w:vertAlign w:val="subscript"/>
              </w:rPr>
              <w:t>2</w:t>
            </w:r>
            <w:r w:rsidRPr="009445F0">
              <w:rPr>
                <w:rFonts w:ascii="Arial" w:hAnsi="Arial" w:cs="Arial"/>
                <w:sz w:val="18"/>
                <w:szCs w:val="18"/>
              </w:rPr>
              <w:t>/kg H</w:t>
            </w:r>
            <w:r w:rsidRPr="009445F0">
              <w:rPr>
                <w:rFonts w:ascii="Arial" w:hAnsi="Arial" w:cs="Arial"/>
                <w:sz w:val="18"/>
                <w:szCs w:val="18"/>
                <w:vertAlign w:val="subscript"/>
              </w:rPr>
              <w:t>2</w:t>
            </w:r>
            <w:r w:rsidRPr="009445F0">
              <w:rPr>
                <w:rFonts w:ascii="Arial" w:hAnsi="Arial" w:cs="Arial"/>
                <w:sz w:val="18"/>
                <w:szCs w:val="18"/>
              </w:rPr>
              <w:t>O</w:t>
            </w:r>
          </w:p>
          <w:p w14:paraId="5EBCC658" w14:textId="42DCBA86"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{"citationItems":[{"id":"ITEM-1","itemData":{"DOI":"10.3390/environments5020024","ISSN":"20763298","abstract":"A common sustainability issue, arising in production systems, is the efficient use of resources for providing goods or services. With the increased interest in a hydrogen (H2) economy, the life-cycle environmental performance of H2 production has special significance for assisting in identifying opportunities to improve environmental performance and to guide challenging decisions and select between technology paths. Life cycle impact assessment methods are rapidly evolving to analyze multiple environmental impacts of the production of products or processes. This study marks the first step in developing process-based streamlined life cycle analysis (LCA) of several H2 production pathways combining life cycle impacts at the midpoint (17 problem-oriented) and endpoint (3 damage-oriented) levels using the state-of-the-art impact assessment method ReCiPe 2016. Steam reforming of natural gas, coal gasification, water electrolysis via proton exchange membrane fuel cell (PEM), solid oxide electrolyzer cell (SOEC), biomass gasification and reforming, and dark fermentation of lignocellulosic biomass were analyzed. An innovative aspect is developed in this study is an analysis of water consumption associated with H2 production pathways by life-cycle stage to provide a better understanding of the life cycle water-related impacts on human health and natural environment. For water-related scope, Water scarcity footprint (WSF) quantified using Available WAter REmaining (AWARE) method was applied as a stand-alone indicator. The paper discusses the strengths and weaknesses of each production pathway, identify the drivers of environmental impact, quantify midpoint environmental impact and its influence on the endpoint environmental performance. The findings of this study could serve as a useful theoretical reference and practical basis to decision-makers of potential environmental impacts of H2 production systems.","author":[{"dropping-particle":"","family":"Mehmeti","given":"Andi","non-dropping-particle":"","parse-names":false,"suffix":""},{"dropping-particle":"","family":"Angelis-Dimakis","given":"Athanasios","non-dropping-particle":"","parse-names":false,"suffix":""},{"dropping-particle":"","family":"Arampatzis","given":"George","non-dropping-particle":"","parse-names":false,"suffix":""},{"dropping-particle":"","family":"McPhail","given":"Stephen J.","non-dropping-particle":"","parse-names":false,"suffix":""},{"dropping-particle":"","family":"Ulgiati","given":"Sergio","non-dropping-particle":"","parse-names":false,"suffix":""}],"container-title":"Environments - MDPI","id":"ITEM-1","issue":"2","issued":{"date-parts":[["2018"]]},"page":"1-19","title":"Life cycle assessment and water footprint of hydrogen production methods: From conventional to emerging technologies","type":"article-journal","volume":"5"},"uris":["http://www.mendeley.com/documents/?uuid=c3cb04e4-66b5-4cd8-9b4c-ef394011f00d"]}],"mendeley":{"formattedCitation":"(Mehmeti et al., 2018)","manualFormatting":"(Mehmeti, 2018)","plainTextFormattedCitation":"(Mehmeti et al., 2018)","previouslyFormattedCitation":"(Mehmeti et al., 2018)"},"properties":{"noteIndex":0},"schema":"https://github.com/citation-style-language/schema/raw/master/csl-citation.json"}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(Mehmeti, 2018)</w:t>
            </w:r>
            <w:r w:rsidRPr="009445F0">
              <w:rPr>
                <w:rFonts w:ascii="Arial" w:hAnsi="Arial" w:cs="Arial"/>
                <w:sz w:val="18"/>
                <w:szCs w:val="18"/>
              </w:rPr>
              <w:fldChar w:fldCharType="end"/>
            </w:r>
          </w:p>
        </w:tc>
        <w:tc>
          <w:tcPr>
            <w:tcW w:w="688" w:type="pct"/>
            <w:tcBorders>
              <w:top w:val="single" w:sz="18" w:space="0" w:color="auto"/>
              <w:left w:val="single" w:sz="18" w:space="0" w:color="auto"/>
              <w:right w:val="single" w:sz="18" w:space="0" w:color="auto"/>
            </w:tcBorders>
            <w:shd w:val="clear" w:color="auto" w:fill="auto"/>
            <w:vAlign w:val="center"/>
          </w:tcPr>
          <w:p w14:paraId="0B11FB55" w14:textId="460C516B"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C</w:t>
            </w:r>
            <w:r w:rsidR="003D7951">
              <w:rPr>
                <w:rFonts w:ascii="Arial" w:hAnsi="Arial" w:cs="Arial"/>
                <w:sz w:val="18"/>
                <w:szCs w:val="18"/>
              </w:rPr>
              <w:t xml:space="preserve">ompressed </w:t>
            </w:r>
            <w:r w:rsidRPr="009445F0">
              <w:rPr>
                <w:rFonts w:ascii="Arial" w:hAnsi="Arial" w:cs="Arial"/>
                <w:sz w:val="18"/>
                <w:szCs w:val="18"/>
              </w:rPr>
              <w:t>H</w:t>
            </w:r>
            <w:r w:rsidRPr="009445F0">
              <w:rPr>
                <w:rFonts w:ascii="Arial" w:hAnsi="Arial" w:cs="Arial"/>
                <w:sz w:val="18"/>
                <w:szCs w:val="18"/>
                <w:vertAlign w:val="subscript"/>
              </w:rPr>
              <w:t>2</w:t>
            </w:r>
          </w:p>
        </w:tc>
        <w:tc>
          <w:tcPr>
            <w:tcW w:w="755" w:type="pct"/>
            <w:tcBorders>
              <w:top w:val="single" w:sz="18" w:space="0" w:color="auto"/>
              <w:left w:val="single" w:sz="18" w:space="0" w:color="auto"/>
              <w:right w:val="single" w:sz="18" w:space="0" w:color="auto"/>
            </w:tcBorders>
            <w:shd w:val="clear" w:color="auto" w:fill="auto"/>
            <w:vAlign w:val="center"/>
          </w:tcPr>
          <w:p w14:paraId="4BE3ABCB"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95.0%</w:t>
            </w:r>
          </w:p>
          <w:p w14:paraId="78426242" w14:textId="0F98738D"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{"citationItems":[{"id":"ITEM-1","itemData":{"author":[{"dropping-particle":"","family":"Norouzi","given":"Nima","non-dropping-particle":"","parse-names":false,"suffix":""}],"container-title":"INTERNATIONAL JOURNAL OF ENERGY STUDIES","id":"ITEM-1","issue":"1","issued":{"date-parts":[["2021"]]},"page":"67-94","title":"An overview on the renewable hydrogen generation market","type":"article-journal","volume":"6"},"uris":["http://www.mendeley.com/documents/?uuid=7690a2cb-999b-4e7c-b4e7-9b43598b635d"]}],"mendeley":{"formattedCitation":"(Norouzi, 2021)","plainTextFormattedCitation":"(Norouzi, 2021)","previouslyFormattedCitation":"(Norouzi, 2021)"},"properties":{"noteIndex":0},"schema":"https://github.com/citation-style-language/schema/raw/master/csl-citation.json"}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(Norouzi, 2021)</w:t>
            </w:r>
            <w:r w:rsidRPr="009445F0">
              <w:rPr>
                <w:rFonts w:ascii="Arial" w:hAnsi="Arial" w:cs="Arial"/>
                <w:sz w:val="18"/>
                <w:szCs w:val="18"/>
              </w:rPr>
              <w:fldChar w:fldCharType="end"/>
            </w:r>
          </w:p>
        </w:tc>
      </w:tr>
      <w:tr w:rsidR="001268BC" w:rsidRPr="009445F0" w14:paraId="419452BF" w14:textId="77777777" w:rsidTr="000E579C">
        <w:trPr>
          <w:trHeight w:val="57"/>
        </w:trPr>
        <w:tc>
          <w:tcPr>
            <w:tcW w:w="911" w:type="pct"/>
            <w:tcBorders>
              <w:left w:val="single" w:sz="18" w:space="0" w:color="auto"/>
              <w:right w:val="single" w:sz="18" w:space="0" w:color="auto"/>
            </w:tcBorders>
            <w:shd w:val="clear" w:color="auto" w:fill="auto"/>
            <w:vAlign w:val="center"/>
          </w:tcPr>
          <w:p w14:paraId="659B721C"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TF</w:t>
            </w:r>
          </w:p>
        </w:tc>
        <w:tc>
          <w:tcPr>
            <w:tcW w:w="844" w:type="pct"/>
            <w:tcBorders>
              <w:left w:val="single" w:sz="18" w:space="0" w:color="auto"/>
              <w:right w:val="single" w:sz="18" w:space="0" w:color="auto"/>
            </w:tcBorders>
            <w:shd w:val="clear" w:color="auto" w:fill="auto"/>
            <w:vAlign w:val="center"/>
          </w:tcPr>
          <w:p w14:paraId="17758C1E"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16%</w:t>
            </w:r>
          </w:p>
          <w:p w14:paraId="138D1C9D" w14:textId="439F3782"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10.1016/j.heliyon.2020.e05666","ISSN":"24058440","author":[{"dropping-particle":"","family":"Benda","given":"Vítězslav","non-dropping-particle":"","parse-names":false,"suffix":""},{"dropping-particle":"","family":"Černá","given":"Ladislava","non-dropping-particle":"","parse-names":false,"suffix":""}],"container-title":"Heliyon","id":"ITEM-1","issue":"12","issued":{"date-parts":[["2020","12"]]},"page":"e05666","title":"PV cells and modules – State of the art, limits and trends","type":"article-journal","volume":"6"},"uris":["http://www.mendeley.com/documents/?uuid=8ed764e0-a8a7-4337-b402-58b141befc10"]}],"mendeley":{"formattedCitation":"(Benda and Černá, 2020)","manualFormatting":"(Benda, 2020)","plainTextFormattedCitation":"(Benda and Černá, 2020)","previouslyFormattedCitation":"(Benda and Černá, 2020)"},"properties":{"noteIndex":0},"schema":"https://github.com/citation-style-language/schema/raw/master/csl-citation.json"}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(Benda, 2020)</w:t>
            </w:r>
            <w:r w:rsidRPr="009445F0">
              <w:rPr>
                <w:rFonts w:ascii="Arial" w:hAnsi="Arial" w:cs="Arial"/>
                <w:sz w:val="18"/>
                <w:szCs w:val="18"/>
              </w:rPr>
              <w:fldChar w:fldCharType="end"/>
            </w:r>
          </w:p>
        </w:tc>
        <w:tc>
          <w:tcPr>
            <w:tcW w:w="844" w:type="pct"/>
            <w:tcBorders>
              <w:left w:val="single" w:sz="18" w:space="0" w:color="auto"/>
              <w:right w:val="single" w:sz="18" w:space="0" w:color="auto"/>
            </w:tcBorders>
            <w:shd w:val="clear" w:color="auto" w:fill="auto"/>
            <w:vAlign w:val="center"/>
          </w:tcPr>
          <w:p w14:paraId="278F71FA"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AWE</w:t>
            </w:r>
          </w:p>
        </w:tc>
        <w:tc>
          <w:tcPr>
            <w:tcW w:w="958" w:type="pct"/>
            <w:tcBorders>
              <w:left w:val="single" w:sz="18" w:space="0" w:color="auto"/>
              <w:right w:val="single" w:sz="18" w:space="0" w:color="auto"/>
            </w:tcBorders>
            <w:shd w:val="clear" w:color="auto" w:fill="auto"/>
            <w:vAlign w:val="center"/>
          </w:tcPr>
          <w:p w14:paraId="45144D7A"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0.0989 kg H</w:t>
            </w:r>
            <w:r w:rsidRPr="009445F0">
              <w:rPr>
                <w:rFonts w:ascii="Arial" w:hAnsi="Arial" w:cs="Arial"/>
                <w:sz w:val="18"/>
                <w:szCs w:val="18"/>
                <w:vertAlign w:val="subscript"/>
              </w:rPr>
              <w:t>2</w:t>
            </w:r>
            <w:r w:rsidRPr="009445F0">
              <w:rPr>
                <w:rFonts w:ascii="Arial" w:hAnsi="Arial" w:cs="Arial"/>
                <w:sz w:val="18"/>
                <w:szCs w:val="18"/>
              </w:rPr>
              <w:t>/kg H</w:t>
            </w:r>
            <w:r w:rsidRPr="009445F0">
              <w:rPr>
                <w:rFonts w:ascii="Arial" w:hAnsi="Arial" w:cs="Arial"/>
                <w:sz w:val="18"/>
                <w:szCs w:val="18"/>
                <w:vertAlign w:val="subscript"/>
              </w:rPr>
              <w:t>2</w:t>
            </w:r>
            <w:r w:rsidRPr="009445F0">
              <w:rPr>
                <w:rFonts w:ascii="Arial" w:hAnsi="Arial" w:cs="Arial"/>
                <w:sz w:val="18"/>
                <w:szCs w:val="18"/>
              </w:rPr>
              <w:t>O</w:t>
            </w:r>
          </w:p>
          <w:p w14:paraId="36ED0A00" w14:textId="3427F0FB"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10.3389/fenrg.2017.00001","ISSN":"2296-598X","author":[{"dropping-particle":"","family":"Kuckshinrichs","given":"Wilhelm","non-dropping-particle":"","parse-names":false,"suffix":""},{"dropping-particle":"","family":"Ketelaer","given":"Thomas","non-dropping-particle":"","parse-names":false,"suffix":""},{"dropping-particle":"","family":"Koj","given":"Jan Christian","non-dropping-particle":"","parse-names":false,"suffix":""}],"container-title":"Frontiers in Energy Research","id":"ITEM-1","issued":{"date-parts":[["2017","2"]]},"title":"Economic Analysis of Improved Alkaline Water Electrolysis","type":"article-journal","volume":"5"},"uris":["http://www.mendeley.com/documents/?uuid=6d6b736e-87da-4829-8cac-28d6949f7fcc"]}],"mendeley":{"formattedCitation":"(Kuckshinrichs et al., 2017)","manualFormatting":"(Kuckshinrichs, 2017)","plainTextFormattedCitation":"(Kuckshinrichs et al., 2017)","previouslyFormattedCitation":"(Kuckshinrichs et al., 2017)"},"properties":{"noteIndex":0},"schema":"https://github.com/citation-style-language/schema/raw/master/csl-citation.json"}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(Kuckshinrichs, 2017)</w:t>
            </w:r>
            <w:r w:rsidRPr="009445F0">
              <w:rPr>
                <w:rFonts w:ascii="Arial" w:hAnsi="Arial" w:cs="Arial"/>
                <w:sz w:val="18"/>
                <w:szCs w:val="18"/>
              </w:rPr>
              <w:fldChar w:fldCharType="end"/>
            </w:r>
          </w:p>
        </w:tc>
        <w:tc>
          <w:tcPr>
            <w:tcW w:w="688" w:type="pct"/>
            <w:tcBorders>
              <w:left w:val="single" w:sz="18" w:space="0" w:color="auto"/>
              <w:bottom w:val="single" w:sz="18" w:space="0" w:color="auto"/>
              <w:right w:val="single" w:sz="18" w:space="0" w:color="auto"/>
            </w:tcBorders>
            <w:shd w:val="clear" w:color="auto" w:fill="auto"/>
            <w:vAlign w:val="center"/>
          </w:tcPr>
          <w:p w14:paraId="3EA5832F"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LH</w:t>
            </w:r>
            <w:r w:rsidRPr="009445F0">
              <w:rPr>
                <w:rFonts w:ascii="Arial" w:hAnsi="Arial" w:cs="Arial"/>
                <w:sz w:val="18"/>
                <w:szCs w:val="18"/>
                <w:vertAlign w:val="subscript"/>
              </w:rPr>
              <w:t>2</w:t>
            </w:r>
          </w:p>
        </w:tc>
        <w:tc>
          <w:tcPr>
            <w:tcW w:w="755" w:type="pct"/>
            <w:tcBorders>
              <w:left w:val="single" w:sz="18" w:space="0" w:color="auto"/>
              <w:bottom w:val="single" w:sz="18" w:space="0" w:color="auto"/>
              <w:right w:val="single" w:sz="18" w:space="0" w:color="auto"/>
            </w:tcBorders>
            <w:shd w:val="clear" w:color="auto" w:fill="auto"/>
            <w:vAlign w:val="center"/>
          </w:tcPr>
          <w:p w14:paraId="6EA66C1A"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75.0%</w:t>
            </w:r>
          </w:p>
          <w:p w14:paraId="018E0CF9" w14:textId="1698C92C"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{"citationItems":[{"id":"ITEM-1","itemData":{"author":[{"dropping-particle":"","family":"Norouzi","given":"Nima","non-dropping-particle":"","parse-names":false,"suffix":""}],"container-title":"INTERNATIONAL JOURNAL OF ENERGY STUDIES","id":"ITEM-1","issue":"1","issued":{"date-parts":[["2021"]]},"page":"67-94","title":"An overview on the renewable hydrogen generation market","type":"article-journal","volume":"6"},"uris":["http://www.mendeley.com/documents/?uuid=7690a2cb-999b-4e7c-b4e7-9b43598b635d"]}],"mendeley":{"formattedCitation":"(Norouzi, 2021)","plainTextFormattedCitation":"(Norouzi, 2021)","previouslyFormattedCitation":"(Norouzi, 2021)"},"properties":{"noteIndex":0},"schema":"https://github.com/citation-style-language/schema/raw/master/csl-citation.json"}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(Norouzi, 2021)</w:t>
            </w:r>
            <w:r w:rsidRPr="009445F0">
              <w:rPr>
                <w:rFonts w:ascii="Arial" w:hAnsi="Arial" w:cs="Arial"/>
                <w:sz w:val="18"/>
                <w:szCs w:val="18"/>
              </w:rPr>
              <w:fldChar w:fldCharType="end"/>
            </w:r>
          </w:p>
        </w:tc>
      </w:tr>
      <w:tr w:rsidR="001268BC" w:rsidRPr="009445F0" w14:paraId="08B922C3" w14:textId="77777777" w:rsidTr="000E579C">
        <w:trPr>
          <w:trHeight w:val="57"/>
        </w:trPr>
        <w:tc>
          <w:tcPr>
            <w:tcW w:w="911" w:type="pct"/>
            <w:tcBorders>
              <w:left w:val="single" w:sz="18" w:space="0" w:color="auto"/>
              <w:right w:val="single" w:sz="18" w:space="0" w:color="auto"/>
            </w:tcBorders>
            <w:shd w:val="clear" w:color="auto" w:fill="auto"/>
            <w:vAlign w:val="center"/>
          </w:tcPr>
          <w:p w14:paraId="72373C41"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Parabolic Trough</w:t>
            </w:r>
          </w:p>
        </w:tc>
        <w:tc>
          <w:tcPr>
            <w:tcW w:w="844" w:type="pct"/>
            <w:tcBorders>
              <w:left w:val="single" w:sz="18" w:space="0" w:color="auto"/>
              <w:right w:val="single" w:sz="18" w:space="0" w:color="auto"/>
            </w:tcBorders>
            <w:shd w:val="clear" w:color="auto" w:fill="auto"/>
            <w:vAlign w:val="center"/>
          </w:tcPr>
          <w:p w14:paraId="4C0F913C"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16%</w:t>
            </w:r>
          </w:p>
          <w:p w14:paraId="0C437BF3" w14:textId="135ADB5D"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{"citationItems":[{"id":"ITEM-1","itemData":{"author":[{"dropping-particle":"","family":"Gielen","given":"Dolf","non-dropping-particle":"","parse-names":false,"suffix":""}],"container-title":"RENEWABLE ENERGY TECHNOLOGIES: COST ANALYSIS SERIES","id":"ITEM-1","issue":"2","issued":{"date-parts":[["2012"]]},"title":"Concentrating Solar Power","type":"article-journal","volume":"1"},"uris":["http://www.mendeley.com/documents/?uuid=29d423f5-4607-4c55-87d2-0ed5b56ca5d4"]}],"mendeley":{"formattedCitation":"(Gielen, 2012)","plainTextFormattedCitation":"(Gielen, 2012)","previouslyFormattedCitation":"(Gielen, 2012)"},"properties":{"noteIndex":0},"schema":"https://github.com/citation-style-language/schema/raw/master/csl-citation.json"}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(Gielen, 2012)</w:t>
            </w:r>
            <w:r w:rsidRPr="009445F0">
              <w:rPr>
                <w:rFonts w:ascii="Arial" w:hAnsi="Arial" w:cs="Arial"/>
                <w:sz w:val="18"/>
                <w:szCs w:val="18"/>
              </w:rPr>
              <w:fldChar w:fldCharType="end"/>
            </w:r>
          </w:p>
        </w:tc>
        <w:tc>
          <w:tcPr>
            <w:tcW w:w="844" w:type="pct"/>
            <w:tcBorders>
              <w:left w:val="single" w:sz="18" w:space="0" w:color="auto"/>
              <w:right w:val="single" w:sz="18" w:space="0" w:color="auto"/>
            </w:tcBorders>
            <w:shd w:val="clear" w:color="auto" w:fill="auto"/>
            <w:vAlign w:val="center"/>
          </w:tcPr>
          <w:p w14:paraId="13F6C1E4"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SOEC</w:t>
            </w:r>
          </w:p>
        </w:tc>
        <w:tc>
          <w:tcPr>
            <w:tcW w:w="958" w:type="pct"/>
            <w:tcBorders>
              <w:left w:val="single" w:sz="18" w:space="0" w:color="auto"/>
              <w:right w:val="single" w:sz="18" w:space="0" w:color="auto"/>
            </w:tcBorders>
            <w:shd w:val="clear" w:color="auto" w:fill="auto"/>
            <w:vAlign w:val="center"/>
          </w:tcPr>
          <w:p w14:paraId="7C790C89"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0.110kg H</w:t>
            </w:r>
            <w:r w:rsidRPr="009445F0">
              <w:rPr>
                <w:rFonts w:ascii="Arial" w:hAnsi="Arial" w:cs="Arial"/>
                <w:sz w:val="18"/>
                <w:szCs w:val="18"/>
                <w:vertAlign w:val="subscript"/>
              </w:rPr>
              <w:t>2</w:t>
            </w:r>
            <w:r w:rsidRPr="009445F0">
              <w:rPr>
                <w:rFonts w:ascii="Arial" w:hAnsi="Arial" w:cs="Arial"/>
                <w:sz w:val="18"/>
                <w:szCs w:val="18"/>
              </w:rPr>
              <w:t>/kg H</w:t>
            </w:r>
            <w:r w:rsidRPr="009445F0">
              <w:rPr>
                <w:rFonts w:ascii="Arial" w:hAnsi="Arial" w:cs="Arial"/>
                <w:sz w:val="18"/>
                <w:szCs w:val="18"/>
                <w:vertAlign w:val="subscript"/>
              </w:rPr>
              <w:t>2</w:t>
            </w:r>
            <w:r w:rsidRPr="009445F0">
              <w:rPr>
                <w:rFonts w:ascii="Arial" w:hAnsi="Arial" w:cs="Arial"/>
                <w:sz w:val="18"/>
                <w:szCs w:val="18"/>
              </w:rPr>
              <w:t>O</w:t>
            </w:r>
          </w:p>
          <w:p w14:paraId="4AE2D343" w14:textId="3614FA48"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{"citationItems":[{"id":"ITEM-1","itemData":{"DOI":"10.3390/environments5020024","ISSN":"20763298","abstract":"A common sustainability issue, arising in production systems, is the efficient use of resources for providing goods or services. With the increased interest in a hydrogen (H2) economy, the life-cycle environmental performance of H2 production has special significance for assisting in identifying opportunities to improve environmental performance and to guide challenging decisions and select between technology paths. Life cycle impact assessment methods are rapidly evolving to analyze multiple environmental impacts of the production of products or processes. This study marks the first step in developing process-based streamlined life cycle analysis (LCA) of several H2 production pathways combining life cycle impacts at the midpoint (17 problem-oriented) and endpoint (3 damage-oriented) levels using the state-of-the-art impact assessment method ReCiPe 2016. Steam reforming of natural gas, coal gasification, water electrolysis via proton exchange membrane fuel cell (PEM), solid oxide electrolyzer cell (SOEC), biomass gasification and reforming, and dark fermentation of lignocellulosic biomass were analyzed. An innovative aspect is developed in this study is an analysis of water consumption associated with H2 production pathways by life-cycle stage to provide a better understanding of the life cycle water-related impacts on human health and natural environment. For water-related scope, Water scarcity footprint (WSF) quantified using Available WAter REmaining (AWARE) method was applied as a stand-alone indicator. The paper discusses the strengths and weaknesses of each production pathway, identify the drivers of environmental impact, quantify midpoint environmental impact and its influence on the endpoint environmental performance. The findings of this study could serve as a useful theoretical reference and practical basis to decision-makers of potential environmental impacts of H2 production systems.","author":[{"dropping-particle":"","family":"Mehmeti","given":"Andi","non-dropping-particle":"","parse-names":false,"suffix":""},{"dropping-particle":"","family":"Angelis-Dimakis","given":"Athanasios","non-dropping-particle":"","parse-names":false,"suffix":""},{"dropping-particle":"","family":"Arampatzis","given":"George","non-dropping-particle":"","parse-names":false,"suffix":""},{"dropping-particle":"","family":"McPhail","given":"Stephen J.","non-dropping-particle":"","parse-names":false,"suffix":""},{"dropping-particle":"","family":"Ulgiati","given":"Sergio","non-dropping-particle":"","parse-names":false,"suffix":""}],"container-title":"Environments - MDPI","id":"ITEM-1","issue":"2","issued":{"date-parts":[["2018"]]},"page":"1-19","title":"Life cycle assessment and water footprint of hydrogen production methods: From conventional to emerging technologies","type":"article-journal","volume":"5"},"uris":["http://www.mendeley.com/documents/?uuid=c3cb04e4-66b5-4cd8-9b4c-ef394011f00d"]}],"mendeley":{"formattedCitation":"(Mehmeti et al., 2018)","manualFormatting":"(Mehmeti, 2018)","plainTextFormattedCitation":"(Mehmeti et al., 2018)","previouslyFormattedCitation":"(Mehmeti et al., 2018)"},"properties":{"noteIndex":0},"schema":"https://github.com/citation-style-language/schema/raw/master/csl-citation.json"}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(Mehmeti, 2018)</w:t>
            </w:r>
            <w:r w:rsidRPr="009445F0">
              <w:rPr>
                <w:rFonts w:ascii="Arial" w:hAnsi="Arial" w:cs="Arial"/>
                <w:sz w:val="18"/>
                <w:szCs w:val="18"/>
              </w:rPr>
              <w:fldChar w:fldCharType="end"/>
            </w:r>
          </w:p>
        </w:tc>
        <w:tc>
          <w:tcPr>
            <w:tcW w:w="1443" w:type="pct"/>
            <w:gridSpan w:val="2"/>
            <w:tcBorders>
              <w:top w:val="single" w:sz="18" w:space="0" w:color="auto"/>
              <w:left w:val="single" w:sz="18" w:space="0" w:color="auto"/>
              <w:bottom w:val="single" w:sz="18" w:space="0" w:color="auto"/>
              <w:right w:val="single" w:sz="18" w:space="0" w:color="auto"/>
            </w:tcBorders>
            <w:shd w:val="clear" w:color="auto" w:fill="A8FFB1"/>
            <w:vAlign w:val="center"/>
          </w:tcPr>
          <w:p w14:paraId="7ACF95F7"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Chemical Method</w:t>
            </w:r>
          </w:p>
        </w:tc>
      </w:tr>
      <w:tr w:rsidR="001268BC" w:rsidRPr="009445F0" w14:paraId="3F0E34A1" w14:textId="77777777" w:rsidTr="000E579C">
        <w:trPr>
          <w:trHeight w:val="57"/>
        </w:trPr>
        <w:tc>
          <w:tcPr>
            <w:tcW w:w="911" w:type="pct"/>
            <w:tcBorders>
              <w:left w:val="single" w:sz="18" w:space="0" w:color="auto"/>
              <w:bottom w:val="single" w:sz="18" w:space="0" w:color="auto"/>
              <w:right w:val="single" w:sz="18" w:space="0" w:color="auto"/>
            </w:tcBorders>
            <w:shd w:val="clear" w:color="auto" w:fill="auto"/>
            <w:vAlign w:val="center"/>
          </w:tcPr>
          <w:p w14:paraId="41775A66"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Power Tower</w:t>
            </w:r>
          </w:p>
        </w:tc>
        <w:tc>
          <w:tcPr>
            <w:tcW w:w="844" w:type="pct"/>
            <w:tcBorders>
              <w:left w:val="single" w:sz="18" w:space="0" w:color="auto"/>
              <w:bottom w:val="single" w:sz="18" w:space="0" w:color="auto"/>
              <w:right w:val="single" w:sz="18" w:space="0" w:color="auto"/>
            </w:tcBorders>
            <w:shd w:val="clear" w:color="auto" w:fill="auto"/>
            <w:vAlign w:val="center"/>
          </w:tcPr>
          <w:p w14:paraId="1AD3C071"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20%</w:t>
            </w:r>
          </w:p>
          <w:p w14:paraId="488A6A2B" w14:textId="3410F364"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{"citationItems":[{"id":"ITEM-1","itemData":{"author":[{"dropping-particle":"","family":"Gielen","given":"Dolf","non-dropping-particle":"","parse-names":false,"suffix":""}],"container-title":"RENEWABLE ENERGY TECHNOLOGIES: COST ANALYSIS SERIES","id":"ITEM-1","issue":"2","issued":{"date-parts":[["2012"]]},"title":"Concentrating Solar Power","type":"article-journal","volume":"1"},"uris":["http://www.mendeley.com/documents/?uuid=29d423f5-4607-4c55-87d2-0ed5b56ca5d4"]}],"mendeley":{"formattedCitation":"(Gielen, 2012)","plainTextFormattedCitation":"(Gielen, 2012)","previouslyFormattedCitation":"(Gielen, 2012)"},"properties":{"noteIndex":0},"schema":"https://github.com/citation-style-language/schema/raw/master/csl-citation.json"}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(Gielen, 2012)</w:t>
            </w:r>
            <w:r w:rsidRPr="009445F0">
              <w:rPr>
                <w:rFonts w:ascii="Arial" w:hAnsi="Arial" w:cs="Arial"/>
                <w:sz w:val="18"/>
                <w:szCs w:val="18"/>
              </w:rPr>
              <w:fldChar w:fldCharType="end"/>
            </w:r>
          </w:p>
        </w:tc>
        <w:tc>
          <w:tcPr>
            <w:tcW w:w="844" w:type="pct"/>
            <w:tcBorders>
              <w:left w:val="single" w:sz="18" w:space="0" w:color="auto"/>
              <w:bottom w:val="single" w:sz="18" w:space="0" w:color="auto"/>
              <w:right w:val="single" w:sz="18" w:space="0" w:color="auto"/>
            </w:tcBorders>
            <w:shd w:val="clear" w:color="auto" w:fill="auto"/>
            <w:vAlign w:val="center"/>
          </w:tcPr>
          <w:p w14:paraId="0117D987"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AEM</w:t>
            </w:r>
          </w:p>
        </w:tc>
        <w:tc>
          <w:tcPr>
            <w:tcW w:w="958" w:type="pct"/>
            <w:tcBorders>
              <w:left w:val="single" w:sz="18" w:space="0" w:color="auto"/>
              <w:bottom w:val="single" w:sz="18" w:space="0" w:color="auto"/>
              <w:right w:val="single" w:sz="18" w:space="0" w:color="auto"/>
            </w:tcBorders>
            <w:shd w:val="clear" w:color="auto" w:fill="auto"/>
            <w:vAlign w:val="center"/>
          </w:tcPr>
          <w:p w14:paraId="0B00C4B9"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1250 kg H</w:t>
            </w:r>
            <w:r w:rsidRPr="009445F0">
              <w:rPr>
                <w:rFonts w:ascii="Arial" w:hAnsi="Arial" w:cs="Arial"/>
                <w:sz w:val="18"/>
                <w:szCs w:val="18"/>
                <w:vertAlign w:val="subscript"/>
              </w:rPr>
              <w:t>2</w:t>
            </w:r>
            <w:r w:rsidRPr="009445F0">
              <w:rPr>
                <w:rFonts w:ascii="Arial" w:hAnsi="Arial" w:cs="Arial"/>
                <w:sz w:val="18"/>
                <w:szCs w:val="18"/>
              </w:rPr>
              <w:t>/kg H</w:t>
            </w:r>
            <w:r w:rsidRPr="009445F0">
              <w:rPr>
                <w:rFonts w:ascii="Arial" w:hAnsi="Arial" w:cs="Arial"/>
                <w:sz w:val="18"/>
                <w:szCs w:val="18"/>
                <w:vertAlign w:val="subscript"/>
              </w:rPr>
              <w:t>2</w:t>
            </w:r>
            <w:r w:rsidRPr="009445F0">
              <w:rPr>
                <w:rFonts w:ascii="Arial" w:hAnsi="Arial" w:cs="Arial"/>
                <w:sz w:val="18"/>
                <w:szCs w:val="18"/>
              </w:rPr>
              <w:t>O</w:t>
            </w:r>
          </w:p>
          <w:p w14:paraId="378794EC" w14:textId="43CBA498"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{"citationItems":[{"id":"ITEM-1","itemData":{"author":[{"dropping-particle":"","family":"Schmidt","given":"","non-dropping-particle":"","parse-names":false,"suffix":""}],"container-title":"Enapter","id":"ITEM-1","issued":{"date-parts":[["2021"]]},"title":"Enapter Makes Headway on AEM Electrolyzer Mass Production","type":"webpage"},"uris":["http://www.mendeley.com/documents/?uuid=9594ee0f-54ab-4238-ba5a-93f21e19caf2"]}],"mendeley":{"formattedCitation":"(Schmidt, 2021)","plainTextFormattedCitation":"(Schmidt, 2021)","previouslyFormattedCitation":"(Schmidt, 2021)"},"properties":{"noteIndex":0},"schema":"https://github.com/citation-style-language/schema/raw/master/csl-citation.json"}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(Schmidt, 2021)</w:t>
            </w:r>
            <w:r w:rsidRPr="009445F0">
              <w:rPr>
                <w:rFonts w:ascii="Arial" w:hAnsi="Arial" w:cs="Arial"/>
                <w:sz w:val="18"/>
                <w:szCs w:val="18"/>
              </w:rPr>
              <w:fldChar w:fldCharType="end"/>
            </w:r>
          </w:p>
        </w:tc>
        <w:tc>
          <w:tcPr>
            <w:tcW w:w="1443" w:type="pct"/>
            <w:gridSpan w:val="2"/>
            <w:tcBorders>
              <w:top w:val="single" w:sz="18" w:space="0" w:color="auto"/>
              <w:left w:val="single" w:sz="18" w:space="0" w:color="auto"/>
              <w:bottom w:val="single" w:sz="18" w:space="0" w:color="auto"/>
              <w:right w:val="single" w:sz="18" w:space="0" w:color="auto"/>
            </w:tcBorders>
            <w:shd w:val="clear" w:color="auto" w:fill="A8FFB1"/>
            <w:vAlign w:val="center"/>
          </w:tcPr>
          <w:p w14:paraId="6768EB0D"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Solid Hydride</w:t>
            </w:r>
          </w:p>
        </w:tc>
      </w:tr>
      <w:tr w:rsidR="001268BC" w:rsidRPr="009445F0" w14:paraId="66391BFF" w14:textId="77777777" w:rsidTr="000E579C">
        <w:trPr>
          <w:trHeight w:val="57"/>
        </w:trPr>
        <w:tc>
          <w:tcPr>
            <w:tcW w:w="1755" w:type="pct"/>
            <w:gridSpan w:val="2"/>
            <w:tcBorders>
              <w:top w:val="single" w:sz="12" w:space="0" w:color="auto"/>
              <w:left w:val="single" w:sz="18" w:space="0" w:color="auto"/>
              <w:bottom w:val="single" w:sz="18" w:space="0" w:color="auto"/>
              <w:right w:val="single" w:sz="18" w:space="0" w:color="auto"/>
            </w:tcBorders>
            <w:shd w:val="clear" w:color="auto" w:fill="A8FFB1"/>
            <w:vAlign w:val="center"/>
          </w:tcPr>
          <w:p w14:paraId="1F05D557"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Biomass Energy (EFB)</w:t>
            </w:r>
          </w:p>
        </w:tc>
        <w:tc>
          <w:tcPr>
            <w:tcW w:w="1802" w:type="pct"/>
            <w:gridSpan w:val="2"/>
            <w:tcBorders>
              <w:top w:val="single" w:sz="18" w:space="0" w:color="auto"/>
              <w:left w:val="single" w:sz="18" w:space="0" w:color="auto"/>
              <w:bottom w:val="single" w:sz="12" w:space="0" w:color="auto"/>
              <w:right w:val="single" w:sz="18" w:space="0" w:color="auto"/>
            </w:tcBorders>
            <w:shd w:val="clear" w:color="auto" w:fill="A8FFB1"/>
            <w:vAlign w:val="center"/>
          </w:tcPr>
          <w:p w14:paraId="3DD61DB5"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Green H</w:t>
            </w:r>
            <w:r w:rsidRPr="009445F0">
              <w:rPr>
                <w:rFonts w:ascii="Arial" w:hAnsi="Arial" w:cs="Arial"/>
                <w:b/>
                <w:bCs/>
                <w:sz w:val="18"/>
                <w:szCs w:val="18"/>
                <w:vertAlign w:val="subscript"/>
              </w:rPr>
              <w:t>2</w:t>
            </w:r>
            <w:r w:rsidRPr="009445F0">
              <w:rPr>
                <w:rFonts w:ascii="Arial" w:hAnsi="Arial" w:cs="Arial"/>
                <w:b/>
                <w:bCs/>
                <w:sz w:val="18"/>
                <w:szCs w:val="18"/>
              </w:rPr>
              <w:t xml:space="preserve"> (POME)</w:t>
            </w:r>
          </w:p>
        </w:tc>
        <w:tc>
          <w:tcPr>
            <w:tcW w:w="688" w:type="pct"/>
            <w:tcBorders>
              <w:top w:val="single" w:sz="18" w:space="0" w:color="auto"/>
              <w:left w:val="single" w:sz="18" w:space="0" w:color="auto"/>
              <w:bottom w:val="single" w:sz="18" w:space="0" w:color="auto"/>
              <w:right w:val="single" w:sz="18" w:space="0" w:color="auto"/>
            </w:tcBorders>
            <w:shd w:val="clear" w:color="auto" w:fill="auto"/>
            <w:vAlign w:val="center"/>
          </w:tcPr>
          <w:p w14:paraId="5A3E7DF2"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Metal Hydride</w:t>
            </w:r>
          </w:p>
        </w:tc>
        <w:tc>
          <w:tcPr>
            <w:tcW w:w="755" w:type="pct"/>
            <w:tcBorders>
              <w:top w:val="single" w:sz="18" w:space="0" w:color="auto"/>
              <w:left w:val="single" w:sz="18" w:space="0" w:color="auto"/>
              <w:bottom w:val="single" w:sz="18" w:space="0" w:color="auto"/>
              <w:right w:val="single" w:sz="18" w:space="0" w:color="auto"/>
            </w:tcBorders>
            <w:shd w:val="clear" w:color="auto" w:fill="auto"/>
            <w:vAlign w:val="center"/>
          </w:tcPr>
          <w:p w14:paraId="2A729AE9"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88.0%</w:t>
            </w:r>
          </w:p>
          <w:p w14:paraId="09ADA900" w14:textId="617DB5A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10.1016/j.rser.2017.05.258","ISSN":"13640321","author":[{"dropping-particle":"","family":"Vincent","given":"Immanuel","non-dropping-particle":"","parse-names":false,"suffix":""},{"dropping-particle":"","family":"Bessarabov","given":"Dmitri","non-dropping-particle":"","parse-names":false,"suffix":""}],"container-title":"Renewable and Sustainable Energy Reviews","id":"ITEM-1","issued":{"date-parts":[["2018","1"]]},"page":"1690-1704","title":"Low cost hydrogen production by anion exchange membrane electrolysis: A review","type":"article-journal","volume":"81"},"uris":["http://www.mendeley.com/documents/?uuid=e324b256-53c5-40cd-afef-0be4e152140b"]}],"mendeley":{"formattedCitation":"(Vincent and Bessarabov, 2018)","manualFormatting":"(Vincent, 2018)","plainTextFormattedCitation":"(Vincent and Bessarabov, 2018)","previouslyFormattedCitation":"(Vincent and Bessarabov, 2018)"},"properties":{"noteIndex":0},"schema":"https://github.com/citation-style-language/schema/raw/master/csl-citation.json"}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(Vincent, 2018)</w:t>
            </w:r>
            <w:r w:rsidRPr="009445F0">
              <w:rPr>
                <w:rFonts w:ascii="Arial" w:hAnsi="Arial" w:cs="Arial"/>
                <w:sz w:val="18"/>
                <w:szCs w:val="18"/>
              </w:rPr>
              <w:fldChar w:fldCharType="end"/>
            </w:r>
          </w:p>
        </w:tc>
      </w:tr>
      <w:tr w:rsidR="001268BC" w:rsidRPr="009445F0" w14:paraId="1380932A" w14:textId="77777777" w:rsidTr="000E579C">
        <w:trPr>
          <w:trHeight w:val="57"/>
        </w:trPr>
        <w:tc>
          <w:tcPr>
            <w:tcW w:w="911" w:type="pct"/>
            <w:tcBorders>
              <w:top w:val="single" w:sz="18" w:space="0" w:color="auto"/>
              <w:left w:val="single" w:sz="18" w:space="0" w:color="auto"/>
              <w:right w:val="single" w:sz="18" w:space="0" w:color="auto"/>
            </w:tcBorders>
            <w:shd w:val="clear" w:color="auto" w:fill="auto"/>
            <w:vAlign w:val="center"/>
          </w:tcPr>
          <w:p w14:paraId="37F3EBEA"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Combustion</w:t>
            </w:r>
          </w:p>
        </w:tc>
        <w:tc>
          <w:tcPr>
            <w:tcW w:w="844" w:type="pct"/>
            <w:tcBorders>
              <w:top w:val="single" w:sz="18" w:space="0" w:color="auto"/>
              <w:left w:val="single" w:sz="18" w:space="0" w:color="auto"/>
              <w:right w:val="single" w:sz="18" w:space="0" w:color="auto"/>
            </w:tcBorders>
            <w:shd w:val="clear" w:color="auto" w:fill="auto"/>
            <w:vAlign w:val="center"/>
          </w:tcPr>
          <w:p w14:paraId="085D9731" w14:textId="77777777" w:rsid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1.037 </w:t>
            </w:r>
          </w:p>
          <w:p w14:paraId="23AE4787" w14:textId="32CD485B"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MW/kg HPS</w:t>
            </w:r>
          </w:p>
        </w:tc>
        <w:tc>
          <w:tcPr>
            <w:tcW w:w="844" w:type="pct"/>
            <w:tcBorders>
              <w:top w:val="single" w:sz="12" w:space="0" w:color="auto"/>
              <w:left w:val="single" w:sz="18" w:space="0" w:color="auto"/>
              <w:right w:val="single" w:sz="18" w:space="0" w:color="auto"/>
            </w:tcBorders>
            <w:shd w:val="clear" w:color="auto" w:fill="auto"/>
            <w:vAlign w:val="center"/>
          </w:tcPr>
          <w:p w14:paraId="6FFABF83"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DF</w:t>
            </w:r>
          </w:p>
        </w:tc>
        <w:tc>
          <w:tcPr>
            <w:tcW w:w="958" w:type="pct"/>
            <w:tcBorders>
              <w:top w:val="single" w:sz="12" w:space="0" w:color="auto"/>
              <w:left w:val="single" w:sz="18" w:space="0" w:color="auto"/>
              <w:right w:val="single" w:sz="18" w:space="0" w:color="auto"/>
            </w:tcBorders>
            <w:shd w:val="clear" w:color="auto" w:fill="auto"/>
            <w:vAlign w:val="center"/>
          </w:tcPr>
          <w:p w14:paraId="0191EAA5"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0.621 kg H</w:t>
            </w:r>
            <w:r w:rsidRPr="009445F0">
              <w:rPr>
                <w:rFonts w:ascii="Arial" w:hAnsi="Arial" w:cs="Arial"/>
                <w:sz w:val="18"/>
                <w:szCs w:val="18"/>
                <w:vertAlign w:val="subscript"/>
              </w:rPr>
              <w:t>2</w:t>
            </w:r>
            <w:r w:rsidRPr="009445F0">
              <w:rPr>
                <w:rFonts w:ascii="Arial" w:hAnsi="Arial" w:cs="Arial"/>
                <w:sz w:val="18"/>
                <w:szCs w:val="18"/>
              </w:rPr>
              <w:t>/kg POME</w:t>
            </w:r>
          </w:p>
        </w:tc>
        <w:tc>
          <w:tcPr>
            <w:tcW w:w="1443" w:type="pct"/>
            <w:gridSpan w:val="2"/>
            <w:tcBorders>
              <w:top w:val="single" w:sz="18" w:space="0" w:color="auto"/>
              <w:left w:val="single" w:sz="18" w:space="0" w:color="auto"/>
              <w:bottom w:val="single" w:sz="18" w:space="0" w:color="auto"/>
              <w:right w:val="single" w:sz="18" w:space="0" w:color="auto"/>
            </w:tcBorders>
            <w:shd w:val="clear" w:color="auto" w:fill="A8FFB1"/>
            <w:vAlign w:val="center"/>
          </w:tcPr>
          <w:p w14:paraId="55E37EB4"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Chemical Storage</w:t>
            </w:r>
          </w:p>
        </w:tc>
      </w:tr>
      <w:tr w:rsidR="001268BC" w:rsidRPr="009445F0" w14:paraId="213E61ED" w14:textId="77777777" w:rsidTr="000E579C">
        <w:trPr>
          <w:trHeight w:val="57"/>
        </w:trPr>
        <w:tc>
          <w:tcPr>
            <w:tcW w:w="911" w:type="pct"/>
            <w:tcBorders>
              <w:left w:val="single" w:sz="18" w:space="0" w:color="auto"/>
              <w:right w:val="single" w:sz="18" w:space="0" w:color="auto"/>
            </w:tcBorders>
            <w:shd w:val="clear" w:color="auto" w:fill="auto"/>
            <w:vAlign w:val="center"/>
          </w:tcPr>
          <w:p w14:paraId="469A740B"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Pyrolysis</w:t>
            </w:r>
          </w:p>
        </w:tc>
        <w:tc>
          <w:tcPr>
            <w:tcW w:w="844" w:type="pct"/>
            <w:tcBorders>
              <w:left w:val="single" w:sz="18" w:space="0" w:color="auto"/>
              <w:right w:val="single" w:sz="18" w:space="0" w:color="auto"/>
            </w:tcBorders>
            <w:shd w:val="clear" w:color="auto" w:fill="auto"/>
            <w:vAlign w:val="center"/>
          </w:tcPr>
          <w:p w14:paraId="2E62B645"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3.556 MW/kg CO</w:t>
            </w:r>
          </w:p>
        </w:tc>
        <w:tc>
          <w:tcPr>
            <w:tcW w:w="844" w:type="pct"/>
            <w:tcBorders>
              <w:left w:val="single" w:sz="18" w:space="0" w:color="auto"/>
              <w:bottom w:val="single" w:sz="18" w:space="0" w:color="auto"/>
              <w:right w:val="single" w:sz="18" w:space="0" w:color="auto"/>
            </w:tcBorders>
            <w:shd w:val="clear" w:color="auto" w:fill="auto"/>
            <w:vAlign w:val="center"/>
          </w:tcPr>
          <w:p w14:paraId="1BF73A9A"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MEC</w:t>
            </w:r>
          </w:p>
        </w:tc>
        <w:tc>
          <w:tcPr>
            <w:tcW w:w="958" w:type="pct"/>
            <w:tcBorders>
              <w:left w:val="single" w:sz="18" w:space="0" w:color="auto"/>
              <w:bottom w:val="single" w:sz="18" w:space="0" w:color="auto"/>
              <w:right w:val="single" w:sz="18" w:space="0" w:color="auto"/>
            </w:tcBorders>
            <w:shd w:val="clear" w:color="auto" w:fill="auto"/>
            <w:vAlign w:val="center"/>
          </w:tcPr>
          <w:p w14:paraId="768FEEFF"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1.023 kg H</w:t>
            </w:r>
            <w:r w:rsidRPr="009445F0">
              <w:rPr>
                <w:rFonts w:ascii="Arial" w:hAnsi="Arial" w:cs="Arial"/>
                <w:sz w:val="18"/>
                <w:szCs w:val="18"/>
                <w:vertAlign w:val="subscript"/>
              </w:rPr>
              <w:t>2</w:t>
            </w:r>
            <w:r w:rsidRPr="009445F0">
              <w:rPr>
                <w:rFonts w:ascii="Arial" w:hAnsi="Arial" w:cs="Arial"/>
                <w:sz w:val="18"/>
                <w:szCs w:val="18"/>
              </w:rPr>
              <w:t>/kg POME</w:t>
            </w:r>
          </w:p>
        </w:tc>
        <w:tc>
          <w:tcPr>
            <w:tcW w:w="688" w:type="pct"/>
            <w:tcBorders>
              <w:top w:val="single" w:sz="18" w:space="0" w:color="auto"/>
              <w:left w:val="single" w:sz="18" w:space="0" w:color="auto"/>
              <w:bottom w:val="single" w:sz="18" w:space="0" w:color="auto"/>
              <w:right w:val="single" w:sz="18" w:space="0" w:color="auto"/>
            </w:tcBorders>
            <w:shd w:val="clear" w:color="auto" w:fill="auto"/>
            <w:vAlign w:val="center"/>
          </w:tcPr>
          <w:p w14:paraId="0AD0B0AA"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LOH</w:t>
            </w:r>
          </w:p>
        </w:tc>
        <w:tc>
          <w:tcPr>
            <w:tcW w:w="755" w:type="pct"/>
            <w:tcBorders>
              <w:top w:val="single" w:sz="18" w:space="0" w:color="auto"/>
              <w:left w:val="single" w:sz="18" w:space="0" w:color="auto"/>
              <w:bottom w:val="single" w:sz="18" w:space="0" w:color="auto"/>
              <w:right w:val="single" w:sz="18" w:space="0" w:color="auto"/>
            </w:tcBorders>
            <w:shd w:val="clear" w:color="auto" w:fill="auto"/>
            <w:vAlign w:val="center"/>
          </w:tcPr>
          <w:p w14:paraId="03161F56"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88.7%</w:t>
            </w:r>
          </w:p>
          <w:p w14:paraId="02BCD4DA" w14:textId="7BFB6CDE"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10.1016/j.ijhydene.2016.08.003","ISSN":"03603199","author":[{"dropping-particle":"","family":"Wang","given":"Hewu","non-dropping-particle":"","parse-names":false,"suffix":""},{"dropping-particle":"","family":"Zhou","given":"Xin","non-dropping-particle":"","parse-names":false,"suffix":""},{"dropping-particle":"","family":"Ouyang","given":"Minggao","non-dropping-particle":"","parse-names":false,"suffix":""}],"container-title":"International Journal of Hydrogen Energy","id":"ITEM-1","issue":"40","issued":{"date-parts":[["2016","10"]]},"page":"18062-18071","title":"Efficiency analysis of novel Liquid Organic Hydrogen Carrier technology and comparison with high pressure storage pathway","type":"article-journal","volume":"41"},"uris":["http://www.mendeley.com/documents/?uuid=781ae98d-4b96-4b3d-a248-668144a22217"]}],"mendeley":{"formattedCitation":"(Wang et al., 2016)","manualFormatting":"(Wang, 2016)","plainTextFormattedCitation":"(Wang et al., 2016)","previouslyFormattedCitation":"(Wang et al., 2016)"},"properties":{"noteIndex":0},"schema":"https://github.com/citation-style-language/schema/raw/master/csl-citation.json"}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(Wang, 2016)</w:t>
            </w:r>
            <w:r w:rsidRPr="009445F0">
              <w:rPr>
                <w:rFonts w:ascii="Arial" w:hAnsi="Arial" w:cs="Arial"/>
                <w:sz w:val="18"/>
                <w:szCs w:val="18"/>
              </w:rPr>
              <w:fldChar w:fldCharType="end"/>
            </w:r>
          </w:p>
        </w:tc>
      </w:tr>
      <w:tr w:rsidR="001268BC" w:rsidRPr="009445F0" w14:paraId="6756EAF5" w14:textId="77777777" w:rsidTr="000E579C">
        <w:trPr>
          <w:trHeight w:val="57"/>
        </w:trPr>
        <w:tc>
          <w:tcPr>
            <w:tcW w:w="911" w:type="pct"/>
            <w:vMerge w:val="restart"/>
            <w:tcBorders>
              <w:left w:val="single" w:sz="18" w:space="0" w:color="auto"/>
              <w:right w:val="single" w:sz="18" w:space="0" w:color="auto"/>
            </w:tcBorders>
            <w:shd w:val="clear" w:color="auto" w:fill="auto"/>
            <w:vAlign w:val="center"/>
          </w:tcPr>
          <w:p w14:paraId="713F8A72"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Gasification</w:t>
            </w:r>
          </w:p>
        </w:tc>
        <w:tc>
          <w:tcPr>
            <w:tcW w:w="844" w:type="pct"/>
            <w:vMerge w:val="restart"/>
            <w:tcBorders>
              <w:left w:val="single" w:sz="18" w:space="0" w:color="auto"/>
              <w:right w:val="single" w:sz="18" w:space="0" w:color="auto"/>
            </w:tcBorders>
            <w:shd w:val="clear" w:color="auto" w:fill="auto"/>
            <w:vAlign w:val="center"/>
          </w:tcPr>
          <w:p w14:paraId="2DAF294E"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3.048 MW/kg CO</w:t>
            </w:r>
          </w:p>
        </w:tc>
        <w:tc>
          <w:tcPr>
            <w:tcW w:w="1802" w:type="pct"/>
            <w:gridSpan w:val="2"/>
            <w:tcBorders>
              <w:top w:val="single" w:sz="12" w:space="0" w:color="auto"/>
              <w:left w:val="single" w:sz="18" w:space="0" w:color="auto"/>
              <w:bottom w:val="single" w:sz="18" w:space="0" w:color="auto"/>
              <w:right w:val="single" w:sz="18" w:space="0" w:color="auto"/>
            </w:tcBorders>
            <w:shd w:val="clear" w:color="auto" w:fill="A8FFB1"/>
            <w:vAlign w:val="center"/>
          </w:tcPr>
          <w:p w14:paraId="33D072C6"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b/>
                <w:bCs/>
                <w:sz w:val="18"/>
                <w:szCs w:val="18"/>
              </w:rPr>
              <w:t>Turquoise H</w:t>
            </w:r>
            <w:r w:rsidRPr="009445F0">
              <w:rPr>
                <w:rFonts w:ascii="Arial" w:hAnsi="Arial" w:cs="Arial"/>
                <w:b/>
                <w:bCs/>
                <w:sz w:val="18"/>
                <w:szCs w:val="18"/>
                <w:vertAlign w:val="subscript"/>
              </w:rPr>
              <w:t>2</w:t>
            </w:r>
          </w:p>
        </w:tc>
        <w:tc>
          <w:tcPr>
            <w:tcW w:w="1443" w:type="pct"/>
            <w:gridSpan w:val="2"/>
            <w:tcBorders>
              <w:top w:val="single" w:sz="18" w:space="0" w:color="auto"/>
              <w:left w:val="single" w:sz="18" w:space="0" w:color="auto"/>
              <w:bottom w:val="single" w:sz="18" w:space="0" w:color="auto"/>
              <w:right w:val="single" w:sz="18" w:space="0" w:color="auto"/>
            </w:tcBorders>
            <w:shd w:val="clear" w:color="auto" w:fill="A8FFB1"/>
            <w:vAlign w:val="center"/>
          </w:tcPr>
          <w:p w14:paraId="5ECFDCCF"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Circular Carrier</w:t>
            </w:r>
          </w:p>
        </w:tc>
      </w:tr>
      <w:tr w:rsidR="001268BC" w:rsidRPr="009445F0" w14:paraId="195E8275" w14:textId="77777777" w:rsidTr="000E579C">
        <w:trPr>
          <w:trHeight w:val="57"/>
        </w:trPr>
        <w:tc>
          <w:tcPr>
            <w:tcW w:w="911" w:type="pct"/>
            <w:vMerge/>
            <w:tcBorders>
              <w:left w:val="single" w:sz="18" w:space="0" w:color="auto"/>
              <w:bottom w:val="single" w:sz="18" w:space="0" w:color="auto"/>
              <w:right w:val="single" w:sz="18" w:space="0" w:color="auto"/>
            </w:tcBorders>
            <w:shd w:val="clear" w:color="auto" w:fill="auto"/>
            <w:vAlign w:val="center"/>
          </w:tcPr>
          <w:p w14:paraId="0C809937" w14:textId="77777777" w:rsidR="001268BC" w:rsidRPr="009445F0" w:rsidRDefault="001268BC" w:rsidP="009445F0">
            <w:pPr>
              <w:spacing w:line="276" w:lineRule="auto"/>
              <w:jc w:val="center"/>
              <w:rPr>
                <w:rFonts w:ascii="Arial" w:hAnsi="Arial" w:cs="Arial"/>
                <w:sz w:val="18"/>
                <w:szCs w:val="18"/>
              </w:rPr>
            </w:pPr>
          </w:p>
        </w:tc>
        <w:tc>
          <w:tcPr>
            <w:tcW w:w="844" w:type="pct"/>
            <w:vMerge/>
            <w:tcBorders>
              <w:left w:val="single" w:sz="18" w:space="0" w:color="auto"/>
              <w:bottom w:val="single" w:sz="18" w:space="0" w:color="auto"/>
              <w:right w:val="single" w:sz="18" w:space="0" w:color="auto"/>
            </w:tcBorders>
            <w:shd w:val="clear" w:color="auto" w:fill="auto"/>
            <w:vAlign w:val="center"/>
          </w:tcPr>
          <w:p w14:paraId="3C828F26" w14:textId="77777777" w:rsidR="001268BC" w:rsidRPr="009445F0" w:rsidRDefault="001268BC" w:rsidP="009445F0">
            <w:pPr>
              <w:spacing w:line="276" w:lineRule="auto"/>
              <w:jc w:val="center"/>
              <w:rPr>
                <w:rFonts w:ascii="Arial" w:hAnsi="Arial" w:cs="Arial"/>
                <w:sz w:val="18"/>
                <w:szCs w:val="18"/>
              </w:rPr>
            </w:pPr>
          </w:p>
        </w:tc>
        <w:tc>
          <w:tcPr>
            <w:tcW w:w="844" w:type="pct"/>
            <w:tcBorders>
              <w:top w:val="single" w:sz="18" w:space="0" w:color="auto"/>
              <w:left w:val="single" w:sz="18" w:space="0" w:color="auto"/>
              <w:bottom w:val="single" w:sz="18" w:space="0" w:color="auto"/>
              <w:right w:val="single" w:sz="18" w:space="0" w:color="auto"/>
            </w:tcBorders>
            <w:shd w:val="clear" w:color="auto" w:fill="auto"/>
            <w:vAlign w:val="center"/>
          </w:tcPr>
          <w:p w14:paraId="77BA792C"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Methane Pyrolysis</w:t>
            </w:r>
          </w:p>
        </w:tc>
        <w:tc>
          <w:tcPr>
            <w:tcW w:w="958" w:type="pct"/>
            <w:tcBorders>
              <w:top w:val="single" w:sz="18" w:space="0" w:color="auto"/>
              <w:left w:val="single" w:sz="18" w:space="0" w:color="auto"/>
              <w:bottom w:val="single" w:sz="18" w:space="0" w:color="auto"/>
              <w:right w:val="single" w:sz="18" w:space="0" w:color="auto"/>
            </w:tcBorders>
            <w:shd w:val="clear" w:color="auto" w:fill="auto"/>
            <w:vAlign w:val="center"/>
          </w:tcPr>
          <w:p w14:paraId="47C77B0E" w14:textId="77777777" w:rsidR="001268BC" w:rsidRPr="009445F0" w:rsidRDefault="001268BC" w:rsidP="009445F0">
            <w:pPr>
              <w:spacing w:line="276" w:lineRule="auto"/>
              <w:jc w:val="center"/>
              <w:rPr>
                <w:rFonts w:ascii="Arial" w:hAnsi="Arial" w:cs="Arial"/>
                <w:sz w:val="18"/>
                <w:szCs w:val="18"/>
                <w:vertAlign w:val="subscript"/>
              </w:rPr>
            </w:pPr>
            <w:r w:rsidRPr="009445F0">
              <w:rPr>
                <w:rFonts w:ascii="Arial" w:hAnsi="Arial" w:cs="Arial"/>
                <w:sz w:val="18"/>
                <w:szCs w:val="18"/>
              </w:rPr>
              <w:t>0.9 kg H</w:t>
            </w:r>
            <w:r w:rsidRPr="009445F0">
              <w:rPr>
                <w:rFonts w:ascii="Arial" w:hAnsi="Arial" w:cs="Arial"/>
                <w:sz w:val="18"/>
                <w:szCs w:val="18"/>
                <w:vertAlign w:val="subscript"/>
              </w:rPr>
              <w:t>2</w:t>
            </w:r>
            <w:r w:rsidRPr="009445F0">
              <w:rPr>
                <w:rFonts w:ascii="Arial" w:hAnsi="Arial" w:cs="Arial"/>
                <w:sz w:val="18"/>
                <w:szCs w:val="18"/>
              </w:rPr>
              <w:t>/kg CH</w:t>
            </w:r>
            <w:r w:rsidRPr="009445F0">
              <w:rPr>
                <w:rFonts w:ascii="Arial" w:hAnsi="Arial" w:cs="Arial"/>
                <w:sz w:val="18"/>
                <w:szCs w:val="18"/>
                <w:vertAlign w:val="subscript"/>
              </w:rPr>
              <w:t>4</w:t>
            </w:r>
          </w:p>
          <w:p w14:paraId="4AC89B7B" w14:textId="7D382C34"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vertAlign w:val="subscript"/>
              </w:rPr>
              <w:fldChar w:fldCharType="begin" w:fldLock="1"/>
            </w:r>
            <w:r w:rsidR="00D27FDA">
              <w:rPr>
                <w:rFonts w:ascii="Arial" w:hAnsi="Arial" w:cs="Arial"/>
                <w:sz w:val="18"/>
                <w:szCs w:val="18"/>
                <w:vertAlign w:val="subscript"/>
              </w:rPr>
              <w:instrText>ADDIN CSL_CITATION {"citationItems":[{"id":"ITEM-1","itemData":{"author":[{"dropping-particle":"","family":"Daliah","given":"Runeel","non-dropping-particle":"","parse-names":false,"suffix":""}],"container-title":"Lux Research","id":"ITEM-1","issued":{"date-parts":[["2021"]]},"title":"TECHNOLOGY LANDSCAPE: KEY PLAYERS IN METHANE PYROLYSIS","type":"webpage"},"uris":["http://www.mendeley.com/documents/?uuid=4773f3c1-ed30-4584-a68c-c8388bf18b69"]}],"mendeley":{"formattedCitation":"(Daliah, 2021)","plainTextFormattedCitation":"(Daliah, 2021)","previouslyFormattedCitation":"(Daliah, 2021)"},"properties":{"noteIndex":0},"schema":"https://github.com/citation-style-language/schema/raw/master/csl-citation.json"}</w:instrText>
            </w:r>
            <w:r w:rsidRPr="009445F0">
              <w:rPr>
                <w:rFonts w:ascii="Arial" w:hAnsi="Arial" w:cs="Arial"/>
                <w:sz w:val="18"/>
                <w:szCs w:val="18"/>
                <w:vertAlign w:val="subscript"/>
              </w:rPr>
              <w:fldChar w:fldCharType="separate"/>
            </w:r>
            <w:r w:rsidRPr="009445F0">
              <w:rPr>
                <w:rFonts w:ascii="Arial" w:hAnsi="Arial" w:cs="Arial"/>
                <w:noProof/>
                <w:sz w:val="18"/>
                <w:szCs w:val="18"/>
              </w:rPr>
              <w:t>(Daliah, 2021)</w:t>
            </w:r>
            <w:r w:rsidRPr="009445F0">
              <w:rPr>
                <w:rFonts w:ascii="Arial" w:hAnsi="Arial" w:cs="Arial"/>
                <w:sz w:val="18"/>
                <w:szCs w:val="18"/>
                <w:vertAlign w:val="subscript"/>
              </w:rPr>
              <w:fldChar w:fldCharType="end"/>
            </w:r>
          </w:p>
        </w:tc>
        <w:tc>
          <w:tcPr>
            <w:tcW w:w="688" w:type="pct"/>
            <w:tcBorders>
              <w:top w:val="single" w:sz="18" w:space="0" w:color="auto"/>
              <w:left w:val="single" w:sz="18" w:space="0" w:color="auto"/>
              <w:bottom w:val="single" w:sz="18" w:space="0" w:color="auto"/>
              <w:right w:val="single" w:sz="18" w:space="0" w:color="auto"/>
            </w:tcBorders>
            <w:shd w:val="clear" w:color="auto" w:fill="auto"/>
            <w:vAlign w:val="center"/>
          </w:tcPr>
          <w:p w14:paraId="0D019DE5"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NH</w:t>
            </w:r>
            <w:r w:rsidRPr="009445F0">
              <w:rPr>
                <w:rFonts w:ascii="Arial" w:hAnsi="Arial" w:cs="Arial"/>
                <w:sz w:val="18"/>
                <w:szCs w:val="18"/>
                <w:vertAlign w:val="subscript"/>
              </w:rPr>
              <w:t>3</w:t>
            </w:r>
          </w:p>
        </w:tc>
        <w:tc>
          <w:tcPr>
            <w:tcW w:w="755" w:type="pct"/>
            <w:tcBorders>
              <w:top w:val="single" w:sz="18" w:space="0" w:color="auto"/>
              <w:left w:val="single" w:sz="18" w:space="0" w:color="auto"/>
              <w:bottom w:val="single" w:sz="18" w:space="0" w:color="auto"/>
              <w:right w:val="single" w:sz="18" w:space="0" w:color="auto"/>
            </w:tcBorders>
            <w:shd w:val="clear" w:color="auto" w:fill="auto"/>
            <w:vAlign w:val="center"/>
          </w:tcPr>
          <w:p w14:paraId="1213165D"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93.0%</w:t>
            </w:r>
          </w:p>
          <w:p w14:paraId="014D9BCC" w14:textId="0B6BD8B1"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{"citationItems":[{"id":"ITEM-1","itemData":{"author":[{"dropping-particle":"","family":"Norouzi","given":"Nima","non-dropping-particle":"","parse-names":false,"suffix":""}],"container-title":"INTERNATIONAL JOURNAL OF ENERGY STUDIES","id":"ITEM-1","issue":"1","issued":{"date-parts":[["2021"]]},"page":"67-94","title":"An overview on the renewable hydrogen generation market","type":"article-journal","volume":"6"},"uris":["http://www.mendeley.com/documents/?uuid=7690a2cb-999b-4e7c-b4e7-9b43598b635d"]}],"mendeley":{"formattedCitation":"(Norouzi, 2021)","plainTextFormattedCitation":"(Norouzi, 2021)","previouslyFormattedCitation":"(Norouzi, 2021)"},"properties":{"noteIndex":0},"schema":"https://github.com/citation-style-language/schema/raw/master/csl-citation.json"}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(Norouzi, 2021)</w:t>
            </w:r>
            <w:r w:rsidRPr="009445F0">
              <w:rPr>
                <w:rFonts w:ascii="Arial" w:hAnsi="Arial" w:cs="Arial"/>
                <w:sz w:val="18"/>
                <w:szCs w:val="18"/>
              </w:rPr>
              <w:fldChar w:fldCharType="end"/>
            </w:r>
          </w:p>
        </w:tc>
      </w:tr>
      <w:tr w:rsidR="001268BC" w:rsidRPr="009445F0" w14:paraId="2D424E04" w14:textId="77777777" w:rsidTr="000E579C">
        <w:trPr>
          <w:trHeight w:val="57"/>
        </w:trPr>
        <w:tc>
          <w:tcPr>
            <w:tcW w:w="1755" w:type="pct"/>
            <w:gridSpan w:val="2"/>
            <w:tcBorders>
              <w:top w:val="single" w:sz="18" w:space="0" w:color="auto"/>
              <w:left w:val="single" w:sz="18" w:space="0" w:color="auto"/>
              <w:bottom w:val="single" w:sz="18" w:space="0" w:color="auto"/>
              <w:right w:val="single" w:sz="18" w:space="0" w:color="auto"/>
            </w:tcBorders>
            <w:shd w:val="clear" w:color="auto" w:fill="A8FFB1"/>
            <w:vAlign w:val="center"/>
          </w:tcPr>
          <w:p w14:paraId="59BF6F76"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Biomass Energy (POME)</w:t>
            </w:r>
          </w:p>
        </w:tc>
        <w:tc>
          <w:tcPr>
            <w:tcW w:w="1802" w:type="pct"/>
            <w:gridSpan w:val="2"/>
            <w:vMerge w:val="restart"/>
            <w:tcBorders>
              <w:top w:val="single" w:sz="18" w:space="0" w:color="auto"/>
              <w:left w:val="single" w:sz="18" w:space="0" w:color="auto"/>
              <w:right w:val="single" w:sz="18" w:space="0" w:color="auto"/>
            </w:tcBorders>
            <w:vAlign w:val="center"/>
          </w:tcPr>
          <w:p w14:paraId="2023E69C" w14:textId="77777777" w:rsidR="001268BC" w:rsidRPr="009445F0" w:rsidRDefault="001268BC" w:rsidP="009445F0">
            <w:pPr>
              <w:spacing w:line="276" w:lineRule="auto"/>
              <w:jc w:val="center"/>
              <w:rPr>
                <w:rFonts w:ascii="Arial" w:hAnsi="Arial" w:cs="Arial"/>
                <w:sz w:val="18"/>
                <w:szCs w:val="18"/>
              </w:rPr>
            </w:pPr>
          </w:p>
        </w:tc>
        <w:tc>
          <w:tcPr>
            <w:tcW w:w="1443" w:type="pct"/>
            <w:gridSpan w:val="2"/>
            <w:vMerge w:val="restart"/>
            <w:tcBorders>
              <w:top w:val="single" w:sz="18" w:space="0" w:color="auto"/>
              <w:left w:val="single" w:sz="18" w:space="0" w:color="auto"/>
              <w:right w:val="single" w:sz="18" w:space="0" w:color="auto"/>
            </w:tcBorders>
            <w:vAlign w:val="center"/>
          </w:tcPr>
          <w:p w14:paraId="1C52BDA6" w14:textId="77777777" w:rsidR="001268BC" w:rsidRPr="009445F0" w:rsidRDefault="001268BC" w:rsidP="009445F0">
            <w:pPr>
              <w:spacing w:line="276" w:lineRule="auto"/>
              <w:jc w:val="center"/>
              <w:rPr>
                <w:rFonts w:ascii="Arial" w:hAnsi="Arial" w:cs="Arial"/>
                <w:sz w:val="18"/>
                <w:szCs w:val="18"/>
              </w:rPr>
            </w:pPr>
          </w:p>
        </w:tc>
      </w:tr>
      <w:tr w:rsidR="001268BC" w:rsidRPr="009445F0" w14:paraId="0C2136A5" w14:textId="77777777" w:rsidTr="000E579C">
        <w:trPr>
          <w:trHeight w:val="57"/>
        </w:trPr>
        <w:tc>
          <w:tcPr>
            <w:tcW w:w="911" w:type="pct"/>
            <w:tcBorders>
              <w:top w:val="single" w:sz="18" w:space="0" w:color="auto"/>
              <w:left w:val="single" w:sz="18" w:space="0" w:color="auto"/>
              <w:bottom w:val="single" w:sz="18" w:space="0" w:color="auto"/>
              <w:right w:val="single" w:sz="18" w:space="0" w:color="auto"/>
            </w:tcBorders>
            <w:shd w:val="clear" w:color="auto" w:fill="auto"/>
            <w:vAlign w:val="center"/>
          </w:tcPr>
          <w:p w14:paraId="63B7B895"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Anaerobic Digestion</w:t>
            </w:r>
          </w:p>
        </w:tc>
        <w:tc>
          <w:tcPr>
            <w:tcW w:w="844" w:type="pct"/>
            <w:tcBorders>
              <w:top w:val="single" w:sz="18" w:space="0" w:color="auto"/>
              <w:left w:val="single" w:sz="18" w:space="0" w:color="auto"/>
              <w:bottom w:val="single" w:sz="18" w:space="0" w:color="auto"/>
              <w:right w:val="single" w:sz="18" w:space="0" w:color="auto"/>
            </w:tcBorders>
            <w:shd w:val="clear" w:color="auto" w:fill="auto"/>
            <w:vAlign w:val="center"/>
          </w:tcPr>
          <w:p w14:paraId="3ADC57C1"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13.680 </w:t>
            </w:r>
          </w:p>
          <w:p w14:paraId="1A3110C3" w14:textId="0D48BF3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MW/kg BG</w:t>
            </w:r>
          </w:p>
        </w:tc>
        <w:tc>
          <w:tcPr>
            <w:tcW w:w="1802" w:type="pct"/>
            <w:gridSpan w:val="2"/>
            <w:vMerge/>
            <w:tcBorders>
              <w:left w:val="single" w:sz="18" w:space="0" w:color="auto"/>
              <w:bottom w:val="single" w:sz="18" w:space="0" w:color="auto"/>
              <w:right w:val="single" w:sz="18" w:space="0" w:color="auto"/>
            </w:tcBorders>
            <w:vAlign w:val="center"/>
          </w:tcPr>
          <w:p w14:paraId="675CBA24" w14:textId="77777777" w:rsidR="001268BC" w:rsidRPr="009445F0" w:rsidRDefault="001268BC" w:rsidP="009445F0">
            <w:pPr>
              <w:spacing w:line="276" w:lineRule="auto"/>
              <w:jc w:val="center"/>
              <w:rPr>
                <w:rFonts w:ascii="Arial" w:hAnsi="Arial" w:cs="Arial"/>
                <w:sz w:val="18"/>
                <w:szCs w:val="18"/>
              </w:rPr>
            </w:pPr>
          </w:p>
        </w:tc>
        <w:tc>
          <w:tcPr>
            <w:tcW w:w="1443" w:type="pct"/>
            <w:gridSpan w:val="2"/>
            <w:vMerge/>
            <w:tcBorders>
              <w:left w:val="single" w:sz="18" w:space="0" w:color="auto"/>
              <w:bottom w:val="single" w:sz="18" w:space="0" w:color="auto"/>
              <w:right w:val="single" w:sz="18" w:space="0" w:color="auto"/>
            </w:tcBorders>
            <w:vAlign w:val="center"/>
          </w:tcPr>
          <w:p w14:paraId="6B5DE4D9" w14:textId="77777777" w:rsidR="001268BC" w:rsidRPr="009445F0" w:rsidRDefault="001268BC" w:rsidP="009445F0">
            <w:pPr>
              <w:spacing w:line="276" w:lineRule="auto"/>
              <w:jc w:val="center"/>
              <w:rPr>
                <w:rFonts w:ascii="Arial" w:hAnsi="Arial" w:cs="Arial"/>
                <w:sz w:val="18"/>
                <w:szCs w:val="18"/>
              </w:rPr>
            </w:pPr>
          </w:p>
        </w:tc>
      </w:tr>
    </w:tbl>
    <w:p w14:paraId="3C8909CF" w14:textId="77777777" w:rsidR="001268BC" w:rsidRDefault="001268BC" w:rsidP="00D508E9">
      <w:pPr>
        <w:pStyle w:val="Caption"/>
        <w:keepNext/>
        <w:spacing w:after="0"/>
        <w:rPr>
          <w:rFonts w:ascii="Arial" w:hAnsi="Arial" w:cs="Arial"/>
          <w:b/>
          <w:bCs/>
          <w:color w:val="000000" w:themeColor="text1"/>
        </w:rPr>
      </w:pPr>
    </w:p>
    <w:p w14:paraId="43783F61" w14:textId="77777777" w:rsidR="00875DD1" w:rsidRDefault="00875DD1">
      <w:pPr>
        <w:rPr>
          <w:rFonts w:ascii="Arial" w:hAnsi="Arial" w:cs="Arial"/>
          <w:b/>
          <w:bCs/>
          <w:i/>
          <w:iCs/>
          <w:sz w:val="18"/>
          <w:szCs w:val="18"/>
          <w:lang w:val="en-US"/>
        </w:rPr>
      </w:pPr>
      <w:r>
        <w:rPr>
          <w:rFonts w:ascii="Arial" w:hAnsi="Arial" w:cs="Arial"/>
          <w:b/>
          <w:bCs/>
          <w:i/>
          <w:iCs/>
          <w:sz w:val="18"/>
          <w:szCs w:val="18"/>
          <w:lang w:val="en-US"/>
        </w:rPr>
        <w:br w:type="page"/>
      </w:r>
    </w:p>
    <w:p w14:paraId="3035B7C8" w14:textId="6A5113FA" w:rsidR="009445F0" w:rsidRPr="00D508E9" w:rsidRDefault="001268BC" w:rsidP="00D508E9">
      <w:pPr>
        <w:spacing w:after="0" w:line="360" w:lineRule="auto"/>
        <w:jc w:val="center"/>
        <w:rPr>
          <w:rFonts w:ascii="Arial" w:hAnsi="Arial" w:cs="Arial"/>
          <w:i/>
          <w:iCs/>
          <w:sz w:val="18"/>
          <w:szCs w:val="18"/>
          <w:lang w:val="en-US"/>
        </w:rPr>
      </w:pPr>
      <w:r w:rsidRPr="009445F0">
        <w:rPr>
          <w:rFonts w:ascii="Arial" w:hAnsi="Arial" w:cs="Arial"/>
          <w:b/>
          <w:bCs/>
          <w:i/>
          <w:iCs/>
          <w:sz w:val="18"/>
          <w:szCs w:val="18"/>
          <w:lang w:val="en-US"/>
        </w:rPr>
        <w:lastRenderedPageBreak/>
        <w:t xml:space="preserve">Table </w:t>
      </w:r>
      <w:r w:rsidR="0088659A">
        <w:rPr>
          <w:rFonts w:ascii="Arial" w:hAnsi="Arial" w:cs="Arial"/>
          <w:b/>
          <w:bCs/>
          <w:i/>
          <w:iCs/>
          <w:sz w:val="18"/>
          <w:szCs w:val="18"/>
          <w:lang w:val="en-US"/>
        </w:rPr>
        <w:t>A</w:t>
      </w:r>
      <w:r w:rsidRPr="009445F0">
        <w:rPr>
          <w:rFonts w:ascii="Arial" w:hAnsi="Arial" w:cs="Arial"/>
          <w:b/>
          <w:bCs/>
          <w:i/>
          <w:iCs/>
          <w:sz w:val="18"/>
          <w:szCs w:val="18"/>
          <w:lang w:val="en-US"/>
        </w:rPr>
        <w:t xml:space="preserve">2: </w:t>
      </w:r>
      <w:r w:rsidRPr="009445F0">
        <w:rPr>
          <w:rFonts w:ascii="Arial" w:hAnsi="Arial" w:cs="Arial"/>
          <w:i/>
          <w:iCs/>
          <w:sz w:val="18"/>
          <w:szCs w:val="18"/>
          <w:lang w:val="en-US"/>
        </w:rPr>
        <w:t>CAPEX Factor</w:t>
      </w:r>
    </w:p>
    <w:tbl>
      <w:tblPr>
        <w:tblStyle w:val="TableGrid"/>
        <w:tblW w:w="5000" w:type="pct"/>
        <w:tblInd w:w="0" w:type="dxa"/>
        <w:tblLook w:val="04A0" w:firstRow="1" w:lastRow="0" w:firstColumn="1" w:lastColumn="0" w:noHBand="0" w:noVBand="1"/>
      </w:tblPr>
      <w:tblGrid>
        <w:gridCol w:w="1522"/>
        <w:gridCol w:w="1824"/>
        <w:gridCol w:w="1676"/>
        <w:gridCol w:w="1676"/>
        <w:gridCol w:w="1676"/>
        <w:gridCol w:w="1672"/>
      </w:tblGrid>
      <w:tr w:rsidR="001268BC" w:rsidRPr="009445F0" w14:paraId="7E9D1788" w14:textId="77777777" w:rsidTr="000E579C">
        <w:trPr>
          <w:trHeight w:val="397"/>
        </w:trPr>
        <w:tc>
          <w:tcPr>
            <w:tcW w:w="1666" w:type="pct"/>
            <w:gridSpan w:val="2"/>
            <w:tcBorders>
              <w:top w:val="single" w:sz="12" w:space="0" w:color="auto"/>
              <w:left w:val="single" w:sz="18" w:space="0" w:color="auto"/>
              <w:bottom w:val="single" w:sz="12" w:space="0" w:color="auto"/>
              <w:right w:val="single" w:sz="18" w:space="0" w:color="auto"/>
            </w:tcBorders>
            <w:shd w:val="clear" w:color="auto" w:fill="A8FFB1"/>
            <w:vAlign w:val="center"/>
          </w:tcPr>
          <w:p w14:paraId="76259EB7"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b/>
                <w:bCs/>
                <w:sz w:val="18"/>
                <w:szCs w:val="18"/>
              </w:rPr>
              <w:t>Electricity Generation</w:t>
            </w:r>
          </w:p>
        </w:tc>
        <w:tc>
          <w:tcPr>
            <w:tcW w:w="1668" w:type="pct"/>
            <w:gridSpan w:val="2"/>
            <w:tcBorders>
              <w:top w:val="single" w:sz="12" w:space="0" w:color="auto"/>
              <w:left w:val="single" w:sz="18" w:space="0" w:color="auto"/>
              <w:bottom w:val="single" w:sz="12" w:space="0" w:color="auto"/>
              <w:right w:val="single" w:sz="18" w:space="0" w:color="auto"/>
            </w:tcBorders>
            <w:shd w:val="clear" w:color="auto" w:fill="A8FFB1"/>
            <w:vAlign w:val="center"/>
          </w:tcPr>
          <w:p w14:paraId="1C46C62C"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b/>
                <w:bCs/>
                <w:sz w:val="18"/>
                <w:szCs w:val="18"/>
              </w:rPr>
              <w:t>H</w:t>
            </w:r>
            <w:r w:rsidRPr="009445F0">
              <w:rPr>
                <w:rFonts w:ascii="Arial" w:hAnsi="Arial" w:cs="Arial"/>
                <w:b/>
                <w:bCs/>
                <w:sz w:val="18"/>
                <w:szCs w:val="18"/>
                <w:vertAlign w:val="subscript"/>
              </w:rPr>
              <w:t>2</w:t>
            </w:r>
            <w:r w:rsidRPr="009445F0">
              <w:rPr>
                <w:rFonts w:ascii="Arial" w:hAnsi="Arial" w:cs="Arial"/>
                <w:b/>
                <w:bCs/>
                <w:sz w:val="18"/>
                <w:szCs w:val="18"/>
              </w:rPr>
              <w:t xml:space="preserve"> Production</w:t>
            </w:r>
          </w:p>
        </w:tc>
        <w:tc>
          <w:tcPr>
            <w:tcW w:w="1666" w:type="pct"/>
            <w:gridSpan w:val="2"/>
            <w:tcBorders>
              <w:top w:val="single" w:sz="12" w:space="0" w:color="auto"/>
              <w:left w:val="single" w:sz="18" w:space="0" w:color="auto"/>
              <w:bottom w:val="single" w:sz="12" w:space="0" w:color="auto"/>
              <w:right w:val="single" w:sz="18" w:space="0" w:color="auto"/>
            </w:tcBorders>
            <w:shd w:val="clear" w:color="auto" w:fill="A8FFB1"/>
            <w:vAlign w:val="center"/>
          </w:tcPr>
          <w:p w14:paraId="622D4AD7"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b/>
                <w:bCs/>
                <w:sz w:val="18"/>
                <w:szCs w:val="18"/>
              </w:rPr>
              <w:t>H</w:t>
            </w:r>
            <w:r w:rsidRPr="009445F0">
              <w:rPr>
                <w:rFonts w:ascii="Arial" w:hAnsi="Arial" w:cs="Arial"/>
                <w:b/>
                <w:bCs/>
                <w:sz w:val="18"/>
                <w:szCs w:val="18"/>
                <w:vertAlign w:val="subscript"/>
              </w:rPr>
              <w:t>2</w:t>
            </w:r>
            <w:r w:rsidRPr="009445F0">
              <w:rPr>
                <w:rFonts w:ascii="Arial" w:hAnsi="Arial" w:cs="Arial"/>
                <w:b/>
                <w:bCs/>
                <w:sz w:val="18"/>
                <w:szCs w:val="18"/>
              </w:rPr>
              <w:t xml:space="preserve"> Storage</w:t>
            </w:r>
          </w:p>
        </w:tc>
      </w:tr>
      <w:tr w:rsidR="001268BC" w:rsidRPr="009445F0" w14:paraId="0696BB62" w14:textId="77777777" w:rsidTr="000E579C">
        <w:trPr>
          <w:trHeight w:val="397"/>
        </w:trPr>
        <w:tc>
          <w:tcPr>
            <w:tcW w:w="1666" w:type="pct"/>
            <w:gridSpan w:val="2"/>
            <w:tcBorders>
              <w:top w:val="single" w:sz="12" w:space="0" w:color="auto"/>
              <w:left w:val="single" w:sz="18" w:space="0" w:color="auto"/>
              <w:bottom w:val="single" w:sz="18" w:space="0" w:color="auto"/>
              <w:right w:val="single" w:sz="18" w:space="0" w:color="auto"/>
            </w:tcBorders>
            <w:shd w:val="clear" w:color="auto" w:fill="A8FFB1"/>
            <w:vAlign w:val="center"/>
          </w:tcPr>
          <w:p w14:paraId="6B9CBF27"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Solar Energy</w:t>
            </w:r>
          </w:p>
        </w:tc>
        <w:tc>
          <w:tcPr>
            <w:tcW w:w="1668" w:type="pct"/>
            <w:gridSpan w:val="2"/>
            <w:tcBorders>
              <w:top w:val="single" w:sz="12" w:space="0" w:color="auto"/>
              <w:left w:val="single" w:sz="18" w:space="0" w:color="auto"/>
              <w:bottom w:val="single" w:sz="18" w:space="0" w:color="auto"/>
              <w:right w:val="single" w:sz="18" w:space="0" w:color="auto"/>
            </w:tcBorders>
            <w:shd w:val="clear" w:color="auto" w:fill="A8FFB1"/>
            <w:vAlign w:val="center"/>
          </w:tcPr>
          <w:p w14:paraId="775E3A05"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Green H</w:t>
            </w:r>
            <w:r w:rsidRPr="009445F0">
              <w:rPr>
                <w:rFonts w:ascii="Arial" w:hAnsi="Arial" w:cs="Arial"/>
                <w:b/>
                <w:bCs/>
                <w:sz w:val="18"/>
                <w:szCs w:val="18"/>
                <w:vertAlign w:val="subscript"/>
              </w:rPr>
              <w:t>2</w:t>
            </w:r>
            <w:r w:rsidRPr="009445F0">
              <w:rPr>
                <w:rFonts w:ascii="Arial" w:hAnsi="Arial" w:cs="Arial"/>
                <w:b/>
                <w:bCs/>
                <w:sz w:val="18"/>
                <w:szCs w:val="18"/>
              </w:rPr>
              <w:t xml:space="preserve"> (Electrolysis)</w:t>
            </w:r>
          </w:p>
        </w:tc>
        <w:tc>
          <w:tcPr>
            <w:tcW w:w="1666" w:type="pct"/>
            <w:gridSpan w:val="2"/>
            <w:tcBorders>
              <w:top w:val="single" w:sz="12" w:space="0" w:color="auto"/>
              <w:left w:val="single" w:sz="18" w:space="0" w:color="auto"/>
              <w:bottom w:val="single" w:sz="18" w:space="0" w:color="auto"/>
              <w:right w:val="single" w:sz="18" w:space="0" w:color="auto"/>
            </w:tcBorders>
            <w:shd w:val="clear" w:color="auto" w:fill="A8FFB1"/>
            <w:vAlign w:val="center"/>
          </w:tcPr>
          <w:p w14:paraId="74E4BF95"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Physical Method</w:t>
            </w:r>
          </w:p>
        </w:tc>
      </w:tr>
      <w:tr w:rsidR="001268BC" w:rsidRPr="009445F0" w14:paraId="27BB52DF" w14:textId="77777777" w:rsidTr="000E579C">
        <w:trPr>
          <w:trHeight w:val="397"/>
        </w:trPr>
        <w:tc>
          <w:tcPr>
            <w:tcW w:w="758" w:type="pct"/>
            <w:tcBorders>
              <w:top w:val="single" w:sz="18" w:space="0" w:color="auto"/>
              <w:left w:val="single" w:sz="18" w:space="0" w:color="auto"/>
              <w:right w:val="single" w:sz="18" w:space="0" w:color="auto"/>
            </w:tcBorders>
            <w:shd w:val="clear" w:color="auto" w:fill="auto"/>
            <w:vAlign w:val="center"/>
          </w:tcPr>
          <w:p w14:paraId="5F9F42A4"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CS</w:t>
            </w:r>
          </w:p>
        </w:tc>
        <w:tc>
          <w:tcPr>
            <w:tcW w:w="908" w:type="pct"/>
            <w:tcBorders>
              <w:top w:val="single" w:sz="18" w:space="0" w:color="auto"/>
              <w:left w:val="single" w:sz="18" w:space="0" w:color="auto"/>
              <w:right w:val="single" w:sz="18" w:space="0" w:color="auto"/>
            </w:tcBorders>
            <w:shd w:val="clear" w:color="auto" w:fill="auto"/>
            <w:vAlign w:val="center"/>
          </w:tcPr>
          <w:p w14:paraId="7BCC7593"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1,130.00 $/kW </w:t>
            </w:r>
          </w:p>
          <w:p w14:paraId="6DC78D19" w14:textId="20A75C40"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Perry","given":"Neil","non-dropping-particle":"","parse-names":false,"suffix":""}],"id":"ITEM-1","issued":{"date-parts":[["2016"]]},"number-of-pages":"1 - 71","publisher-place":"UK","title":"Best Practice Guidelines for PV Cost Calculation","type":"report"},"uris":["http://www.mendeley.com/documents/?uuid=fdb8eb6d-fe88-4b12-a68e-569e615b43ff"]}],"mendeley":{"formattedCitation":"(Perry, 2016)","plainTextFormattedCitation":"(Perry, 2016)","previouslyFormattedCitation":"(Perry, 2016)"},"properties":{"noteIndex":0},"schema":"https://github.com/citation-style-language/schema/raw/master/csl-citation.json"}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(Perry, 2016)</w:t>
            </w:r>
            <w:r w:rsidRPr="009445F0">
              <w:rPr>
                <w:rFonts w:ascii="Arial" w:hAnsi="Arial" w:cs="Arial"/>
                <w:sz w:val="18"/>
                <w:szCs w:val="18"/>
              </w:rPr>
              <w:fldChar w:fldCharType="end"/>
            </w:r>
          </w:p>
        </w:tc>
        <w:tc>
          <w:tcPr>
            <w:tcW w:w="834" w:type="pct"/>
            <w:tcBorders>
              <w:top w:val="single" w:sz="18" w:space="0" w:color="auto"/>
              <w:left w:val="single" w:sz="18" w:space="0" w:color="auto"/>
              <w:right w:val="single" w:sz="18" w:space="0" w:color="auto"/>
            </w:tcBorders>
            <w:shd w:val="clear" w:color="auto" w:fill="auto"/>
            <w:vAlign w:val="center"/>
          </w:tcPr>
          <w:p w14:paraId="1B7CEC4C"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PEM</w:t>
            </w:r>
          </w:p>
        </w:tc>
        <w:tc>
          <w:tcPr>
            <w:tcW w:w="834" w:type="pct"/>
            <w:tcBorders>
              <w:top w:val="single" w:sz="12" w:space="0" w:color="auto"/>
              <w:left w:val="single" w:sz="18" w:space="0" w:color="auto"/>
              <w:right w:val="single" w:sz="18" w:space="0" w:color="auto"/>
            </w:tcBorders>
            <w:shd w:val="clear" w:color="auto" w:fill="auto"/>
            <w:vAlign w:val="center"/>
          </w:tcPr>
          <w:p w14:paraId="2281EEF6"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2,034.00 $/kW</w:t>
            </w:r>
          </w:p>
          <w:p w14:paraId="6DB9148D" w14:textId="22001BB2"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 </w:t>
            </w:r>
            <w:r w:rsidRPr="009445F0">
              <w:rPr>
                <w:rFonts w:ascii="Arial" w:hAnsi="Arial" w:cs="Arial"/>
                <w:sz w:val="18"/>
                <w:szCs w:val="18"/>
              </w:rPr>
              <w:fldChar w:fldCharType="begin" w:fldLock="1"/>
            </w:r>
            <w:r w:rsidR="00D27FDA">
              <w:rPr>
                <w:rFonts w:ascii="Arial" w:hAnsi="Arial" w:cs="Arial" w:hint="eastAsia"/>
                <w:sz w:val="18"/>
                <w:szCs w:val="18"/>
              </w:rPr>
              <w:instrText>ADDIN CSL_CITATION {"citationItems":[{"id":"ITEM-1","itemData":{"DOI":"10.1002/cben.201900012","ISSN":"2196-9744","author":[{"dropping-particle":"","family":"Roode</w:instrText>
            </w:r>
            <w:r w:rsidR="00D27FDA">
              <w:rPr>
                <w:rFonts w:ascii="Arial" w:hAnsi="Arial" w:cs="Arial" w:hint="eastAsia"/>
                <w:sz w:val="18"/>
                <w:szCs w:val="18"/>
              </w:rPr>
              <w:instrText>‐</w:instrText>
            </w:r>
            <w:r w:rsidR="00D27FDA">
              <w:rPr>
                <w:rFonts w:ascii="Arial" w:hAnsi="Arial" w:cs="Arial" w:hint="eastAsia"/>
                <w:sz w:val="18"/>
                <w:szCs w:val="18"/>
              </w:rPr>
              <w:instrText>Gutzmer","given":"Quirina I.","non-dropping-particle":"","parse-names":false,"suffix":""},{</w:instrText>
            </w:r>
            <w:r w:rsidR="00D27FDA">
              <w:rPr>
                <w:rFonts w:ascii="Arial" w:hAnsi="Arial" w:cs="Arial"/>
                <w:sz w:val="18"/>
                <w:szCs w:val="18"/>
              </w:rPr>
              <w:instrText>"dropping-particle":"","family":"Kaiser","given":"Doreen","non-dropping-particle":"","parse-names":false,"suffix":""},{"dropping-particle":"","family":"Bertau","given":"Martin","non-dropping-particle":"","parse-names":false,"suffix":""}],"container-title":"ChemBioEng Reviews","id":"ITEM-1","issue":"6","issued":{"date-parts":[["2019","12"]]},"page":"209-236","title":"Renewable Methanol Synthesis","type":"article-journal","volume":"6"},"uris":["http://www.mendeley.com/documents/?uuid=b84e963e-f84b-4f70-847d</w:instrText>
            </w:r>
            <w:r w:rsidR="00D27FDA">
              <w:rPr>
                <w:rFonts w:ascii="Arial" w:hAnsi="Arial" w:cs="Arial" w:hint="eastAsia"/>
                <w:sz w:val="18"/>
                <w:szCs w:val="18"/>
              </w:rPr>
              <w:instrText>-ec19d207cd34"]}],"mendeley":{"formattedCitation":"(Roode</w:instrText>
            </w:r>
            <w:r w:rsidR="00D27FDA">
              <w:rPr>
                <w:rFonts w:ascii="Arial" w:hAnsi="Arial" w:cs="Arial" w:hint="eastAsia"/>
                <w:sz w:val="18"/>
                <w:szCs w:val="18"/>
              </w:rPr>
              <w:instrText>‐</w:instrText>
            </w:r>
            <w:r w:rsidR="00D27FDA">
              <w:rPr>
                <w:rFonts w:ascii="Arial" w:hAnsi="Arial" w:cs="Arial" w:hint="eastAsia"/>
                <w:sz w:val="18"/>
                <w:szCs w:val="18"/>
              </w:rPr>
              <w:instrText>Gutzmer et al., 2019)","manualFormatting":"(Roode, 2019)","plainTextFormattedCitation":"(Roode</w:instrText>
            </w:r>
            <w:r w:rsidR="00D27FDA">
              <w:rPr>
                <w:rFonts w:ascii="Arial" w:hAnsi="Arial" w:cs="Arial" w:hint="eastAsia"/>
                <w:sz w:val="18"/>
                <w:szCs w:val="18"/>
              </w:rPr>
              <w:instrText>‐</w:instrText>
            </w:r>
            <w:r w:rsidR="00D27FDA">
              <w:rPr>
                <w:rFonts w:ascii="Arial" w:hAnsi="Arial" w:cs="Arial" w:hint="eastAsia"/>
                <w:sz w:val="18"/>
                <w:szCs w:val="18"/>
              </w:rPr>
              <w:instrText>Gutzmer et al., 2019)","previouslyFormattedCitation":"(Roode</w:instrText>
            </w:r>
            <w:r w:rsidR="00D27FDA">
              <w:rPr>
                <w:rFonts w:ascii="Arial" w:hAnsi="Arial" w:cs="Arial" w:hint="eastAsia"/>
                <w:sz w:val="18"/>
                <w:szCs w:val="18"/>
              </w:rPr>
              <w:instrText>‐</w:instrText>
            </w:r>
            <w:r w:rsidR="00D27FDA">
              <w:rPr>
                <w:rFonts w:ascii="Arial" w:hAnsi="Arial" w:cs="Arial" w:hint="eastAsia"/>
                <w:sz w:val="18"/>
                <w:szCs w:val="18"/>
              </w:rPr>
              <w:instrText>Gutzmer et al., 2019)"},"properties":{"no</w:instrText>
            </w:r>
            <w:r w:rsidR="00D27FDA">
              <w:rPr>
                <w:rFonts w:ascii="Arial" w:hAnsi="Arial" w:cs="Arial"/>
                <w:sz w:val="18"/>
                <w:szCs w:val="18"/>
              </w:rPr>
              <w:instrText>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(Roode, 2019)</w:t>
            </w:r>
            <w:r w:rsidRPr="009445F0">
              <w:rPr>
                <w:rFonts w:ascii="Arial" w:hAnsi="Arial" w:cs="Arial"/>
                <w:sz w:val="18"/>
                <w:szCs w:val="18"/>
              </w:rPr>
              <w:fldChar w:fldCharType="end"/>
            </w:r>
          </w:p>
        </w:tc>
        <w:tc>
          <w:tcPr>
            <w:tcW w:w="834" w:type="pct"/>
            <w:tcBorders>
              <w:top w:val="single" w:sz="18" w:space="0" w:color="auto"/>
              <w:left w:val="single" w:sz="18" w:space="0" w:color="auto"/>
              <w:right w:val="single" w:sz="18" w:space="0" w:color="auto"/>
            </w:tcBorders>
            <w:shd w:val="clear" w:color="auto" w:fill="auto"/>
            <w:vAlign w:val="center"/>
          </w:tcPr>
          <w:p w14:paraId="70566679" w14:textId="00E26BB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C</w:t>
            </w:r>
            <w:r w:rsidR="003D7951">
              <w:rPr>
                <w:rFonts w:ascii="Arial" w:hAnsi="Arial" w:cs="Arial"/>
                <w:sz w:val="18"/>
                <w:szCs w:val="18"/>
              </w:rPr>
              <w:t xml:space="preserve">ompressed </w:t>
            </w:r>
            <w:r w:rsidRPr="009445F0">
              <w:rPr>
                <w:rFonts w:ascii="Arial" w:hAnsi="Arial" w:cs="Arial"/>
                <w:sz w:val="18"/>
                <w:szCs w:val="18"/>
              </w:rPr>
              <w:t>H</w:t>
            </w:r>
            <w:r w:rsidRPr="009445F0">
              <w:rPr>
                <w:rFonts w:ascii="Arial" w:hAnsi="Arial" w:cs="Arial"/>
                <w:sz w:val="18"/>
                <w:szCs w:val="18"/>
                <w:vertAlign w:val="subscript"/>
              </w:rPr>
              <w:t>2</w:t>
            </w:r>
          </w:p>
        </w:tc>
        <w:tc>
          <w:tcPr>
            <w:tcW w:w="832" w:type="pct"/>
            <w:tcBorders>
              <w:top w:val="single" w:sz="18" w:space="0" w:color="auto"/>
              <w:left w:val="single" w:sz="18" w:space="0" w:color="auto"/>
              <w:right w:val="single" w:sz="18" w:space="0" w:color="auto"/>
            </w:tcBorders>
            <w:shd w:val="clear" w:color="auto" w:fill="auto"/>
            <w:vAlign w:val="center"/>
          </w:tcPr>
          <w:p w14:paraId="3DA61689" w14:textId="06E278D9"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23.40 $/(kg/hr)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{"citationItems":[{"id":"ITEM-1","itemData":{"author":[{"dropping-particle":"","family":"Patonia","given":"Aliaksei","non-dropping-particle":"","parse-names":false,"suffix":""}],"container-title":"Oxford Institute for Energy Studies","id":"ITEM-1","issued":{"date-parts":[["2020"]]},"page":"1 - 35","title":"Ammonia as a storage solution for future decarbonized energy systems","type":"article-journal"},"uris":["http://www.mendeley.com/documents/?uuid=eab20b4e-af28-44d9-9b8f-89741a92f19c"]}],"mendeley":{"formattedCitation":"(Patonia, 2020)","plainTextFormattedCitation":"(Patonia, 2020)","previouslyFormattedCitation":"(Patonia, 2020)"},"properties":{"noteIndex":0},"schema":"https://github.com/citation-style-language/schema/raw/master/csl-citation.json"}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(Patonia, 2020)</w:t>
            </w:r>
            <w:r w:rsidRPr="009445F0">
              <w:rPr>
                <w:rFonts w:ascii="Arial" w:hAnsi="Arial" w:cs="Arial"/>
                <w:sz w:val="18"/>
                <w:szCs w:val="18"/>
              </w:rPr>
              <w:fldChar w:fldCharType="end"/>
            </w:r>
          </w:p>
        </w:tc>
      </w:tr>
      <w:tr w:rsidR="001268BC" w:rsidRPr="009445F0" w14:paraId="1C0C029A" w14:textId="77777777" w:rsidTr="000E579C">
        <w:trPr>
          <w:trHeight w:val="397"/>
        </w:trPr>
        <w:tc>
          <w:tcPr>
            <w:tcW w:w="758" w:type="pct"/>
            <w:tcBorders>
              <w:left w:val="single" w:sz="18" w:space="0" w:color="auto"/>
              <w:right w:val="single" w:sz="18" w:space="0" w:color="auto"/>
            </w:tcBorders>
            <w:shd w:val="clear" w:color="auto" w:fill="auto"/>
            <w:vAlign w:val="center"/>
          </w:tcPr>
          <w:p w14:paraId="58670B54"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TF</w:t>
            </w:r>
          </w:p>
        </w:tc>
        <w:tc>
          <w:tcPr>
            <w:tcW w:w="908" w:type="pct"/>
            <w:tcBorders>
              <w:left w:val="single" w:sz="18" w:space="0" w:color="auto"/>
              <w:right w:val="single" w:sz="18" w:space="0" w:color="auto"/>
            </w:tcBorders>
            <w:shd w:val="clear" w:color="auto" w:fill="auto"/>
            <w:vAlign w:val="center"/>
          </w:tcPr>
          <w:p w14:paraId="042A78F3" w14:textId="77777777" w:rsidR="001268BC" w:rsidRPr="009445F0" w:rsidRDefault="001268BC" w:rsidP="009445F0">
            <w:pPr>
              <w:spacing w:line="276" w:lineRule="auto"/>
              <w:jc w:val="center"/>
              <w:rPr>
                <w:rFonts w:ascii="Arial" w:hAnsi="Arial" w:cs="Arial"/>
                <w:sz w:val="18"/>
                <w:szCs w:val="18"/>
                <w:vertAlign w:val="superscript"/>
              </w:rPr>
            </w:pPr>
            <w:r w:rsidRPr="009445F0">
              <w:rPr>
                <w:rFonts w:ascii="Arial" w:hAnsi="Arial" w:cs="Arial"/>
                <w:sz w:val="18"/>
                <w:szCs w:val="18"/>
              </w:rPr>
              <w:t>92.10.00 $/m</w:t>
            </w:r>
            <w:r w:rsidRPr="009445F0">
              <w:rPr>
                <w:rFonts w:ascii="Arial" w:hAnsi="Arial" w:cs="Arial"/>
                <w:sz w:val="18"/>
                <w:szCs w:val="18"/>
                <w:vertAlign w:val="superscript"/>
              </w:rPr>
              <w:t xml:space="preserve">2 </w:t>
            </w:r>
          </w:p>
          <w:p w14:paraId="6C6EB72D" w14:textId="6EB99991"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vertAlign w:val="superscript"/>
              </w:rPr>
              <w:fldChar w:fldCharType="begin" w:fldLock="1"/>
            </w:r>
            <w:r w:rsidR="00D27FDA">
              <w:rPr>
                <w:rFonts w:ascii="Arial" w:hAnsi="Arial" w:cs="Arial"/>
                <w:sz w:val="18"/>
                <w:szCs w:val="18"/>
                <w:vertAlign w:val="superscript"/>
              </w:rPr>
              <w:instrText>ADDIN CSL_CITATION {"citationItems":[{"id":"ITEM-1","itemData":{"DOI":"10.1039/c1ee02303a","ISSN":"17545692","abstract":"Nanostructured silicon single junction thin film solar cells were deposited on commercial red clay roof tiles with engobe surfaces and earthenware wall tiles with glazed surfaces, with a test area of 24 mm 2. We studied the influence of the type of substrate tile, back contact, buffer layer and SiO x passivation layer on the optoelectronic performance of the solar cells. Despite the fact that typical micrometre-sized defects on the surfaces of the tiles and the porous nature of the ceramic substrates make deposition of homogeneous thin films on them quite challenging, we have been able to achieve a cell efficiency of 5% and a quantum efficiency of 80% on non-fully optimized cells on commercial tiles. The method is industrially employable utilizing pre-existing plasma-enhanced chemical vapour deposition technologies. The cost-effectiveness and industrial feasibility of the technique are discussed. Our study shows that photovoltaic tiles can combine energy generation with architectural aesthetics leading to significant implications for advancement in building integrated photovoltaics. © 2011 The Royal Society of Chemistry.","author":[{"dropping-particle":"","family":"Águas","given":"Hugo","non-dropping-particle":"","parse-names":false,"suffix":""},{"dropping-particle":"","family":"Ram","given":"Sanjay K.","non-dropping-particle":"","parse-names":false,"suffix":""},{"dropping-particle":"","family":"Araújo","given":"Andreia","non-dropping-particle":"","parse-names":false,"suffix":""},{"dropping-particle":"","family":"Gaspar","given":"Diana","non-dropping-particle":"","parse-names":false,"suffix":""},{"dropping-particle":"","family":"Vicente","given":"António","non-dropping-particle":"","parse-names":false,"suffix":""},{"dropping-particle":"","family":"Filonovich","given":"Sergej A.","non-dropping-particle":"","parse-names":false,"suffix":""},{"dropping-particle":"","family":"Fortunato","given":"Elvira","non-dropping-particle":"","parse-names":false,"suffix":""},{"dropping-particle":"","family":"Martins","given":"Rodrigo","non-dropping-particle":"","parse-names":false,"suffix":""},{"dropping-particle":"","family":"Ferreira","given":"Isabel","non-dropping-particle":"","parse-names":false,"suffix":""}],"container-title":"Energy and Environmental Science","id":"ITEM-1","issue":"11","issued":{"date-parts":[["2011"]]},"page":"4620-4632","title":"Silicon thin film solar cells on commercial tiles","type":"article-journal","volume":"4"},"uris":["http://www.mendeley.com/documents/?uuid=7c8bac59-ed02-45c3-bce7-1af309b0359e"]}],"mendeley":{"formattedCitation":"(Águas et al., 2011)","manualFormatting":"(Águas, 2011)","plainTextFormattedCitation":"(Águas et al., 2011)","previouslyFormattedCitation":"(Águas et al., 2011)"},"properties":{"noteIndex":0},"schema":"https://github.com/citation-style-language/schema/raw/master/csl-citation.json"}</w:instrText>
            </w:r>
            <w:r w:rsidRPr="009445F0">
              <w:rPr>
                <w:rFonts w:ascii="Arial" w:hAnsi="Arial" w:cs="Arial"/>
                <w:sz w:val="18"/>
                <w:szCs w:val="18"/>
                <w:vertAlign w:val="superscript"/>
              </w:rPr>
              <w:fldChar w:fldCharType="separate"/>
            </w:r>
            <w:r w:rsidRPr="009445F0">
              <w:rPr>
                <w:rFonts w:ascii="Arial" w:hAnsi="Arial" w:cs="Arial"/>
                <w:noProof/>
                <w:sz w:val="18"/>
                <w:szCs w:val="18"/>
              </w:rPr>
              <w:t>(Águas, 2011)</w:t>
            </w:r>
            <w:r w:rsidRPr="009445F0">
              <w:rPr>
                <w:rFonts w:ascii="Arial" w:hAnsi="Arial" w:cs="Arial"/>
                <w:sz w:val="18"/>
                <w:szCs w:val="18"/>
                <w:vertAlign w:val="superscript"/>
              </w:rPr>
              <w:fldChar w:fldCharType="end"/>
            </w:r>
          </w:p>
        </w:tc>
        <w:tc>
          <w:tcPr>
            <w:tcW w:w="834" w:type="pct"/>
            <w:tcBorders>
              <w:left w:val="single" w:sz="18" w:space="0" w:color="auto"/>
              <w:right w:val="single" w:sz="18" w:space="0" w:color="auto"/>
            </w:tcBorders>
            <w:shd w:val="clear" w:color="auto" w:fill="auto"/>
            <w:vAlign w:val="center"/>
          </w:tcPr>
          <w:p w14:paraId="6E761C53"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AWE</w:t>
            </w:r>
          </w:p>
        </w:tc>
        <w:tc>
          <w:tcPr>
            <w:tcW w:w="834" w:type="pct"/>
            <w:tcBorders>
              <w:left w:val="single" w:sz="18" w:space="0" w:color="auto"/>
              <w:right w:val="single" w:sz="18" w:space="0" w:color="auto"/>
            </w:tcBorders>
            <w:shd w:val="clear" w:color="auto" w:fill="auto"/>
            <w:vAlign w:val="center"/>
          </w:tcPr>
          <w:p w14:paraId="44299A68"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1,582.00 $/kW </w:t>
            </w:r>
          </w:p>
          <w:p w14:paraId="0B15642C" w14:textId="0DB916C5"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hint="eastAsia"/>
                <w:sz w:val="18"/>
                <w:szCs w:val="18"/>
              </w:rPr>
              <w:instrText>ADDIN CSL_CITATION {"citationItems":[{"id":"ITEM-1","itemData":{"DOI":"10.1002/cben.201900012","ISSN":"2196-9744","author":[{"dropping-particle":"","family":"Roode</w:instrText>
            </w:r>
            <w:r w:rsidR="00D27FDA">
              <w:rPr>
                <w:rFonts w:ascii="Arial" w:hAnsi="Arial" w:cs="Arial" w:hint="eastAsia"/>
                <w:sz w:val="18"/>
                <w:szCs w:val="18"/>
              </w:rPr>
              <w:instrText>‐</w:instrText>
            </w:r>
            <w:r w:rsidR="00D27FDA">
              <w:rPr>
                <w:rFonts w:ascii="Arial" w:hAnsi="Arial" w:cs="Arial" w:hint="eastAsia"/>
                <w:sz w:val="18"/>
                <w:szCs w:val="18"/>
              </w:rPr>
              <w:instrText>Gutzmer","given":"Quirina I.","non-dropping-particle":"","parse-names":false,"suffix":""},{</w:instrText>
            </w:r>
            <w:r w:rsidR="00D27FDA">
              <w:rPr>
                <w:rFonts w:ascii="Arial" w:hAnsi="Arial" w:cs="Arial"/>
                <w:sz w:val="18"/>
                <w:szCs w:val="18"/>
              </w:rPr>
              <w:instrText>"dropping-particle":"","family":"Kaiser","given":"Doreen","non-dropping-particle":"","parse-names":false,"suffix":""},{"dropping-particle":"","family":"Bertau","given":"Martin","non-dropping-particle":"","parse-names":false,"suffix":""}],"container-title":"ChemBioEng Reviews","id":"ITEM-1","issue":"6","issued":{"date-parts":[["2019","12"]]},"page":"209-236","title":"Renewable Methanol Synthesis","type":"article-journal","volume":"6"},"uris":["http://www.mendeley.com/documents/?uuid=b84e963e-f84b-4f70-847d</w:instrText>
            </w:r>
            <w:r w:rsidR="00D27FDA">
              <w:rPr>
                <w:rFonts w:ascii="Arial" w:hAnsi="Arial" w:cs="Arial" w:hint="eastAsia"/>
                <w:sz w:val="18"/>
                <w:szCs w:val="18"/>
              </w:rPr>
              <w:instrText>-ec19d207cd34"]}],"mendeley":{"formattedCitation":"(Roode</w:instrText>
            </w:r>
            <w:r w:rsidR="00D27FDA">
              <w:rPr>
                <w:rFonts w:ascii="Arial" w:hAnsi="Arial" w:cs="Arial" w:hint="eastAsia"/>
                <w:sz w:val="18"/>
                <w:szCs w:val="18"/>
              </w:rPr>
              <w:instrText>‐</w:instrText>
            </w:r>
            <w:r w:rsidR="00D27FDA">
              <w:rPr>
                <w:rFonts w:ascii="Arial" w:hAnsi="Arial" w:cs="Arial" w:hint="eastAsia"/>
                <w:sz w:val="18"/>
                <w:szCs w:val="18"/>
              </w:rPr>
              <w:instrText>Gutzmer et al., 2019)","manualFormatting":"(Roode, 2019)","plainTextFormattedCitation":"(Roode</w:instrText>
            </w:r>
            <w:r w:rsidR="00D27FDA">
              <w:rPr>
                <w:rFonts w:ascii="Arial" w:hAnsi="Arial" w:cs="Arial" w:hint="eastAsia"/>
                <w:sz w:val="18"/>
                <w:szCs w:val="18"/>
              </w:rPr>
              <w:instrText>‐</w:instrText>
            </w:r>
            <w:r w:rsidR="00D27FDA">
              <w:rPr>
                <w:rFonts w:ascii="Arial" w:hAnsi="Arial" w:cs="Arial" w:hint="eastAsia"/>
                <w:sz w:val="18"/>
                <w:szCs w:val="18"/>
              </w:rPr>
              <w:instrText>Gutzmer et al., 2019)","previouslyFormattedCitation":"(Roode</w:instrText>
            </w:r>
            <w:r w:rsidR="00D27FDA">
              <w:rPr>
                <w:rFonts w:ascii="Arial" w:hAnsi="Arial" w:cs="Arial" w:hint="eastAsia"/>
                <w:sz w:val="18"/>
                <w:szCs w:val="18"/>
              </w:rPr>
              <w:instrText>‐</w:instrText>
            </w:r>
            <w:r w:rsidR="00D27FDA">
              <w:rPr>
                <w:rFonts w:ascii="Arial" w:hAnsi="Arial" w:cs="Arial" w:hint="eastAsia"/>
                <w:sz w:val="18"/>
                <w:szCs w:val="18"/>
              </w:rPr>
              <w:instrText>Gutzmer et al., 2019)"},"properties":{"no</w:instrText>
            </w:r>
            <w:r w:rsidR="00D27FDA">
              <w:rPr>
                <w:rFonts w:ascii="Arial" w:hAnsi="Arial" w:cs="Arial"/>
                <w:sz w:val="18"/>
                <w:szCs w:val="18"/>
              </w:rPr>
              <w:instrText>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(Roode, 2019)</w:t>
            </w:r>
            <w:r w:rsidRPr="009445F0">
              <w:rPr>
                <w:rFonts w:ascii="Arial" w:hAnsi="Arial" w:cs="Arial"/>
                <w:sz w:val="18"/>
                <w:szCs w:val="18"/>
              </w:rPr>
              <w:fldChar w:fldCharType="end"/>
            </w:r>
          </w:p>
        </w:tc>
        <w:tc>
          <w:tcPr>
            <w:tcW w:w="834" w:type="pct"/>
            <w:tcBorders>
              <w:left w:val="single" w:sz="18" w:space="0" w:color="auto"/>
              <w:bottom w:val="single" w:sz="18" w:space="0" w:color="auto"/>
              <w:right w:val="single" w:sz="18" w:space="0" w:color="auto"/>
            </w:tcBorders>
            <w:shd w:val="clear" w:color="auto" w:fill="auto"/>
            <w:vAlign w:val="center"/>
          </w:tcPr>
          <w:p w14:paraId="4EB09E09"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LH</w:t>
            </w:r>
            <w:r w:rsidRPr="009445F0">
              <w:rPr>
                <w:rFonts w:ascii="Arial" w:hAnsi="Arial" w:cs="Arial"/>
                <w:sz w:val="18"/>
                <w:szCs w:val="18"/>
                <w:vertAlign w:val="subscript"/>
              </w:rPr>
              <w:t>2</w:t>
            </w:r>
          </w:p>
        </w:tc>
        <w:tc>
          <w:tcPr>
            <w:tcW w:w="832" w:type="pct"/>
            <w:tcBorders>
              <w:left w:val="single" w:sz="18" w:space="0" w:color="auto"/>
              <w:bottom w:val="single" w:sz="18" w:space="0" w:color="auto"/>
              <w:right w:val="single" w:sz="18" w:space="0" w:color="auto"/>
            </w:tcBorders>
            <w:shd w:val="clear" w:color="auto" w:fill="auto"/>
            <w:vAlign w:val="center"/>
          </w:tcPr>
          <w:p w14:paraId="68ABA5FE" w14:textId="1208CA01"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199.00 $/(kg/hr)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{"citationItems":[{"id":"ITEM-1","itemData":{"author":[{"dropping-particle":"","family":"Patonia","given":"Aliaksei","non-dropping-particle":"","parse-names":false,"suffix":""}],"container-title":"Oxford Institute for Energy Studies","id":"ITEM-1","issued":{"date-parts":[["2020"]]},"page":"1 - 35","title":"Ammonia as a storage solution for future decarbonized energy systems","type":"article-journal"},"uris":["http://www.mendeley.com/documents/?uuid=eab20b4e-af28-44d9-9b8f-89741a92f19c"]}],"mendeley":{"formattedCitation":"(Patonia, 2020)","plainTextFormattedCitation":"(Patonia, 2020)","previouslyFormattedCitation":"(Patonia, 2020)"},"properties":{"noteIndex":0},"schema":"https://github.com/citation-style-language/schema/raw/master/csl-citation.json"}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(Patonia, 2020)</w:t>
            </w:r>
            <w:r w:rsidRPr="009445F0">
              <w:rPr>
                <w:rFonts w:ascii="Arial" w:hAnsi="Arial" w:cs="Arial"/>
                <w:sz w:val="18"/>
                <w:szCs w:val="18"/>
              </w:rPr>
              <w:fldChar w:fldCharType="end"/>
            </w:r>
          </w:p>
        </w:tc>
      </w:tr>
      <w:tr w:rsidR="001268BC" w:rsidRPr="009445F0" w14:paraId="69B2191E" w14:textId="77777777" w:rsidTr="000E579C">
        <w:trPr>
          <w:trHeight w:val="397"/>
        </w:trPr>
        <w:tc>
          <w:tcPr>
            <w:tcW w:w="758" w:type="pct"/>
            <w:tcBorders>
              <w:left w:val="single" w:sz="18" w:space="0" w:color="auto"/>
              <w:right w:val="single" w:sz="18" w:space="0" w:color="auto"/>
            </w:tcBorders>
            <w:shd w:val="clear" w:color="auto" w:fill="auto"/>
            <w:vAlign w:val="center"/>
          </w:tcPr>
          <w:p w14:paraId="13CC950E"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Parabolic Trough</w:t>
            </w:r>
          </w:p>
        </w:tc>
        <w:tc>
          <w:tcPr>
            <w:tcW w:w="908" w:type="pct"/>
            <w:tcBorders>
              <w:left w:val="single" w:sz="18" w:space="0" w:color="auto"/>
              <w:right w:val="single" w:sz="18" w:space="0" w:color="auto"/>
            </w:tcBorders>
            <w:shd w:val="clear" w:color="auto" w:fill="auto"/>
            <w:vAlign w:val="center"/>
          </w:tcPr>
          <w:p w14:paraId="2A7EFC06"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4,600.00 $/kW </w:t>
            </w:r>
          </w:p>
          <w:p w14:paraId="64974606" w14:textId="1F7AE87F"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{"citationItems":[{"id":"ITEM-1","itemData":{"author":[{"dropping-particle":"","family":"Gielen","given":"Dolf","non-dropping-particle":"","parse-names":false,"suffix":""}],"container-title":"RENEWABLE ENERGY TECHNOLOGIES: COST ANALYSIS SERIES","id":"ITEM-1","issue":"2","issued":{"date-parts":[["2012"]]},"title":"Concentrating Solar Power","type":"article-journal","volume":"1"},"uris":["http://www.mendeley.com/documents/?uuid=29d423f5-4607-4c55-87d2-0ed5b56ca5d4"]}],"mendeley":{"formattedCitation":"(Gielen, 2012)","plainTextFormattedCitation":"(Gielen, 2012)","previouslyFormattedCitation":"(Gielen, 2012)"},"properties":{"noteIndex":0},"schema":"https://github.com/citation-style-language/schema/raw/master/csl-citation.json"}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(Gielen, 2012)</w:t>
            </w:r>
            <w:r w:rsidRPr="009445F0">
              <w:rPr>
                <w:rFonts w:ascii="Arial" w:hAnsi="Arial" w:cs="Arial"/>
                <w:sz w:val="18"/>
                <w:szCs w:val="18"/>
              </w:rPr>
              <w:fldChar w:fldCharType="end"/>
            </w:r>
          </w:p>
        </w:tc>
        <w:tc>
          <w:tcPr>
            <w:tcW w:w="834" w:type="pct"/>
            <w:tcBorders>
              <w:left w:val="single" w:sz="18" w:space="0" w:color="auto"/>
              <w:right w:val="single" w:sz="18" w:space="0" w:color="auto"/>
            </w:tcBorders>
            <w:shd w:val="clear" w:color="auto" w:fill="auto"/>
            <w:vAlign w:val="center"/>
          </w:tcPr>
          <w:p w14:paraId="1A6637D6"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SOEC</w:t>
            </w:r>
          </w:p>
        </w:tc>
        <w:tc>
          <w:tcPr>
            <w:tcW w:w="834" w:type="pct"/>
            <w:tcBorders>
              <w:left w:val="single" w:sz="18" w:space="0" w:color="auto"/>
              <w:right w:val="single" w:sz="18" w:space="0" w:color="auto"/>
            </w:tcBorders>
            <w:shd w:val="clear" w:color="auto" w:fill="auto"/>
            <w:vAlign w:val="center"/>
          </w:tcPr>
          <w:p w14:paraId="5E78D68C"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2,599.00 $/kW </w:t>
            </w:r>
          </w:p>
          <w:p w14:paraId="5CCB8F7A" w14:textId="12DADEA1"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hint="eastAsia"/>
                <w:sz w:val="18"/>
                <w:szCs w:val="18"/>
              </w:rPr>
              <w:instrText>ADDIN CSL_CITATION {"citationItems":[{"id":"ITEM-1","itemData":{"DOI":"10.1002/cben.201900012","ISSN":"2196-9744","author":[{"dropping-particle":"","family":"Roode</w:instrText>
            </w:r>
            <w:r w:rsidR="00D27FDA">
              <w:rPr>
                <w:rFonts w:ascii="Arial" w:hAnsi="Arial" w:cs="Arial" w:hint="eastAsia"/>
                <w:sz w:val="18"/>
                <w:szCs w:val="18"/>
              </w:rPr>
              <w:instrText>‐</w:instrText>
            </w:r>
            <w:r w:rsidR="00D27FDA">
              <w:rPr>
                <w:rFonts w:ascii="Arial" w:hAnsi="Arial" w:cs="Arial" w:hint="eastAsia"/>
                <w:sz w:val="18"/>
                <w:szCs w:val="18"/>
              </w:rPr>
              <w:instrText>Gutzmer","given":"Quirina I.","non-dropping-particle":"","parse-names":false,"suffix":""},{</w:instrText>
            </w:r>
            <w:r w:rsidR="00D27FDA">
              <w:rPr>
                <w:rFonts w:ascii="Arial" w:hAnsi="Arial" w:cs="Arial"/>
                <w:sz w:val="18"/>
                <w:szCs w:val="18"/>
              </w:rPr>
              <w:instrText>"dropping-particle":"","family":"Kaiser","given":"Doreen","non-dropping-particle":"","parse-names":false,"suffix":""},{"dropping-particle":"","family":"Bertau","given":"Martin","non-dropping-particle":"","parse-names":false,"suffix":""}],"container-title":"ChemBioEng Reviews","id":"ITEM-1","issue":"6","issued":{"date-parts":[["2019","12"]]},"page":"209-236","title":"Renewable Methanol Synthesis","type":"article-journal","volume":"6"},"uris":["http://www.mendeley.com/documents/?uuid=b84e963e-f84b-4f70-847d</w:instrText>
            </w:r>
            <w:r w:rsidR="00D27FDA">
              <w:rPr>
                <w:rFonts w:ascii="Arial" w:hAnsi="Arial" w:cs="Arial" w:hint="eastAsia"/>
                <w:sz w:val="18"/>
                <w:szCs w:val="18"/>
              </w:rPr>
              <w:instrText>-ec19d207cd34"]}],"mendeley":{"formattedCitation":"(Roode</w:instrText>
            </w:r>
            <w:r w:rsidR="00D27FDA">
              <w:rPr>
                <w:rFonts w:ascii="Arial" w:hAnsi="Arial" w:cs="Arial" w:hint="eastAsia"/>
                <w:sz w:val="18"/>
                <w:szCs w:val="18"/>
              </w:rPr>
              <w:instrText>‐</w:instrText>
            </w:r>
            <w:r w:rsidR="00D27FDA">
              <w:rPr>
                <w:rFonts w:ascii="Arial" w:hAnsi="Arial" w:cs="Arial" w:hint="eastAsia"/>
                <w:sz w:val="18"/>
                <w:szCs w:val="18"/>
              </w:rPr>
              <w:instrText>Gutzmer et al., 2019)","manualFormatting":"(Roode, 2019)","plainTextFormattedCitation":"(Roode</w:instrText>
            </w:r>
            <w:r w:rsidR="00D27FDA">
              <w:rPr>
                <w:rFonts w:ascii="Arial" w:hAnsi="Arial" w:cs="Arial" w:hint="eastAsia"/>
                <w:sz w:val="18"/>
                <w:szCs w:val="18"/>
              </w:rPr>
              <w:instrText>‐</w:instrText>
            </w:r>
            <w:r w:rsidR="00D27FDA">
              <w:rPr>
                <w:rFonts w:ascii="Arial" w:hAnsi="Arial" w:cs="Arial" w:hint="eastAsia"/>
                <w:sz w:val="18"/>
                <w:szCs w:val="18"/>
              </w:rPr>
              <w:instrText>Gutzmer et al., 2019)","previouslyFormattedCitation":"(Roode</w:instrText>
            </w:r>
            <w:r w:rsidR="00D27FDA">
              <w:rPr>
                <w:rFonts w:ascii="Arial" w:hAnsi="Arial" w:cs="Arial" w:hint="eastAsia"/>
                <w:sz w:val="18"/>
                <w:szCs w:val="18"/>
              </w:rPr>
              <w:instrText>‐</w:instrText>
            </w:r>
            <w:r w:rsidR="00D27FDA">
              <w:rPr>
                <w:rFonts w:ascii="Arial" w:hAnsi="Arial" w:cs="Arial" w:hint="eastAsia"/>
                <w:sz w:val="18"/>
                <w:szCs w:val="18"/>
              </w:rPr>
              <w:instrText>Gutzmer et al., 2019)"},"properties":{"no</w:instrText>
            </w:r>
            <w:r w:rsidR="00D27FDA">
              <w:rPr>
                <w:rFonts w:ascii="Arial" w:hAnsi="Arial" w:cs="Arial"/>
                <w:sz w:val="18"/>
                <w:szCs w:val="18"/>
              </w:rPr>
              <w:instrText>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(Roode, 2019)</w:t>
            </w:r>
            <w:r w:rsidRPr="009445F0">
              <w:rPr>
                <w:rFonts w:ascii="Arial" w:hAnsi="Arial" w:cs="Arial"/>
                <w:sz w:val="18"/>
                <w:szCs w:val="18"/>
              </w:rPr>
              <w:fldChar w:fldCharType="end"/>
            </w:r>
          </w:p>
        </w:tc>
        <w:tc>
          <w:tcPr>
            <w:tcW w:w="1666" w:type="pct"/>
            <w:gridSpan w:val="2"/>
            <w:tcBorders>
              <w:top w:val="single" w:sz="18" w:space="0" w:color="auto"/>
              <w:left w:val="single" w:sz="18" w:space="0" w:color="auto"/>
              <w:bottom w:val="single" w:sz="18" w:space="0" w:color="auto"/>
              <w:right w:val="single" w:sz="18" w:space="0" w:color="auto"/>
            </w:tcBorders>
            <w:shd w:val="clear" w:color="auto" w:fill="A8FFB1"/>
            <w:vAlign w:val="center"/>
          </w:tcPr>
          <w:p w14:paraId="084C1444"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b/>
                <w:bCs/>
                <w:sz w:val="18"/>
                <w:szCs w:val="18"/>
              </w:rPr>
              <w:t>Chemical Method</w:t>
            </w:r>
          </w:p>
        </w:tc>
      </w:tr>
      <w:tr w:rsidR="001268BC" w:rsidRPr="009445F0" w14:paraId="220A6BFE" w14:textId="77777777" w:rsidTr="000E579C">
        <w:trPr>
          <w:trHeight w:val="397"/>
        </w:trPr>
        <w:tc>
          <w:tcPr>
            <w:tcW w:w="758" w:type="pct"/>
            <w:tcBorders>
              <w:left w:val="single" w:sz="18" w:space="0" w:color="auto"/>
              <w:bottom w:val="single" w:sz="18" w:space="0" w:color="auto"/>
              <w:right w:val="single" w:sz="18" w:space="0" w:color="auto"/>
            </w:tcBorders>
            <w:shd w:val="clear" w:color="auto" w:fill="auto"/>
            <w:vAlign w:val="center"/>
          </w:tcPr>
          <w:p w14:paraId="707A7860"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Power Tower</w:t>
            </w:r>
          </w:p>
        </w:tc>
        <w:tc>
          <w:tcPr>
            <w:tcW w:w="908" w:type="pct"/>
            <w:tcBorders>
              <w:left w:val="single" w:sz="18" w:space="0" w:color="auto"/>
              <w:bottom w:val="single" w:sz="18" w:space="0" w:color="auto"/>
              <w:right w:val="single" w:sz="18" w:space="0" w:color="auto"/>
            </w:tcBorders>
            <w:shd w:val="clear" w:color="auto" w:fill="auto"/>
            <w:vAlign w:val="center"/>
          </w:tcPr>
          <w:p w14:paraId="2568EAF8"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7,500.00 $/kW </w:t>
            </w:r>
          </w:p>
          <w:p w14:paraId="450AFBBE" w14:textId="353F2125"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{"citationItems":[{"id":"ITEM-1","itemData":{"author":[{"dropping-particle":"","family":"Gielen","given":"Dolf","non-dropping-particle":"","parse-names":false,"suffix":""}],"container-title":"RENEWABLE ENERGY TECHNOLOGIES: COST ANALYSIS SERIES","id":"ITEM-1","issue":"2","issued":{"date-parts":[["2012"]]},"title":"Concentrating Solar Power","type":"article-journal","volume":"1"},"uris":["http://www.mendeley.com/documents/?uuid=29d423f5-4607-4c55-87d2-0ed5b56ca5d4"]}],"mendeley":{"formattedCitation":"(Gielen, 2012)","plainTextFormattedCitation":"(Gielen, 2012)","previouslyFormattedCitation":"(Gielen, 2012)"},"properties":{"noteIndex":0},"schema":"https://github.com/citation-style-language/schema/raw/master/csl-citation.json"}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(Gielen, 2012)</w:t>
            </w:r>
            <w:r w:rsidRPr="009445F0">
              <w:rPr>
                <w:rFonts w:ascii="Arial" w:hAnsi="Arial" w:cs="Arial"/>
                <w:sz w:val="18"/>
                <w:szCs w:val="18"/>
              </w:rPr>
              <w:fldChar w:fldCharType="end"/>
            </w:r>
          </w:p>
        </w:tc>
        <w:tc>
          <w:tcPr>
            <w:tcW w:w="834" w:type="pct"/>
            <w:tcBorders>
              <w:left w:val="single" w:sz="18" w:space="0" w:color="auto"/>
              <w:bottom w:val="single" w:sz="18" w:space="0" w:color="auto"/>
              <w:right w:val="single" w:sz="18" w:space="0" w:color="auto"/>
            </w:tcBorders>
            <w:shd w:val="clear" w:color="auto" w:fill="auto"/>
            <w:vAlign w:val="center"/>
          </w:tcPr>
          <w:p w14:paraId="51688515"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AEM</w:t>
            </w:r>
          </w:p>
        </w:tc>
        <w:tc>
          <w:tcPr>
            <w:tcW w:w="834" w:type="pct"/>
            <w:tcBorders>
              <w:left w:val="single" w:sz="18" w:space="0" w:color="auto"/>
              <w:bottom w:val="single" w:sz="18" w:space="0" w:color="auto"/>
              <w:right w:val="single" w:sz="18" w:space="0" w:color="auto"/>
            </w:tcBorders>
            <w:shd w:val="clear" w:color="auto" w:fill="auto"/>
            <w:vAlign w:val="center"/>
          </w:tcPr>
          <w:p w14:paraId="31C66766"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4,237.50 $/kW </w:t>
            </w:r>
          </w:p>
          <w:p w14:paraId="237975B2" w14:textId="1170DFA8"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{"citationItems":[{"id":"ITEM-1","itemData":{"author":[{"dropping-particle":"","family":"Schmidt","given":"","non-dropping-particle":"","parse-names":false,"suffix":""}],"container-title":"Enapter","id":"ITEM-1","issued":{"date-parts":[["2021"]]},"title":"Enapter Makes Headway on AEM Electrolyzer Mass Production","type":"webpage"},"uris":["http://www.mendeley.com/documents/?uuid=9594ee0f-54ab-4238-ba5a-93f21e19caf2"]}],"mendeley":{"formattedCitation":"(Schmidt, 2021)","plainTextFormattedCitation":"(Schmidt, 2021)","previouslyFormattedCitation":"(Schmidt, 2021)"},"properties":{"noteIndex":0},"schema":"https://github.com/citation-style-language/schema/raw/master/csl-citation.json"}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(Schmidt, 2021)</w:t>
            </w:r>
            <w:r w:rsidRPr="009445F0">
              <w:rPr>
                <w:rFonts w:ascii="Arial" w:hAnsi="Arial" w:cs="Arial"/>
                <w:sz w:val="18"/>
                <w:szCs w:val="18"/>
              </w:rPr>
              <w:fldChar w:fldCharType="end"/>
            </w:r>
          </w:p>
        </w:tc>
        <w:tc>
          <w:tcPr>
            <w:tcW w:w="1666" w:type="pct"/>
            <w:gridSpan w:val="2"/>
            <w:tcBorders>
              <w:top w:val="single" w:sz="18" w:space="0" w:color="auto"/>
              <w:left w:val="single" w:sz="18" w:space="0" w:color="auto"/>
              <w:right w:val="single" w:sz="18" w:space="0" w:color="auto"/>
            </w:tcBorders>
            <w:shd w:val="clear" w:color="auto" w:fill="A8FFB1"/>
            <w:vAlign w:val="center"/>
          </w:tcPr>
          <w:p w14:paraId="05A4E5A4"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b/>
                <w:bCs/>
                <w:sz w:val="18"/>
                <w:szCs w:val="18"/>
              </w:rPr>
              <w:t>Solid Hydride</w:t>
            </w:r>
          </w:p>
        </w:tc>
      </w:tr>
      <w:tr w:rsidR="001268BC" w:rsidRPr="009445F0" w14:paraId="306B4E08" w14:textId="77777777" w:rsidTr="000E579C">
        <w:trPr>
          <w:trHeight w:val="397"/>
        </w:trPr>
        <w:tc>
          <w:tcPr>
            <w:tcW w:w="1666" w:type="pct"/>
            <w:gridSpan w:val="2"/>
            <w:tcBorders>
              <w:top w:val="single" w:sz="18" w:space="0" w:color="auto"/>
              <w:left w:val="single" w:sz="18" w:space="0" w:color="auto"/>
              <w:bottom w:val="single" w:sz="18" w:space="0" w:color="auto"/>
              <w:right w:val="single" w:sz="18" w:space="0" w:color="auto"/>
            </w:tcBorders>
            <w:shd w:val="clear" w:color="auto" w:fill="A8FFB1"/>
            <w:vAlign w:val="center"/>
          </w:tcPr>
          <w:p w14:paraId="04DDB795"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b/>
                <w:bCs/>
                <w:sz w:val="18"/>
                <w:szCs w:val="18"/>
              </w:rPr>
              <w:t>Biomass Energy (EFB)</w:t>
            </w:r>
          </w:p>
        </w:tc>
        <w:tc>
          <w:tcPr>
            <w:tcW w:w="1668" w:type="pct"/>
            <w:gridSpan w:val="2"/>
            <w:tcBorders>
              <w:top w:val="single" w:sz="18" w:space="0" w:color="auto"/>
              <w:left w:val="single" w:sz="18" w:space="0" w:color="auto"/>
              <w:bottom w:val="single" w:sz="18" w:space="0" w:color="auto"/>
              <w:right w:val="single" w:sz="18" w:space="0" w:color="auto"/>
            </w:tcBorders>
            <w:shd w:val="clear" w:color="auto" w:fill="A8FFB1"/>
            <w:vAlign w:val="center"/>
          </w:tcPr>
          <w:p w14:paraId="48D88D78"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b/>
                <w:bCs/>
                <w:sz w:val="18"/>
                <w:szCs w:val="18"/>
              </w:rPr>
              <w:t>Green H</w:t>
            </w:r>
            <w:r w:rsidRPr="009445F0">
              <w:rPr>
                <w:rFonts w:ascii="Arial" w:hAnsi="Arial" w:cs="Arial"/>
                <w:b/>
                <w:bCs/>
                <w:sz w:val="18"/>
                <w:szCs w:val="18"/>
                <w:vertAlign w:val="subscript"/>
              </w:rPr>
              <w:t>2</w:t>
            </w:r>
            <w:r w:rsidRPr="009445F0">
              <w:rPr>
                <w:rFonts w:ascii="Arial" w:hAnsi="Arial" w:cs="Arial"/>
                <w:b/>
                <w:bCs/>
                <w:sz w:val="18"/>
                <w:szCs w:val="18"/>
              </w:rPr>
              <w:t xml:space="preserve"> (POME)</w:t>
            </w:r>
          </w:p>
        </w:tc>
        <w:tc>
          <w:tcPr>
            <w:tcW w:w="834" w:type="pct"/>
            <w:tcBorders>
              <w:top w:val="single" w:sz="18" w:space="0" w:color="auto"/>
              <w:left w:val="single" w:sz="18" w:space="0" w:color="auto"/>
              <w:bottom w:val="single" w:sz="18" w:space="0" w:color="auto"/>
              <w:right w:val="single" w:sz="18" w:space="0" w:color="auto"/>
            </w:tcBorders>
            <w:shd w:val="clear" w:color="auto" w:fill="auto"/>
            <w:vAlign w:val="center"/>
          </w:tcPr>
          <w:p w14:paraId="36B8133B"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Metal Hydride</w:t>
            </w:r>
          </w:p>
        </w:tc>
        <w:tc>
          <w:tcPr>
            <w:tcW w:w="832" w:type="pct"/>
            <w:tcBorders>
              <w:top w:val="single" w:sz="18" w:space="0" w:color="auto"/>
              <w:left w:val="single" w:sz="18" w:space="0" w:color="auto"/>
              <w:bottom w:val="single" w:sz="18" w:space="0" w:color="auto"/>
              <w:right w:val="single" w:sz="18" w:space="0" w:color="auto"/>
            </w:tcBorders>
            <w:shd w:val="clear" w:color="auto" w:fill="auto"/>
            <w:vAlign w:val="center"/>
          </w:tcPr>
          <w:p w14:paraId="4EC681B8" w14:textId="4827040B"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82,000.00 $/(kg/hr)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10.1007/978-81-322-3577-4_12","author":[{"dropping-particle":"","family":"Sharma","given":"Mona","non-dropping-particle":"","parse-names":false,"suffix":""},{"dropping-particle":"","family":"Kaushik","given":"Anubha","non-dropping-particle":"","parse-names":false,"suffix":""}],"container-title":"Biohydrogen Production: Sustainability of Current Technology and Future Perspective","id":"ITEM-1","issued":{"date-parts":[["2017"]]},"page":"253-267","publisher":"Springer India","publisher-place":"New Delhi","title":"Biohydrogen Economy: Challenges and Prospects for Commercialization","type":"chapter"},"uris":["http://www.mendeley.com/documents/?uuid=75af4eae-326c-4640-ba1f-ccda5fb84854"]}],"mendeley":{"formattedCitation":"(Sharma and Kaushik, 2017)","manualFormatting":"(Sharma, 2017)","plainTextFormattedCitation":"(Sharma and Kaushik, 2017)","previouslyFormattedCitation":"(Sharma and Kaushik, 2017)"},"properties":{"noteIndex":0},"schema":"https://github.com/citation-style-language/schema/raw/master/csl-citation.json"}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(Sharma, 2017)</w:t>
            </w:r>
            <w:r w:rsidRPr="009445F0">
              <w:rPr>
                <w:rFonts w:ascii="Arial" w:hAnsi="Arial" w:cs="Arial"/>
                <w:sz w:val="18"/>
                <w:szCs w:val="18"/>
              </w:rPr>
              <w:fldChar w:fldCharType="end"/>
            </w:r>
          </w:p>
        </w:tc>
      </w:tr>
      <w:tr w:rsidR="001268BC" w:rsidRPr="009445F0" w14:paraId="552007B5" w14:textId="77777777" w:rsidTr="000E579C">
        <w:trPr>
          <w:trHeight w:val="397"/>
        </w:trPr>
        <w:tc>
          <w:tcPr>
            <w:tcW w:w="758" w:type="pct"/>
            <w:tcBorders>
              <w:top w:val="single" w:sz="18" w:space="0" w:color="auto"/>
              <w:left w:val="single" w:sz="18" w:space="0" w:color="auto"/>
              <w:right w:val="single" w:sz="18" w:space="0" w:color="auto"/>
            </w:tcBorders>
            <w:shd w:val="clear" w:color="auto" w:fill="auto"/>
            <w:vAlign w:val="center"/>
          </w:tcPr>
          <w:p w14:paraId="1F9D48BF"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Combustion</w:t>
            </w:r>
          </w:p>
        </w:tc>
        <w:tc>
          <w:tcPr>
            <w:tcW w:w="908" w:type="pct"/>
            <w:tcBorders>
              <w:top w:val="single" w:sz="18" w:space="0" w:color="auto"/>
              <w:left w:val="single" w:sz="18" w:space="0" w:color="auto"/>
              <w:right w:val="single" w:sz="18" w:space="0" w:color="auto"/>
            </w:tcBorders>
            <w:shd w:val="clear" w:color="auto" w:fill="auto"/>
            <w:vAlign w:val="center"/>
          </w:tcPr>
          <w:p w14:paraId="6FFC97EF"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3,860.00 $/kW </w:t>
            </w:r>
          </w:p>
          <w:p w14:paraId="485D8FC7" w14:textId="514986DD"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{"citationItems":[{"id":"ITEM-1","itemData":{"DOI":"10.1063/1.4819493","ISSN":"19417012","abstract":"Electricity generation from the combustion of biomass feedstocks provides low-carbon energy that is not as geographically constricted as other renewable technologies. This study uses non-linear programming to provide policymakers with scenarios of possible sources of biomass for power generation as well as locations and types of electricity generation facilities utilizing biomass. The scenarios are obtained by combining the output from existing agricultural optimization models with a non-linear mathematical program that calculates the least-cost ways of meeting an assumed biomass electricity standard. The non-linear program considers region-specific cultivation and transportation costs of biomass fuels as well as the costs of building and operating both coal plants capable of co-firing biomass and new dedicated biomass combustion power plants. The results of the model provide geographically detailed power plant allocation patterns that minimize the total cost of meeting the generation requirements, which are varying proportions of total U.S. electric power generation, under the assumptions made. The amount of each cost component comprising the objective functions of the various requirements are discussed, and the results show that approximately two-thirds of the total cost of meeting a biomass electricity standard occurs on the farms and forests that produce the biomass. Plant capital costs and biomass transportation costs comprise the largest share of the remaining costs. The most important policy conclusion is that biomass use in power plants will require significant subsidies, perhaps as much as half of their cost, if they are to achieve significant penetrations in U.S. electricity markets. © 2013 AIP Publishing LLC.","author":[{"dropping-particle":"","family":"Kennedy Smith","given":"Robert","non-dropping-particle":"","parse-names":false,"suffix":""},{"dropping-particle":"","family":"Hobbs","given":"Benjamin F.","non-dropping-particle":"","parse-names":false,"suffix":""}],"container-title":"Journal of Renewable and Sustainable Energy","id":"ITEM-1","issue":"5","issued":{"date-parts":[["2013"]]},"title":"Biomass combustion for electric power: Allocation and plant siting using non-linear modeling and mixed integer optimization","type":"article-journal","volume":"5"},"uris":["http://www.mendeley.com/documents/?uuid=5d9eb39b-41b1-422f-b811-1ed83fd0651f"]}],"mendeley":{"formattedCitation":"(Kennedy Smith and Hobbs, 2013)","manualFormatting":"(Kennedy, 2013)","plainTextFormattedCitation":"(Kennedy Smith and Hobbs, 2013)","previouslyFormattedCitation":"(Kennedy Smith and Hobbs, 2013)"},"properties":{"noteIndex":0},"schema":"https://github.com/citation-style-language/schema/raw/master/csl-citation.json"}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(Kennedy, 2013)</w:t>
            </w:r>
            <w:r w:rsidRPr="009445F0">
              <w:rPr>
                <w:rFonts w:ascii="Arial" w:hAnsi="Arial" w:cs="Arial"/>
                <w:sz w:val="18"/>
                <w:szCs w:val="18"/>
              </w:rPr>
              <w:fldChar w:fldCharType="end"/>
            </w:r>
          </w:p>
        </w:tc>
        <w:tc>
          <w:tcPr>
            <w:tcW w:w="834" w:type="pct"/>
            <w:tcBorders>
              <w:top w:val="single" w:sz="18" w:space="0" w:color="auto"/>
              <w:left w:val="single" w:sz="18" w:space="0" w:color="auto"/>
              <w:right w:val="single" w:sz="18" w:space="0" w:color="auto"/>
            </w:tcBorders>
            <w:shd w:val="clear" w:color="auto" w:fill="auto"/>
            <w:vAlign w:val="center"/>
          </w:tcPr>
          <w:p w14:paraId="4861AB1F"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DF</w:t>
            </w:r>
          </w:p>
        </w:tc>
        <w:tc>
          <w:tcPr>
            <w:tcW w:w="834" w:type="pct"/>
            <w:tcBorders>
              <w:top w:val="single" w:sz="18" w:space="0" w:color="auto"/>
              <w:left w:val="single" w:sz="18" w:space="0" w:color="auto"/>
              <w:right w:val="single" w:sz="18" w:space="0" w:color="auto"/>
            </w:tcBorders>
            <w:shd w:val="clear" w:color="auto" w:fill="auto"/>
            <w:vAlign w:val="center"/>
          </w:tcPr>
          <w:p w14:paraId="230CCB67" w14:textId="77777777" w:rsid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0.017 </w:t>
            </w:r>
          </w:p>
          <w:p w14:paraId="65EE9854" w14:textId="2848F9D6"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$/(kg POME/hr)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{"citationItems":[{"id":"ITEM-1","itemData":{"DOI":"10.2172/1346418","author":[{"dropping-particle":"","family":"James","given":"Brian David","non-dropping-particle":"","parse-names":false,"suffix":""},{"dropping-particle":"","family":"DeSantis","given":"Daniel Allan","non-dropping-particle":"","parse-names":false,"suffix":""},{"dropping-particle":"","family":"Saur","given":"Genevieve","non-dropping-particle":"","parse-names":false,"suffix":""}],"id":"ITEM-1","issued":{"date-parts":[["2016","9"]]},"publisher-place":"Golden, CO (United States)","title":"Final Report: Hydrogen Production Pathways Cost Analysis (2013 – 2016)","type":"report"},"uris":["http://www.mendeley.com/documents/?uuid=f58c0434-ef73-478e-914e-fd12e18d6b20"]}],"mendeley":{"formattedCitation":"(James et al., 2016)","manualFormatting":"(James, 2016)","plainTextFormattedCitation":"(James et al., 2016)","previouslyFormattedCitation":"(James et al., 2016)"},"properties":{"noteIndex":0},"schema":"https://github.com/citation-style-language/schema/raw/master/csl-citation.json"}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(James, 2016)</w:t>
            </w:r>
            <w:r w:rsidRPr="009445F0">
              <w:rPr>
                <w:rFonts w:ascii="Arial" w:hAnsi="Arial" w:cs="Arial"/>
                <w:sz w:val="18"/>
                <w:szCs w:val="18"/>
              </w:rPr>
              <w:fldChar w:fldCharType="end"/>
            </w:r>
          </w:p>
        </w:tc>
        <w:tc>
          <w:tcPr>
            <w:tcW w:w="1666" w:type="pct"/>
            <w:gridSpan w:val="2"/>
            <w:tcBorders>
              <w:top w:val="single" w:sz="18" w:space="0" w:color="auto"/>
              <w:left w:val="single" w:sz="18" w:space="0" w:color="auto"/>
              <w:bottom w:val="single" w:sz="18" w:space="0" w:color="auto"/>
              <w:right w:val="single" w:sz="18" w:space="0" w:color="auto"/>
            </w:tcBorders>
            <w:shd w:val="clear" w:color="auto" w:fill="A8FFB1"/>
            <w:vAlign w:val="center"/>
          </w:tcPr>
          <w:p w14:paraId="0D56C714"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b/>
                <w:bCs/>
                <w:sz w:val="18"/>
                <w:szCs w:val="18"/>
              </w:rPr>
              <w:t>Chemical Storage</w:t>
            </w:r>
          </w:p>
        </w:tc>
      </w:tr>
      <w:tr w:rsidR="001268BC" w:rsidRPr="009445F0" w14:paraId="3ECE1976" w14:textId="77777777" w:rsidTr="000E579C">
        <w:trPr>
          <w:trHeight w:val="397"/>
        </w:trPr>
        <w:tc>
          <w:tcPr>
            <w:tcW w:w="758" w:type="pct"/>
            <w:tcBorders>
              <w:left w:val="single" w:sz="18" w:space="0" w:color="auto"/>
              <w:right w:val="single" w:sz="18" w:space="0" w:color="auto"/>
            </w:tcBorders>
            <w:shd w:val="clear" w:color="auto" w:fill="auto"/>
            <w:vAlign w:val="center"/>
          </w:tcPr>
          <w:p w14:paraId="48D4827F"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Pyrolysis</w:t>
            </w:r>
          </w:p>
        </w:tc>
        <w:tc>
          <w:tcPr>
            <w:tcW w:w="908" w:type="pct"/>
            <w:tcBorders>
              <w:left w:val="single" w:sz="18" w:space="0" w:color="auto"/>
              <w:right w:val="single" w:sz="18" w:space="0" w:color="auto"/>
            </w:tcBorders>
            <w:shd w:val="clear" w:color="auto" w:fill="auto"/>
            <w:vAlign w:val="center"/>
          </w:tcPr>
          <w:p w14:paraId="1B9F1084"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949.00 $/kW</w:t>
            </w:r>
          </w:p>
          <w:p w14:paraId="40494B48" w14:textId="7AF9130A"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{"citationItems":[{"id":"ITEM-1","itemData":{"DOI":"10.1016/S0960-1481(00)00026-4","ISSN":"09601481","abstract":"A wide range of process and routes are available for power generation from biomass. PYROLYSIS is another emerging technology, wherein biomass is converted to liquids, gases and char - liquid fuels being the main target. Power generation using this technology is essentially the use of pyrolytic oils for the gas turbine integrated into a combined cycle. Using this process has an inherent advantage of potentially decoupling of the fuel-generation from the power- generation site. A comparative study of this technology for power generation, with other technologies is made to determine its economic viability. Despite the fact that this technology is relatively new in the learning curve, it is found comparable with the other routes studied. It is found that the biomass prices have a strong influence in the economics, and using pyrolysis for power generation would be a more favored route than others at higher biomass prices. The study clearly brings out power generation through pyrolysis as a potential route and deserves attention. (C) 2000 Elsevier Science Ltd. All rights reserved.","author":[{"dropping-particle":"","family":"Ganesh","given":"Anuradda","non-dropping-particle":"","parse-names":false,"suffix":""},{"dropping-particle":"","family":"Banerjee","given":"Rangan","non-dropping-particle":"","parse-names":false,"suffix":""}],"container-title":"Renewable Energy","id":"ITEM-1","issue":"1-3","issued":{"date-parts":[["2001"]]},"page":"9-14","title":"Biomass pyrolysis for power generation - A potential technology","type":"article-journal","volume":"22"},"uris":["http://www.mendeley.com/documents/?uuid=2d7d1814-014b-4947-b21f-83b7e3b1a905"]}],"mendeley":{"formattedCitation":"(Ganesh and Banerjee, 2001)","manualFormatting":"(Ganesh, 2001)","plainTextFormattedCitation":"(Ganesh and Banerjee, 2001)","previouslyFormattedCitation":"(Ganesh and Banerjee, 2001)"},"properties":{"noteIndex":0},"schema":"https://github.com/citation-style-language/schema/raw/master/csl-citation.json"}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(Ganesh, 2001)</w:t>
            </w:r>
            <w:r w:rsidRPr="009445F0">
              <w:rPr>
                <w:rFonts w:ascii="Arial" w:hAnsi="Arial" w:cs="Arial"/>
                <w:sz w:val="18"/>
                <w:szCs w:val="18"/>
              </w:rPr>
              <w:fldChar w:fldCharType="end"/>
            </w:r>
          </w:p>
        </w:tc>
        <w:tc>
          <w:tcPr>
            <w:tcW w:w="834" w:type="pct"/>
            <w:tcBorders>
              <w:left w:val="single" w:sz="18" w:space="0" w:color="auto"/>
              <w:bottom w:val="single" w:sz="18" w:space="0" w:color="auto"/>
              <w:right w:val="single" w:sz="18" w:space="0" w:color="auto"/>
            </w:tcBorders>
            <w:shd w:val="clear" w:color="auto" w:fill="auto"/>
            <w:vAlign w:val="center"/>
          </w:tcPr>
          <w:p w14:paraId="56D9CCE4"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MEC</w:t>
            </w:r>
          </w:p>
        </w:tc>
        <w:tc>
          <w:tcPr>
            <w:tcW w:w="834" w:type="pct"/>
            <w:tcBorders>
              <w:left w:val="single" w:sz="18" w:space="0" w:color="auto"/>
              <w:bottom w:val="single" w:sz="18" w:space="0" w:color="auto"/>
              <w:right w:val="single" w:sz="18" w:space="0" w:color="auto"/>
            </w:tcBorders>
            <w:shd w:val="clear" w:color="auto" w:fill="auto"/>
            <w:vAlign w:val="center"/>
          </w:tcPr>
          <w:p w14:paraId="35ABAA53" w14:textId="77777777" w:rsid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105.29 </w:t>
            </w:r>
          </w:p>
          <w:p w14:paraId="7C962875" w14:textId="1012A0B3"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w:t>
            </w:r>
            <w:proofErr w:type="gramStart"/>
            <w:r w:rsidRPr="009445F0">
              <w:rPr>
                <w:rFonts w:ascii="Arial" w:hAnsi="Arial" w:cs="Arial"/>
                <w:sz w:val="18"/>
                <w:szCs w:val="18"/>
              </w:rPr>
              <w:t>/(</w:t>
            </w:r>
            <w:proofErr w:type="gramEnd"/>
            <w:r w:rsidRPr="009445F0">
              <w:rPr>
                <w:rFonts w:ascii="Arial" w:hAnsi="Arial" w:cs="Arial"/>
                <w:sz w:val="18"/>
                <w:szCs w:val="18"/>
              </w:rPr>
              <w:t>kg POME/hr)</w:t>
            </w:r>
          </w:p>
          <w:p w14:paraId="279B0458" w14:textId="72701E0D"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{"citationItems":[{"id":"ITEM-1","itemData":{"DOI":"10.1016/j.ijhydene.2018.12.029","ISSN":"03603199","author":[{"dropping-particle":"","family":"Aiken","given":"Daniel C.","non-dropping-particle":"","parse-names":false,"suffix":""},{"dropping-particle":"","family":"Curtis","given":"Thomas P.","non-dropping-particle":"","parse-names":false,"suffix":""},{"dropping-particle":"","family":"Heidrich","given":"Elizabeth S.","non-dropping-particle":"","parse-names":false,"suffix":""}],"container-title":"International Journal of Hydrogen Energy","id":"ITEM-1","issue":"5","issued":{"date-parts":[["2019","1"]]},"page":"2426-2434","title":"Avenues to the financial viability of microbial electrolysis cells [MEC] for domestic wastewater treatment and hydrogen production","type":"article-journal","volume":"44"},"uris":["http://www.mendeley.com/documents/?uuid=3774db5f-fd28-470b-8202-757747ab8e20"]}],"mendeley":{"formattedCitation":"(Aiken et al., 2019)","manualFormatting":"(Aiken, 2019)","plainTextFormattedCitation":"(Aiken et al., 2019)","previouslyFormattedCitation":"(Aiken et al., 2019)"},"properties":{"noteIndex":0},"schema":"https://github.com/citation-style-language/schema/raw/master/csl-citation.json"}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(Aiken, 2019)</w:t>
            </w:r>
            <w:r w:rsidRPr="009445F0">
              <w:rPr>
                <w:rFonts w:ascii="Arial" w:hAnsi="Arial" w:cs="Arial"/>
                <w:sz w:val="18"/>
                <w:szCs w:val="18"/>
              </w:rPr>
              <w:fldChar w:fldCharType="end"/>
            </w:r>
          </w:p>
        </w:tc>
        <w:tc>
          <w:tcPr>
            <w:tcW w:w="834" w:type="pct"/>
            <w:tcBorders>
              <w:top w:val="single" w:sz="18" w:space="0" w:color="auto"/>
              <w:left w:val="single" w:sz="18" w:space="0" w:color="auto"/>
              <w:bottom w:val="single" w:sz="18" w:space="0" w:color="auto"/>
              <w:right w:val="single" w:sz="18" w:space="0" w:color="auto"/>
            </w:tcBorders>
            <w:shd w:val="clear" w:color="auto" w:fill="auto"/>
            <w:vAlign w:val="center"/>
          </w:tcPr>
          <w:p w14:paraId="010276EB"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LOH</w:t>
            </w:r>
          </w:p>
        </w:tc>
        <w:tc>
          <w:tcPr>
            <w:tcW w:w="832" w:type="pct"/>
            <w:tcBorders>
              <w:top w:val="single" w:sz="18" w:space="0" w:color="auto"/>
              <w:left w:val="single" w:sz="18" w:space="0" w:color="auto"/>
              <w:bottom w:val="single" w:sz="18" w:space="0" w:color="auto"/>
              <w:right w:val="single" w:sz="18" w:space="0" w:color="auto"/>
            </w:tcBorders>
            <w:shd w:val="clear" w:color="auto" w:fill="auto"/>
            <w:vAlign w:val="center"/>
          </w:tcPr>
          <w:p w14:paraId="5698CBC5" w14:textId="12F2DBF1"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14,200.00 $/(kg/hr)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10.1007/978-81-322-3577-4_12","author":[{"dropping-particle":"","family":"Sharma","given":"Mona","non-dropping-particle":"","parse-names":false,"suffix":""},{"dropping-particle":"","family":"Kaushik","given":"Anubha","non-dropping-particle":"","parse-names":false,"suffix":""}],"container-title":"Biohydrogen Production: Sustainability of Current Technology and Future Perspective","id":"ITEM-1","issued":{"date-parts":[["2017"]]},"page":"253-267","publisher":"Springer India","publisher-place":"New Delhi","title":"Biohydrogen Economy: Challenges and Prospects for Commercialization","type":"chapter"},"uris":["http://www.mendeley.com/documents/?uuid=75af4eae-326c-4640-ba1f-ccda5fb84854"]}],"mendeley":{"formattedCitation":"(Sharma and Kaushik, 2017)","manualFormatting":"(Sharma, 2017)","plainTextFormattedCitation":"(Sharma and Kaushik, 2017)","previouslyFormattedCitation":"(Sharma and Kaushik, 2017)"},"properties":{"noteIndex":0},"schema":"https://github.com/citation-style-language/schema/raw/master/csl-citation.json"}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(Sharma, 2017)</w:t>
            </w:r>
            <w:r w:rsidRPr="009445F0">
              <w:rPr>
                <w:rFonts w:ascii="Arial" w:hAnsi="Arial" w:cs="Arial"/>
                <w:sz w:val="18"/>
                <w:szCs w:val="18"/>
              </w:rPr>
              <w:fldChar w:fldCharType="end"/>
            </w:r>
          </w:p>
        </w:tc>
      </w:tr>
      <w:tr w:rsidR="001268BC" w:rsidRPr="009445F0" w14:paraId="7C74F2E4" w14:textId="77777777" w:rsidTr="000E579C">
        <w:trPr>
          <w:trHeight w:val="397"/>
        </w:trPr>
        <w:tc>
          <w:tcPr>
            <w:tcW w:w="758" w:type="pct"/>
            <w:tcBorders>
              <w:left w:val="single" w:sz="18" w:space="0" w:color="auto"/>
              <w:bottom w:val="single" w:sz="18" w:space="0" w:color="auto"/>
              <w:right w:val="single" w:sz="18" w:space="0" w:color="auto"/>
            </w:tcBorders>
            <w:shd w:val="clear" w:color="auto" w:fill="auto"/>
            <w:vAlign w:val="center"/>
          </w:tcPr>
          <w:p w14:paraId="03B3A175"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Gasification</w:t>
            </w:r>
          </w:p>
        </w:tc>
        <w:tc>
          <w:tcPr>
            <w:tcW w:w="908" w:type="pct"/>
            <w:tcBorders>
              <w:left w:val="single" w:sz="18" w:space="0" w:color="auto"/>
              <w:bottom w:val="single" w:sz="18" w:space="0" w:color="auto"/>
              <w:right w:val="single" w:sz="18" w:space="0" w:color="auto"/>
            </w:tcBorders>
            <w:shd w:val="clear" w:color="auto" w:fill="auto"/>
            <w:vAlign w:val="center"/>
          </w:tcPr>
          <w:p w14:paraId="1D45B3F6"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562.74 $/kW</w:t>
            </w:r>
          </w:p>
          <w:p w14:paraId="1615AF86" w14:textId="4F411595"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10.1088/1757-899X/334/1/012012","ISSN":"1757-8981","author":[{"dropping-particle":"","family":"Susanto","given":"H","non-dropping-particle":"","parse-names":false,"suffix":""},{"dropping-particle":"","family":"Suria","given":"T","non-dropping-particle":"","parse-names":false,"suffix":""},{"dropping-particle":"","family":"Pranolo","given":"S H","non-dropping-particle":"","parse-names":false,"suffix":""}],"container-title":"IOP Conference Series: Materials Science and Engineering","id":"ITEM-1","issued":{"date-parts":[["2018","3"]]},"page":"012012","title":"Economic analysis of biomass gasification for generating electricity in rural areas in Indonesia","type":"article-journal","volume":"334"},"uris":["http://www.mendeley.com/documents/?uuid=c5ad6434-b819-4cc7-9084-716addf83151"]}],"mendeley":{"formattedCitation":"(Susanto et al., 2018)","manualFormatting":"(Susanto, 2018)","plainTextFormattedCitation":"(Susanto et al., 2018)","previouslyFormattedCitation":"(Susanto et al., 2018)"},"properties":{"noteIndex":0},"schema":"https://github.com/citation-style-language/schema/raw/master/csl-citation.json"}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(Susanto, 2018)</w:t>
            </w:r>
            <w:r w:rsidRPr="009445F0">
              <w:rPr>
                <w:rFonts w:ascii="Arial" w:hAnsi="Arial" w:cs="Arial"/>
                <w:sz w:val="18"/>
                <w:szCs w:val="18"/>
              </w:rPr>
              <w:fldChar w:fldCharType="end"/>
            </w:r>
          </w:p>
        </w:tc>
        <w:tc>
          <w:tcPr>
            <w:tcW w:w="1668" w:type="pct"/>
            <w:gridSpan w:val="2"/>
            <w:tcBorders>
              <w:top w:val="single" w:sz="18" w:space="0" w:color="auto"/>
              <w:left w:val="single" w:sz="18" w:space="0" w:color="auto"/>
              <w:bottom w:val="single" w:sz="18" w:space="0" w:color="auto"/>
              <w:right w:val="single" w:sz="18" w:space="0" w:color="auto"/>
            </w:tcBorders>
            <w:shd w:val="clear" w:color="auto" w:fill="A8FFB1"/>
            <w:vAlign w:val="center"/>
          </w:tcPr>
          <w:p w14:paraId="58FB6246"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b/>
                <w:bCs/>
                <w:sz w:val="18"/>
                <w:szCs w:val="18"/>
              </w:rPr>
              <w:t>Turquoise H</w:t>
            </w:r>
            <w:r w:rsidRPr="009445F0">
              <w:rPr>
                <w:rFonts w:ascii="Arial" w:hAnsi="Arial" w:cs="Arial"/>
                <w:b/>
                <w:bCs/>
                <w:sz w:val="18"/>
                <w:szCs w:val="18"/>
                <w:vertAlign w:val="subscript"/>
              </w:rPr>
              <w:t>2</w:t>
            </w:r>
          </w:p>
        </w:tc>
        <w:tc>
          <w:tcPr>
            <w:tcW w:w="1666" w:type="pct"/>
            <w:gridSpan w:val="2"/>
            <w:tcBorders>
              <w:top w:val="single" w:sz="18" w:space="0" w:color="auto"/>
              <w:left w:val="single" w:sz="18" w:space="0" w:color="auto"/>
              <w:bottom w:val="single" w:sz="12" w:space="0" w:color="auto"/>
              <w:right w:val="single" w:sz="18" w:space="0" w:color="auto"/>
            </w:tcBorders>
            <w:shd w:val="clear" w:color="auto" w:fill="A8FFB1"/>
            <w:vAlign w:val="center"/>
          </w:tcPr>
          <w:p w14:paraId="3EF5F2EB"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b/>
                <w:bCs/>
                <w:sz w:val="18"/>
                <w:szCs w:val="18"/>
              </w:rPr>
              <w:t>Circular Carrier</w:t>
            </w:r>
          </w:p>
        </w:tc>
      </w:tr>
      <w:tr w:rsidR="001268BC" w:rsidRPr="009445F0" w14:paraId="130AF6BF" w14:textId="77777777" w:rsidTr="000E579C">
        <w:trPr>
          <w:trHeight w:val="397"/>
        </w:trPr>
        <w:tc>
          <w:tcPr>
            <w:tcW w:w="1666" w:type="pct"/>
            <w:gridSpan w:val="2"/>
            <w:tcBorders>
              <w:top w:val="single" w:sz="18" w:space="0" w:color="auto"/>
              <w:left w:val="single" w:sz="18" w:space="0" w:color="auto"/>
              <w:bottom w:val="single" w:sz="12" w:space="0" w:color="auto"/>
              <w:right w:val="single" w:sz="18" w:space="0" w:color="auto"/>
            </w:tcBorders>
            <w:shd w:val="clear" w:color="auto" w:fill="A8FFB1"/>
            <w:vAlign w:val="center"/>
          </w:tcPr>
          <w:p w14:paraId="2D9706A5"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b/>
                <w:bCs/>
                <w:sz w:val="18"/>
                <w:szCs w:val="18"/>
              </w:rPr>
              <w:t>Biomass Energy (POME)</w:t>
            </w:r>
          </w:p>
        </w:tc>
        <w:tc>
          <w:tcPr>
            <w:tcW w:w="834" w:type="pct"/>
            <w:tcBorders>
              <w:top w:val="single" w:sz="18" w:space="0" w:color="auto"/>
              <w:left w:val="single" w:sz="18" w:space="0" w:color="auto"/>
              <w:bottom w:val="single" w:sz="18" w:space="0" w:color="auto"/>
              <w:right w:val="single" w:sz="18" w:space="0" w:color="auto"/>
            </w:tcBorders>
            <w:shd w:val="clear" w:color="auto" w:fill="auto"/>
            <w:vAlign w:val="center"/>
          </w:tcPr>
          <w:p w14:paraId="15E6BE7D"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Methane Pyrolysis</w:t>
            </w:r>
          </w:p>
        </w:tc>
        <w:tc>
          <w:tcPr>
            <w:tcW w:w="834" w:type="pct"/>
            <w:tcBorders>
              <w:top w:val="single" w:sz="18" w:space="0" w:color="auto"/>
              <w:left w:val="single" w:sz="18" w:space="0" w:color="auto"/>
              <w:bottom w:val="single" w:sz="18" w:space="0" w:color="auto"/>
              <w:right w:val="single" w:sz="18" w:space="0" w:color="auto"/>
            </w:tcBorders>
            <w:shd w:val="clear" w:color="auto" w:fill="auto"/>
            <w:vAlign w:val="center"/>
          </w:tcPr>
          <w:p w14:paraId="6D233E75" w14:textId="77777777" w:rsid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37,022.07 </w:t>
            </w:r>
          </w:p>
          <w:p w14:paraId="50266D05" w14:textId="5D21CBCD"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$/(kg H</w:t>
            </w:r>
            <w:r w:rsidRPr="009445F0">
              <w:rPr>
                <w:rFonts w:ascii="Arial" w:hAnsi="Arial" w:cs="Arial"/>
                <w:sz w:val="18"/>
                <w:szCs w:val="18"/>
                <w:vertAlign w:val="subscript"/>
              </w:rPr>
              <w:t>2</w:t>
            </w:r>
            <w:r w:rsidRPr="009445F0">
              <w:rPr>
                <w:rFonts w:ascii="Arial" w:hAnsi="Arial" w:cs="Arial"/>
                <w:sz w:val="18"/>
                <w:szCs w:val="18"/>
              </w:rPr>
              <w:t xml:space="preserve">/hr)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{"citationItems":[{"id":"ITEM-1","itemData":{"author":[{"dropping-particle":"","family":"Labanca","given":"","non-dropping-particle":"","parse-names":false,"suffix":""}],"container-title":"Rio Oil &amp; Gas Expo and Conference","id":"ITEM-1","issued":{"date-parts":[["2006"]]},"page":"1 - 8","title":"ECONOMIC ANALYSIS OF CO2 – FREE HYDROGENPRODUCTION FROM NATURAL GAS BY PLASMA PYROLYSIS","type":"article-journal"},"uris":["http://www.mendeley.com/documents/?uuid=63ff9d08-244b-4b91-aaa4-86bb0f30dc17"]}],"mendeley":{"formattedCitation":"(Labanca, 2006)","plainTextFormattedCitation":"(Labanca, 2006)","previouslyFormattedCitation":"(Labanca, 2006)"},"properties":{"noteIndex":0},"schema":"https://github.com/citation-style-language/schema/raw/master/csl-citation.json"}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(Labanca, 2006)</w:t>
            </w:r>
            <w:r w:rsidRPr="009445F0">
              <w:rPr>
                <w:rFonts w:ascii="Arial" w:hAnsi="Arial" w:cs="Arial"/>
                <w:sz w:val="18"/>
                <w:szCs w:val="18"/>
              </w:rPr>
              <w:fldChar w:fldCharType="end"/>
            </w:r>
          </w:p>
        </w:tc>
        <w:tc>
          <w:tcPr>
            <w:tcW w:w="834" w:type="pct"/>
            <w:tcBorders>
              <w:top w:val="single" w:sz="18" w:space="0" w:color="auto"/>
              <w:left w:val="single" w:sz="18" w:space="0" w:color="auto"/>
              <w:bottom w:val="single" w:sz="18" w:space="0" w:color="auto"/>
              <w:right w:val="single" w:sz="18" w:space="0" w:color="auto"/>
            </w:tcBorders>
            <w:shd w:val="clear" w:color="auto" w:fill="auto"/>
            <w:vAlign w:val="center"/>
          </w:tcPr>
          <w:p w14:paraId="6D3127B7"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NH</w:t>
            </w:r>
            <w:r w:rsidRPr="009445F0">
              <w:rPr>
                <w:rFonts w:ascii="Arial" w:hAnsi="Arial" w:cs="Arial"/>
                <w:sz w:val="18"/>
                <w:szCs w:val="18"/>
                <w:vertAlign w:val="subscript"/>
              </w:rPr>
              <w:t>3</w:t>
            </w:r>
          </w:p>
        </w:tc>
        <w:tc>
          <w:tcPr>
            <w:tcW w:w="832" w:type="pct"/>
            <w:tcBorders>
              <w:top w:val="single" w:sz="18" w:space="0" w:color="auto"/>
              <w:left w:val="single" w:sz="18" w:space="0" w:color="auto"/>
              <w:bottom w:val="single" w:sz="18" w:space="0" w:color="auto"/>
              <w:right w:val="single" w:sz="18" w:space="0" w:color="auto"/>
            </w:tcBorders>
            <w:shd w:val="clear" w:color="auto" w:fill="auto"/>
            <w:vAlign w:val="center"/>
          </w:tcPr>
          <w:p w14:paraId="11CD7B96" w14:textId="23F6DEDF"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37,200.00 $/(kg/hr)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10.1007/978-81-322-3577-4_12","author":[{"dropping-particle":"","family":"Sharma","given":"Mona","non-dropping-particle":"","parse-names":false,"suffix":""},{"dropping-particle":"","family":"Kaushik","given":"Anubha","non-dropping-particle":"","parse-names":false,"suffix":""}],"container-title":"Biohydrogen Production: Sustainability of Current Technology and Future Perspective","id":"ITEM-1","issued":{"date-parts":[["2017"]]},"page":"253-267","publisher":"Springer India","publisher-place":"New Delhi","title":"Biohydrogen Economy: Challenges and Prospects for Commercialization","type":"chapter"},"uris":["http://www.mendeley.com/documents/?uuid=75af4eae-326c-4640-ba1f-ccda5fb84854"]}],"mendeley":{"formattedCitation":"(Sharma and Kaushik, 2017)","manualFormatting":"(Sharma, 2017)","plainTextFormattedCitation":"(Sharma and Kaushik, 2017)","previouslyFormattedCitation":"(Sharma and Kaushik, 2017)"},"properties":{"noteIndex":0},"schema":"https://github.com/citation-style-language/schema/raw/master/csl-citation.json"}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(Sharma, 2017)</w:t>
            </w:r>
            <w:r w:rsidRPr="009445F0">
              <w:rPr>
                <w:rFonts w:ascii="Arial" w:hAnsi="Arial" w:cs="Arial"/>
                <w:sz w:val="18"/>
                <w:szCs w:val="18"/>
              </w:rPr>
              <w:fldChar w:fldCharType="end"/>
            </w:r>
          </w:p>
        </w:tc>
      </w:tr>
      <w:tr w:rsidR="001268BC" w:rsidRPr="009445F0" w14:paraId="6AAA8E69" w14:textId="77777777" w:rsidTr="000E579C">
        <w:trPr>
          <w:trHeight w:val="397"/>
        </w:trPr>
        <w:tc>
          <w:tcPr>
            <w:tcW w:w="758" w:type="pct"/>
            <w:tcBorders>
              <w:top w:val="single" w:sz="12" w:space="0" w:color="auto"/>
              <w:left w:val="single" w:sz="18" w:space="0" w:color="auto"/>
              <w:bottom w:val="single" w:sz="18" w:space="0" w:color="auto"/>
              <w:right w:val="single" w:sz="18" w:space="0" w:color="auto"/>
            </w:tcBorders>
            <w:shd w:val="clear" w:color="auto" w:fill="auto"/>
            <w:vAlign w:val="center"/>
          </w:tcPr>
          <w:p w14:paraId="26A8BB48"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Anaerobic Digestion</w:t>
            </w:r>
          </w:p>
        </w:tc>
        <w:tc>
          <w:tcPr>
            <w:tcW w:w="908" w:type="pct"/>
            <w:tcBorders>
              <w:top w:val="single" w:sz="12" w:space="0" w:color="auto"/>
              <w:left w:val="single" w:sz="18" w:space="0" w:color="auto"/>
              <w:bottom w:val="single" w:sz="18" w:space="0" w:color="auto"/>
              <w:right w:val="single" w:sz="18" w:space="0" w:color="auto"/>
            </w:tcBorders>
            <w:shd w:val="clear" w:color="auto" w:fill="auto"/>
            <w:vAlign w:val="center"/>
          </w:tcPr>
          <w:p w14:paraId="214FAC8F" w14:textId="77777777" w:rsid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4,292.40 </w:t>
            </w:r>
          </w:p>
          <w:p w14:paraId="32256DFB" w14:textId="4598794E"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$/(kg POME/hr)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{"citationItems":[{"id":"ITEM-1","itemData":{"author":[{"dropping-particle":"","family":"Sharvelle","given":"","non-dropping-particle":"","parse-names":false,"suffix":""}],"container-title":"Exploring Energy Efficiency &amp; Alternatives","id":"ITEM-1","issued":{"date-parts":[["2016"]]},"title":"Anaerobic Digesters","type":"webpage"},"uris":["http://www.mendeley.com/documents/?uuid=d51fed64-4136-4fdb-9da0-bff38f4b08fa"]}],"mendeley":{"formattedCitation":"(Sharvelle, 2016)","plainTextFormattedCitation":"(Sharvelle, 2016)","previouslyFormattedCitation":"(Sharvelle, 2016)"},"properties":{"noteIndex":0},"schema":"https://github.com/citation-style-language/schema/raw/master/csl-citation.json"}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(Sharvelle, 2016)</w:t>
            </w:r>
            <w:r w:rsidRPr="009445F0">
              <w:rPr>
                <w:rFonts w:ascii="Arial" w:hAnsi="Arial" w:cs="Arial"/>
                <w:sz w:val="18"/>
                <w:szCs w:val="18"/>
              </w:rPr>
              <w:fldChar w:fldCharType="end"/>
            </w:r>
          </w:p>
        </w:tc>
        <w:tc>
          <w:tcPr>
            <w:tcW w:w="1668" w:type="pct"/>
            <w:gridSpan w:val="2"/>
            <w:tcBorders>
              <w:top w:val="single" w:sz="18" w:space="0" w:color="auto"/>
              <w:left w:val="single" w:sz="18" w:space="0" w:color="auto"/>
              <w:bottom w:val="single" w:sz="18" w:space="0" w:color="auto"/>
              <w:right w:val="single" w:sz="18" w:space="0" w:color="auto"/>
            </w:tcBorders>
            <w:vAlign w:val="center"/>
          </w:tcPr>
          <w:p w14:paraId="60F91232" w14:textId="77777777" w:rsidR="001268BC" w:rsidRPr="009445F0" w:rsidRDefault="001268BC" w:rsidP="009445F0">
            <w:pPr>
              <w:spacing w:line="276" w:lineRule="auto"/>
              <w:jc w:val="center"/>
              <w:rPr>
                <w:rFonts w:ascii="Arial" w:hAnsi="Arial" w:cs="Arial"/>
                <w:sz w:val="18"/>
                <w:szCs w:val="18"/>
              </w:rPr>
            </w:pPr>
          </w:p>
        </w:tc>
        <w:tc>
          <w:tcPr>
            <w:tcW w:w="1666" w:type="pct"/>
            <w:gridSpan w:val="2"/>
            <w:tcBorders>
              <w:top w:val="single" w:sz="18" w:space="0" w:color="auto"/>
              <w:left w:val="single" w:sz="18" w:space="0" w:color="auto"/>
              <w:bottom w:val="single" w:sz="18" w:space="0" w:color="auto"/>
              <w:right w:val="single" w:sz="18" w:space="0" w:color="auto"/>
            </w:tcBorders>
            <w:vAlign w:val="center"/>
          </w:tcPr>
          <w:p w14:paraId="4E3BE41A" w14:textId="77777777" w:rsidR="001268BC" w:rsidRPr="009445F0" w:rsidRDefault="001268BC" w:rsidP="009445F0">
            <w:pPr>
              <w:spacing w:line="276" w:lineRule="auto"/>
              <w:jc w:val="center"/>
              <w:rPr>
                <w:rFonts w:ascii="Arial" w:hAnsi="Arial" w:cs="Arial"/>
                <w:sz w:val="18"/>
                <w:szCs w:val="18"/>
              </w:rPr>
            </w:pPr>
          </w:p>
        </w:tc>
      </w:tr>
    </w:tbl>
    <w:p w14:paraId="66F9009D" w14:textId="09A98E0E" w:rsidR="00875DD1" w:rsidRDefault="00875DD1" w:rsidP="00D508E9">
      <w:pPr>
        <w:pStyle w:val="Caption"/>
        <w:keepNext/>
        <w:spacing w:after="0"/>
        <w:jc w:val="left"/>
        <w:rPr>
          <w:rFonts w:ascii="Arial" w:hAnsi="Arial" w:cs="Arial"/>
          <w:b/>
          <w:bCs/>
          <w:color w:val="000000" w:themeColor="text1"/>
        </w:rPr>
      </w:pPr>
    </w:p>
    <w:p w14:paraId="62AC5E46" w14:textId="30D91149" w:rsidR="00805366" w:rsidRPr="00875DD1" w:rsidRDefault="00875DD1" w:rsidP="00333A4A">
      <w:pPr>
        <w:rPr>
          <w:rFonts w:ascii="Arial" w:hAnsi="Arial" w:cs="Arial"/>
          <w:b/>
          <w:bCs/>
          <w:color w:val="000000" w:themeColor="text1"/>
        </w:rPr>
      </w:pPr>
      <w:r>
        <w:rPr>
          <w:rFonts w:ascii="Arial" w:hAnsi="Arial" w:cs="Arial"/>
          <w:b/>
          <w:bCs/>
          <w:color w:val="000000" w:themeColor="text1"/>
        </w:rPr>
        <w:br w:type="page"/>
      </w:r>
    </w:p>
    <w:p w14:paraId="6B367F47" w14:textId="23560AC6" w:rsidR="009445F0" w:rsidRPr="00D508E9" w:rsidRDefault="001268BC" w:rsidP="00D508E9">
      <w:pPr>
        <w:spacing w:after="0" w:line="360" w:lineRule="auto"/>
        <w:jc w:val="center"/>
        <w:rPr>
          <w:rFonts w:ascii="Arial" w:hAnsi="Arial" w:cs="Arial"/>
          <w:i/>
          <w:iCs/>
          <w:sz w:val="18"/>
          <w:szCs w:val="18"/>
          <w:lang w:val="en-US"/>
        </w:rPr>
      </w:pPr>
      <w:r w:rsidRPr="009445F0">
        <w:rPr>
          <w:rFonts w:ascii="Arial" w:hAnsi="Arial" w:cs="Arial"/>
          <w:b/>
          <w:bCs/>
          <w:i/>
          <w:iCs/>
          <w:sz w:val="18"/>
          <w:szCs w:val="18"/>
          <w:lang w:val="en-US"/>
        </w:rPr>
        <w:lastRenderedPageBreak/>
        <w:t xml:space="preserve">Table </w:t>
      </w:r>
      <w:r w:rsidR="0088659A">
        <w:rPr>
          <w:rFonts w:ascii="Arial" w:hAnsi="Arial" w:cs="Arial"/>
          <w:b/>
          <w:bCs/>
          <w:i/>
          <w:iCs/>
          <w:sz w:val="18"/>
          <w:szCs w:val="18"/>
          <w:lang w:val="en-US"/>
        </w:rPr>
        <w:t>A</w:t>
      </w:r>
      <w:r w:rsidRPr="009445F0">
        <w:rPr>
          <w:rFonts w:ascii="Arial" w:hAnsi="Arial" w:cs="Arial"/>
          <w:b/>
          <w:bCs/>
          <w:i/>
          <w:iCs/>
          <w:sz w:val="18"/>
          <w:szCs w:val="18"/>
          <w:lang w:val="en-US"/>
        </w:rPr>
        <w:t xml:space="preserve">3: </w:t>
      </w:r>
      <w:r w:rsidRPr="009445F0">
        <w:rPr>
          <w:rFonts w:ascii="Arial" w:hAnsi="Arial" w:cs="Arial"/>
          <w:i/>
          <w:iCs/>
          <w:sz w:val="18"/>
          <w:szCs w:val="18"/>
          <w:lang w:val="en-US"/>
        </w:rPr>
        <w:t>OPEX Factor</w:t>
      </w:r>
    </w:p>
    <w:tbl>
      <w:tblPr>
        <w:tblStyle w:val="TableGrid"/>
        <w:tblW w:w="5000" w:type="pct"/>
        <w:tblInd w:w="0" w:type="dxa"/>
        <w:tblLook w:val="04A0" w:firstRow="1" w:lastRow="0" w:firstColumn="1" w:lastColumn="0" w:noHBand="0" w:noVBand="1"/>
      </w:tblPr>
      <w:tblGrid>
        <w:gridCol w:w="1673"/>
        <w:gridCol w:w="1673"/>
        <w:gridCol w:w="1676"/>
        <w:gridCol w:w="1676"/>
        <w:gridCol w:w="1676"/>
        <w:gridCol w:w="1672"/>
      </w:tblGrid>
      <w:tr w:rsidR="001268BC" w:rsidRPr="009445F0" w14:paraId="72DD7002" w14:textId="77777777" w:rsidTr="000E579C">
        <w:trPr>
          <w:trHeight w:val="397"/>
        </w:trPr>
        <w:tc>
          <w:tcPr>
            <w:tcW w:w="1666" w:type="pct"/>
            <w:gridSpan w:val="2"/>
            <w:tcBorders>
              <w:top w:val="single" w:sz="18" w:space="0" w:color="000000"/>
              <w:left w:val="single" w:sz="18" w:space="0" w:color="000000"/>
              <w:bottom w:val="single" w:sz="18" w:space="0" w:color="000000"/>
              <w:right w:val="single" w:sz="18" w:space="0" w:color="000000"/>
            </w:tcBorders>
            <w:shd w:val="clear" w:color="auto" w:fill="A8FFB1"/>
            <w:vAlign w:val="center"/>
          </w:tcPr>
          <w:p w14:paraId="406C0EA7" w14:textId="77777777" w:rsidR="001268BC" w:rsidRPr="009445F0" w:rsidRDefault="001268BC" w:rsidP="00D508E9">
            <w:pPr>
              <w:spacing w:line="276" w:lineRule="auto"/>
              <w:jc w:val="center"/>
              <w:rPr>
                <w:rFonts w:ascii="Arial" w:hAnsi="Arial" w:cs="Arial"/>
                <w:sz w:val="18"/>
                <w:szCs w:val="18"/>
                <w:shd w:val="clear" w:color="auto" w:fill="A8FFB1"/>
              </w:rPr>
            </w:pPr>
            <w:r w:rsidRPr="009445F0">
              <w:rPr>
                <w:rFonts w:ascii="Arial" w:hAnsi="Arial" w:cs="Arial"/>
                <w:b/>
                <w:bCs/>
                <w:sz w:val="18"/>
                <w:szCs w:val="18"/>
                <w:shd w:val="clear" w:color="auto" w:fill="A8FFB1"/>
              </w:rPr>
              <w:t>Electricity Generation</w:t>
            </w:r>
          </w:p>
        </w:tc>
        <w:tc>
          <w:tcPr>
            <w:tcW w:w="1668" w:type="pct"/>
            <w:gridSpan w:val="2"/>
            <w:tcBorders>
              <w:top w:val="single" w:sz="18" w:space="0" w:color="000000"/>
              <w:left w:val="single" w:sz="18" w:space="0" w:color="000000"/>
              <w:bottom w:val="single" w:sz="18" w:space="0" w:color="000000"/>
              <w:right w:val="single" w:sz="18" w:space="0" w:color="000000"/>
            </w:tcBorders>
            <w:shd w:val="clear" w:color="auto" w:fill="A8FFB1"/>
            <w:vAlign w:val="center"/>
          </w:tcPr>
          <w:p w14:paraId="0C7AFE01" w14:textId="77777777" w:rsidR="001268BC" w:rsidRPr="009445F0" w:rsidRDefault="001268BC" w:rsidP="00D508E9">
            <w:pPr>
              <w:spacing w:line="276" w:lineRule="auto"/>
              <w:jc w:val="center"/>
              <w:rPr>
                <w:rFonts w:ascii="Arial" w:hAnsi="Arial" w:cs="Arial"/>
                <w:sz w:val="18"/>
                <w:szCs w:val="18"/>
                <w:shd w:val="clear" w:color="auto" w:fill="A8FFB1"/>
              </w:rPr>
            </w:pPr>
            <w:r w:rsidRPr="009445F0">
              <w:rPr>
                <w:rFonts w:ascii="Arial" w:hAnsi="Arial" w:cs="Arial"/>
                <w:b/>
                <w:bCs/>
                <w:sz w:val="18"/>
                <w:szCs w:val="18"/>
                <w:shd w:val="clear" w:color="auto" w:fill="A8FFB1"/>
              </w:rPr>
              <w:t>H</w:t>
            </w:r>
            <w:r w:rsidRPr="009445F0">
              <w:rPr>
                <w:rFonts w:ascii="Arial" w:hAnsi="Arial" w:cs="Arial"/>
                <w:b/>
                <w:bCs/>
                <w:sz w:val="18"/>
                <w:szCs w:val="18"/>
                <w:shd w:val="clear" w:color="auto" w:fill="A8FFB1"/>
                <w:vertAlign w:val="subscript"/>
              </w:rPr>
              <w:t>2</w:t>
            </w:r>
            <w:r w:rsidRPr="009445F0">
              <w:rPr>
                <w:rFonts w:ascii="Arial" w:hAnsi="Arial" w:cs="Arial"/>
                <w:b/>
                <w:bCs/>
                <w:sz w:val="18"/>
                <w:szCs w:val="18"/>
                <w:shd w:val="clear" w:color="auto" w:fill="A8FFB1"/>
              </w:rPr>
              <w:t xml:space="preserve"> Production</w:t>
            </w:r>
          </w:p>
        </w:tc>
        <w:tc>
          <w:tcPr>
            <w:tcW w:w="1666" w:type="pct"/>
            <w:gridSpan w:val="2"/>
            <w:tcBorders>
              <w:top w:val="single" w:sz="18" w:space="0" w:color="000000"/>
              <w:left w:val="single" w:sz="18" w:space="0" w:color="000000"/>
              <w:bottom w:val="single" w:sz="18" w:space="0" w:color="000000"/>
              <w:right w:val="single" w:sz="18" w:space="0" w:color="000000"/>
            </w:tcBorders>
            <w:shd w:val="clear" w:color="auto" w:fill="A8FFB1"/>
            <w:vAlign w:val="center"/>
          </w:tcPr>
          <w:p w14:paraId="656F1DF7" w14:textId="77777777" w:rsidR="001268BC" w:rsidRPr="009445F0" w:rsidRDefault="001268BC" w:rsidP="00D508E9">
            <w:pPr>
              <w:spacing w:line="276" w:lineRule="auto"/>
              <w:jc w:val="center"/>
              <w:rPr>
                <w:rFonts w:ascii="Arial" w:hAnsi="Arial" w:cs="Arial"/>
                <w:sz w:val="18"/>
                <w:szCs w:val="18"/>
                <w:shd w:val="clear" w:color="auto" w:fill="A8FFB1"/>
              </w:rPr>
            </w:pPr>
            <w:r w:rsidRPr="009445F0">
              <w:rPr>
                <w:rFonts w:ascii="Arial" w:hAnsi="Arial" w:cs="Arial"/>
                <w:b/>
                <w:bCs/>
                <w:sz w:val="18"/>
                <w:szCs w:val="18"/>
                <w:shd w:val="clear" w:color="auto" w:fill="A8FFB1"/>
              </w:rPr>
              <w:t>H</w:t>
            </w:r>
            <w:r w:rsidRPr="009445F0">
              <w:rPr>
                <w:rFonts w:ascii="Arial" w:hAnsi="Arial" w:cs="Arial"/>
                <w:b/>
                <w:bCs/>
                <w:sz w:val="18"/>
                <w:szCs w:val="18"/>
                <w:shd w:val="clear" w:color="auto" w:fill="A8FFB1"/>
                <w:vertAlign w:val="subscript"/>
              </w:rPr>
              <w:t>2</w:t>
            </w:r>
            <w:r w:rsidRPr="009445F0">
              <w:rPr>
                <w:rFonts w:ascii="Arial" w:hAnsi="Arial" w:cs="Arial"/>
                <w:b/>
                <w:bCs/>
                <w:sz w:val="18"/>
                <w:szCs w:val="18"/>
                <w:shd w:val="clear" w:color="auto" w:fill="A8FFB1"/>
              </w:rPr>
              <w:t xml:space="preserve"> Storage</w:t>
            </w:r>
          </w:p>
        </w:tc>
      </w:tr>
      <w:tr w:rsidR="001268BC" w:rsidRPr="009445F0" w14:paraId="09C3CA64" w14:textId="77777777" w:rsidTr="000E579C">
        <w:trPr>
          <w:trHeight w:val="397"/>
        </w:trPr>
        <w:tc>
          <w:tcPr>
            <w:tcW w:w="1666" w:type="pct"/>
            <w:gridSpan w:val="2"/>
            <w:tcBorders>
              <w:top w:val="single" w:sz="18" w:space="0" w:color="000000"/>
              <w:left w:val="single" w:sz="18" w:space="0" w:color="000000"/>
              <w:bottom w:val="single" w:sz="18" w:space="0" w:color="000000"/>
              <w:right w:val="single" w:sz="18" w:space="0" w:color="000000"/>
            </w:tcBorders>
            <w:shd w:val="clear" w:color="auto" w:fill="A8FFB1"/>
            <w:vAlign w:val="center"/>
          </w:tcPr>
          <w:p w14:paraId="341EF06B" w14:textId="77777777" w:rsidR="001268BC" w:rsidRPr="009445F0" w:rsidRDefault="001268BC" w:rsidP="00D508E9">
            <w:pPr>
              <w:spacing w:line="276" w:lineRule="auto"/>
              <w:jc w:val="center"/>
              <w:rPr>
                <w:rFonts w:ascii="Arial" w:hAnsi="Arial" w:cs="Arial"/>
                <w:b/>
                <w:bCs/>
                <w:sz w:val="18"/>
                <w:szCs w:val="18"/>
                <w:shd w:val="clear" w:color="auto" w:fill="A8FFB1"/>
              </w:rPr>
            </w:pPr>
            <w:r w:rsidRPr="009445F0">
              <w:rPr>
                <w:rFonts w:ascii="Arial" w:hAnsi="Arial" w:cs="Arial"/>
                <w:b/>
                <w:bCs/>
                <w:sz w:val="18"/>
                <w:szCs w:val="18"/>
                <w:shd w:val="clear" w:color="auto" w:fill="A8FFB1"/>
              </w:rPr>
              <w:t>Solar Energy</w:t>
            </w:r>
          </w:p>
        </w:tc>
        <w:tc>
          <w:tcPr>
            <w:tcW w:w="1668" w:type="pct"/>
            <w:gridSpan w:val="2"/>
            <w:tcBorders>
              <w:top w:val="single" w:sz="18" w:space="0" w:color="000000"/>
              <w:left w:val="single" w:sz="18" w:space="0" w:color="000000"/>
              <w:bottom w:val="single" w:sz="18" w:space="0" w:color="000000"/>
              <w:right w:val="single" w:sz="18" w:space="0" w:color="000000"/>
            </w:tcBorders>
            <w:shd w:val="clear" w:color="auto" w:fill="A8FFB1"/>
            <w:vAlign w:val="center"/>
          </w:tcPr>
          <w:p w14:paraId="21F9FDBB" w14:textId="77777777" w:rsidR="001268BC" w:rsidRPr="009445F0" w:rsidRDefault="001268BC" w:rsidP="00D508E9">
            <w:pPr>
              <w:spacing w:line="276" w:lineRule="auto"/>
              <w:jc w:val="center"/>
              <w:rPr>
                <w:rFonts w:ascii="Arial" w:hAnsi="Arial" w:cs="Arial"/>
                <w:b/>
                <w:bCs/>
                <w:sz w:val="18"/>
                <w:szCs w:val="18"/>
                <w:shd w:val="clear" w:color="auto" w:fill="A8FFB1"/>
              </w:rPr>
            </w:pPr>
            <w:r w:rsidRPr="009445F0">
              <w:rPr>
                <w:rFonts w:ascii="Arial" w:hAnsi="Arial" w:cs="Arial"/>
                <w:b/>
                <w:bCs/>
                <w:sz w:val="18"/>
                <w:szCs w:val="18"/>
                <w:shd w:val="clear" w:color="auto" w:fill="A8FFB1"/>
              </w:rPr>
              <w:t>Green H</w:t>
            </w:r>
            <w:r w:rsidRPr="009445F0">
              <w:rPr>
                <w:rFonts w:ascii="Arial" w:hAnsi="Arial" w:cs="Arial"/>
                <w:b/>
                <w:bCs/>
                <w:sz w:val="18"/>
                <w:szCs w:val="18"/>
                <w:shd w:val="clear" w:color="auto" w:fill="A8FFB1"/>
                <w:vertAlign w:val="subscript"/>
              </w:rPr>
              <w:t>2</w:t>
            </w:r>
            <w:r w:rsidRPr="009445F0">
              <w:rPr>
                <w:rFonts w:ascii="Arial" w:hAnsi="Arial" w:cs="Arial"/>
                <w:b/>
                <w:bCs/>
                <w:sz w:val="18"/>
                <w:szCs w:val="18"/>
                <w:shd w:val="clear" w:color="auto" w:fill="A8FFB1"/>
              </w:rPr>
              <w:t xml:space="preserve"> (Electrolysis)</w:t>
            </w:r>
          </w:p>
        </w:tc>
        <w:tc>
          <w:tcPr>
            <w:tcW w:w="1666" w:type="pct"/>
            <w:gridSpan w:val="2"/>
            <w:tcBorders>
              <w:top w:val="single" w:sz="18" w:space="0" w:color="000000"/>
              <w:left w:val="single" w:sz="18" w:space="0" w:color="000000"/>
              <w:bottom w:val="single" w:sz="18" w:space="0" w:color="000000"/>
              <w:right w:val="single" w:sz="18" w:space="0" w:color="000000"/>
            </w:tcBorders>
            <w:shd w:val="clear" w:color="auto" w:fill="A8FFB1"/>
            <w:vAlign w:val="center"/>
          </w:tcPr>
          <w:p w14:paraId="0E87C601" w14:textId="77777777" w:rsidR="001268BC" w:rsidRPr="009445F0" w:rsidRDefault="001268BC" w:rsidP="00D508E9">
            <w:pPr>
              <w:spacing w:line="276" w:lineRule="auto"/>
              <w:jc w:val="center"/>
              <w:rPr>
                <w:rFonts w:ascii="Arial" w:hAnsi="Arial" w:cs="Arial"/>
                <w:b/>
                <w:bCs/>
                <w:sz w:val="18"/>
                <w:szCs w:val="18"/>
                <w:shd w:val="clear" w:color="auto" w:fill="A8FFB1"/>
              </w:rPr>
            </w:pPr>
            <w:r w:rsidRPr="009445F0">
              <w:rPr>
                <w:rFonts w:ascii="Arial" w:hAnsi="Arial" w:cs="Arial"/>
                <w:b/>
                <w:bCs/>
                <w:sz w:val="18"/>
                <w:szCs w:val="18"/>
                <w:shd w:val="clear" w:color="auto" w:fill="A8FFB1"/>
              </w:rPr>
              <w:t>Physical Method</w:t>
            </w:r>
          </w:p>
        </w:tc>
      </w:tr>
      <w:tr w:rsidR="001268BC" w:rsidRPr="009445F0" w14:paraId="38478969" w14:textId="77777777" w:rsidTr="000E579C">
        <w:trPr>
          <w:trHeight w:val="397"/>
        </w:trPr>
        <w:tc>
          <w:tcPr>
            <w:tcW w:w="833" w:type="pct"/>
            <w:tcBorders>
              <w:top w:val="single" w:sz="18" w:space="0" w:color="000000"/>
              <w:left w:val="single" w:sz="18" w:space="0" w:color="000000"/>
              <w:right w:val="single" w:sz="18" w:space="0" w:color="000000"/>
            </w:tcBorders>
            <w:shd w:val="clear" w:color="auto" w:fill="auto"/>
            <w:vAlign w:val="center"/>
          </w:tcPr>
          <w:p w14:paraId="37381062"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CS</w:t>
            </w:r>
          </w:p>
        </w:tc>
        <w:tc>
          <w:tcPr>
            <w:tcW w:w="833" w:type="pct"/>
            <w:tcBorders>
              <w:top w:val="single" w:sz="18" w:space="0" w:color="000000"/>
              <w:left w:val="single" w:sz="18" w:space="0" w:color="000000"/>
              <w:right w:val="single" w:sz="18" w:space="0" w:color="000000"/>
            </w:tcBorders>
            <w:shd w:val="clear" w:color="auto" w:fill="auto"/>
            <w:vAlign w:val="center"/>
          </w:tcPr>
          <w:p w14:paraId="7CD93FF6"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 xml:space="preserve">0.042 $/kW </w:t>
            </w:r>
          </w:p>
          <w:p w14:paraId="3577C1B2" w14:textId="0595025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{"citationItems":[{"id":"ITEM-1","itemData":{"author":[{"dropping-particle":"","family":"Bellini","given":"EMILIANO","non-dropping-particle":"","parse-names":false,"suffix":""}],"container-title":"pv magazine","id":"ITEM-1","issued":{"date-parts":[["2021","11"]]},"publisher-place":"USA","title":"Solar retains it LCOE edge in latest Lazard analysis","type":"article-magazine"},"uris":["http://www.mendeley.com/documents/?uuid=97b0f576-6a96-43bc-9502-51d6bfac8a6f"]}],"mendeley":{"formattedCitation":"(Bellini, 2021)","plainTextFormattedCitation":"(Bellini, 2021)","previouslyFormattedCitation":"(Bellini, 2021)"},"properties":{"noteIndex":0},"schema":"https://github.com/citation-style-language/schema/raw/master/csl-citation.json"}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(Bellini, 2021)</w:t>
            </w:r>
            <w:r w:rsidRPr="009445F0">
              <w:rPr>
                <w:rFonts w:ascii="Arial" w:hAnsi="Arial" w:cs="Arial"/>
                <w:sz w:val="18"/>
                <w:szCs w:val="18"/>
              </w:rPr>
              <w:fldChar w:fldCharType="end"/>
            </w:r>
          </w:p>
        </w:tc>
        <w:tc>
          <w:tcPr>
            <w:tcW w:w="834" w:type="pct"/>
            <w:tcBorders>
              <w:top w:val="single" w:sz="18" w:space="0" w:color="000000"/>
              <w:left w:val="single" w:sz="18" w:space="0" w:color="000000"/>
              <w:right w:val="single" w:sz="18" w:space="0" w:color="000000"/>
            </w:tcBorders>
            <w:shd w:val="clear" w:color="auto" w:fill="auto"/>
            <w:vAlign w:val="center"/>
          </w:tcPr>
          <w:p w14:paraId="4E4E90EC"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PEM</w:t>
            </w:r>
          </w:p>
        </w:tc>
        <w:tc>
          <w:tcPr>
            <w:tcW w:w="834" w:type="pct"/>
            <w:tcBorders>
              <w:top w:val="single" w:sz="18" w:space="0" w:color="000000"/>
              <w:left w:val="single" w:sz="18" w:space="0" w:color="000000"/>
              <w:right w:val="single" w:sz="18" w:space="0" w:color="000000"/>
            </w:tcBorders>
            <w:shd w:val="clear" w:color="auto" w:fill="auto"/>
            <w:vAlign w:val="center"/>
          </w:tcPr>
          <w:p w14:paraId="371A7D9C" w14:textId="77777777" w:rsidR="001268BC" w:rsidRPr="009445F0" w:rsidRDefault="001268BC" w:rsidP="00D508E9">
            <w:pPr>
              <w:spacing w:line="276" w:lineRule="auto"/>
              <w:jc w:val="center"/>
              <w:rPr>
                <w:rFonts w:ascii="Arial" w:hAnsi="Arial" w:cs="Arial"/>
                <w:sz w:val="18"/>
                <w:szCs w:val="18"/>
                <w:vertAlign w:val="subscript"/>
              </w:rPr>
            </w:pPr>
            <w:r w:rsidRPr="009445F0">
              <w:rPr>
                <w:rFonts w:ascii="Arial" w:hAnsi="Arial" w:cs="Arial"/>
                <w:sz w:val="18"/>
                <w:szCs w:val="18"/>
              </w:rPr>
              <w:t>5.14 $/kg H</w:t>
            </w:r>
            <w:r w:rsidRPr="009445F0">
              <w:rPr>
                <w:rFonts w:ascii="Arial" w:hAnsi="Arial" w:cs="Arial"/>
                <w:sz w:val="18"/>
                <w:szCs w:val="18"/>
                <w:vertAlign w:val="subscript"/>
              </w:rPr>
              <w:t xml:space="preserve">2 </w:t>
            </w:r>
          </w:p>
          <w:p w14:paraId="0E519547" w14:textId="720ADA3E"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vertAlign w:val="subscript"/>
              </w:rPr>
              <w:fldChar w:fldCharType="begin" w:fldLock="1"/>
            </w:r>
            <w:r w:rsidR="00D27FDA">
              <w:rPr>
                <w:rFonts w:ascii="Arial" w:hAnsi="Arial" w:cs="Arial"/>
                <w:sz w:val="18"/>
                <w:szCs w:val="18"/>
                <w:vertAlign w:val="subscript"/>
              </w:rPr>
              <w:instrText>ADDIN CSL_CITATION {"citationItems":[{"id":"ITEM-1","itemData":{"DOI":"10.1016/j.ultsonch.2021.105536","ISSN":"18732828","PMID":"33823489","abstract":"Hydrogen energy is one of the most suitable green substitutes for harmful fossil fuels and has been investigated widely. This review extensively compiles and compares various methodologies used in the production, storage and usage of hydrogen. Sonochemistry is an emerging synthesis process and intensification technique adapted for the synthesis of novel materials. It manifests acoustic cavitation phenomena caused by ultrasound where higher rates of reactions occur locally. The review discusses the effectiveness of sonochemical routes in developing fuel cell catalysts, fuel refining, biofuel production, chemical processes for hydrogen production and the physical, chemical and electrochemical hydrogen storage techniques. The operational parameters and environmental conditions used during ultrasonication also influence the production rates, which have been elucidated in detail. Hence, this review's major focus addresses sonochemical methods that can contribute to the technical challenges involved in hydrogen usage for energy.","author":[{"dropping-particle":"","family":"Zore","given":"Ujwal Kishor","non-dropping-particle":"","parse-names":false,"suffix":""},{"dropping-particle":"","family":"Yedire","given":"Sripadh Guptha","non-dropping-particle":"","parse-names":false,"suffix":""},{"dropping-particle":"","family":"Pandi","given":"Narasimha","non-dropping-particle":"","parse-names":false,"suffix":""},{"dropping-particle":"","family":"Manickam","given":"Sivakumar","non-dropping-particle":"","parse-names":false,"suffix":""},{"dropping-particle":"","family":"Sonawane","given":"Shirish H.","non-dropping-particle":"","parse-names":false,"suffix":""}],"container-title":"Ultrasonics Sonochemistry","id":"ITEM-1","issued":{"date-parts":[["2021"]]},"title":"A review on recent advances in hydrogen energy, fuel cell, biofuel and fuel refining via ultrasound process intensification","type":"article-journal","volume":"73"},"uris":["http://www.mendeley.com/documents/?uuid=6506d8d8-f37c-45d5-9e82-b8b4ea1e24bf"]}],"mendeley":{"formattedCitation":"(Zore et al., 2021)","manualFormatting":"(Zore, 2021)","plainTextFormattedCitation":"(Zore et al., 2021)","previouslyFormattedCitation":"(Zore et al., 2021)"},"properties":{"noteIndex":0},"schema":"https://github.com/citation-style-language/schema/raw/master/csl-citation.json"}</w:instrText>
            </w:r>
            <w:r w:rsidRPr="009445F0">
              <w:rPr>
                <w:rFonts w:ascii="Arial" w:hAnsi="Arial" w:cs="Arial"/>
                <w:sz w:val="18"/>
                <w:szCs w:val="18"/>
                <w:vertAlign w:val="subscript"/>
              </w:rPr>
              <w:fldChar w:fldCharType="separate"/>
            </w:r>
            <w:r w:rsidRPr="009445F0">
              <w:rPr>
                <w:rFonts w:ascii="Arial" w:hAnsi="Arial" w:cs="Arial"/>
                <w:noProof/>
                <w:sz w:val="18"/>
                <w:szCs w:val="18"/>
              </w:rPr>
              <w:t>(Zore, 2021)</w:t>
            </w:r>
            <w:r w:rsidRPr="009445F0">
              <w:rPr>
                <w:rFonts w:ascii="Arial" w:hAnsi="Arial" w:cs="Arial"/>
                <w:sz w:val="18"/>
                <w:szCs w:val="18"/>
                <w:vertAlign w:val="subscript"/>
              </w:rPr>
              <w:fldChar w:fldCharType="end"/>
            </w:r>
          </w:p>
        </w:tc>
        <w:tc>
          <w:tcPr>
            <w:tcW w:w="834" w:type="pct"/>
            <w:tcBorders>
              <w:top w:val="single" w:sz="18" w:space="0" w:color="000000"/>
              <w:left w:val="single" w:sz="18" w:space="0" w:color="000000"/>
              <w:right w:val="single" w:sz="18" w:space="0" w:color="000000"/>
            </w:tcBorders>
            <w:shd w:val="clear" w:color="auto" w:fill="auto"/>
            <w:vAlign w:val="center"/>
          </w:tcPr>
          <w:p w14:paraId="6AD882D5" w14:textId="577FD4B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C</w:t>
            </w:r>
            <w:r w:rsidR="003D7951">
              <w:rPr>
                <w:rFonts w:ascii="Arial" w:hAnsi="Arial" w:cs="Arial"/>
                <w:sz w:val="18"/>
                <w:szCs w:val="18"/>
              </w:rPr>
              <w:t xml:space="preserve">ompressed </w:t>
            </w:r>
            <w:r w:rsidRPr="009445F0">
              <w:rPr>
                <w:rFonts w:ascii="Arial" w:hAnsi="Arial" w:cs="Arial"/>
                <w:sz w:val="18"/>
                <w:szCs w:val="18"/>
              </w:rPr>
              <w:t>H</w:t>
            </w:r>
            <w:r w:rsidRPr="009445F0">
              <w:rPr>
                <w:rFonts w:ascii="Arial" w:hAnsi="Arial" w:cs="Arial"/>
                <w:sz w:val="18"/>
                <w:szCs w:val="18"/>
                <w:vertAlign w:val="subscript"/>
              </w:rPr>
              <w:t>2</w:t>
            </w:r>
          </w:p>
        </w:tc>
        <w:tc>
          <w:tcPr>
            <w:tcW w:w="832" w:type="pct"/>
            <w:tcBorders>
              <w:top w:val="single" w:sz="18" w:space="0" w:color="000000"/>
              <w:left w:val="single" w:sz="18" w:space="0" w:color="000000"/>
              <w:right w:val="single" w:sz="18" w:space="0" w:color="000000"/>
            </w:tcBorders>
            <w:shd w:val="clear" w:color="auto" w:fill="auto"/>
            <w:vAlign w:val="center"/>
          </w:tcPr>
          <w:p w14:paraId="0F200E82" w14:textId="77777777" w:rsidR="001268BC" w:rsidRPr="009445F0" w:rsidRDefault="001268BC" w:rsidP="00D508E9">
            <w:pPr>
              <w:spacing w:line="276" w:lineRule="auto"/>
              <w:jc w:val="center"/>
              <w:rPr>
                <w:rFonts w:ascii="Arial" w:hAnsi="Arial" w:cs="Arial"/>
                <w:sz w:val="18"/>
                <w:szCs w:val="18"/>
                <w:vertAlign w:val="subscript"/>
              </w:rPr>
            </w:pPr>
            <w:r w:rsidRPr="009445F0">
              <w:rPr>
                <w:rFonts w:ascii="Arial" w:hAnsi="Arial" w:cs="Arial"/>
                <w:sz w:val="18"/>
                <w:szCs w:val="18"/>
              </w:rPr>
              <w:t>0.40 $/kg H</w:t>
            </w:r>
            <w:r w:rsidRPr="009445F0">
              <w:rPr>
                <w:rFonts w:ascii="Arial" w:hAnsi="Arial" w:cs="Arial"/>
                <w:sz w:val="18"/>
                <w:szCs w:val="18"/>
                <w:vertAlign w:val="subscript"/>
              </w:rPr>
              <w:t xml:space="preserve">2 </w:t>
            </w:r>
          </w:p>
          <w:p w14:paraId="5BD93EB5" w14:textId="229AA56D"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vertAlign w:val="subscript"/>
              </w:rPr>
              <w:fldChar w:fldCharType="begin" w:fldLock="1"/>
            </w:r>
            <w:r w:rsidR="00D27FDA">
              <w:rPr>
                <w:rFonts w:ascii="Arial" w:hAnsi="Arial" w:cs="Arial"/>
                <w:sz w:val="18"/>
                <w:szCs w:val="18"/>
                <w:vertAlign w:val="subscript"/>
              </w:rPr>
              <w:instrText>ADDIN CSL_CITATION {"citationItems":[{"id":"ITEM-1","itemData":{"DOI":"10.3389/fmech.2020.00021","ISSN":"2297-3079","author":[{"dropping-particle":"","family":"Dias","given":"Véronique","non-dropping-particle":"","parse-names":false,"suffix":""},{"dropping-particle":"","family":"Pochet","given":"Maxime","non-dropping-particle":"","parse-names":false,"suffix":""},{"dropping-particle":"","family":"Contino","given":"Francesco","non-dropping-particle":"","parse-names":false,"suffix":""},{"dropping-particle":"","family":"Jeanmart","given":"Hervé","non-dropping-particle":"","parse-names":false,"suffix":""}],"container-title":"Frontiers in Mechanical Engineering","id":"ITEM-1","issued":{"date-parts":[["2020","5"]]},"title":"Energy and Economic Costs of Chemical Storage","type":"article-journal","volume":"6"},"uris":["http://www.mendeley.com/documents/?uuid=789f953d-9cc7-4773-91aa-c3f3d456ee7f"]}],"mendeley":{"formattedCitation":"(Dias et al., 2020)","manualFormatting":"(Dias, 2020)","plainTextFormattedCitation":"(Dias et al., 2020)","previouslyFormattedCitation":"(Dias et al., 2020)"},"properties":{"noteIndex":0},"schema":"https://github.com/citation-style-language/schema/raw/master/csl-citation.json"}</w:instrText>
            </w:r>
            <w:r w:rsidRPr="009445F0">
              <w:rPr>
                <w:rFonts w:ascii="Arial" w:hAnsi="Arial" w:cs="Arial"/>
                <w:sz w:val="18"/>
                <w:szCs w:val="18"/>
                <w:vertAlign w:val="subscript"/>
              </w:rPr>
              <w:fldChar w:fldCharType="separate"/>
            </w:r>
            <w:r w:rsidRPr="009445F0">
              <w:rPr>
                <w:rFonts w:ascii="Arial" w:hAnsi="Arial" w:cs="Arial"/>
                <w:noProof/>
                <w:sz w:val="18"/>
                <w:szCs w:val="18"/>
              </w:rPr>
              <w:t>(Dias, 2020)</w:t>
            </w:r>
            <w:r w:rsidRPr="009445F0">
              <w:rPr>
                <w:rFonts w:ascii="Arial" w:hAnsi="Arial" w:cs="Arial"/>
                <w:sz w:val="18"/>
                <w:szCs w:val="18"/>
                <w:vertAlign w:val="subscript"/>
              </w:rPr>
              <w:fldChar w:fldCharType="end"/>
            </w:r>
          </w:p>
        </w:tc>
      </w:tr>
      <w:tr w:rsidR="001268BC" w:rsidRPr="009445F0" w14:paraId="499A73FC" w14:textId="77777777" w:rsidTr="000E579C">
        <w:trPr>
          <w:trHeight w:val="397"/>
        </w:trPr>
        <w:tc>
          <w:tcPr>
            <w:tcW w:w="833" w:type="pct"/>
            <w:tcBorders>
              <w:left w:val="single" w:sz="18" w:space="0" w:color="000000"/>
              <w:right w:val="single" w:sz="18" w:space="0" w:color="000000"/>
            </w:tcBorders>
            <w:shd w:val="clear" w:color="auto" w:fill="auto"/>
            <w:vAlign w:val="center"/>
          </w:tcPr>
          <w:p w14:paraId="2B6F4AF3"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TF</w:t>
            </w:r>
          </w:p>
        </w:tc>
        <w:tc>
          <w:tcPr>
            <w:tcW w:w="833" w:type="pct"/>
            <w:tcBorders>
              <w:left w:val="single" w:sz="18" w:space="0" w:color="000000"/>
              <w:right w:val="single" w:sz="18" w:space="0" w:color="000000"/>
            </w:tcBorders>
            <w:shd w:val="clear" w:color="auto" w:fill="auto"/>
            <w:vAlign w:val="center"/>
          </w:tcPr>
          <w:p w14:paraId="679B22E4"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0.038 $/kW</w:t>
            </w:r>
          </w:p>
          <w:p w14:paraId="45968422" w14:textId="3B064995"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 xml:space="preserve">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{"citationItems":[{"id":"ITEM-1","itemData":{"author":[{"dropping-particle":"","family":"Bellini","given":"EMILIANO","non-dropping-particle":"","parse-names":false,"suffix":""}],"container-title":"pv magazine","id":"ITEM-1","issued":{"date-parts":[["2021","11"]]},"publisher-place":"USA","title":"Solar retains it LCOE edge in latest Lazard analysis","type":"article-magazine"},"uris":["http://www.mendeley.com/documents/?uuid=97b0f576-6a96-43bc-9502-51d6bfac8a6f"]}],"mendeley":{"formattedCitation":"(Bellini, 2021)","plainTextFormattedCitation":"(Bellini, 2021)","previouslyFormattedCitation":"(Bellini, 2021)"},"properties":{"noteIndex":0},"schema":"https://github.com/citation-style-language/schema/raw/master/csl-citation.json"}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(Bellini, 2021)</w:t>
            </w:r>
            <w:r w:rsidRPr="009445F0">
              <w:rPr>
                <w:rFonts w:ascii="Arial" w:hAnsi="Arial" w:cs="Arial"/>
                <w:sz w:val="18"/>
                <w:szCs w:val="18"/>
              </w:rPr>
              <w:fldChar w:fldCharType="end"/>
            </w:r>
          </w:p>
        </w:tc>
        <w:tc>
          <w:tcPr>
            <w:tcW w:w="834" w:type="pct"/>
            <w:tcBorders>
              <w:left w:val="single" w:sz="18" w:space="0" w:color="000000"/>
              <w:right w:val="single" w:sz="18" w:space="0" w:color="000000"/>
            </w:tcBorders>
            <w:shd w:val="clear" w:color="auto" w:fill="auto"/>
            <w:vAlign w:val="center"/>
          </w:tcPr>
          <w:p w14:paraId="3A57D721"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AWE</w:t>
            </w:r>
          </w:p>
        </w:tc>
        <w:tc>
          <w:tcPr>
            <w:tcW w:w="834" w:type="pct"/>
            <w:tcBorders>
              <w:left w:val="single" w:sz="18" w:space="0" w:color="000000"/>
              <w:right w:val="single" w:sz="18" w:space="0" w:color="000000"/>
            </w:tcBorders>
            <w:shd w:val="clear" w:color="auto" w:fill="auto"/>
            <w:vAlign w:val="center"/>
          </w:tcPr>
          <w:p w14:paraId="56E4F177" w14:textId="77777777" w:rsidR="001268BC" w:rsidRPr="009445F0" w:rsidRDefault="001268BC" w:rsidP="00D508E9">
            <w:pPr>
              <w:spacing w:line="276" w:lineRule="auto"/>
              <w:jc w:val="center"/>
              <w:rPr>
                <w:rFonts w:ascii="Arial" w:hAnsi="Arial" w:cs="Arial"/>
                <w:sz w:val="18"/>
                <w:szCs w:val="18"/>
                <w:vertAlign w:val="subscript"/>
              </w:rPr>
            </w:pPr>
            <w:r w:rsidRPr="009445F0">
              <w:rPr>
                <w:rFonts w:ascii="Arial" w:hAnsi="Arial" w:cs="Arial"/>
                <w:sz w:val="18"/>
                <w:szCs w:val="18"/>
              </w:rPr>
              <w:t>5.92 $/kg H</w:t>
            </w:r>
            <w:r w:rsidRPr="009445F0">
              <w:rPr>
                <w:rFonts w:ascii="Arial" w:hAnsi="Arial" w:cs="Arial"/>
                <w:sz w:val="18"/>
                <w:szCs w:val="18"/>
                <w:vertAlign w:val="subscript"/>
              </w:rPr>
              <w:t xml:space="preserve">2 </w:t>
            </w:r>
          </w:p>
          <w:p w14:paraId="28105253" w14:textId="1E94D1FA"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vertAlign w:val="subscript"/>
              </w:rPr>
              <w:fldChar w:fldCharType="begin" w:fldLock="1"/>
            </w:r>
            <w:r w:rsidR="00D27FDA">
              <w:rPr>
                <w:rFonts w:ascii="Arial" w:hAnsi="Arial" w:cs="Arial"/>
                <w:sz w:val="18"/>
                <w:szCs w:val="18"/>
                <w:vertAlign w:val="subscript"/>
              </w:rPr>
              <w:instrText>ADDIN CSL_CITATION {"citationItems":[{"id":"ITEM-1","itemData":{"DOI":"10.1016/j.pnucene.2020.103317","ISSN":"01491970","author":[{"dropping-particle":"","family":"Pinsky","given":"Roxanne","non-dropping-particle":"","parse-names":false,"suffix":""},{"dropping-particle":"","family":"Sabharwall","given":"Piyush","non-dropping-particle":"","parse-names":false,"suffix":""},{"dropping-particle":"","family":"Hartvigsen","given":"Jeremy","non-dropping-particle":"","parse-names":false,"suffix":""},{"dropping-particle":"","family":"O’Brien","given":"James","non-dropping-particle":"","parse-names":false,"suffix":""}],"container-title":"Progress in Nuclear Energy","id":"ITEM-1","issued":{"date-parts":[["2020","5"]]},"page":"103317","title":"Comparative review of hydrogen production technologies for nuclear hybrid energy systems","type":"article-journal","volume":"123"},"uris":["http://www.mendeley.com/documents/?uuid=541224e8-5807-487f-a563-5dc7b43f30bc"]}],"mendeley":{"formattedCitation":"(Pinsky et al., 2020)","manualFormatting":"(Pinsky, 2020)","plainTextFormattedCitation":"(Pinsky et al., 2020)","previouslyFormattedCitation":"(Pinsky et al., 2020)"},"properties":{"noteIndex":0},"schema":"https://github.com/citation-style-language/schema/raw/master/csl-citation.json"}</w:instrText>
            </w:r>
            <w:r w:rsidRPr="009445F0">
              <w:rPr>
                <w:rFonts w:ascii="Arial" w:hAnsi="Arial" w:cs="Arial"/>
                <w:sz w:val="18"/>
                <w:szCs w:val="18"/>
                <w:vertAlign w:val="subscript"/>
              </w:rPr>
              <w:fldChar w:fldCharType="separate"/>
            </w:r>
            <w:r w:rsidRPr="009445F0">
              <w:rPr>
                <w:rFonts w:ascii="Arial" w:hAnsi="Arial" w:cs="Arial"/>
                <w:noProof/>
                <w:sz w:val="18"/>
                <w:szCs w:val="18"/>
              </w:rPr>
              <w:t>(Pinsky, 2020)</w:t>
            </w:r>
            <w:r w:rsidRPr="009445F0">
              <w:rPr>
                <w:rFonts w:ascii="Arial" w:hAnsi="Arial" w:cs="Arial"/>
                <w:sz w:val="18"/>
                <w:szCs w:val="18"/>
                <w:vertAlign w:val="subscript"/>
              </w:rPr>
              <w:fldChar w:fldCharType="end"/>
            </w:r>
          </w:p>
        </w:tc>
        <w:tc>
          <w:tcPr>
            <w:tcW w:w="834" w:type="pct"/>
            <w:tcBorders>
              <w:left w:val="single" w:sz="18" w:space="0" w:color="000000"/>
              <w:bottom w:val="single" w:sz="18" w:space="0" w:color="000000"/>
              <w:right w:val="single" w:sz="18" w:space="0" w:color="000000"/>
            </w:tcBorders>
            <w:shd w:val="clear" w:color="auto" w:fill="auto"/>
            <w:vAlign w:val="center"/>
          </w:tcPr>
          <w:p w14:paraId="153309CE"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LH</w:t>
            </w:r>
            <w:r w:rsidRPr="009445F0">
              <w:rPr>
                <w:rFonts w:ascii="Arial" w:hAnsi="Arial" w:cs="Arial"/>
                <w:sz w:val="18"/>
                <w:szCs w:val="18"/>
                <w:vertAlign w:val="subscript"/>
              </w:rPr>
              <w:t>2</w:t>
            </w:r>
          </w:p>
        </w:tc>
        <w:tc>
          <w:tcPr>
            <w:tcW w:w="832" w:type="pct"/>
            <w:tcBorders>
              <w:left w:val="single" w:sz="18" w:space="0" w:color="000000"/>
              <w:bottom w:val="single" w:sz="18" w:space="0" w:color="000000"/>
              <w:right w:val="single" w:sz="18" w:space="0" w:color="000000"/>
            </w:tcBorders>
            <w:shd w:val="clear" w:color="auto" w:fill="auto"/>
            <w:vAlign w:val="center"/>
          </w:tcPr>
          <w:p w14:paraId="620BDA88" w14:textId="77777777" w:rsidR="001268BC" w:rsidRPr="009445F0" w:rsidRDefault="001268BC" w:rsidP="00D508E9">
            <w:pPr>
              <w:spacing w:line="276" w:lineRule="auto"/>
              <w:jc w:val="center"/>
              <w:rPr>
                <w:rFonts w:ascii="Arial" w:hAnsi="Arial" w:cs="Arial"/>
                <w:sz w:val="18"/>
                <w:szCs w:val="18"/>
                <w:vertAlign w:val="subscript"/>
              </w:rPr>
            </w:pPr>
            <w:r w:rsidRPr="009445F0">
              <w:rPr>
                <w:rFonts w:ascii="Arial" w:hAnsi="Arial" w:cs="Arial"/>
                <w:sz w:val="18"/>
                <w:szCs w:val="18"/>
              </w:rPr>
              <w:t>2.17 $/kg H</w:t>
            </w:r>
            <w:r w:rsidRPr="009445F0">
              <w:rPr>
                <w:rFonts w:ascii="Arial" w:hAnsi="Arial" w:cs="Arial"/>
                <w:sz w:val="18"/>
                <w:szCs w:val="18"/>
                <w:vertAlign w:val="subscript"/>
              </w:rPr>
              <w:t xml:space="preserve">2 </w:t>
            </w:r>
          </w:p>
          <w:p w14:paraId="7BCB842C" w14:textId="07E9FE5C"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vertAlign w:val="subscript"/>
              </w:rPr>
              <w:fldChar w:fldCharType="begin" w:fldLock="1"/>
            </w:r>
            <w:r w:rsidR="00D27FDA">
              <w:rPr>
                <w:rFonts w:ascii="Arial" w:hAnsi="Arial" w:cs="Arial"/>
                <w:sz w:val="18"/>
                <w:szCs w:val="18"/>
                <w:vertAlign w:val="subscript"/>
              </w:rPr>
              <w:instrText>ADDIN CSL_CITATION {"citationItems":[{"id":"ITEM-1","itemData":{"DOI":"10.3389/fmech.2020.00021","ISSN":"2297-3079","author":[{"dropping-particle":"","family":"Dias","given":"Véronique","non-dropping-particle":"","parse-names":false,"suffix":""},{"dropping-particle":"","family":"Pochet","given":"Maxime","non-dropping-particle":"","parse-names":false,"suffix":""},{"dropping-particle":"","family":"Contino","given":"Francesco","non-dropping-particle":"","parse-names":false,"suffix":""},{"dropping-particle":"","family":"Jeanmart","given":"Hervé","non-dropping-particle":"","parse-names":false,"suffix":""}],"container-title":"Frontiers in Mechanical Engineering","id":"ITEM-1","issued":{"date-parts":[["2020","5"]]},"title":"Energy and Economic Costs of Chemical Storage","type":"article-journal","volume":"6"},"uris":["http://www.mendeley.com/documents/?uuid=789f953d-9cc7-4773-91aa-c3f3d456ee7f"]}],"mendeley":{"formattedCitation":"(Dias et al., 2020)","manualFormatting":"(Dias, 2020)","plainTextFormattedCitation":"(Dias et al., 2020)","previouslyFormattedCitation":"(Dias et al., 2020)"},"properties":{"noteIndex":0},"schema":"https://github.com/citation-style-language/schema/raw/master/csl-citation.json"}</w:instrText>
            </w:r>
            <w:r w:rsidRPr="009445F0">
              <w:rPr>
                <w:rFonts w:ascii="Arial" w:hAnsi="Arial" w:cs="Arial"/>
                <w:sz w:val="18"/>
                <w:szCs w:val="18"/>
                <w:vertAlign w:val="subscript"/>
              </w:rPr>
              <w:fldChar w:fldCharType="separate"/>
            </w:r>
            <w:r w:rsidRPr="009445F0">
              <w:rPr>
                <w:rFonts w:ascii="Arial" w:hAnsi="Arial" w:cs="Arial"/>
                <w:noProof/>
                <w:sz w:val="18"/>
                <w:szCs w:val="18"/>
              </w:rPr>
              <w:t>(Dias, 2020)</w:t>
            </w:r>
            <w:r w:rsidRPr="009445F0">
              <w:rPr>
                <w:rFonts w:ascii="Arial" w:hAnsi="Arial" w:cs="Arial"/>
                <w:sz w:val="18"/>
                <w:szCs w:val="18"/>
                <w:vertAlign w:val="subscript"/>
              </w:rPr>
              <w:fldChar w:fldCharType="end"/>
            </w:r>
          </w:p>
        </w:tc>
      </w:tr>
      <w:tr w:rsidR="001268BC" w:rsidRPr="009445F0" w14:paraId="6DFF7DE9" w14:textId="77777777" w:rsidTr="000E579C">
        <w:trPr>
          <w:trHeight w:val="397"/>
        </w:trPr>
        <w:tc>
          <w:tcPr>
            <w:tcW w:w="833" w:type="pct"/>
            <w:tcBorders>
              <w:left w:val="single" w:sz="18" w:space="0" w:color="000000"/>
              <w:right w:val="single" w:sz="18" w:space="0" w:color="000000"/>
            </w:tcBorders>
            <w:shd w:val="clear" w:color="auto" w:fill="auto"/>
            <w:vAlign w:val="center"/>
          </w:tcPr>
          <w:p w14:paraId="456068E2"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Parabolic Trough</w:t>
            </w:r>
          </w:p>
        </w:tc>
        <w:tc>
          <w:tcPr>
            <w:tcW w:w="833" w:type="pct"/>
            <w:tcBorders>
              <w:left w:val="single" w:sz="18" w:space="0" w:color="000000"/>
              <w:right w:val="single" w:sz="18" w:space="0" w:color="000000"/>
            </w:tcBorders>
            <w:shd w:val="clear" w:color="auto" w:fill="auto"/>
            <w:vAlign w:val="center"/>
          </w:tcPr>
          <w:p w14:paraId="1EA473E1"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0.36 $/kW</w:t>
            </w:r>
          </w:p>
          <w:p w14:paraId="25FE470C" w14:textId="4E7DA29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 xml:space="preserve">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{"citationItems":[{"id":"ITEM-1","itemData":{"author":[{"dropping-particle":"","family":"Gielen","given":"Dolf","non-dropping-particle":"","parse-names":false,"suffix":""}],"container-title":"RENEWABLE ENERGY TECHNOLOGIES: COST ANALYSIS SERIES","id":"ITEM-1","issue":"2","issued":{"date-parts":[["2012"]]},"title":"Concentrating Solar Power","type":"article-journal","volume":"1"},"uris":["http://www.mendeley.com/documents/?uuid=29d423f5-4607-4c55-87d2-0ed5b56ca5d4"]}],"mendeley":{"formattedCitation":"(Gielen, 2012)","plainTextFormattedCitation":"(Gielen, 2012)","previouslyFormattedCitation":"(Gielen, 2012)"},"properties":{"noteIndex":0},"schema":"https://github.com/citation-style-language/schema/raw/master/csl-citation.json"}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(Gielen, 2012)</w:t>
            </w:r>
            <w:r w:rsidRPr="009445F0">
              <w:rPr>
                <w:rFonts w:ascii="Arial" w:hAnsi="Arial" w:cs="Arial"/>
                <w:sz w:val="18"/>
                <w:szCs w:val="18"/>
              </w:rPr>
              <w:fldChar w:fldCharType="end"/>
            </w:r>
          </w:p>
        </w:tc>
        <w:tc>
          <w:tcPr>
            <w:tcW w:w="834" w:type="pct"/>
            <w:tcBorders>
              <w:left w:val="single" w:sz="18" w:space="0" w:color="000000"/>
              <w:right w:val="single" w:sz="18" w:space="0" w:color="000000"/>
            </w:tcBorders>
            <w:shd w:val="clear" w:color="auto" w:fill="auto"/>
            <w:vAlign w:val="center"/>
          </w:tcPr>
          <w:p w14:paraId="26F855B4"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SOEC</w:t>
            </w:r>
          </w:p>
        </w:tc>
        <w:tc>
          <w:tcPr>
            <w:tcW w:w="834" w:type="pct"/>
            <w:tcBorders>
              <w:left w:val="single" w:sz="18" w:space="0" w:color="000000"/>
              <w:right w:val="single" w:sz="18" w:space="0" w:color="000000"/>
            </w:tcBorders>
            <w:shd w:val="clear" w:color="auto" w:fill="auto"/>
            <w:vAlign w:val="center"/>
          </w:tcPr>
          <w:p w14:paraId="1FFC92AA" w14:textId="77777777" w:rsidR="001268BC" w:rsidRPr="009445F0" w:rsidRDefault="001268BC" w:rsidP="00D508E9">
            <w:pPr>
              <w:spacing w:line="276" w:lineRule="auto"/>
              <w:jc w:val="center"/>
              <w:rPr>
                <w:rFonts w:ascii="Arial" w:hAnsi="Arial" w:cs="Arial"/>
                <w:sz w:val="18"/>
                <w:szCs w:val="18"/>
                <w:vertAlign w:val="subscript"/>
              </w:rPr>
            </w:pPr>
            <w:r w:rsidRPr="009445F0">
              <w:rPr>
                <w:rFonts w:ascii="Arial" w:hAnsi="Arial" w:cs="Arial"/>
                <w:sz w:val="18"/>
                <w:szCs w:val="18"/>
              </w:rPr>
              <w:t>4.96 $/kg H</w:t>
            </w:r>
            <w:r w:rsidRPr="009445F0">
              <w:rPr>
                <w:rFonts w:ascii="Arial" w:hAnsi="Arial" w:cs="Arial"/>
                <w:sz w:val="18"/>
                <w:szCs w:val="18"/>
                <w:vertAlign w:val="subscript"/>
              </w:rPr>
              <w:t xml:space="preserve">2 </w:t>
            </w:r>
          </w:p>
          <w:p w14:paraId="3793470B" w14:textId="36D7C09E"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vertAlign w:val="subscript"/>
              </w:rPr>
              <w:fldChar w:fldCharType="begin" w:fldLock="1"/>
            </w:r>
            <w:r w:rsidR="00D27FDA">
              <w:rPr>
                <w:rFonts w:ascii="Arial" w:hAnsi="Arial" w:cs="Arial"/>
                <w:sz w:val="18"/>
                <w:szCs w:val="18"/>
                <w:vertAlign w:val="subscript"/>
              </w:rPr>
              <w:instrText>ADDIN CSL_CITATION {"citationItems":[{"id":"ITEM-1","itemData":{"DOI":"10.1016/j.ultsonch.2021.105536","ISSN":"18732828","PMID":"33823489","abstract":"Hydrogen energy is one of the most suitable green substitutes for harmful fossil fuels and has been investigated widely. This review extensively compiles and compares various methodologies used in the production, storage and usage of hydrogen. Sonochemistry is an emerging synthesis process and intensification technique adapted for the synthesis of novel materials. It manifests acoustic cavitation phenomena caused by ultrasound where higher rates of reactions occur locally. The review discusses the effectiveness of sonochemical routes in developing fuel cell catalysts, fuel refining, biofuel production, chemical processes for hydrogen production and the physical, chemical and electrochemical hydrogen storage techniques. The operational parameters and environmental conditions used during ultrasonication also influence the production rates, which have been elucidated in detail. Hence, this review's major focus addresses sonochemical methods that can contribute to the technical challenges involved in hydrogen usage for energy.","author":[{"dropping-particle":"","family":"Zore","given":"Ujwal Kishor","non-dropping-particle":"","parse-names":false,"suffix":""},{"dropping-particle":"","family":"Yedire","given":"Sripadh Guptha","non-dropping-particle":"","parse-names":false,"suffix":""},{"dropping-particle":"","family":"Pandi","given":"Narasimha","non-dropping-particle":"","parse-names":false,"suffix":""},{"dropping-particle":"","family":"Manickam","given":"Sivakumar","non-dropping-particle":"","parse-names":false,"suffix":""},{"dropping-particle":"","family":"Sonawane","given":"Shirish H.","non-dropping-particle":"","parse-names":false,"suffix":""}],"container-title":"Ultrasonics Sonochemistry","id":"ITEM-1","issued":{"date-parts":[["2021"]]},"title":"A review on recent advances in hydrogen energy, fuel cell, biofuel and fuel refining via ultrasound process intensification","type":"article-journal","volume":"73"},"uris":["http://www.mendeley.com/documents/?uuid=6506d8d8-f37c-45d5-9e82-b8b4ea1e24bf"]}],"mendeley":{"formattedCitation":"(Zore et al., 2021)","manualFormatting":"(Zore, 2021)","plainTextFormattedCitation":"(Zore et al., 2021)","previouslyFormattedCitation":"(Zore et al., 2021)"},"properties":{"noteIndex":0},"schema":"https://github.com/citation-style-language/schema/raw/master/csl-citation.json"}</w:instrText>
            </w:r>
            <w:r w:rsidRPr="009445F0">
              <w:rPr>
                <w:rFonts w:ascii="Arial" w:hAnsi="Arial" w:cs="Arial"/>
                <w:sz w:val="18"/>
                <w:szCs w:val="18"/>
                <w:vertAlign w:val="subscript"/>
              </w:rPr>
              <w:fldChar w:fldCharType="separate"/>
            </w:r>
            <w:r w:rsidRPr="009445F0">
              <w:rPr>
                <w:rFonts w:ascii="Arial" w:hAnsi="Arial" w:cs="Arial"/>
                <w:noProof/>
                <w:sz w:val="18"/>
                <w:szCs w:val="18"/>
              </w:rPr>
              <w:t>(Zore, 2021)</w:t>
            </w:r>
            <w:r w:rsidRPr="009445F0">
              <w:rPr>
                <w:rFonts w:ascii="Arial" w:hAnsi="Arial" w:cs="Arial"/>
                <w:sz w:val="18"/>
                <w:szCs w:val="18"/>
                <w:vertAlign w:val="subscript"/>
              </w:rPr>
              <w:fldChar w:fldCharType="end"/>
            </w:r>
          </w:p>
        </w:tc>
        <w:tc>
          <w:tcPr>
            <w:tcW w:w="1666" w:type="pct"/>
            <w:gridSpan w:val="2"/>
            <w:tcBorders>
              <w:top w:val="single" w:sz="18" w:space="0" w:color="000000"/>
              <w:left w:val="single" w:sz="18" w:space="0" w:color="000000"/>
              <w:bottom w:val="single" w:sz="18" w:space="0" w:color="000000"/>
              <w:right w:val="single" w:sz="18" w:space="0" w:color="000000"/>
            </w:tcBorders>
            <w:shd w:val="clear" w:color="auto" w:fill="A8FFB1"/>
            <w:vAlign w:val="center"/>
          </w:tcPr>
          <w:p w14:paraId="28194F2F" w14:textId="77777777" w:rsidR="001268BC" w:rsidRPr="009445F0" w:rsidRDefault="001268BC" w:rsidP="00D508E9">
            <w:pPr>
              <w:spacing w:line="276" w:lineRule="auto"/>
              <w:jc w:val="center"/>
              <w:rPr>
                <w:rFonts w:ascii="Arial" w:hAnsi="Arial" w:cs="Arial"/>
                <w:sz w:val="18"/>
                <w:szCs w:val="18"/>
                <w:shd w:val="clear" w:color="auto" w:fill="A8FFB1"/>
              </w:rPr>
            </w:pPr>
            <w:r w:rsidRPr="009445F0">
              <w:rPr>
                <w:rFonts w:ascii="Arial" w:hAnsi="Arial" w:cs="Arial"/>
                <w:b/>
                <w:bCs/>
                <w:sz w:val="18"/>
                <w:szCs w:val="18"/>
                <w:shd w:val="clear" w:color="auto" w:fill="A8FFB1"/>
              </w:rPr>
              <w:t>Chemical Method</w:t>
            </w:r>
          </w:p>
        </w:tc>
      </w:tr>
      <w:tr w:rsidR="001268BC" w:rsidRPr="009445F0" w14:paraId="27E045CE" w14:textId="77777777" w:rsidTr="000E579C">
        <w:trPr>
          <w:trHeight w:val="397"/>
        </w:trPr>
        <w:tc>
          <w:tcPr>
            <w:tcW w:w="833" w:type="pct"/>
            <w:tcBorders>
              <w:left w:val="single" w:sz="18" w:space="0" w:color="000000"/>
              <w:bottom w:val="single" w:sz="18" w:space="0" w:color="000000"/>
              <w:right w:val="single" w:sz="18" w:space="0" w:color="000000"/>
            </w:tcBorders>
            <w:shd w:val="clear" w:color="auto" w:fill="auto"/>
            <w:vAlign w:val="center"/>
          </w:tcPr>
          <w:p w14:paraId="7D8E4A8D"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Power Tower</w:t>
            </w:r>
          </w:p>
        </w:tc>
        <w:tc>
          <w:tcPr>
            <w:tcW w:w="833" w:type="pct"/>
            <w:tcBorders>
              <w:left w:val="single" w:sz="18" w:space="0" w:color="000000"/>
              <w:bottom w:val="single" w:sz="18" w:space="0" w:color="000000"/>
              <w:right w:val="single" w:sz="18" w:space="0" w:color="000000"/>
            </w:tcBorders>
            <w:shd w:val="clear" w:color="auto" w:fill="auto"/>
            <w:vAlign w:val="center"/>
          </w:tcPr>
          <w:p w14:paraId="56CF0D9D"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0.29 $/kW</w:t>
            </w:r>
          </w:p>
          <w:p w14:paraId="604A2CC1" w14:textId="1FB83382"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 xml:space="preserve">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{"citationItems":[{"id":"ITEM-1","itemData":{"author":[{"dropping-particle":"","family":"Gielen","given":"Dolf","non-dropping-particle":"","parse-names":false,"suffix":""}],"container-title":"RENEWABLE ENERGY TECHNOLOGIES: COST ANALYSIS SERIES","id":"ITEM-1","issue":"2","issued":{"date-parts":[["2012"]]},"title":"Concentrating Solar Power","type":"article-journal","volume":"1"},"uris":["http://www.mendeley.com/documents/?uuid=29d423f5-4607-4c55-87d2-0ed5b56ca5d4"]}],"mendeley":{"formattedCitation":"(Gielen, 2012)","plainTextFormattedCitation":"(Gielen, 2012)","previouslyFormattedCitation":"(Gielen, 2012)"},"properties":{"noteIndex":0},"schema":"https://github.com/citation-style-language/schema/raw/master/csl-citation.json"}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(Gielen, 2012)</w:t>
            </w:r>
            <w:r w:rsidRPr="009445F0">
              <w:rPr>
                <w:rFonts w:ascii="Arial" w:hAnsi="Arial" w:cs="Arial"/>
                <w:sz w:val="18"/>
                <w:szCs w:val="18"/>
              </w:rPr>
              <w:fldChar w:fldCharType="end"/>
            </w:r>
          </w:p>
        </w:tc>
        <w:tc>
          <w:tcPr>
            <w:tcW w:w="834" w:type="pct"/>
            <w:tcBorders>
              <w:left w:val="single" w:sz="18" w:space="0" w:color="000000"/>
              <w:bottom w:val="single" w:sz="18" w:space="0" w:color="000000"/>
              <w:right w:val="single" w:sz="18" w:space="0" w:color="000000"/>
            </w:tcBorders>
            <w:shd w:val="clear" w:color="auto" w:fill="auto"/>
            <w:vAlign w:val="center"/>
          </w:tcPr>
          <w:p w14:paraId="18A3D776"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AEM</w:t>
            </w:r>
          </w:p>
        </w:tc>
        <w:tc>
          <w:tcPr>
            <w:tcW w:w="834" w:type="pct"/>
            <w:tcBorders>
              <w:left w:val="single" w:sz="18" w:space="0" w:color="000000"/>
              <w:bottom w:val="single" w:sz="18" w:space="0" w:color="000000"/>
              <w:right w:val="single" w:sz="18" w:space="0" w:color="000000"/>
            </w:tcBorders>
            <w:shd w:val="clear" w:color="auto" w:fill="auto"/>
            <w:vAlign w:val="center"/>
          </w:tcPr>
          <w:p w14:paraId="608D7A32" w14:textId="77777777" w:rsidR="001268BC" w:rsidRPr="009445F0" w:rsidRDefault="001268BC" w:rsidP="00D508E9">
            <w:pPr>
              <w:spacing w:line="276" w:lineRule="auto"/>
              <w:jc w:val="center"/>
              <w:rPr>
                <w:rFonts w:ascii="Arial" w:hAnsi="Arial" w:cs="Arial"/>
                <w:sz w:val="18"/>
                <w:szCs w:val="18"/>
                <w:vertAlign w:val="subscript"/>
              </w:rPr>
            </w:pPr>
            <w:r w:rsidRPr="009445F0">
              <w:rPr>
                <w:rFonts w:ascii="Arial" w:hAnsi="Arial" w:cs="Arial"/>
                <w:sz w:val="18"/>
                <w:szCs w:val="18"/>
              </w:rPr>
              <w:t>2.00 $/kg H</w:t>
            </w:r>
            <w:r w:rsidRPr="009445F0">
              <w:rPr>
                <w:rFonts w:ascii="Arial" w:hAnsi="Arial" w:cs="Arial"/>
                <w:sz w:val="18"/>
                <w:szCs w:val="18"/>
                <w:vertAlign w:val="subscript"/>
              </w:rPr>
              <w:t xml:space="preserve">2 </w:t>
            </w:r>
          </w:p>
          <w:p w14:paraId="2E95B013" w14:textId="0D2F374C"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vertAlign w:val="subscript"/>
              </w:rPr>
              <w:fldChar w:fldCharType="begin" w:fldLock="1"/>
            </w:r>
            <w:r w:rsidR="00D27FDA">
              <w:rPr>
                <w:rFonts w:ascii="Arial" w:hAnsi="Arial" w:cs="Arial"/>
                <w:sz w:val="18"/>
                <w:szCs w:val="18"/>
                <w:vertAlign w:val="subscript"/>
              </w:rPr>
              <w:instrText>ADDIN CSL_CITATION {"citationItems":[{"id":"ITEM-1","itemData":{"DOI":"10.1016/j.nanoen.2021.106162","ISSN":"22112855","author":[{"dropping-particle":"","family":"Li","given":"Changqing","non-dropping-particle":"","parse-names":false,"suffix":""},{"dropping-particle":"","family":"Baek","given":"Jong-Beom","non-dropping-particle":"","parse-names":false,"suffix":""}],"container-title":"Nano Energy","id":"ITEM-1","issued":{"date-parts":[["2021","9"]]},"page":"106162","title":"The promise of hydrogen production from alkaline anion exchange membrane electrolyzers","type":"article-journal","volume":"87"},"uris":["http://www.mendeley.com/documents/?uuid=85b4b5a7-df49-45e7-9f86-ece5654b64b0"]}],"mendeley":{"formattedCitation":"(Li and Baek, 2021)","manualFormatting":"(Li, 2021)","plainTextFormattedCitation":"(Li and Baek, 2021)","previouslyFormattedCitation":"(Li and Baek, 2021)"},"properties":{"noteIndex":0},"schema":"https://github.com/citation-style-language/schema/raw/master/csl-citation.json"}</w:instrText>
            </w:r>
            <w:r w:rsidRPr="009445F0">
              <w:rPr>
                <w:rFonts w:ascii="Arial" w:hAnsi="Arial" w:cs="Arial"/>
                <w:sz w:val="18"/>
                <w:szCs w:val="18"/>
                <w:vertAlign w:val="subscript"/>
              </w:rPr>
              <w:fldChar w:fldCharType="separate"/>
            </w:r>
            <w:r w:rsidRPr="009445F0">
              <w:rPr>
                <w:rFonts w:ascii="Arial" w:hAnsi="Arial" w:cs="Arial"/>
                <w:noProof/>
                <w:sz w:val="18"/>
                <w:szCs w:val="18"/>
              </w:rPr>
              <w:t>(Li, 2021)</w:t>
            </w:r>
            <w:r w:rsidRPr="009445F0">
              <w:rPr>
                <w:rFonts w:ascii="Arial" w:hAnsi="Arial" w:cs="Arial"/>
                <w:sz w:val="18"/>
                <w:szCs w:val="18"/>
                <w:vertAlign w:val="subscript"/>
              </w:rPr>
              <w:fldChar w:fldCharType="end"/>
            </w:r>
          </w:p>
        </w:tc>
        <w:tc>
          <w:tcPr>
            <w:tcW w:w="1666" w:type="pct"/>
            <w:gridSpan w:val="2"/>
            <w:tcBorders>
              <w:top w:val="single" w:sz="18" w:space="0" w:color="000000"/>
              <w:left w:val="single" w:sz="18" w:space="0" w:color="000000"/>
              <w:bottom w:val="single" w:sz="12" w:space="0" w:color="auto"/>
              <w:right w:val="single" w:sz="18" w:space="0" w:color="000000"/>
            </w:tcBorders>
            <w:shd w:val="clear" w:color="auto" w:fill="A8FFB1"/>
            <w:vAlign w:val="center"/>
          </w:tcPr>
          <w:p w14:paraId="3F908F8F" w14:textId="77777777" w:rsidR="001268BC" w:rsidRPr="009445F0" w:rsidRDefault="001268BC" w:rsidP="00D508E9">
            <w:pPr>
              <w:spacing w:line="276" w:lineRule="auto"/>
              <w:jc w:val="center"/>
              <w:rPr>
                <w:rFonts w:ascii="Arial" w:hAnsi="Arial" w:cs="Arial"/>
                <w:sz w:val="18"/>
                <w:szCs w:val="18"/>
                <w:shd w:val="clear" w:color="auto" w:fill="A8FFB1"/>
              </w:rPr>
            </w:pPr>
            <w:r w:rsidRPr="009445F0">
              <w:rPr>
                <w:rFonts w:ascii="Arial" w:hAnsi="Arial" w:cs="Arial"/>
                <w:b/>
                <w:bCs/>
                <w:sz w:val="18"/>
                <w:szCs w:val="18"/>
                <w:shd w:val="clear" w:color="auto" w:fill="A8FFB1"/>
              </w:rPr>
              <w:t>Solid Hydride</w:t>
            </w:r>
          </w:p>
        </w:tc>
      </w:tr>
      <w:tr w:rsidR="001268BC" w:rsidRPr="009445F0" w14:paraId="45232542" w14:textId="77777777" w:rsidTr="000E579C">
        <w:trPr>
          <w:trHeight w:val="397"/>
        </w:trPr>
        <w:tc>
          <w:tcPr>
            <w:tcW w:w="1666" w:type="pct"/>
            <w:gridSpan w:val="2"/>
            <w:tcBorders>
              <w:top w:val="single" w:sz="18" w:space="0" w:color="000000"/>
              <w:left w:val="single" w:sz="18" w:space="0" w:color="000000"/>
              <w:bottom w:val="single" w:sz="18" w:space="0" w:color="000000"/>
              <w:right w:val="single" w:sz="18" w:space="0" w:color="000000"/>
            </w:tcBorders>
            <w:shd w:val="clear" w:color="auto" w:fill="A8FFB1"/>
            <w:vAlign w:val="center"/>
          </w:tcPr>
          <w:p w14:paraId="61E2B60B" w14:textId="77777777" w:rsidR="001268BC" w:rsidRPr="009445F0" w:rsidRDefault="001268BC" w:rsidP="00D508E9">
            <w:pPr>
              <w:spacing w:line="276" w:lineRule="auto"/>
              <w:jc w:val="center"/>
              <w:rPr>
                <w:rFonts w:ascii="Arial" w:hAnsi="Arial" w:cs="Arial"/>
                <w:sz w:val="18"/>
                <w:szCs w:val="18"/>
                <w:shd w:val="clear" w:color="auto" w:fill="A8FFB1"/>
              </w:rPr>
            </w:pPr>
            <w:r w:rsidRPr="009445F0">
              <w:rPr>
                <w:rFonts w:ascii="Arial" w:hAnsi="Arial" w:cs="Arial"/>
                <w:b/>
                <w:bCs/>
                <w:sz w:val="18"/>
                <w:szCs w:val="18"/>
                <w:shd w:val="clear" w:color="auto" w:fill="A8FFB1"/>
              </w:rPr>
              <w:t>Biomass Energy (EFB)</w:t>
            </w:r>
          </w:p>
        </w:tc>
        <w:tc>
          <w:tcPr>
            <w:tcW w:w="1668" w:type="pct"/>
            <w:gridSpan w:val="2"/>
            <w:tcBorders>
              <w:top w:val="single" w:sz="18" w:space="0" w:color="000000"/>
              <w:left w:val="single" w:sz="18" w:space="0" w:color="000000"/>
              <w:bottom w:val="single" w:sz="18" w:space="0" w:color="000000"/>
              <w:right w:val="single" w:sz="18" w:space="0" w:color="000000"/>
            </w:tcBorders>
            <w:shd w:val="clear" w:color="auto" w:fill="A8FFB1"/>
            <w:vAlign w:val="center"/>
          </w:tcPr>
          <w:p w14:paraId="516EA567" w14:textId="77777777" w:rsidR="001268BC" w:rsidRPr="009445F0" w:rsidRDefault="001268BC" w:rsidP="00D508E9">
            <w:pPr>
              <w:spacing w:line="276" w:lineRule="auto"/>
              <w:jc w:val="center"/>
              <w:rPr>
                <w:rFonts w:ascii="Arial" w:hAnsi="Arial" w:cs="Arial"/>
                <w:sz w:val="18"/>
                <w:szCs w:val="18"/>
                <w:shd w:val="clear" w:color="auto" w:fill="A8FFB1"/>
              </w:rPr>
            </w:pPr>
            <w:r w:rsidRPr="009445F0">
              <w:rPr>
                <w:rFonts w:ascii="Arial" w:hAnsi="Arial" w:cs="Arial"/>
                <w:b/>
                <w:bCs/>
                <w:sz w:val="18"/>
                <w:szCs w:val="18"/>
                <w:shd w:val="clear" w:color="auto" w:fill="A8FFB1"/>
              </w:rPr>
              <w:t>Green H</w:t>
            </w:r>
            <w:r w:rsidRPr="009445F0">
              <w:rPr>
                <w:rFonts w:ascii="Arial" w:hAnsi="Arial" w:cs="Arial"/>
                <w:b/>
                <w:bCs/>
                <w:sz w:val="18"/>
                <w:szCs w:val="18"/>
                <w:shd w:val="clear" w:color="auto" w:fill="A8FFB1"/>
                <w:vertAlign w:val="subscript"/>
              </w:rPr>
              <w:t>2</w:t>
            </w:r>
            <w:r w:rsidRPr="009445F0">
              <w:rPr>
                <w:rFonts w:ascii="Arial" w:hAnsi="Arial" w:cs="Arial"/>
                <w:b/>
                <w:bCs/>
                <w:sz w:val="18"/>
                <w:szCs w:val="18"/>
                <w:shd w:val="clear" w:color="auto" w:fill="A8FFB1"/>
              </w:rPr>
              <w:t xml:space="preserve"> (POME)</w:t>
            </w:r>
          </w:p>
        </w:tc>
        <w:tc>
          <w:tcPr>
            <w:tcW w:w="834" w:type="pct"/>
            <w:tcBorders>
              <w:top w:val="single" w:sz="18" w:space="0" w:color="000000"/>
              <w:left w:val="single" w:sz="18" w:space="0" w:color="000000"/>
              <w:bottom w:val="single" w:sz="18" w:space="0" w:color="000000"/>
              <w:right w:val="single" w:sz="18" w:space="0" w:color="000000"/>
            </w:tcBorders>
            <w:shd w:val="clear" w:color="auto" w:fill="auto"/>
            <w:vAlign w:val="center"/>
          </w:tcPr>
          <w:p w14:paraId="1CCC3F5B"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Metal Hydride</w:t>
            </w:r>
          </w:p>
        </w:tc>
        <w:tc>
          <w:tcPr>
            <w:tcW w:w="832" w:type="pct"/>
            <w:tcBorders>
              <w:top w:val="single" w:sz="18" w:space="0" w:color="000000"/>
              <w:left w:val="single" w:sz="18" w:space="0" w:color="000000"/>
              <w:bottom w:val="single" w:sz="18" w:space="0" w:color="000000"/>
              <w:right w:val="single" w:sz="18" w:space="0" w:color="000000"/>
            </w:tcBorders>
            <w:shd w:val="clear" w:color="auto" w:fill="auto"/>
            <w:vAlign w:val="center"/>
          </w:tcPr>
          <w:p w14:paraId="62A73EDA" w14:textId="300512FD"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1,430.00 $/kg H</w:t>
            </w:r>
            <w:r w:rsidRPr="009445F0">
              <w:rPr>
                <w:rFonts w:ascii="Arial" w:hAnsi="Arial" w:cs="Arial"/>
                <w:sz w:val="18"/>
                <w:szCs w:val="18"/>
                <w:vertAlign w:val="subscript"/>
              </w:rPr>
              <w:t xml:space="preserve">2 </w:t>
            </w:r>
            <w:r w:rsidRPr="009445F0">
              <w:rPr>
                <w:rFonts w:ascii="Arial" w:hAnsi="Arial" w:cs="Arial"/>
                <w:sz w:val="18"/>
                <w:szCs w:val="18"/>
                <w:vertAlign w:val="subscript"/>
              </w:rPr>
              <w:fldChar w:fldCharType="begin" w:fldLock="1"/>
            </w:r>
            <w:r w:rsidR="00D27FDA">
              <w:rPr>
                <w:rFonts w:ascii="Arial" w:hAnsi="Arial" w:cs="Arial"/>
                <w:sz w:val="18"/>
                <w:szCs w:val="18"/>
                <w:vertAlign w:val="subscript"/>
              </w:rPr>
              <w:instrText>ADDIN CSL_CITATION {"citationItems":[{"id":"ITEM-1","itemData":{"author":[{"dropping-particle":"","family":"EERE","given":"","non-dropping-particle":"","parse-names":false,"suffix":""}],"container-title":"Office of Energy Efficiency &amp; Renewable Energy","id":"ITEM-1","issued":{"date-parts":[["2013"]]},"title":"Materials-Based Hydrogen Storage","type":"webpage"},"uris":["http://www.mendeley.com/documents/?uuid=5e2eb7e0-0ab8-480a-a65a-5b1018ee6ad8"]}],"mendeley":{"formattedCitation":"(EERE, 2013)","plainTextFormattedCitation":"(EERE, 2013)","previouslyFormattedCitation":"(EERE, 2013)"},"properties":{"noteIndex":0},"schema":"https://github.com/citation-style-language/schema/raw/master/csl-citation.json"}</w:instrText>
            </w:r>
            <w:r w:rsidRPr="009445F0">
              <w:rPr>
                <w:rFonts w:ascii="Arial" w:hAnsi="Arial" w:cs="Arial"/>
                <w:sz w:val="18"/>
                <w:szCs w:val="18"/>
                <w:vertAlign w:val="subscript"/>
              </w:rPr>
              <w:fldChar w:fldCharType="separate"/>
            </w:r>
            <w:r w:rsidRPr="009445F0">
              <w:rPr>
                <w:rFonts w:ascii="Arial" w:hAnsi="Arial" w:cs="Arial"/>
                <w:noProof/>
                <w:sz w:val="18"/>
                <w:szCs w:val="18"/>
              </w:rPr>
              <w:t>(EERE, 2013)</w:t>
            </w:r>
            <w:r w:rsidRPr="009445F0">
              <w:rPr>
                <w:rFonts w:ascii="Arial" w:hAnsi="Arial" w:cs="Arial"/>
                <w:sz w:val="18"/>
                <w:szCs w:val="18"/>
                <w:vertAlign w:val="subscript"/>
              </w:rPr>
              <w:fldChar w:fldCharType="end"/>
            </w:r>
          </w:p>
        </w:tc>
      </w:tr>
      <w:tr w:rsidR="001268BC" w:rsidRPr="009445F0" w14:paraId="6D34271F" w14:textId="77777777" w:rsidTr="000E579C">
        <w:trPr>
          <w:trHeight w:val="397"/>
        </w:trPr>
        <w:tc>
          <w:tcPr>
            <w:tcW w:w="833" w:type="pct"/>
            <w:tcBorders>
              <w:top w:val="single" w:sz="18" w:space="0" w:color="000000"/>
              <w:left w:val="single" w:sz="18" w:space="0" w:color="000000"/>
              <w:right w:val="single" w:sz="18" w:space="0" w:color="000000"/>
            </w:tcBorders>
            <w:shd w:val="clear" w:color="auto" w:fill="auto"/>
            <w:vAlign w:val="center"/>
          </w:tcPr>
          <w:p w14:paraId="70593CAD"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Combustion</w:t>
            </w:r>
          </w:p>
        </w:tc>
        <w:tc>
          <w:tcPr>
            <w:tcW w:w="833" w:type="pct"/>
            <w:tcBorders>
              <w:top w:val="single" w:sz="18" w:space="0" w:color="000000"/>
              <w:left w:val="single" w:sz="18" w:space="0" w:color="000000"/>
              <w:right w:val="single" w:sz="18" w:space="0" w:color="000000"/>
            </w:tcBorders>
            <w:shd w:val="clear" w:color="auto" w:fill="auto"/>
            <w:vAlign w:val="center"/>
          </w:tcPr>
          <w:p w14:paraId="2A79A1AD"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0.15 $/kW</w:t>
            </w:r>
          </w:p>
          <w:p w14:paraId="173C21D2" w14:textId="6D38515D"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 xml:space="preserve">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{"citationItems":[{"id":"ITEM-1","itemData":{"author":[{"dropping-particle":"","family":"FEMP","given":"","non-dropping-particle":"","parse-names":false,"suffix":""}],"container-title":"U.S. Department of Energy","id":"ITEM-1","issued":{"date-parts":[["2016"]]},"title":"Biomass For Electricity Generation","type":"webpage"},"uris":["http://www.mendeley.com/documents/?uuid=abe9acca-5919-4b7f-94e6-861e63e33b7e"]}],"mendeley":{"formattedCitation":"(FEMP, 2016)","plainTextFormattedCitation":"(FEMP, 2016)","previouslyFormattedCitation":"(FEMP, 2016)"},"properties":{"noteIndex":0},"schema":"https://github.com/citation-style-language/schema/raw/master/csl-citation.json"}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(FEMP, 2016)</w:t>
            </w:r>
            <w:r w:rsidRPr="009445F0">
              <w:rPr>
                <w:rFonts w:ascii="Arial" w:hAnsi="Arial" w:cs="Arial"/>
                <w:sz w:val="18"/>
                <w:szCs w:val="18"/>
              </w:rPr>
              <w:fldChar w:fldCharType="end"/>
            </w:r>
          </w:p>
        </w:tc>
        <w:tc>
          <w:tcPr>
            <w:tcW w:w="834" w:type="pct"/>
            <w:tcBorders>
              <w:top w:val="single" w:sz="18" w:space="0" w:color="000000"/>
              <w:left w:val="single" w:sz="18" w:space="0" w:color="000000"/>
              <w:right w:val="single" w:sz="18" w:space="0" w:color="000000"/>
            </w:tcBorders>
            <w:shd w:val="clear" w:color="auto" w:fill="auto"/>
            <w:vAlign w:val="center"/>
          </w:tcPr>
          <w:p w14:paraId="78EA4310"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 xml:space="preserve">DF </w:t>
            </w:r>
          </w:p>
        </w:tc>
        <w:tc>
          <w:tcPr>
            <w:tcW w:w="834" w:type="pct"/>
            <w:tcBorders>
              <w:top w:val="single" w:sz="18" w:space="0" w:color="000000"/>
              <w:left w:val="single" w:sz="18" w:space="0" w:color="000000"/>
              <w:right w:val="single" w:sz="18" w:space="0" w:color="000000"/>
            </w:tcBorders>
            <w:shd w:val="clear" w:color="auto" w:fill="auto"/>
            <w:vAlign w:val="center"/>
          </w:tcPr>
          <w:p w14:paraId="4E1BAB7B" w14:textId="77777777" w:rsidR="001268BC" w:rsidRPr="009445F0" w:rsidRDefault="001268BC" w:rsidP="00D508E9">
            <w:pPr>
              <w:spacing w:line="276" w:lineRule="auto"/>
              <w:jc w:val="center"/>
              <w:rPr>
                <w:rFonts w:ascii="Arial" w:hAnsi="Arial" w:cs="Arial"/>
                <w:sz w:val="18"/>
                <w:szCs w:val="18"/>
                <w:vertAlign w:val="subscript"/>
              </w:rPr>
            </w:pPr>
            <w:r w:rsidRPr="009445F0">
              <w:rPr>
                <w:rFonts w:ascii="Arial" w:hAnsi="Arial" w:cs="Arial"/>
                <w:sz w:val="18"/>
                <w:szCs w:val="18"/>
              </w:rPr>
              <w:t>2.57 $/kg H</w:t>
            </w:r>
            <w:r w:rsidRPr="009445F0">
              <w:rPr>
                <w:rFonts w:ascii="Arial" w:hAnsi="Arial" w:cs="Arial"/>
                <w:sz w:val="18"/>
                <w:szCs w:val="18"/>
                <w:vertAlign w:val="subscript"/>
              </w:rPr>
              <w:t xml:space="preserve">2 </w:t>
            </w:r>
          </w:p>
          <w:p w14:paraId="168E7277" w14:textId="1FA1B3F1"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10.1016/j.aej.2015.10.008","ISSN":"11100168","author":[{"dropping-particle":"","family":"Kadier","given":"Abudukeremu","non-dropping-particle":"","parse-names":false,"suffix":""},{"dropping-particle":"","family":"Simayi","given":"Yibadatihan","non-dropping-particle":"","parse-names":false,"suffix":""},{"dropping-particle":"","family":"Abdeshahian","given":"Peyman","non-dropping-particle":"","parse-names":false,"suffix":""},{"dropping-particle":"","family":"Azman","given":"Nadia Farhana","non-dropping-particle":"","parse-names":false,"suffix":""},{"dropping-particle":"","family":"Chandrasekhar","given":"K.","non-dropping-particle":"","parse-names":false,"suffix":""},{"dropping-particle":"","family":"Kalil","given":"Mohd Sahaid","non-dropping-particle":"","parse-names":false,"suffix":""}],"container-title":"Alexandria Engineering Journal","id":"ITEM-1","issue":"1","issued":{"date-parts":[["2016","3"]]},"page":"427-443","title":"A comprehensive review of microbial electrolysis cells (MEC) reactor designs and configurations for sustainable hydrogen gas production","type":"article-journal","volume":"55"},"uris":["http://www.mendeley.com/documents/?uuid=91094125-5eca-493f-a93a-b8f10b8f7413"]}],"mendeley":{"formattedCitation":"(Kadier et al., 2016)","manualFormatting":"(Kadier, 2016)","plainTextFormattedCitation":"(Kadier et al., 2016)","previouslyFormattedCitation":"(Kadier et al., 2016)"},"properties":{"noteIndex":0},"schema":"https://github.com/citation-style-language/schema/raw/master/csl-citation.json"}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(Kadier, 2016)</w:t>
            </w:r>
            <w:r w:rsidRPr="009445F0">
              <w:rPr>
                <w:rFonts w:ascii="Arial" w:hAnsi="Arial" w:cs="Arial"/>
                <w:sz w:val="18"/>
                <w:szCs w:val="18"/>
              </w:rPr>
              <w:fldChar w:fldCharType="end"/>
            </w:r>
          </w:p>
        </w:tc>
        <w:tc>
          <w:tcPr>
            <w:tcW w:w="1666" w:type="pct"/>
            <w:gridSpan w:val="2"/>
            <w:tcBorders>
              <w:top w:val="single" w:sz="18" w:space="0" w:color="000000"/>
              <w:left w:val="single" w:sz="18" w:space="0" w:color="000000"/>
              <w:bottom w:val="single" w:sz="18" w:space="0" w:color="000000"/>
              <w:right w:val="single" w:sz="18" w:space="0" w:color="000000"/>
            </w:tcBorders>
            <w:shd w:val="clear" w:color="auto" w:fill="A8FFB1"/>
            <w:vAlign w:val="center"/>
          </w:tcPr>
          <w:p w14:paraId="71C9FE78"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b/>
                <w:bCs/>
                <w:sz w:val="18"/>
                <w:szCs w:val="18"/>
                <w:shd w:val="clear" w:color="auto" w:fill="A8FFB1"/>
              </w:rPr>
              <w:t>Chemical Storage</w:t>
            </w:r>
          </w:p>
        </w:tc>
      </w:tr>
      <w:tr w:rsidR="001268BC" w:rsidRPr="009445F0" w14:paraId="27DE1A81" w14:textId="77777777" w:rsidTr="000E579C">
        <w:trPr>
          <w:trHeight w:val="397"/>
        </w:trPr>
        <w:tc>
          <w:tcPr>
            <w:tcW w:w="833" w:type="pct"/>
            <w:tcBorders>
              <w:left w:val="single" w:sz="18" w:space="0" w:color="000000"/>
              <w:right w:val="single" w:sz="18" w:space="0" w:color="000000"/>
            </w:tcBorders>
            <w:shd w:val="clear" w:color="auto" w:fill="auto"/>
            <w:vAlign w:val="center"/>
          </w:tcPr>
          <w:p w14:paraId="04CDAEE6"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Pyrolysis</w:t>
            </w:r>
          </w:p>
        </w:tc>
        <w:tc>
          <w:tcPr>
            <w:tcW w:w="833" w:type="pct"/>
            <w:tcBorders>
              <w:left w:val="single" w:sz="18" w:space="0" w:color="000000"/>
              <w:right w:val="single" w:sz="18" w:space="0" w:color="000000"/>
            </w:tcBorders>
            <w:shd w:val="clear" w:color="auto" w:fill="auto"/>
            <w:vAlign w:val="center"/>
          </w:tcPr>
          <w:p w14:paraId="61BB70EA"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0.21 $/kW</w:t>
            </w:r>
          </w:p>
          <w:p w14:paraId="6EE7A629" w14:textId="7A911EA8"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 xml:space="preserve">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10.1016/j.energy.2020.117713","ISSN":"03605442","author":[{"dropping-particle":"","family":"Montoya","given":"Jorge","non-dropping-particle":"","parse-names":false,"suffix":""},{"dropping-particle":"","family":"Valdés","given":"Carlos","non-dropping-particle":"","parse-names":false,"suffix":""},{"dropping-particle":"","family":"Chaquea","given":"Hernando","non-dropping-particle":"","parse-names":false,"suffix":""},{"dropping-particle":"","family":"Pecha","given":"M. Brennan","non-dropping-particle":"","parse-names":false,"suffix":""},{"dropping-particle":"","family":"Chejne","given":"Farid","non-dropping-particle":"","parse-names":false,"suffix":""}],"container-title":"Energy","id":"ITEM-1","issued":{"date-parts":[["2020","7"]]},"page":"117713","title":"Surplus electricity production and LCOE estimation in Colombian palm oil mills using empty fresh bunches (EFB) as fuel","type":"article-journal","volume":"202"},"uris":["http://www.mendeley.com/documents/?uuid=c053edc9-1ef4-44ac-9fcd-527bdec77320"]}],"mendeley":{"formattedCitation":"(Montoya et al., 2020)","manualFormatting":"(Montoya, 2020)","plainTextFormattedCitation":"(Montoya et al., 2020)","previouslyFormattedCitation":"(Montoya et al., 2020)"},"properties":{"noteIndex":0},"schema":"https://github.com/citation-style-language/schema/raw/master/csl-citation.json"}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(Montoya, 2020)</w:t>
            </w:r>
            <w:r w:rsidRPr="009445F0">
              <w:rPr>
                <w:rFonts w:ascii="Arial" w:hAnsi="Arial" w:cs="Arial"/>
                <w:sz w:val="18"/>
                <w:szCs w:val="18"/>
              </w:rPr>
              <w:fldChar w:fldCharType="end"/>
            </w:r>
          </w:p>
        </w:tc>
        <w:tc>
          <w:tcPr>
            <w:tcW w:w="834" w:type="pct"/>
            <w:tcBorders>
              <w:left w:val="single" w:sz="18" w:space="0" w:color="000000"/>
              <w:bottom w:val="single" w:sz="18" w:space="0" w:color="000000"/>
              <w:right w:val="single" w:sz="18" w:space="0" w:color="000000"/>
            </w:tcBorders>
            <w:shd w:val="clear" w:color="auto" w:fill="auto"/>
            <w:vAlign w:val="center"/>
          </w:tcPr>
          <w:p w14:paraId="47DE54FA" w14:textId="074012E6"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 xml:space="preserve">MEC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10.1016/j.aej.2015.10.008","ISSN":"11100168","author":[{"dropping-particle":"","family":"Kadier","given":"Abudukeremu","non-dropping-particle":"","parse-names":false,"suffix":""},{"dropping-particle":"","family":"Simayi","given":"Yibadatihan","non-dropping-particle":"","parse-names":false,"suffix":""},{"dropping-particle":"","family":"Abdeshahian","given":"Peyman","non-dropping-particle":"","parse-names":false,"suffix":""},{"dropping-particle":"","family":"Azman","given":"Nadia Farhana","non-dropping-particle":"","parse-names":false,"suffix":""},{"dropping-particle":"","family":"Chandrasekhar","given":"K.","non-dropping-particle":"","parse-names":false,"suffix":""},{"dropping-particle":"","family":"Kalil","given":"Mohd Sahaid","non-dropping-particle":"","parse-names":false,"suffix":""}],"container-title":"Alexandria Engineering Journal","id":"ITEM-1","issue":"1","issued":{"date-parts":[["2016","3"]]},"page":"427-443","title":"A comprehensive review of microbial electrolysis cells (MEC) reactor designs and configurations for sustainable hydrogen gas production","type":"article-journal","volume":"55"},"uris":["http://www.mendeley.com/documents/?uuid=91094125-5eca-493f-a93a-b8f10b8f7413"]}],"mendeley":{"formattedCitation":"(Kadier et al., 2016)","plainTextFormattedCitation":"(Kadier et al., 2016)","previouslyFormattedCitation":"(Kadier et al., 2016)"},"properties":{"noteIndex":0},"schema":"https://github.com/citation-style-language/schema/raw/master/csl-citation.json"}</w:instrText>
            </w:r>
            <w:r w:rsidRPr="009445F0">
              <w:rPr>
                <w:rFonts w:ascii="Arial" w:hAnsi="Arial" w:cs="Arial"/>
                <w:sz w:val="18"/>
                <w:szCs w:val="18"/>
              </w:rPr>
              <w:fldChar w:fldCharType="separate"/>
            </w:r>
            <w:r w:rsidRPr="00D27FDA">
              <w:rPr>
                <w:rFonts w:ascii="Arial" w:hAnsi="Arial" w:cs="Arial"/>
                <w:noProof/>
                <w:sz w:val="18"/>
                <w:szCs w:val="18"/>
              </w:rPr>
              <w:t>(Kadier et al., 2016)</w:t>
            </w:r>
            <w:r w:rsidRPr="009445F0">
              <w:rPr>
                <w:rFonts w:ascii="Arial" w:hAnsi="Arial" w:cs="Arial"/>
                <w:sz w:val="18"/>
                <w:szCs w:val="18"/>
              </w:rPr>
              <w:fldChar w:fldCharType="end"/>
            </w:r>
          </w:p>
        </w:tc>
        <w:tc>
          <w:tcPr>
            <w:tcW w:w="834" w:type="pct"/>
            <w:tcBorders>
              <w:left w:val="single" w:sz="18" w:space="0" w:color="000000"/>
              <w:bottom w:val="single" w:sz="18" w:space="0" w:color="000000"/>
              <w:right w:val="single" w:sz="18" w:space="0" w:color="000000"/>
            </w:tcBorders>
            <w:shd w:val="clear" w:color="auto" w:fill="auto"/>
            <w:vAlign w:val="center"/>
          </w:tcPr>
          <w:p w14:paraId="376ECBD2" w14:textId="77777777" w:rsidR="001268BC" w:rsidRPr="009445F0" w:rsidRDefault="001268BC" w:rsidP="00D508E9">
            <w:pPr>
              <w:spacing w:line="276" w:lineRule="auto"/>
              <w:jc w:val="center"/>
              <w:rPr>
                <w:rFonts w:ascii="Arial" w:hAnsi="Arial" w:cs="Arial"/>
                <w:sz w:val="18"/>
                <w:szCs w:val="18"/>
                <w:vertAlign w:val="subscript"/>
              </w:rPr>
            </w:pPr>
            <w:r w:rsidRPr="009445F0">
              <w:rPr>
                <w:rFonts w:ascii="Arial" w:hAnsi="Arial" w:cs="Arial"/>
                <w:sz w:val="18"/>
                <w:szCs w:val="18"/>
              </w:rPr>
              <w:t>2.60 $/kg H</w:t>
            </w:r>
            <w:r w:rsidRPr="009445F0">
              <w:rPr>
                <w:rFonts w:ascii="Arial" w:hAnsi="Arial" w:cs="Arial"/>
                <w:sz w:val="18"/>
                <w:szCs w:val="18"/>
                <w:vertAlign w:val="subscript"/>
              </w:rPr>
              <w:t xml:space="preserve">2 </w:t>
            </w:r>
          </w:p>
          <w:p w14:paraId="308DF854" w14:textId="21DA304A"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10.1016/j.aej.2015.10.008","ISSN":"11100168","author":[{"dropping-particle":"","family":"Kadier","given":"Abudukeremu","non-dropping-particle":"","parse-names":false,"suffix":""},{"dropping-particle":"","family":"Simayi","given":"Yibadatihan","non-dropping-particle":"","parse-names":false,"suffix":""},{"dropping-particle":"","family":"Abdeshahian","given":"Peyman","non-dropping-particle":"","parse-names":false,"suffix":""},{"dropping-particle":"","family":"Azman","given":"Nadia Farhana","non-dropping-particle":"","parse-names":false,"suffix":""},{"dropping-particle":"","family":"Chandrasekhar","given":"K.","non-dropping-particle":"","parse-names":false,"suffix":""},{"dropping-particle":"","family":"Kalil","given":"Mohd Sahaid","non-dropping-particle":"","parse-names":false,"suffix":""}],"container-title":"Alexandria Engineering Journal","id":"ITEM-1","issue":"1","issued":{"date-parts":[["2016","3"]]},"page":"427-443","title":"A comprehensive review of microbial electrolysis cells (MEC) reactor designs and configurations for sustainable hydrogen gas production","type":"article-journal","volume":"55"},"uris":["http://www.mendeley.com/documents/?uuid=91094125-5eca-493f-a93a-b8f10b8f7413"]}],"mendeley":{"formattedCitation":"(Kadier et al., 2016)","manualFormatting":"(Kadier, 2016)","plainTextFormattedCitation":"(Kadier et al., 2016)","previouslyFormattedCitation":"(Kadier et al., 2016)"},"properties":{"noteIndex":0},"schema":"https://github.com/citation-style-language/schema/raw/master/csl-citation.json"}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(Kadier, 2016)</w:t>
            </w:r>
            <w:r w:rsidRPr="009445F0">
              <w:rPr>
                <w:rFonts w:ascii="Arial" w:hAnsi="Arial" w:cs="Arial"/>
                <w:sz w:val="18"/>
                <w:szCs w:val="18"/>
              </w:rPr>
              <w:fldChar w:fldCharType="end"/>
            </w:r>
          </w:p>
        </w:tc>
        <w:tc>
          <w:tcPr>
            <w:tcW w:w="834" w:type="pct"/>
            <w:tcBorders>
              <w:top w:val="single" w:sz="18" w:space="0" w:color="000000"/>
              <w:left w:val="single" w:sz="18" w:space="0" w:color="000000"/>
              <w:bottom w:val="single" w:sz="18" w:space="0" w:color="000000"/>
              <w:right w:val="single" w:sz="18" w:space="0" w:color="000000"/>
            </w:tcBorders>
            <w:shd w:val="clear" w:color="auto" w:fill="auto"/>
            <w:vAlign w:val="center"/>
          </w:tcPr>
          <w:p w14:paraId="517C7B77"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LOH</w:t>
            </w:r>
          </w:p>
        </w:tc>
        <w:tc>
          <w:tcPr>
            <w:tcW w:w="832" w:type="pct"/>
            <w:tcBorders>
              <w:top w:val="single" w:sz="18" w:space="0" w:color="000000"/>
              <w:left w:val="single" w:sz="18" w:space="0" w:color="000000"/>
              <w:bottom w:val="single" w:sz="18" w:space="0" w:color="000000"/>
              <w:right w:val="single" w:sz="18" w:space="0" w:color="000000"/>
            </w:tcBorders>
            <w:shd w:val="clear" w:color="auto" w:fill="auto"/>
            <w:vAlign w:val="center"/>
          </w:tcPr>
          <w:p w14:paraId="2F9972FA" w14:textId="77777777" w:rsidR="001268BC" w:rsidRPr="009445F0" w:rsidRDefault="001268BC" w:rsidP="00D508E9">
            <w:pPr>
              <w:spacing w:line="276" w:lineRule="auto"/>
              <w:jc w:val="center"/>
              <w:rPr>
                <w:rFonts w:ascii="Arial" w:hAnsi="Arial" w:cs="Arial"/>
                <w:sz w:val="18"/>
                <w:szCs w:val="18"/>
                <w:vertAlign w:val="subscript"/>
              </w:rPr>
            </w:pPr>
            <w:r w:rsidRPr="009445F0">
              <w:rPr>
                <w:rFonts w:ascii="Arial" w:hAnsi="Arial" w:cs="Arial"/>
                <w:sz w:val="18"/>
                <w:szCs w:val="18"/>
              </w:rPr>
              <w:t>1.54 $/kg H</w:t>
            </w:r>
            <w:r w:rsidRPr="009445F0">
              <w:rPr>
                <w:rFonts w:ascii="Arial" w:hAnsi="Arial" w:cs="Arial"/>
                <w:sz w:val="18"/>
                <w:szCs w:val="18"/>
                <w:vertAlign w:val="subscript"/>
              </w:rPr>
              <w:t xml:space="preserve">2 </w:t>
            </w:r>
          </w:p>
          <w:p w14:paraId="2CDCA621" w14:textId="1F6AA1A0"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vertAlign w:val="subscript"/>
              </w:rPr>
              <w:fldChar w:fldCharType="begin" w:fldLock="1"/>
            </w:r>
            <w:r w:rsidR="00D27FDA">
              <w:rPr>
                <w:rFonts w:ascii="Arial" w:hAnsi="Arial" w:cs="Arial"/>
                <w:sz w:val="18"/>
                <w:szCs w:val="18"/>
                <w:vertAlign w:val="subscript"/>
              </w:rPr>
              <w:instrText>ADDIN CSL_CITATION {"citationItems":[{"id":"ITEM-1","itemData":{"author":[{"dropping-particle":"","family":"Daniel","given":"","non-dropping-particle":"","parse-names":false,"suffix":""}],"container-title":"Hydrogenious LOHC Technologies GmbH","id":"ITEM-1","issued":{"date-parts":[["2020"]]},"title":"Unlocking the Global Hydrogen Opportunity, by Charlie Clark, AP Ventures","type":"webpage"},"uris":["http://www.mendeley.com/documents/?uuid=cd04cd44-cf3d-4087-97bf-958978f02328"]}],"mendeley":{"formattedCitation":"(Daniel, 2020)","plainTextFormattedCitation":"(Daniel, 2020)","previouslyFormattedCitation":"(Daniel, 2020)"},"properties":{"noteIndex":0},"schema":"https://github.com/citation-style-language/schema/raw/master/csl-citation.json"}</w:instrText>
            </w:r>
            <w:r w:rsidRPr="009445F0">
              <w:rPr>
                <w:rFonts w:ascii="Arial" w:hAnsi="Arial" w:cs="Arial"/>
                <w:sz w:val="18"/>
                <w:szCs w:val="18"/>
                <w:vertAlign w:val="subscript"/>
              </w:rPr>
              <w:fldChar w:fldCharType="separate"/>
            </w:r>
            <w:r w:rsidRPr="009445F0">
              <w:rPr>
                <w:rFonts w:ascii="Arial" w:hAnsi="Arial" w:cs="Arial"/>
                <w:noProof/>
                <w:sz w:val="18"/>
                <w:szCs w:val="18"/>
              </w:rPr>
              <w:t>(Daniel, 2020)</w:t>
            </w:r>
            <w:r w:rsidRPr="009445F0">
              <w:rPr>
                <w:rFonts w:ascii="Arial" w:hAnsi="Arial" w:cs="Arial"/>
                <w:sz w:val="18"/>
                <w:szCs w:val="18"/>
                <w:vertAlign w:val="subscript"/>
              </w:rPr>
              <w:fldChar w:fldCharType="end"/>
            </w:r>
          </w:p>
        </w:tc>
      </w:tr>
      <w:tr w:rsidR="001268BC" w:rsidRPr="009445F0" w14:paraId="345E8F57" w14:textId="77777777" w:rsidTr="000E579C">
        <w:trPr>
          <w:trHeight w:val="397"/>
        </w:trPr>
        <w:tc>
          <w:tcPr>
            <w:tcW w:w="833" w:type="pct"/>
            <w:tcBorders>
              <w:left w:val="single" w:sz="18" w:space="0" w:color="000000"/>
              <w:bottom w:val="single" w:sz="18" w:space="0" w:color="000000"/>
              <w:right w:val="single" w:sz="18" w:space="0" w:color="000000"/>
            </w:tcBorders>
            <w:shd w:val="clear" w:color="auto" w:fill="auto"/>
            <w:vAlign w:val="center"/>
          </w:tcPr>
          <w:p w14:paraId="0EAB8A87"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Gasification</w:t>
            </w:r>
          </w:p>
        </w:tc>
        <w:tc>
          <w:tcPr>
            <w:tcW w:w="833" w:type="pct"/>
            <w:tcBorders>
              <w:left w:val="single" w:sz="18" w:space="0" w:color="000000"/>
              <w:bottom w:val="single" w:sz="18" w:space="0" w:color="000000"/>
              <w:right w:val="single" w:sz="18" w:space="0" w:color="000000"/>
            </w:tcBorders>
            <w:shd w:val="clear" w:color="auto" w:fill="auto"/>
            <w:vAlign w:val="center"/>
          </w:tcPr>
          <w:p w14:paraId="65EE1157"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 xml:space="preserve">0.27 $/kW </w:t>
            </w:r>
          </w:p>
          <w:p w14:paraId="791C2E90" w14:textId="1AF3A8D0"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Dimpl","given":"Elmar","non-dropping-particle":"","parse-names":false,"suffix":""}],"id":"ITEM-1","issued":{"date-parts":[["2011"]]},"number-of-pages":"1 - 17","publisher-place":"Eschborn","title":"Small-scale Electricity Generation from Biomass","type":"report"},"uris":["http://www.mendeley.com/documents/?uuid=45958d98-d288-4bec-933d-b5b5727333bb"]}],"mendeley":{"formattedCitation":"(Dimpl, 2011)","plainTextFormattedCitation":"(Dimpl, 2011)","previouslyFormattedCitation":"(Dimpl, 2011)"},"properties":{"noteIndex":0},"schema":"https://github.com/citation-style-language/schema/raw/master/csl-citation.json"}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(Dimpl, 2011)</w:t>
            </w:r>
            <w:r w:rsidRPr="009445F0">
              <w:rPr>
                <w:rFonts w:ascii="Arial" w:hAnsi="Arial" w:cs="Arial"/>
                <w:sz w:val="18"/>
                <w:szCs w:val="18"/>
              </w:rPr>
              <w:fldChar w:fldCharType="end"/>
            </w:r>
          </w:p>
        </w:tc>
        <w:tc>
          <w:tcPr>
            <w:tcW w:w="1668" w:type="pct"/>
            <w:gridSpan w:val="2"/>
            <w:tcBorders>
              <w:top w:val="single" w:sz="18" w:space="0" w:color="000000"/>
              <w:left w:val="single" w:sz="18" w:space="0" w:color="000000"/>
              <w:bottom w:val="single" w:sz="18" w:space="0" w:color="000000"/>
              <w:right w:val="single" w:sz="18" w:space="0" w:color="000000"/>
            </w:tcBorders>
            <w:shd w:val="clear" w:color="auto" w:fill="A8FFB1"/>
            <w:vAlign w:val="center"/>
          </w:tcPr>
          <w:p w14:paraId="49334319" w14:textId="77777777" w:rsidR="001268BC" w:rsidRPr="009445F0" w:rsidRDefault="001268BC" w:rsidP="00D508E9">
            <w:pPr>
              <w:spacing w:line="276" w:lineRule="auto"/>
              <w:jc w:val="center"/>
              <w:rPr>
                <w:rFonts w:ascii="Arial" w:hAnsi="Arial" w:cs="Arial"/>
                <w:sz w:val="18"/>
                <w:szCs w:val="18"/>
                <w:shd w:val="clear" w:color="auto" w:fill="A8FFB1"/>
              </w:rPr>
            </w:pPr>
            <w:r w:rsidRPr="009445F0">
              <w:rPr>
                <w:rFonts w:ascii="Arial" w:hAnsi="Arial" w:cs="Arial"/>
                <w:b/>
                <w:bCs/>
                <w:sz w:val="18"/>
                <w:szCs w:val="18"/>
                <w:shd w:val="clear" w:color="auto" w:fill="A8FFB1"/>
              </w:rPr>
              <w:t>Turquoise H</w:t>
            </w:r>
            <w:r w:rsidRPr="009445F0">
              <w:rPr>
                <w:rFonts w:ascii="Arial" w:hAnsi="Arial" w:cs="Arial"/>
                <w:b/>
                <w:bCs/>
                <w:sz w:val="18"/>
                <w:szCs w:val="18"/>
                <w:shd w:val="clear" w:color="auto" w:fill="A8FFB1"/>
                <w:vertAlign w:val="subscript"/>
              </w:rPr>
              <w:t>2</w:t>
            </w:r>
          </w:p>
        </w:tc>
        <w:tc>
          <w:tcPr>
            <w:tcW w:w="1666" w:type="pct"/>
            <w:gridSpan w:val="2"/>
            <w:tcBorders>
              <w:top w:val="single" w:sz="18" w:space="0" w:color="000000"/>
              <w:left w:val="single" w:sz="18" w:space="0" w:color="000000"/>
              <w:bottom w:val="single" w:sz="12" w:space="0" w:color="auto"/>
              <w:right w:val="single" w:sz="18" w:space="0" w:color="000000"/>
            </w:tcBorders>
            <w:shd w:val="clear" w:color="auto" w:fill="A8FFB1"/>
            <w:vAlign w:val="center"/>
          </w:tcPr>
          <w:p w14:paraId="4EA1E86D" w14:textId="77777777" w:rsidR="001268BC" w:rsidRPr="009445F0" w:rsidRDefault="001268BC" w:rsidP="00D508E9">
            <w:pPr>
              <w:spacing w:line="276" w:lineRule="auto"/>
              <w:jc w:val="center"/>
              <w:rPr>
                <w:rFonts w:ascii="Arial" w:hAnsi="Arial" w:cs="Arial"/>
                <w:sz w:val="18"/>
                <w:szCs w:val="18"/>
                <w:shd w:val="clear" w:color="auto" w:fill="A8FFB1"/>
              </w:rPr>
            </w:pPr>
            <w:r w:rsidRPr="009445F0">
              <w:rPr>
                <w:rFonts w:ascii="Arial" w:hAnsi="Arial" w:cs="Arial"/>
                <w:b/>
                <w:bCs/>
                <w:sz w:val="18"/>
                <w:szCs w:val="18"/>
                <w:shd w:val="clear" w:color="auto" w:fill="A8FFB1"/>
              </w:rPr>
              <w:t>Circular Carrier</w:t>
            </w:r>
          </w:p>
        </w:tc>
      </w:tr>
      <w:tr w:rsidR="001268BC" w:rsidRPr="009445F0" w14:paraId="0A855BC7" w14:textId="77777777" w:rsidTr="000E579C">
        <w:trPr>
          <w:trHeight w:val="397"/>
        </w:trPr>
        <w:tc>
          <w:tcPr>
            <w:tcW w:w="1666" w:type="pct"/>
            <w:gridSpan w:val="2"/>
            <w:tcBorders>
              <w:top w:val="single" w:sz="18" w:space="0" w:color="000000"/>
              <w:left w:val="single" w:sz="18" w:space="0" w:color="000000"/>
              <w:bottom w:val="single" w:sz="12" w:space="0" w:color="auto"/>
              <w:right w:val="single" w:sz="18" w:space="0" w:color="000000"/>
            </w:tcBorders>
            <w:shd w:val="clear" w:color="auto" w:fill="A8FFB1"/>
            <w:vAlign w:val="center"/>
          </w:tcPr>
          <w:p w14:paraId="2AADCC1B"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b/>
                <w:bCs/>
                <w:sz w:val="18"/>
                <w:szCs w:val="18"/>
                <w:shd w:val="clear" w:color="auto" w:fill="A8FFB1"/>
              </w:rPr>
              <w:t>Biomass Energy (POME</w:t>
            </w:r>
            <w:r w:rsidRPr="009445F0">
              <w:rPr>
                <w:rFonts w:ascii="Arial" w:hAnsi="Arial" w:cs="Arial"/>
                <w:b/>
                <w:bCs/>
                <w:sz w:val="18"/>
                <w:szCs w:val="18"/>
              </w:rPr>
              <w:t>)</w:t>
            </w:r>
          </w:p>
        </w:tc>
        <w:tc>
          <w:tcPr>
            <w:tcW w:w="834" w:type="pct"/>
            <w:tcBorders>
              <w:top w:val="single" w:sz="18" w:space="0" w:color="000000"/>
              <w:left w:val="single" w:sz="18" w:space="0" w:color="000000"/>
              <w:bottom w:val="single" w:sz="18" w:space="0" w:color="000000"/>
              <w:right w:val="single" w:sz="18" w:space="0" w:color="000000"/>
            </w:tcBorders>
            <w:shd w:val="clear" w:color="auto" w:fill="auto"/>
            <w:vAlign w:val="center"/>
          </w:tcPr>
          <w:p w14:paraId="687BF6EE"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Methane Pyrolysis</w:t>
            </w:r>
          </w:p>
        </w:tc>
        <w:tc>
          <w:tcPr>
            <w:tcW w:w="834" w:type="pct"/>
            <w:tcBorders>
              <w:top w:val="single" w:sz="18" w:space="0" w:color="000000"/>
              <w:left w:val="single" w:sz="18" w:space="0" w:color="000000"/>
              <w:bottom w:val="single" w:sz="18" w:space="0" w:color="000000"/>
              <w:right w:val="single" w:sz="18" w:space="0" w:color="000000"/>
            </w:tcBorders>
            <w:shd w:val="clear" w:color="auto" w:fill="auto"/>
            <w:vAlign w:val="center"/>
          </w:tcPr>
          <w:p w14:paraId="76BD0178" w14:textId="77777777" w:rsidR="001268BC" w:rsidRPr="009445F0" w:rsidRDefault="001268BC" w:rsidP="00D508E9">
            <w:pPr>
              <w:spacing w:line="276" w:lineRule="auto"/>
              <w:jc w:val="center"/>
              <w:rPr>
                <w:rFonts w:ascii="Arial" w:hAnsi="Arial" w:cs="Arial"/>
                <w:sz w:val="18"/>
                <w:szCs w:val="18"/>
                <w:vertAlign w:val="subscript"/>
              </w:rPr>
            </w:pPr>
            <w:r w:rsidRPr="009445F0">
              <w:rPr>
                <w:rFonts w:ascii="Arial" w:hAnsi="Arial" w:cs="Arial"/>
                <w:sz w:val="18"/>
                <w:szCs w:val="18"/>
              </w:rPr>
              <w:t>2.19 $/kg H</w:t>
            </w:r>
            <w:r w:rsidRPr="009445F0">
              <w:rPr>
                <w:rFonts w:ascii="Arial" w:hAnsi="Arial" w:cs="Arial"/>
                <w:sz w:val="18"/>
                <w:szCs w:val="18"/>
                <w:vertAlign w:val="subscript"/>
              </w:rPr>
              <w:t xml:space="preserve">2 </w:t>
            </w:r>
          </w:p>
          <w:p w14:paraId="4BEE3FD8" w14:textId="1DCBE4EC"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vertAlign w:val="subscript"/>
              </w:rPr>
              <w:fldChar w:fldCharType="begin" w:fldLock="1"/>
            </w:r>
            <w:r w:rsidR="00D27FDA">
              <w:rPr>
                <w:rFonts w:ascii="Arial" w:hAnsi="Arial" w:cs="Arial"/>
                <w:sz w:val="18"/>
                <w:szCs w:val="18"/>
                <w:vertAlign w:val="subscript"/>
              </w:rPr>
              <w:instrText>ADDIN CSL_CITATION {"citationItems":[{"id":"ITEM-1","itemData":{"DOI":"10.1016/j.ultsonch.2021.105536","ISSN":"18732828","PMID":"33823489","abstract":"Hydrogen energy is one of the most suitable green substitutes for harmful fossil fuels and has been investigated widely. This review extensively compiles and compares various methodologies used in the production, storage and usage of hydrogen. Sonochemistry is an emerging synthesis process and intensification technique adapted for the synthesis of novel materials. It manifests acoustic cavitation phenomena caused by ultrasound where higher rates of reactions occur locally. The review discusses the effectiveness of sonochemical routes in developing fuel cell catalysts, fuel refining, biofuel production, chemical processes for hydrogen production and the physical, chemical and electrochemical hydrogen storage techniques. The operational parameters and environmental conditions used during ultrasonication also influence the production rates, which have been elucidated in detail. Hence, this review's major focus addresses sonochemical methods that can contribute to the technical challenges involved in hydrogen usage for energy.","author":[{"dropping-particle":"","family":"Zore","given":"Ujwal Kishor","non-dropping-particle":"","parse-names":false,"suffix":""},{"dropping-particle":"","family":"Yedire","given":"Sripadh Guptha","non-dropping-particle":"","parse-names":false,"suffix":""},{"dropping-particle":"","family":"Pandi","given":"Narasimha","non-dropping-particle":"","parse-names":false,"suffix":""},{"dropping-particle":"","family":"Manickam","given":"Sivakumar","non-dropping-particle":"","parse-names":false,"suffix":""},{"dropping-particle":"","family":"Sonawane","given":"Shirish H.","non-dropping-particle":"","parse-names":false,"suffix":""}],"container-title":"Ultrasonics Sonochemistry","id":"ITEM-1","issued":{"date-parts":[["2021"]]},"title":"A review on recent advances in hydrogen energy, fuel cell, biofuel and fuel refining via ultrasound process intensification","type":"article-journal","volume":"73"},"uris":["http://www.mendeley.com/documents/?uuid=6506d8d8-f37c-45d5-9e82-b8b4ea1e24bf"]}],"mendeley":{"formattedCitation":"(Zore et al., 2021)","manualFormatting":"(Zore, 2021)","plainTextFormattedCitation":"(Zore et al., 2021)","previouslyFormattedCitation":"(Zore et al., 2021)"},"properties":{"noteIndex":0},"schema":"https://github.com/citation-style-language/schema/raw/master/csl-citation.json"}</w:instrText>
            </w:r>
            <w:r w:rsidRPr="009445F0">
              <w:rPr>
                <w:rFonts w:ascii="Arial" w:hAnsi="Arial" w:cs="Arial"/>
                <w:sz w:val="18"/>
                <w:szCs w:val="18"/>
                <w:vertAlign w:val="subscript"/>
              </w:rPr>
              <w:fldChar w:fldCharType="separate"/>
            </w:r>
            <w:r w:rsidRPr="009445F0">
              <w:rPr>
                <w:rFonts w:ascii="Arial" w:hAnsi="Arial" w:cs="Arial"/>
                <w:noProof/>
                <w:sz w:val="18"/>
                <w:szCs w:val="18"/>
              </w:rPr>
              <w:t>(Zore, 2021)</w:t>
            </w:r>
            <w:r w:rsidRPr="009445F0">
              <w:rPr>
                <w:rFonts w:ascii="Arial" w:hAnsi="Arial" w:cs="Arial"/>
                <w:sz w:val="18"/>
                <w:szCs w:val="18"/>
                <w:vertAlign w:val="subscript"/>
              </w:rPr>
              <w:fldChar w:fldCharType="end"/>
            </w:r>
          </w:p>
        </w:tc>
        <w:tc>
          <w:tcPr>
            <w:tcW w:w="834" w:type="pct"/>
            <w:tcBorders>
              <w:top w:val="single" w:sz="18" w:space="0" w:color="000000"/>
              <w:left w:val="single" w:sz="18" w:space="0" w:color="000000"/>
              <w:bottom w:val="single" w:sz="18" w:space="0" w:color="000000"/>
              <w:right w:val="single" w:sz="18" w:space="0" w:color="000000"/>
            </w:tcBorders>
            <w:shd w:val="clear" w:color="auto" w:fill="auto"/>
            <w:vAlign w:val="center"/>
          </w:tcPr>
          <w:p w14:paraId="0E142700"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NH</w:t>
            </w:r>
            <w:r w:rsidRPr="009445F0">
              <w:rPr>
                <w:rFonts w:ascii="Arial" w:hAnsi="Arial" w:cs="Arial"/>
                <w:sz w:val="18"/>
                <w:szCs w:val="18"/>
                <w:vertAlign w:val="subscript"/>
              </w:rPr>
              <w:t>3</w:t>
            </w:r>
          </w:p>
        </w:tc>
        <w:tc>
          <w:tcPr>
            <w:tcW w:w="832" w:type="pct"/>
            <w:tcBorders>
              <w:top w:val="single" w:sz="18" w:space="0" w:color="000000"/>
              <w:left w:val="single" w:sz="18" w:space="0" w:color="000000"/>
              <w:bottom w:val="single" w:sz="18" w:space="0" w:color="000000"/>
              <w:right w:val="single" w:sz="18" w:space="0" w:color="000000"/>
            </w:tcBorders>
            <w:shd w:val="clear" w:color="auto" w:fill="auto"/>
            <w:vAlign w:val="center"/>
          </w:tcPr>
          <w:p w14:paraId="3628E332"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0.18 $/kW</w:t>
            </w:r>
          </w:p>
          <w:p w14:paraId="59A0D7D8" w14:textId="7D88E592"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 xml:space="preserve">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{"citationItems":[{"id":"ITEM-1","itemData":{"author":[{"dropping-particle":"","family":"Brown","given":"Trevor","non-dropping-particle":"","parse-names":false,"suffix":""}],"container-title":"Ammonia Energy Association","id":"ITEM-1","issued":{"date-parts":[["2020"]]},"title":"Engie, Siemens, Ecuity, and STFC publish Feasibility of Ammonia-to-Hydrogen","type":"webpage"},"uris":["http://www.mendeley.com/documents/?uuid=449bf5e1-a453-4d4b-9377-970acee3ac31"]}],"mendeley":{"formattedCitation":"(Brown, 2020)","plainTextFormattedCitation":"(Brown, 2020)","previouslyFormattedCitation":"(Brown, 2020)"},"properties":{"noteIndex":0},"schema":"https://github.com/citation-style-language/schema/raw/master/csl-citation.json"}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(Brown, 2020)</w:t>
            </w:r>
            <w:r w:rsidRPr="009445F0">
              <w:rPr>
                <w:rFonts w:ascii="Arial" w:hAnsi="Arial" w:cs="Arial"/>
                <w:sz w:val="18"/>
                <w:szCs w:val="18"/>
              </w:rPr>
              <w:fldChar w:fldCharType="end"/>
            </w:r>
          </w:p>
        </w:tc>
      </w:tr>
      <w:tr w:rsidR="001268BC" w:rsidRPr="009445F0" w14:paraId="16BC2C6B" w14:textId="77777777" w:rsidTr="000E579C">
        <w:trPr>
          <w:trHeight w:val="397"/>
        </w:trPr>
        <w:tc>
          <w:tcPr>
            <w:tcW w:w="833" w:type="pct"/>
            <w:tcBorders>
              <w:top w:val="single" w:sz="18" w:space="0" w:color="000000"/>
              <w:left w:val="single" w:sz="18" w:space="0" w:color="000000"/>
              <w:bottom w:val="single" w:sz="18" w:space="0" w:color="000000"/>
              <w:right w:val="single" w:sz="18" w:space="0" w:color="000000"/>
            </w:tcBorders>
            <w:shd w:val="clear" w:color="auto" w:fill="auto"/>
            <w:vAlign w:val="center"/>
          </w:tcPr>
          <w:p w14:paraId="391EA0C2"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Anaerobic Digestion</w:t>
            </w:r>
          </w:p>
        </w:tc>
        <w:tc>
          <w:tcPr>
            <w:tcW w:w="833" w:type="pct"/>
            <w:tcBorders>
              <w:top w:val="single" w:sz="18" w:space="0" w:color="000000"/>
              <w:left w:val="single" w:sz="18" w:space="0" w:color="000000"/>
              <w:bottom w:val="single" w:sz="18" w:space="0" w:color="000000"/>
              <w:right w:val="single" w:sz="18" w:space="0" w:color="000000"/>
            </w:tcBorders>
            <w:shd w:val="clear" w:color="auto" w:fill="auto"/>
            <w:vAlign w:val="center"/>
          </w:tcPr>
          <w:p w14:paraId="670A068B" w14:textId="7777777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0.23 $/kW</w:t>
            </w:r>
          </w:p>
          <w:p w14:paraId="06A9FB0F" w14:textId="74784527" w:rsidR="001268BC" w:rsidRPr="009445F0" w:rsidRDefault="001268BC" w:rsidP="00D508E9">
            <w:pPr>
              <w:spacing w:line="276" w:lineRule="auto"/>
              <w:jc w:val="center"/>
              <w:rPr>
                <w:rFonts w:ascii="Arial" w:hAnsi="Arial" w:cs="Arial"/>
                <w:sz w:val="18"/>
                <w:szCs w:val="18"/>
              </w:rPr>
            </w:pPr>
            <w:r w:rsidRPr="009445F0">
              <w:rPr>
                <w:rFonts w:ascii="Arial" w:hAnsi="Arial" w:cs="Arial"/>
                <w:sz w:val="18"/>
                <w:szCs w:val="18"/>
              </w:rPr>
              <w:t xml:space="preserve">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{"citationItems":[{"id":"ITEM-1","itemData":{"author":[{"dropping-particle":"","family":"Juliana","given":"","non-dropping-particle":"","parse-names":false,"suffix":""}],"container-title":"Agriculture and Natural Resources","id":"ITEM-1","issued":{"date-parts":[["2018"]]},"title":"Economic Implications of Anaerobic Digestion for Bioenergy Production and Waste Management","type":"article-journal"},"uris":["http://www.mendeley.com/documents/?uuid=5ea7e1e6-48e1-4348-b9b1-3e765058af3f"]}],"mendeley":{"formattedCitation":"(Juliana, 2018)","plainTextFormattedCitation":"(Juliana, 2018)","previouslyFormattedCitation":"(Juliana, 2018)"},"properties":{"noteIndex":0},"schema":"https://github.com/citation-style-language/schema/raw/master/csl-citation.json"}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(Juliana, 2018)</w:t>
            </w:r>
            <w:r w:rsidRPr="009445F0">
              <w:rPr>
                <w:rFonts w:ascii="Arial" w:hAnsi="Arial" w:cs="Arial"/>
                <w:sz w:val="18"/>
                <w:szCs w:val="18"/>
              </w:rPr>
              <w:fldChar w:fldCharType="end"/>
            </w:r>
          </w:p>
        </w:tc>
        <w:tc>
          <w:tcPr>
            <w:tcW w:w="1668" w:type="pct"/>
            <w:gridSpan w:val="2"/>
            <w:tcBorders>
              <w:top w:val="single" w:sz="18" w:space="0" w:color="000000"/>
              <w:left w:val="single" w:sz="18" w:space="0" w:color="000000"/>
              <w:bottom w:val="single" w:sz="18" w:space="0" w:color="000000"/>
              <w:right w:val="single" w:sz="18" w:space="0" w:color="000000"/>
            </w:tcBorders>
            <w:vAlign w:val="center"/>
          </w:tcPr>
          <w:p w14:paraId="42112BE4" w14:textId="77777777" w:rsidR="001268BC" w:rsidRPr="009445F0" w:rsidRDefault="001268BC" w:rsidP="00D508E9">
            <w:pPr>
              <w:spacing w:line="276" w:lineRule="auto"/>
              <w:jc w:val="center"/>
              <w:rPr>
                <w:rFonts w:ascii="Arial" w:hAnsi="Arial" w:cs="Arial"/>
                <w:sz w:val="18"/>
                <w:szCs w:val="18"/>
              </w:rPr>
            </w:pPr>
          </w:p>
        </w:tc>
        <w:tc>
          <w:tcPr>
            <w:tcW w:w="1666" w:type="pct"/>
            <w:gridSpan w:val="2"/>
            <w:tcBorders>
              <w:top w:val="single" w:sz="18" w:space="0" w:color="000000"/>
              <w:left w:val="single" w:sz="18" w:space="0" w:color="000000"/>
              <w:bottom w:val="single" w:sz="18" w:space="0" w:color="000000"/>
              <w:right w:val="single" w:sz="18" w:space="0" w:color="000000"/>
            </w:tcBorders>
            <w:vAlign w:val="center"/>
          </w:tcPr>
          <w:p w14:paraId="27CDA192" w14:textId="77777777" w:rsidR="001268BC" w:rsidRPr="009445F0" w:rsidRDefault="001268BC" w:rsidP="00D508E9">
            <w:pPr>
              <w:spacing w:line="276" w:lineRule="auto"/>
              <w:jc w:val="center"/>
              <w:rPr>
                <w:rFonts w:ascii="Arial" w:hAnsi="Arial" w:cs="Arial"/>
                <w:sz w:val="18"/>
                <w:szCs w:val="18"/>
              </w:rPr>
            </w:pPr>
          </w:p>
        </w:tc>
      </w:tr>
    </w:tbl>
    <w:p w14:paraId="06210731" w14:textId="3C1D9BE6" w:rsidR="00812C9F" w:rsidRPr="001A15A5" w:rsidRDefault="00812C9F" w:rsidP="00D508E9">
      <w:pPr>
        <w:autoSpaceDE w:val="0"/>
        <w:autoSpaceDN w:val="0"/>
        <w:adjustRightInd w:val="0"/>
        <w:spacing w:after="0" w:line="360" w:lineRule="auto"/>
        <w:rPr>
          <w:rFonts w:ascii="Arial" w:hAnsi="Arial" w:cs="Arial"/>
          <w:color w:val="000000" w:themeColor="text1"/>
          <w:sz w:val="20"/>
          <w:szCs w:val="20"/>
        </w:rPr>
      </w:pPr>
    </w:p>
    <w:p w14:paraId="15FB1599" w14:textId="77777777" w:rsidR="00875DD1" w:rsidRDefault="00875DD1">
      <w:pPr>
        <w:rPr>
          <w:rFonts w:ascii="Arial" w:hAnsi="Arial" w:cs="Arial"/>
          <w:b/>
          <w:bCs/>
          <w:i/>
          <w:iCs/>
          <w:sz w:val="18"/>
          <w:szCs w:val="18"/>
          <w:lang w:val="en-US"/>
        </w:rPr>
      </w:pPr>
      <w:r>
        <w:rPr>
          <w:rFonts w:ascii="Arial" w:hAnsi="Arial" w:cs="Arial"/>
          <w:b/>
          <w:bCs/>
          <w:i/>
          <w:iCs/>
          <w:sz w:val="18"/>
          <w:szCs w:val="18"/>
          <w:lang w:val="en-US"/>
        </w:rPr>
        <w:br w:type="page"/>
      </w:r>
    </w:p>
    <w:p w14:paraId="4F698D8E" w14:textId="1C8ADADD" w:rsidR="009445F0" w:rsidRPr="00D508E9" w:rsidRDefault="001268BC" w:rsidP="00D508E9">
      <w:pPr>
        <w:spacing w:after="0" w:line="360" w:lineRule="auto"/>
        <w:jc w:val="center"/>
        <w:rPr>
          <w:rFonts w:ascii="Arial" w:hAnsi="Arial" w:cs="Arial"/>
          <w:i/>
          <w:iCs/>
          <w:sz w:val="18"/>
          <w:szCs w:val="18"/>
          <w:lang w:val="en-US"/>
        </w:rPr>
      </w:pPr>
      <w:r w:rsidRPr="009445F0">
        <w:rPr>
          <w:rFonts w:ascii="Arial" w:hAnsi="Arial" w:cs="Arial"/>
          <w:b/>
          <w:bCs/>
          <w:i/>
          <w:iCs/>
          <w:sz w:val="18"/>
          <w:szCs w:val="18"/>
          <w:lang w:val="en-US"/>
        </w:rPr>
        <w:lastRenderedPageBreak/>
        <w:t xml:space="preserve">Table </w:t>
      </w:r>
      <w:r w:rsidR="0088659A">
        <w:rPr>
          <w:rFonts w:ascii="Arial" w:hAnsi="Arial" w:cs="Arial"/>
          <w:b/>
          <w:bCs/>
          <w:i/>
          <w:iCs/>
          <w:sz w:val="18"/>
          <w:szCs w:val="18"/>
          <w:lang w:val="en-US"/>
        </w:rPr>
        <w:t>A</w:t>
      </w:r>
      <w:r w:rsidRPr="009445F0">
        <w:rPr>
          <w:rFonts w:ascii="Arial" w:hAnsi="Arial" w:cs="Arial"/>
          <w:b/>
          <w:bCs/>
          <w:i/>
          <w:iCs/>
          <w:sz w:val="18"/>
          <w:szCs w:val="18"/>
          <w:lang w:val="en-US"/>
        </w:rPr>
        <w:t xml:space="preserve">4: </w:t>
      </w:r>
      <w:r w:rsidRPr="009445F0">
        <w:rPr>
          <w:rFonts w:ascii="Arial" w:hAnsi="Arial" w:cs="Arial"/>
          <w:i/>
          <w:iCs/>
          <w:sz w:val="18"/>
          <w:szCs w:val="18"/>
          <w:lang w:val="en-US"/>
        </w:rPr>
        <w:t>Energy Factor</w:t>
      </w:r>
    </w:p>
    <w:tbl>
      <w:tblPr>
        <w:tblStyle w:val="TableGrid"/>
        <w:tblW w:w="5000" w:type="pct"/>
        <w:tblInd w:w="0" w:type="dxa"/>
        <w:tblLook w:val="04A0" w:firstRow="1" w:lastRow="0" w:firstColumn="1" w:lastColumn="0" w:noHBand="0" w:noVBand="1"/>
      </w:tblPr>
      <w:tblGrid>
        <w:gridCol w:w="2511"/>
        <w:gridCol w:w="2511"/>
        <w:gridCol w:w="2512"/>
        <w:gridCol w:w="2512"/>
      </w:tblGrid>
      <w:tr w:rsidR="001268BC" w:rsidRPr="009445F0" w14:paraId="2221B52A" w14:textId="77777777" w:rsidTr="000E579C">
        <w:trPr>
          <w:trHeight w:val="397"/>
        </w:trPr>
        <w:tc>
          <w:tcPr>
            <w:tcW w:w="2500" w:type="pct"/>
            <w:gridSpan w:val="2"/>
            <w:tcBorders>
              <w:top w:val="single" w:sz="18" w:space="0" w:color="000000"/>
              <w:left w:val="single" w:sz="18" w:space="0" w:color="000000"/>
              <w:bottom w:val="single" w:sz="18" w:space="0" w:color="000000"/>
              <w:right w:val="single" w:sz="18" w:space="0" w:color="000000"/>
            </w:tcBorders>
            <w:shd w:val="clear" w:color="auto" w:fill="A8FFB1"/>
            <w:vAlign w:val="center"/>
          </w:tcPr>
          <w:p w14:paraId="66AECAF1"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b/>
                <w:bCs/>
                <w:sz w:val="18"/>
                <w:szCs w:val="18"/>
              </w:rPr>
              <w:t>H</w:t>
            </w:r>
            <w:r w:rsidRPr="009445F0">
              <w:rPr>
                <w:rFonts w:ascii="Arial" w:hAnsi="Arial" w:cs="Arial"/>
                <w:b/>
                <w:bCs/>
                <w:sz w:val="18"/>
                <w:szCs w:val="18"/>
                <w:vertAlign w:val="subscript"/>
              </w:rPr>
              <w:t>2</w:t>
            </w:r>
            <w:r w:rsidRPr="009445F0">
              <w:rPr>
                <w:rFonts w:ascii="Arial" w:hAnsi="Arial" w:cs="Arial"/>
                <w:b/>
                <w:bCs/>
                <w:sz w:val="18"/>
                <w:szCs w:val="18"/>
              </w:rPr>
              <w:t xml:space="preserve"> Production</w:t>
            </w:r>
          </w:p>
        </w:tc>
        <w:tc>
          <w:tcPr>
            <w:tcW w:w="2500" w:type="pct"/>
            <w:gridSpan w:val="2"/>
            <w:tcBorders>
              <w:top w:val="single" w:sz="18" w:space="0" w:color="000000"/>
              <w:left w:val="single" w:sz="18" w:space="0" w:color="000000"/>
              <w:bottom w:val="single" w:sz="18" w:space="0" w:color="000000"/>
              <w:right w:val="single" w:sz="18" w:space="0" w:color="000000"/>
            </w:tcBorders>
            <w:shd w:val="clear" w:color="auto" w:fill="A8FFB1"/>
            <w:vAlign w:val="center"/>
          </w:tcPr>
          <w:p w14:paraId="5AAC6168"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b/>
                <w:bCs/>
                <w:sz w:val="18"/>
                <w:szCs w:val="18"/>
              </w:rPr>
              <w:t>H</w:t>
            </w:r>
            <w:r w:rsidRPr="009445F0">
              <w:rPr>
                <w:rFonts w:ascii="Arial" w:hAnsi="Arial" w:cs="Arial"/>
                <w:b/>
                <w:bCs/>
                <w:sz w:val="18"/>
                <w:szCs w:val="18"/>
                <w:vertAlign w:val="subscript"/>
              </w:rPr>
              <w:t>2</w:t>
            </w:r>
            <w:r w:rsidRPr="009445F0">
              <w:rPr>
                <w:rFonts w:ascii="Arial" w:hAnsi="Arial" w:cs="Arial"/>
                <w:b/>
                <w:bCs/>
                <w:sz w:val="18"/>
                <w:szCs w:val="18"/>
              </w:rPr>
              <w:t xml:space="preserve"> Storage</w:t>
            </w:r>
          </w:p>
        </w:tc>
      </w:tr>
      <w:tr w:rsidR="001268BC" w:rsidRPr="009445F0" w14:paraId="02BA89D4" w14:textId="77777777" w:rsidTr="000E579C">
        <w:trPr>
          <w:trHeight w:val="397"/>
        </w:trPr>
        <w:tc>
          <w:tcPr>
            <w:tcW w:w="2500" w:type="pct"/>
            <w:gridSpan w:val="2"/>
            <w:tcBorders>
              <w:top w:val="single" w:sz="18" w:space="0" w:color="000000"/>
              <w:left w:val="single" w:sz="18" w:space="0" w:color="000000"/>
              <w:bottom w:val="single" w:sz="18" w:space="0" w:color="000000"/>
              <w:right w:val="single" w:sz="18" w:space="0" w:color="000000"/>
            </w:tcBorders>
            <w:shd w:val="clear" w:color="auto" w:fill="A8FFB1"/>
            <w:vAlign w:val="center"/>
          </w:tcPr>
          <w:p w14:paraId="022FD2B2"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Green H</w:t>
            </w:r>
            <w:r w:rsidRPr="009445F0">
              <w:rPr>
                <w:rFonts w:ascii="Arial" w:hAnsi="Arial" w:cs="Arial"/>
                <w:b/>
                <w:bCs/>
                <w:sz w:val="18"/>
                <w:szCs w:val="18"/>
                <w:vertAlign w:val="subscript"/>
              </w:rPr>
              <w:t>2</w:t>
            </w:r>
            <w:r w:rsidRPr="009445F0">
              <w:rPr>
                <w:rFonts w:ascii="Arial" w:hAnsi="Arial" w:cs="Arial"/>
                <w:b/>
                <w:bCs/>
                <w:sz w:val="18"/>
                <w:szCs w:val="18"/>
              </w:rPr>
              <w:t xml:space="preserve"> (Electrolysis)</w:t>
            </w:r>
          </w:p>
        </w:tc>
        <w:tc>
          <w:tcPr>
            <w:tcW w:w="2500" w:type="pct"/>
            <w:gridSpan w:val="2"/>
            <w:tcBorders>
              <w:top w:val="single" w:sz="18" w:space="0" w:color="000000"/>
              <w:left w:val="single" w:sz="18" w:space="0" w:color="000000"/>
              <w:bottom w:val="single" w:sz="18" w:space="0" w:color="000000"/>
              <w:right w:val="single" w:sz="18" w:space="0" w:color="000000"/>
            </w:tcBorders>
            <w:shd w:val="clear" w:color="auto" w:fill="A8FFB1"/>
            <w:vAlign w:val="center"/>
          </w:tcPr>
          <w:p w14:paraId="7FB2A03F"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Physical Method</w:t>
            </w:r>
          </w:p>
        </w:tc>
      </w:tr>
      <w:tr w:rsidR="001268BC" w:rsidRPr="009445F0" w14:paraId="776D1D9A" w14:textId="77777777" w:rsidTr="000E579C">
        <w:trPr>
          <w:trHeight w:val="397"/>
        </w:trPr>
        <w:tc>
          <w:tcPr>
            <w:tcW w:w="1250" w:type="pct"/>
            <w:tcBorders>
              <w:top w:val="single" w:sz="18" w:space="0" w:color="000000"/>
              <w:left w:val="single" w:sz="18" w:space="0" w:color="000000"/>
              <w:right w:val="single" w:sz="18" w:space="0" w:color="000000"/>
            </w:tcBorders>
            <w:shd w:val="clear" w:color="auto" w:fill="auto"/>
            <w:vAlign w:val="center"/>
          </w:tcPr>
          <w:p w14:paraId="494634A6"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PEM</w:t>
            </w:r>
          </w:p>
        </w:tc>
        <w:tc>
          <w:tcPr>
            <w:tcW w:w="1250" w:type="pct"/>
            <w:tcBorders>
              <w:top w:val="single" w:sz="18" w:space="0" w:color="000000"/>
              <w:left w:val="single" w:sz="18" w:space="0" w:color="000000"/>
              <w:right w:val="single" w:sz="18" w:space="0" w:color="000000"/>
            </w:tcBorders>
            <w:shd w:val="clear" w:color="auto" w:fill="auto"/>
            <w:vAlign w:val="center"/>
          </w:tcPr>
          <w:p w14:paraId="255EABB6" w14:textId="77777777" w:rsidR="001268BC" w:rsidRPr="009445F0" w:rsidRDefault="001268BC" w:rsidP="009445F0">
            <w:pPr>
              <w:spacing w:line="276" w:lineRule="auto"/>
              <w:jc w:val="center"/>
              <w:rPr>
                <w:rFonts w:ascii="Arial" w:hAnsi="Arial" w:cs="Arial"/>
                <w:sz w:val="18"/>
                <w:szCs w:val="18"/>
                <w:vertAlign w:val="subscript"/>
              </w:rPr>
            </w:pPr>
            <w:r w:rsidRPr="009445F0">
              <w:rPr>
                <w:rFonts w:ascii="Arial" w:hAnsi="Arial" w:cs="Arial"/>
                <w:sz w:val="18"/>
                <w:szCs w:val="18"/>
              </w:rPr>
              <w:t>54.60 kW/kg H</w:t>
            </w:r>
            <w:r w:rsidRPr="009445F0">
              <w:rPr>
                <w:rFonts w:ascii="Arial" w:hAnsi="Arial" w:cs="Arial"/>
                <w:sz w:val="18"/>
                <w:szCs w:val="18"/>
                <w:vertAlign w:val="subscript"/>
              </w:rPr>
              <w:t xml:space="preserve">2 </w:t>
            </w:r>
          </w:p>
          <w:p w14:paraId="3BEE22B5" w14:textId="53EA4F11"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{"citationItems":[{"id":"ITEM-1","itemData":{"DOI":"10.3390/environments5020024","ISSN":"20763298","abstract":"A common sustainability issue, arising in production systems, is the efficient use of resources for providing goods or services. With the increased interest in a hydrogen (H2) economy, the life-cycle environmental performance of H2 production has special significance for assisting in identifying opportunities to improve environmental performance and to guide challenging decisions and select between technology paths. Life cycle impact assessment methods are rapidly evolving to analyze multiple environmental impacts of the production of products or processes. This study marks the first step in developing process-based streamlined life cycle analysis (LCA) of several H2 production pathways combining life cycle impacts at the midpoint (17 problem-oriented) and endpoint (3 damage-oriented) levels using the state-of-the-art impact assessment method ReCiPe 2016. Steam reforming of natural gas, coal gasification, water electrolysis via proton exchange membrane fuel cell (PEM), solid oxide electrolyzer cell (SOEC), biomass gasification and reforming, and dark fermentation of lignocellulosic biomass were analyzed. An innovative aspect is developed in this study is an analysis of water consumption associated with H2 production pathways by life-cycle stage to provide a better understanding of the life cycle water-related impacts on human health and natural environment. For water-related scope, Water scarcity footprint (WSF) quantified using Available WAter REmaining (AWARE) method was applied as a stand-alone indicator. The paper discusses the strengths and weaknesses of each production pathway, identify the drivers of environmental impact, quantify midpoint environmental impact and its influence on the endpoint environmental performance. The findings of this study could serve as a useful theoretical reference and practical basis to decision-makers of potential environmental impacts of H2 production systems.","author":[{"dropping-particle":"","family":"Mehmeti","given":"Andi","non-dropping-particle":"","parse-names":false,"suffix":""},{"dropping-particle":"","family":"Angelis-Dimakis","given":"Athanasios","non-dropping-particle":"","parse-names":false,"suffix":""},{"dropping-particle":"","family":"Arampatzis","given":"George","non-dropping-particle":"","parse-names":false,"suffix":""},{"dropping-particle":"","family":"McPhail","given":"Stephen J.","non-dropping-particle":"","parse-names":false,"suffix":""},{"dropping-particle":"","family":"Ulgiati","given":"Sergio","non-dropping-particle":"","parse-names":false,"suffix":""}],"container-title":"Environments - MDPI","id":"ITEM-1","issue":"2","issued":{"date-parts":[["2018"]]},"page":"1-19","title":"Life cycle assessment and water footprint of hydrogen production methods: From conventional to emerging technologies","type":"article-journal","volume":"5"},"uris":["http://www.mendeley.com/documents/?uuid=c3cb04e4-66b5-4cd8-9b4c-ef394011f00d"]}],"mendeley":{"formattedCitation":"(Mehmeti et al., 2018)","manualFormatting":"(Mehmeti, 2018)","plainTextFormattedCitation":"(Mehmeti et al., 2018)","previouslyFormattedCitation":"(Mehmeti et al., 2018)"},"properties":{"noteIndex":0},"schema":"https://github.com/citation-style-language/schema/raw/master/csl-citation.json"}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(Mehmeti, 2018)</w:t>
            </w:r>
            <w:r w:rsidRPr="009445F0">
              <w:rPr>
                <w:rFonts w:ascii="Arial" w:hAnsi="Arial" w:cs="Arial"/>
                <w:sz w:val="18"/>
                <w:szCs w:val="18"/>
              </w:rPr>
              <w:fldChar w:fldCharType="end"/>
            </w:r>
          </w:p>
        </w:tc>
        <w:tc>
          <w:tcPr>
            <w:tcW w:w="1250" w:type="pct"/>
            <w:tcBorders>
              <w:top w:val="single" w:sz="18" w:space="0" w:color="000000"/>
              <w:left w:val="single" w:sz="18" w:space="0" w:color="000000"/>
              <w:right w:val="single" w:sz="18" w:space="0" w:color="000000"/>
            </w:tcBorders>
            <w:shd w:val="clear" w:color="auto" w:fill="auto"/>
            <w:vAlign w:val="center"/>
          </w:tcPr>
          <w:p w14:paraId="39B65F6F" w14:textId="1020A22B"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C</w:t>
            </w:r>
            <w:r w:rsidR="003D7951">
              <w:rPr>
                <w:rFonts w:ascii="Arial" w:hAnsi="Arial" w:cs="Arial"/>
                <w:sz w:val="18"/>
                <w:szCs w:val="18"/>
              </w:rPr>
              <w:t xml:space="preserve">ompressed </w:t>
            </w:r>
            <w:r w:rsidRPr="009445F0">
              <w:rPr>
                <w:rFonts w:ascii="Arial" w:hAnsi="Arial" w:cs="Arial"/>
                <w:sz w:val="18"/>
                <w:szCs w:val="18"/>
              </w:rPr>
              <w:t>H</w:t>
            </w:r>
            <w:r w:rsidRPr="009445F0">
              <w:rPr>
                <w:rFonts w:ascii="Arial" w:hAnsi="Arial" w:cs="Arial"/>
                <w:sz w:val="18"/>
                <w:szCs w:val="18"/>
                <w:vertAlign w:val="subscript"/>
              </w:rPr>
              <w:t>2</w:t>
            </w:r>
          </w:p>
        </w:tc>
        <w:tc>
          <w:tcPr>
            <w:tcW w:w="1250" w:type="pct"/>
            <w:tcBorders>
              <w:top w:val="single" w:sz="18" w:space="0" w:color="000000"/>
              <w:left w:val="single" w:sz="18" w:space="0" w:color="000000"/>
              <w:right w:val="single" w:sz="18" w:space="0" w:color="000000"/>
            </w:tcBorders>
            <w:shd w:val="clear" w:color="auto" w:fill="auto"/>
          </w:tcPr>
          <w:p w14:paraId="2477EB76" w14:textId="77777777" w:rsidR="001268BC" w:rsidRPr="009445F0" w:rsidRDefault="001268BC" w:rsidP="009445F0">
            <w:pPr>
              <w:spacing w:line="276" w:lineRule="auto"/>
              <w:jc w:val="center"/>
              <w:rPr>
                <w:rFonts w:ascii="Arial" w:hAnsi="Arial" w:cs="Arial"/>
                <w:sz w:val="18"/>
                <w:szCs w:val="18"/>
                <w:vertAlign w:val="subscript"/>
              </w:rPr>
            </w:pPr>
            <w:r w:rsidRPr="009445F0">
              <w:rPr>
                <w:rFonts w:ascii="Arial" w:hAnsi="Arial" w:cs="Arial"/>
                <w:sz w:val="18"/>
                <w:szCs w:val="18"/>
              </w:rPr>
              <w:t>6.00 kW/kg H</w:t>
            </w:r>
            <w:r w:rsidRPr="009445F0">
              <w:rPr>
                <w:rFonts w:ascii="Arial" w:hAnsi="Arial" w:cs="Arial"/>
                <w:sz w:val="18"/>
                <w:szCs w:val="18"/>
                <w:vertAlign w:val="subscript"/>
              </w:rPr>
              <w:t xml:space="preserve">2 </w:t>
            </w:r>
          </w:p>
          <w:p w14:paraId="2790C1F2" w14:textId="7EEC7C44"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10.1533/9780857097422.1.117","author":[{"dropping-particle":"","family":"Sheffield","given":"J.W.","non-dropping-particle":"","parse-names":false,"suffix":""},{"dropping-particle":"","family":"Martin","given":"K.B.","non-dropping-particle":"","parse-names":false,"suffix":""},{"dropping-particle":"","family":"Folkson","given":"R.","non-dropping-particle":"","parse-names":false,"suffix":""}],"container-title":"Alternative Fuels and Advanced Vehicle Technologies for Improved Environmental Performance","id":"ITEM-1","issued":{"date-parts":[["2014"]]},"page":"117-137","publisher":"Elsevier","title":"Electricity and hydrogen as energy vectors for transportation vehicles","type":"chapter"},"uris":["http://www.mendeley.com/documents/?uuid=6bcddb30-daf1-4593-a9fb-03aee7463ef4"]}],"mendeley":{"formattedCitation":"(Sheffield et al., 2014)","manualFormatting":"(Sheffield, 2014)","plainTextFormattedCitation":"(Sheffield et al., 2014)","previouslyFormattedCitation":"(Sheffield et al., 2014)"},"properties":{"noteIndex":0},"schema":"https://github.com/citation-style-language/schema/raw/master/csl-citation.json"}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(Sheffield, 2014)</w:t>
            </w:r>
            <w:r w:rsidRPr="009445F0">
              <w:rPr>
                <w:rFonts w:ascii="Arial" w:hAnsi="Arial" w:cs="Arial"/>
                <w:sz w:val="18"/>
                <w:szCs w:val="18"/>
              </w:rPr>
              <w:fldChar w:fldCharType="end"/>
            </w:r>
          </w:p>
        </w:tc>
      </w:tr>
      <w:tr w:rsidR="001268BC" w:rsidRPr="009445F0" w14:paraId="4C6277F3" w14:textId="77777777" w:rsidTr="000E579C">
        <w:trPr>
          <w:trHeight w:val="397"/>
        </w:trPr>
        <w:tc>
          <w:tcPr>
            <w:tcW w:w="1250" w:type="pct"/>
            <w:tcBorders>
              <w:left w:val="single" w:sz="18" w:space="0" w:color="000000"/>
              <w:right w:val="single" w:sz="18" w:space="0" w:color="000000"/>
            </w:tcBorders>
            <w:shd w:val="clear" w:color="auto" w:fill="auto"/>
            <w:vAlign w:val="center"/>
          </w:tcPr>
          <w:p w14:paraId="3015A218"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AWE</w:t>
            </w:r>
          </w:p>
        </w:tc>
        <w:tc>
          <w:tcPr>
            <w:tcW w:w="1250" w:type="pct"/>
            <w:tcBorders>
              <w:left w:val="single" w:sz="18" w:space="0" w:color="000000"/>
              <w:right w:val="single" w:sz="18" w:space="0" w:color="000000"/>
            </w:tcBorders>
            <w:shd w:val="clear" w:color="auto" w:fill="auto"/>
          </w:tcPr>
          <w:p w14:paraId="48F84404" w14:textId="77777777" w:rsidR="001268BC" w:rsidRPr="009445F0" w:rsidRDefault="001268BC" w:rsidP="009445F0">
            <w:pPr>
              <w:spacing w:line="276" w:lineRule="auto"/>
              <w:jc w:val="center"/>
              <w:rPr>
                <w:rFonts w:ascii="Arial" w:hAnsi="Arial" w:cs="Arial"/>
                <w:sz w:val="18"/>
                <w:szCs w:val="18"/>
                <w:vertAlign w:val="subscript"/>
              </w:rPr>
            </w:pPr>
            <w:r w:rsidRPr="009445F0">
              <w:rPr>
                <w:rFonts w:ascii="Arial" w:hAnsi="Arial" w:cs="Arial"/>
                <w:sz w:val="18"/>
                <w:szCs w:val="18"/>
              </w:rPr>
              <w:t>53.90 kW/kg H</w:t>
            </w:r>
            <w:r w:rsidRPr="009445F0">
              <w:rPr>
                <w:rFonts w:ascii="Arial" w:hAnsi="Arial" w:cs="Arial"/>
                <w:sz w:val="18"/>
                <w:szCs w:val="18"/>
                <w:vertAlign w:val="subscript"/>
              </w:rPr>
              <w:t xml:space="preserve">2 </w:t>
            </w:r>
          </w:p>
          <w:p w14:paraId="77562A5C" w14:textId="4588EC65"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10.3389/fenrg.2017.00001","ISSN":"2296-598X","author":[{"dropping-particle":"","family":"Kuckshinrichs","given":"Wilhelm","non-dropping-particle":"","parse-names":false,"suffix":""},{"dropping-particle":"","family":"Ketelaer","given":"Thomas","non-dropping-particle":"","parse-names":false,"suffix":""},{"dropping-particle":"","family":"Koj","given":"Jan Christian","non-dropping-particle":"","parse-names":false,"suffix":""}],"container-title":"Frontiers in Energy Research","id":"ITEM-1","issued":{"date-parts":[["2017","2"]]},"title":"Economic Analysis of Improved Alkaline Water Electrolysis","type":"article-journal","volume":"5"},"uris":["http://www.mendeley.com/documents/?uuid=6d6b736e-87da-4829-8cac-28d6949f7fcc"]}],"mendeley":{"formattedCitation":"(Kuckshinrichs et al., 2017)","manualFormatting":"(Kuckshinrichs, 2017)","plainTextFormattedCitation":"(Kuckshinrichs et al., 2017)","previouslyFormattedCitation":"(Kuckshinrichs et al., 2017)"},"properties":{"noteIndex":0},"schema":"https://github.com/citation-style-language/schema/raw/master/csl-citation.json"}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(Kuckshinrichs, 2017)</w:t>
            </w:r>
            <w:r w:rsidRPr="009445F0">
              <w:rPr>
                <w:rFonts w:ascii="Arial" w:hAnsi="Arial" w:cs="Arial"/>
                <w:sz w:val="18"/>
                <w:szCs w:val="18"/>
              </w:rPr>
              <w:fldChar w:fldCharType="end"/>
            </w:r>
          </w:p>
        </w:tc>
        <w:tc>
          <w:tcPr>
            <w:tcW w:w="1250" w:type="pct"/>
            <w:tcBorders>
              <w:left w:val="single" w:sz="18" w:space="0" w:color="000000"/>
              <w:bottom w:val="single" w:sz="18" w:space="0" w:color="000000"/>
              <w:right w:val="single" w:sz="18" w:space="0" w:color="000000"/>
            </w:tcBorders>
            <w:shd w:val="clear" w:color="auto" w:fill="auto"/>
            <w:vAlign w:val="center"/>
          </w:tcPr>
          <w:p w14:paraId="3FA4149E"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LH</w:t>
            </w:r>
            <w:r w:rsidRPr="009445F0">
              <w:rPr>
                <w:rFonts w:ascii="Arial" w:hAnsi="Arial" w:cs="Arial"/>
                <w:sz w:val="18"/>
                <w:szCs w:val="18"/>
                <w:vertAlign w:val="subscript"/>
              </w:rPr>
              <w:t>2</w:t>
            </w:r>
          </w:p>
        </w:tc>
        <w:tc>
          <w:tcPr>
            <w:tcW w:w="1250" w:type="pct"/>
            <w:tcBorders>
              <w:left w:val="single" w:sz="18" w:space="0" w:color="000000"/>
              <w:bottom w:val="single" w:sz="18" w:space="0" w:color="000000"/>
              <w:right w:val="single" w:sz="18" w:space="0" w:color="000000"/>
            </w:tcBorders>
            <w:shd w:val="clear" w:color="auto" w:fill="auto"/>
          </w:tcPr>
          <w:p w14:paraId="14B7BB5B"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10.00 kW/kg H</w:t>
            </w:r>
            <w:r w:rsidRPr="009445F0">
              <w:rPr>
                <w:rFonts w:ascii="Arial" w:hAnsi="Arial" w:cs="Arial"/>
                <w:sz w:val="18"/>
                <w:szCs w:val="18"/>
                <w:vertAlign w:val="subscript"/>
              </w:rPr>
              <w:t>2</w:t>
            </w:r>
            <w:r w:rsidRPr="009445F0">
              <w:rPr>
                <w:rFonts w:ascii="Arial" w:hAnsi="Arial" w:cs="Arial"/>
                <w:sz w:val="18"/>
                <w:szCs w:val="18"/>
              </w:rPr>
              <w:t xml:space="preserve"> </w:t>
            </w:r>
          </w:p>
          <w:p w14:paraId="679B503F" w14:textId="28395EC1"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{"citationItems":[{"id":"ITEM-1","itemData":{"author":[{"dropping-particle":"","family":"Gardiner","given":"Monterey","non-dropping-particle":"","parse-names":false,"suffix":""}],"id":"ITEM-1","issued":{"date-parts":[["2009"]]},"number-of-pages":"1 - 6","title":"Energy requirements for hydrogen gas compression and liquefaction as related to vehicle storage needs","type":"report"},"uris":["http://www.mendeley.com/documents/?uuid=bed24fb4-6dcd-4d5e-8845-2ab033691a43"]}],"mendeley":{"formattedCitation":"(Gardiner, 2009)","plainTextFormattedCitation":"(Gardiner, 2009)","previouslyFormattedCitation":"(Gardiner, 2009)"},"properties":{"noteIndex":0},"schema":"https://github.com/citation-style-language/schema/raw/master/csl-citation.json"}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(Gardiner, 2009)</w:t>
            </w:r>
            <w:r w:rsidRPr="009445F0">
              <w:rPr>
                <w:rFonts w:ascii="Arial" w:hAnsi="Arial" w:cs="Arial"/>
                <w:sz w:val="18"/>
                <w:szCs w:val="18"/>
              </w:rPr>
              <w:fldChar w:fldCharType="end"/>
            </w:r>
          </w:p>
        </w:tc>
      </w:tr>
      <w:tr w:rsidR="001268BC" w:rsidRPr="009445F0" w14:paraId="6D86E29A" w14:textId="77777777" w:rsidTr="000E579C">
        <w:trPr>
          <w:trHeight w:val="397"/>
        </w:trPr>
        <w:tc>
          <w:tcPr>
            <w:tcW w:w="1250" w:type="pct"/>
            <w:tcBorders>
              <w:left w:val="single" w:sz="18" w:space="0" w:color="000000"/>
              <w:right w:val="single" w:sz="18" w:space="0" w:color="000000"/>
            </w:tcBorders>
            <w:shd w:val="clear" w:color="auto" w:fill="auto"/>
            <w:vAlign w:val="center"/>
          </w:tcPr>
          <w:p w14:paraId="78A070CD"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SOEC</w:t>
            </w:r>
          </w:p>
        </w:tc>
        <w:tc>
          <w:tcPr>
            <w:tcW w:w="1250" w:type="pct"/>
            <w:tcBorders>
              <w:left w:val="single" w:sz="18" w:space="0" w:color="000000"/>
              <w:right w:val="single" w:sz="18" w:space="0" w:color="000000"/>
            </w:tcBorders>
            <w:shd w:val="clear" w:color="auto" w:fill="auto"/>
          </w:tcPr>
          <w:p w14:paraId="3E146C46" w14:textId="77777777" w:rsidR="001268BC" w:rsidRPr="009445F0" w:rsidRDefault="001268BC" w:rsidP="009445F0">
            <w:pPr>
              <w:spacing w:line="276" w:lineRule="auto"/>
              <w:jc w:val="center"/>
              <w:rPr>
                <w:rFonts w:ascii="Arial" w:hAnsi="Arial" w:cs="Arial"/>
                <w:sz w:val="18"/>
                <w:szCs w:val="18"/>
                <w:vertAlign w:val="subscript"/>
              </w:rPr>
            </w:pPr>
            <w:r w:rsidRPr="009445F0">
              <w:rPr>
                <w:rFonts w:ascii="Arial" w:hAnsi="Arial" w:cs="Arial"/>
                <w:sz w:val="18"/>
                <w:szCs w:val="18"/>
              </w:rPr>
              <w:t>36.14 kW/kg H</w:t>
            </w:r>
            <w:r w:rsidRPr="009445F0">
              <w:rPr>
                <w:rFonts w:ascii="Arial" w:hAnsi="Arial" w:cs="Arial"/>
                <w:sz w:val="18"/>
                <w:szCs w:val="18"/>
                <w:vertAlign w:val="subscript"/>
              </w:rPr>
              <w:t xml:space="preserve">2 </w:t>
            </w:r>
          </w:p>
          <w:p w14:paraId="308A8063" w14:textId="5376E5DD"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{"citationItems":[{"id":"ITEM-1","itemData":{"DOI":"10.3390/environments5020024","ISSN":"20763298","abstract":"A common sustainability issue, arising in production systems, is the efficient use of resources for providing goods or services. With the increased interest in a hydrogen (H2) economy, the life-cycle environmental performance of H2 production has special significance for assisting in identifying opportunities to improve environmental performance and to guide challenging decisions and select between technology paths. Life cycle impact assessment methods are rapidly evolving to analyze multiple environmental impacts of the production of products or processes. This study marks the first step in developing process-based streamlined life cycle analysis (LCA) of several H2 production pathways combining life cycle impacts at the midpoint (17 problem-oriented) and endpoint (3 damage-oriented) levels using the state-of-the-art impact assessment method ReCiPe 2016. Steam reforming of natural gas, coal gasification, water electrolysis via proton exchange membrane fuel cell (PEM), solid oxide electrolyzer cell (SOEC), biomass gasification and reforming, and dark fermentation of lignocellulosic biomass were analyzed. An innovative aspect is developed in this study is an analysis of water consumption associated with H2 production pathways by life-cycle stage to provide a better understanding of the life cycle water-related impacts on human health and natural environment. For water-related scope, Water scarcity footprint (WSF) quantified using Available WAter REmaining (AWARE) method was applied as a stand-alone indicator. The paper discusses the strengths and weaknesses of each production pathway, identify the drivers of environmental impact, quantify midpoint environmental impact and its influence on the endpoint environmental performance. The findings of this study could serve as a useful theoretical reference and practical basis to decision-makers of potential environmental impacts of H2 production systems.","author":[{"dropping-particle":"","family":"Mehmeti","given":"Andi","non-dropping-particle":"","parse-names":false,"suffix":""},{"dropping-particle":"","family":"Angelis-Dimakis","given":"Athanasios","non-dropping-particle":"","parse-names":false,"suffix":""},{"dropping-particle":"","family":"Arampatzis","given":"George","non-dropping-particle":"","parse-names":false,"suffix":""},{"dropping-particle":"","family":"McPhail","given":"Stephen J.","non-dropping-particle":"","parse-names":false,"suffix":""},{"dropping-particle":"","family":"Ulgiati","given":"Sergio","non-dropping-particle":"","parse-names":false,"suffix":""}],"container-title":"Environments - MDPI","id":"ITEM-1","issue":"2","issued":{"date-parts":[["2018"]]},"page":"1-19","title":"Life cycle assessment and water footprint of hydrogen production methods: From conventional to emerging technologies","type":"article-journal","volume":"5"},"uris":["http://www.mendeley.com/documents/?uuid=c3cb04e4-66b5-4cd8-9b4c-ef394011f00d"]}],"mendeley":{"formattedCitation":"(Mehmeti et al., 2018)","manualFormatting":"(Mehmeti, 2018)","plainTextFormattedCitation":"(Mehmeti et al., 2018)","previouslyFormattedCitation":"(Mehmeti et al., 2018)"},"properties":{"noteIndex":0},"schema":"https://github.com/citation-style-language/schema/raw/master/csl-citation.json"}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(Mehmeti, 2018)</w:t>
            </w:r>
            <w:r w:rsidRPr="009445F0">
              <w:rPr>
                <w:rFonts w:ascii="Arial" w:hAnsi="Arial" w:cs="Arial"/>
                <w:sz w:val="18"/>
                <w:szCs w:val="18"/>
              </w:rPr>
              <w:fldChar w:fldCharType="end"/>
            </w:r>
          </w:p>
        </w:tc>
        <w:tc>
          <w:tcPr>
            <w:tcW w:w="2500" w:type="pct"/>
            <w:gridSpan w:val="2"/>
            <w:tcBorders>
              <w:top w:val="single" w:sz="18" w:space="0" w:color="000000"/>
              <w:left w:val="single" w:sz="18" w:space="0" w:color="000000"/>
              <w:bottom w:val="single" w:sz="18" w:space="0" w:color="000000"/>
              <w:right w:val="single" w:sz="18" w:space="0" w:color="000000"/>
            </w:tcBorders>
            <w:shd w:val="clear" w:color="auto" w:fill="A8FFB1"/>
            <w:vAlign w:val="center"/>
          </w:tcPr>
          <w:p w14:paraId="4C6C3054"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b/>
                <w:bCs/>
                <w:sz w:val="18"/>
                <w:szCs w:val="18"/>
              </w:rPr>
              <w:t>Chemical Method</w:t>
            </w:r>
          </w:p>
        </w:tc>
      </w:tr>
      <w:tr w:rsidR="001268BC" w:rsidRPr="009445F0" w14:paraId="64D81442" w14:textId="77777777" w:rsidTr="000E579C">
        <w:trPr>
          <w:trHeight w:val="397"/>
        </w:trPr>
        <w:tc>
          <w:tcPr>
            <w:tcW w:w="1250" w:type="pct"/>
            <w:tcBorders>
              <w:left w:val="single" w:sz="18" w:space="0" w:color="000000"/>
              <w:bottom w:val="single" w:sz="18" w:space="0" w:color="000000"/>
              <w:right w:val="single" w:sz="18" w:space="0" w:color="000000"/>
            </w:tcBorders>
            <w:shd w:val="clear" w:color="auto" w:fill="auto"/>
            <w:vAlign w:val="center"/>
          </w:tcPr>
          <w:p w14:paraId="6AB010D9"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AEM</w:t>
            </w:r>
          </w:p>
        </w:tc>
        <w:tc>
          <w:tcPr>
            <w:tcW w:w="1250" w:type="pct"/>
            <w:tcBorders>
              <w:left w:val="single" w:sz="18" w:space="0" w:color="000000"/>
              <w:bottom w:val="single" w:sz="18" w:space="0" w:color="000000"/>
              <w:right w:val="single" w:sz="18" w:space="0" w:color="000000"/>
            </w:tcBorders>
            <w:shd w:val="clear" w:color="auto" w:fill="auto"/>
          </w:tcPr>
          <w:p w14:paraId="7F834C0A" w14:textId="77777777" w:rsidR="001268BC" w:rsidRPr="009445F0" w:rsidRDefault="001268BC" w:rsidP="009445F0">
            <w:pPr>
              <w:spacing w:line="276" w:lineRule="auto"/>
              <w:jc w:val="center"/>
              <w:rPr>
                <w:rFonts w:ascii="Arial" w:hAnsi="Arial" w:cs="Arial"/>
                <w:sz w:val="18"/>
                <w:szCs w:val="18"/>
                <w:vertAlign w:val="subscript"/>
              </w:rPr>
            </w:pPr>
            <w:r w:rsidRPr="009445F0">
              <w:rPr>
                <w:rFonts w:ascii="Arial" w:hAnsi="Arial" w:cs="Arial"/>
                <w:sz w:val="18"/>
                <w:szCs w:val="18"/>
              </w:rPr>
              <w:t>60.09 kW/kg H</w:t>
            </w:r>
            <w:r w:rsidRPr="009445F0">
              <w:rPr>
                <w:rFonts w:ascii="Arial" w:hAnsi="Arial" w:cs="Arial"/>
                <w:sz w:val="18"/>
                <w:szCs w:val="18"/>
                <w:vertAlign w:val="subscript"/>
              </w:rPr>
              <w:t xml:space="preserve">2 </w:t>
            </w:r>
          </w:p>
          <w:p w14:paraId="6B091B75" w14:textId="35606C49"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vertAlign w:val="subscript"/>
              </w:rPr>
              <w:fldChar w:fldCharType="begin" w:fldLock="1"/>
            </w:r>
            <w:r w:rsidR="00D27FDA">
              <w:rPr>
                <w:rFonts w:ascii="Arial" w:hAnsi="Arial" w:cs="Arial"/>
                <w:sz w:val="18"/>
                <w:szCs w:val="18"/>
                <w:vertAlign w:val="subscript"/>
              </w:rPr>
              <w:instrText>ADDIN CSL_CITATION {"citationItems":[{"id":"ITEM-1","itemData":{"author":[{"dropping-particle":"","family":"Benny Wang","given":"","non-dropping-particle":"","parse-names":false,"suffix":""}],"container-title":"Weiqing Industry Park","id":"ITEM-1","issued":{"date-parts":[["2012"]]},"title":"AEM Water Electrolysis Equipment","type":"webpage"},"uris":["http://www.mendeley.com/documents/?uuid=62d65d37-b543-4c54-8eb4-fe8f874dade1"]}],"mendeley":{"formattedCitation":"(Benny Wang, 2012)","manualFormatting":"(Wang, 2012)","plainTextFormattedCitation":"(Benny Wang, 2012)","previouslyFormattedCitation":"(Benny Wang, 2012)"},"properties":{"noteIndex":0},"schema":"https://github.com/citation-style-language/schema/raw/master/csl-citation.json"}</w:instrText>
            </w:r>
            <w:r w:rsidRPr="009445F0">
              <w:rPr>
                <w:rFonts w:ascii="Arial" w:hAnsi="Arial" w:cs="Arial"/>
                <w:sz w:val="18"/>
                <w:szCs w:val="18"/>
                <w:vertAlign w:val="subscript"/>
              </w:rPr>
              <w:fldChar w:fldCharType="separate"/>
            </w:r>
            <w:r w:rsidRPr="009445F0">
              <w:rPr>
                <w:rFonts w:ascii="Arial" w:hAnsi="Arial" w:cs="Arial"/>
                <w:noProof/>
                <w:sz w:val="18"/>
                <w:szCs w:val="18"/>
              </w:rPr>
              <w:t>(Wang, 2012)</w:t>
            </w:r>
            <w:r w:rsidRPr="009445F0">
              <w:rPr>
                <w:rFonts w:ascii="Arial" w:hAnsi="Arial" w:cs="Arial"/>
                <w:sz w:val="18"/>
                <w:szCs w:val="18"/>
                <w:vertAlign w:val="subscript"/>
              </w:rPr>
              <w:fldChar w:fldCharType="end"/>
            </w:r>
          </w:p>
        </w:tc>
        <w:tc>
          <w:tcPr>
            <w:tcW w:w="2500" w:type="pct"/>
            <w:gridSpan w:val="2"/>
            <w:tcBorders>
              <w:top w:val="single" w:sz="18" w:space="0" w:color="000000"/>
              <w:left w:val="single" w:sz="18" w:space="0" w:color="000000"/>
              <w:bottom w:val="single" w:sz="18" w:space="0" w:color="000000"/>
              <w:right w:val="single" w:sz="18" w:space="0" w:color="000000"/>
            </w:tcBorders>
            <w:shd w:val="clear" w:color="auto" w:fill="A8FFB1"/>
            <w:vAlign w:val="center"/>
          </w:tcPr>
          <w:p w14:paraId="576F5336"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b/>
                <w:bCs/>
                <w:sz w:val="18"/>
                <w:szCs w:val="18"/>
              </w:rPr>
              <w:t>Solid Hydride</w:t>
            </w:r>
          </w:p>
        </w:tc>
      </w:tr>
      <w:tr w:rsidR="001268BC" w:rsidRPr="009445F0" w14:paraId="6987E28F" w14:textId="77777777" w:rsidTr="000E579C">
        <w:trPr>
          <w:trHeight w:val="397"/>
        </w:trPr>
        <w:tc>
          <w:tcPr>
            <w:tcW w:w="2500" w:type="pct"/>
            <w:gridSpan w:val="2"/>
            <w:tcBorders>
              <w:top w:val="single" w:sz="18" w:space="0" w:color="000000"/>
              <w:left w:val="single" w:sz="18" w:space="0" w:color="000000"/>
              <w:bottom w:val="single" w:sz="18" w:space="0" w:color="000000"/>
              <w:right w:val="single" w:sz="18" w:space="0" w:color="000000"/>
            </w:tcBorders>
            <w:shd w:val="clear" w:color="auto" w:fill="A8FFB1"/>
            <w:vAlign w:val="center"/>
          </w:tcPr>
          <w:p w14:paraId="508E196B"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b/>
                <w:bCs/>
                <w:sz w:val="18"/>
                <w:szCs w:val="18"/>
              </w:rPr>
              <w:t>Green H</w:t>
            </w:r>
            <w:r w:rsidRPr="009445F0">
              <w:rPr>
                <w:rFonts w:ascii="Arial" w:hAnsi="Arial" w:cs="Arial"/>
                <w:b/>
                <w:bCs/>
                <w:sz w:val="18"/>
                <w:szCs w:val="18"/>
                <w:vertAlign w:val="subscript"/>
              </w:rPr>
              <w:t>2</w:t>
            </w:r>
            <w:r w:rsidRPr="009445F0">
              <w:rPr>
                <w:rFonts w:ascii="Arial" w:hAnsi="Arial" w:cs="Arial"/>
                <w:b/>
                <w:bCs/>
                <w:sz w:val="18"/>
                <w:szCs w:val="18"/>
              </w:rPr>
              <w:t xml:space="preserve"> (POME)</w:t>
            </w:r>
          </w:p>
        </w:tc>
        <w:tc>
          <w:tcPr>
            <w:tcW w:w="1250" w:type="pct"/>
            <w:tcBorders>
              <w:top w:val="single" w:sz="18" w:space="0" w:color="000000"/>
              <w:left w:val="single" w:sz="18" w:space="0" w:color="000000"/>
              <w:bottom w:val="single" w:sz="18" w:space="0" w:color="000000"/>
              <w:right w:val="single" w:sz="18" w:space="0" w:color="000000"/>
            </w:tcBorders>
            <w:shd w:val="clear" w:color="auto" w:fill="auto"/>
            <w:vAlign w:val="center"/>
          </w:tcPr>
          <w:p w14:paraId="7671F7DB"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Metal Hydride</w:t>
            </w:r>
          </w:p>
        </w:tc>
        <w:tc>
          <w:tcPr>
            <w:tcW w:w="1250" w:type="pct"/>
            <w:tcBorders>
              <w:top w:val="single" w:sz="18" w:space="0" w:color="000000"/>
              <w:left w:val="single" w:sz="18" w:space="0" w:color="000000"/>
              <w:bottom w:val="single" w:sz="18" w:space="0" w:color="000000"/>
              <w:right w:val="single" w:sz="18" w:space="0" w:color="000000"/>
            </w:tcBorders>
            <w:shd w:val="clear" w:color="auto" w:fill="auto"/>
          </w:tcPr>
          <w:p w14:paraId="0D3E9289" w14:textId="77777777" w:rsidR="001268BC" w:rsidRPr="009445F0" w:rsidRDefault="001268BC" w:rsidP="009445F0">
            <w:pPr>
              <w:spacing w:line="276" w:lineRule="auto"/>
              <w:jc w:val="center"/>
              <w:rPr>
                <w:rFonts w:ascii="Arial" w:hAnsi="Arial" w:cs="Arial"/>
                <w:sz w:val="18"/>
                <w:szCs w:val="18"/>
                <w:vertAlign w:val="subscript"/>
              </w:rPr>
            </w:pPr>
            <w:r w:rsidRPr="009445F0">
              <w:rPr>
                <w:rFonts w:ascii="Arial" w:hAnsi="Arial" w:cs="Arial"/>
                <w:sz w:val="18"/>
                <w:szCs w:val="18"/>
              </w:rPr>
              <w:t>3.00 kW/kg H</w:t>
            </w:r>
            <w:r w:rsidRPr="009445F0">
              <w:rPr>
                <w:rFonts w:ascii="Arial" w:hAnsi="Arial" w:cs="Arial"/>
                <w:sz w:val="18"/>
                <w:szCs w:val="18"/>
                <w:vertAlign w:val="subscript"/>
              </w:rPr>
              <w:t xml:space="preserve">2 </w:t>
            </w:r>
          </w:p>
          <w:p w14:paraId="34883C8E" w14:textId="7D65E3C1"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vertAlign w:val="subscript"/>
              </w:rPr>
              <w:fldChar w:fldCharType="begin" w:fldLock="1"/>
            </w:r>
            <w:r w:rsidR="00D27FDA">
              <w:rPr>
                <w:rFonts w:ascii="Arial" w:hAnsi="Arial" w:cs="Arial"/>
                <w:sz w:val="18"/>
                <w:szCs w:val="18"/>
                <w:vertAlign w:val="subscript"/>
              </w:rPr>
              <w:instrText>ADDIN CSL_CITATION {"citationItems":[{"id":"ITEM-1","itemData":{"DOI":"10.1533/9780857097422.1.117","author":[{"dropping-particle":"","family":"Sheffield","given":"J.W.","non-dropping-particle":"","parse-names":false,"suffix":""},{"dropping-particle":"","family":"Martin","given":"K.B.","non-dropping-particle":"","parse-names":false,"suffix":""},{"dropping-particle":"","family":"Folkson","given":"R.","non-dropping-particle":"","parse-names":false,"suffix":""}],"container-title":"Alternative Fuels and Advanced Vehicle Technologies for Improved Environmental Performance","id":"ITEM-1","issued":{"date-parts":[["2014"]]},"page":"117-137","publisher":"Elsevier","title":"Electricity and hydrogen as energy vectors for transportation vehicles","type":"chapter"},"uris":["http://www.mendeley.com/documents/?uuid=6bcddb30-daf1-4593-a9fb-03aee7463ef4"]}],"mendeley":{"formattedCitation":"(Sheffield et al., 2014)","manualFormatting":"(Sheffield, 2014)","plainTextFormattedCitation":"(Sheffield et al., 2014)","previouslyFormattedCitation":"(Sheffield et al., 2014)"},"properties":{"noteIndex":0},"schema":"https://github.com/citation-style-language/schema/raw/master/csl-citation.json"}</w:instrText>
            </w:r>
            <w:r w:rsidRPr="009445F0">
              <w:rPr>
                <w:rFonts w:ascii="Arial" w:hAnsi="Arial" w:cs="Arial"/>
                <w:sz w:val="18"/>
                <w:szCs w:val="18"/>
                <w:vertAlign w:val="subscript"/>
              </w:rPr>
              <w:fldChar w:fldCharType="separate"/>
            </w:r>
            <w:r w:rsidRPr="009445F0">
              <w:rPr>
                <w:rFonts w:ascii="Arial" w:hAnsi="Arial" w:cs="Arial"/>
                <w:noProof/>
                <w:sz w:val="18"/>
                <w:szCs w:val="18"/>
              </w:rPr>
              <w:t>(Sheffield, 2014)</w:t>
            </w:r>
            <w:r w:rsidRPr="009445F0">
              <w:rPr>
                <w:rFonts w:ascii="Arial" w:hAnsi="Arial" w:cs="Arial"/>
                <w:sz w:val="18"/>
                <w:szCs w:val="18"/>
                <w:vertAlign w:val="subscript"/>
              </w:rPr>
              <w:fldChar w:fldCharType="end"/>
            </w:r>
          </w:p>
        </w:tc>
      </w:tr>
      <w:tr w:rsidR="001268BC" w:rsidRPr="009445F0" w14:paraId="6DB8E97A" w14:textId="77777777" w:rsidTr="000E579C">
        <w:trPr>
          <w:trHeight w:val="397"/>
        </w:trPr>
        <w:tc>
          <w:tcPr>
            <w:tcW w:w="1250" w:type="pct"/>
            <w:tcBorders>
              <w:top w:val="single" w:sz="18" w:space="0" w:color="000000"/>
              <w:left w:val="single" w:sz="18" w:space="0" w:color="000000"/>
              <w:right w:val="single" w:sz="18" w:space="0" w:color="000000"/>
            </w:tcBorders>
            <w:shd w:val="clear" w:color="auto" w:fill="auto"/>
            <w:vAlign w:val="center"/>
          </w:tcPr>
          <w:p w14:paraId="1D0B7306"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DF</w:t>
            </w:r>
          </w:p>
        </w:tc>
        <w:tc>
          <w:tcPr>
            <w:tcW w:w="1250" w:type="pct"/>
            <w:vMerge w:val="restart"/>
            <w:tcBorders>
              <w:top w:val="single" w:sz="18" w:space="0" w:color="000000"/>
              <w:left w:val="single" w:sz="18" w:space="0" w:color="000000"/>
              <w:right w:val="single" w:sz="18" w:space="0" w:color="000000"/>
            </w:tcBorders>
            <w:shd w:val="clear" w:color="auto" w:fill="auto"/>
            <w:vAlign w:val="center"/>
          </w:tcPr>
          <w:p w14:paraId="5B48764F" w14:textId="77777777" w:rsidR="001268BC" w:rsidRPr="009445F0" w:rsidRDefault="001268BC" w:rsidP="009445F0">
            <w:pPr>
              <w:spacing w:line="276" w:lineRule="auto"/>
              <w:jc w:val="center"/>
              <w:rPr>
                <w:rFonts w:ascii="Arial" w:hAnsi="Arial" w:cs="Arial"/>
                <w:sz w:val="18"/>
                <w:szCs w:val="18"/>
                <w:vertAlign w:val="subscript"/>
              </w:rPr>
            </w:pPr>
            <w:r w:rsidRPr="009445F0">
              <w:rPr>
                <w:rFonts w:ascii="Arial" w:hAnsi="Arial" w:cs="Arial"/>
                <w:sz w:val="18"/>
                <w:szCs w:val="18"/>
              </w:rPr>
              <w:t>21.60 kW/kg H</w:t>
            </w:r>
            <w:r w:rsidRPr="009445F0">
              <w:rPr>
                <w:rFonts w:ascii="Arial" w:hAnsi="Arial" w:cs="Arial"/>
                <w:sz w:val="18"/>
                <w:szCs w:val="18"/>
                <w:vertAlign w:val="subscript"/>
              </w:rPr>
              <w:t xml:space="preserve">2 </w:t>
            </w:r>
          </w:p>
          <w:p w14:paraId="05EF9955" w14:textId="670E0D91"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{"citationItems":[{"id":"ITEM-1","itemData":{"DOI":"10.3390/environments5020024","ISSN":"20763298","abstract":"A common sustainability issue, arising in production systems, is the efficient use of resources for providing goods or services. With the increased interest in a hydrogen (H2) economy, the life-cycle environmental performance of H2 production has special significance for assisting in identifying opportunities to improve environmental performance and to guide challenging decisions and select between technology paths. Life cycle impact assessment methods are rapidly evolving to analyze multiple environmental impacts of the production of products or processes. This study marks the first step in developing process-based streamlined life cycle analysis (LCA) of several H2 production pathways combining life cycle impacts at the midpoint (17 problem-oriented) and endpoint (3 damage-oriented) levels using the state-of-the-art impact assessment method ReCiPe 2016. Steam reforming of natural gas, coal gasification, water electrolysis via proton exchange membrane fuel cell (PEM), solid oxide electrolyzer cell (SOEC), biomass gasification and reforming, and dark fermentation of lignocellulosic biomass were analyzed. An innovative aspect is developed in this study is an analysis of water consumption associated with H2 production pathways by life-cycle stage to provide a better understanding of the life cycle water-related impacts on human health and natural environment. For water-related scope, Water scarcity footprint (WSF) quantified using Available WAter REmaining (AWARE) method was applied as a stand-alone indicator. The paper discusses the strengths and weaknesses of each production pathway, identify the drivers of environmental impact, quantify midpoint environmental impact and its influence on the endpoint environmental performance. The findings of this study could serve as a useful theoretical reference and practical basis to decision-makers of potential environmental impacts of H2 production systems.","author":[{"dropping-particle":"","family":"Mehmeti","given":"Andi","non-dropping-particle":"","parse-names":false,"suffix":""},{"dropping-particle":"","family":"Angelis-Dimakis","given":"Athanasios","non-dropping-particle":"","parse-names":false,"suffix":""},{"dropping-particle":"","family":"Arampatzis","given":"George","non-dropping-particle":"","parse-names":false,"suffix":""},{"dropping-particle":"","family":"McPhail","given":"Stephen J.","non-dropping-particle":"","parse-names":false,"suffix":""},{"dropping-particle":"","family":"Ulgiati","given":"Sergio","non-dropping-particle":"","parse-names":false,"suffix":""}],"container-title":"Environments - MDPI","id":"ITEM-1","issue":"2","issued":{"date-parts":[["2018"]]},"page":"1-19","title":"Life cycle assessment and water footprint of hydrogen production methods: From conventional to emerging technologies","type":"article-journal","volume":"5"},"uris":["http://www.mendeley.com/documents/?uuid=c3cb04e4-66b5-4cd8-9b4c-ef394011f00d"]}],"mendeley":{"formattedCitation":"(Mehmeti et al., 2018)","manualFormatting":"(Mehmeti, 2018)","plainTextFormattedCitation":"(Mehmeti et al., 2018)","previouslyFormattedCitation":"(Mehmeti et al., 2018)"},"properties":{"noteIndex":0},"schema":"https://github.com/citation-style-language/schema/raw/master/csl-citation.json"}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(Mehmeti, 2018)</w:t>
            </w:r>
            <w:r w:rsidRPr="009445F0">
              <w:rPr>
                <w:rFonts w:ascii="Arial" w:hAnsi="Arial" w:cs="Arial"/>
                <w:sz w:val="18"/>
                <w:szCs w:val="18"/>
              </w:rPr>
              <w:fldChar w:fldCharType="end"/>
            </w:r>
          </w:p>
        </w:tc>
        <w:tc>
          <w:tcPr>
            <w:tcW w:w="2500" w:type="pct"/>
            <w:gridSpan w:val="2"/>
            <w:tcBorders>
              <w:top w:val="single" w:sz="18" w:space="0" w:color="000000"/>
              <w:left w:val="single" w:sz="18" w:space="0" w:color="000000"/>
              <w:bottom w:val="single" w:sz="18" w:space="0" w:color="000000"/>
              <w:right w:val="single" w:sz="18" w:space="0" w:color="000000"/>
            </w:tcBorders>
            <w:shd w:val="clear" w:color="auto" w:fill="A8FFB1"/>
            <w:vAlign w:val="center"/>
          </w:tcPr>
          <w:p w14:paraId="53DA032E"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b/>
                <w:bCs/>
                <w:sz w:val="18"/>
                <w:szCs w:val="18"/>
              </w:rPr>
              <w:t>Chemical Storage</w:t>
            </w:r>
          </w:p>
        </w:tc>
      </w:tr>
      <w:tr w:rsidR="001268BC" w:rsidRPr="009445F0" w14:paraId="4235FBF9" w14:textId="77777777" w:rsidTr="000E579C">
        <w:trPr>
          <w:trHeight w:val="397"/>
        </w:trPr>
        <w:tc>
          <w:tcPr>
            <w:tcW w:w="1250" w:type="pct"/>
            <w:tcBorders>
              <w:left w:val="single" w:sz="18" w:space="0" w:color="000000"/>
              <w:bottom w:val="single" w:sz="18" w:space="0" w:color="000000"/>
              <w:right w:val="single" w:sz="18" w:space="0" w:color="000000"/>
            </w:tcBorders>
            <w:shd w:val="clear" w:color="auto" w:fill="auto"/>
            <w:vAlign w:val="center"/>
          </w:tcPr>
          <w:p w14:paraId="69E1F17E"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MEC</w:t>
            </w:r>
          </w:p>
        </w:tc>
        <w:tc>
          <w:tcPr>
            <w:tcW w:w="1250" w:type="pct"/>
            <w:vMerge/>
            <w:tcBorders>
              <w:left w:val="single" w:sz="18" w:space="0" w:color="000000"/>
              <w:bottom w:val="single" w:sz="18" w:space="0" w:color="000000"/>
              <w:right w:val="single" w:sz="18" w:space="0" w:color="000000"/>
            </w:tcBorders>
          </w:tcPr>
          <w:p w14:paraId="1BFA5880" w14:textId="77777777" w:rsidR="001268BC" w:rsidRPr="009445F0" w:rsidRDefault="001268BC" w:rsidP="009445F0">
            <w:pPr>
              <w:spacing w:line="276" w:lineRule="auto"/>
              <w:jc w:val="center"/>
              <w:rPr>
                <w:rFonts w:ascii="Arial" w:hAnsi="Arial" w:cs="Arial"/>
                <w:sz w:val="18"/>
                <w:szCs w:val="18"/>
              </w:rPr>
            </w:pPr>
          </w:p>
        </w:tc>
        <w:tc>
          <w:tcPr>
            <w:tcW w:w="1250" w:type="pct"/>
            <w:tcBorders>
              <w:top w:val="single" w:sz="18" w:space="0" w:color="000000"/>
              <w:left w:val="single" w:sz="18" w:space="0" w:color="000000"/>
              <w:bottom w:val="single" w:sz="18" w:space="0" w:color="000000"/>
              <w:right w:val="single" w:sz="18" w:space="0" w:color="000000"/>
            </w:tcBorders>
            <w:shd w:val="clear" w:color="auto" w:fill="auto"/>
            <w:vAlign w:val="center"/>
          </w:tcPr>
          <w:p w14:paraId="6E21E54A"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LOH</w:t>
            </w:r>
          </w:p>
        </w:tc>
        <w:tc>
          <w:tcPr>
            <w:tcW w:w="1250" w:type="pct"/>
            <w:tcBorders>
              <w:top w:val="single" w:sz="18" w:space="0" w:color="000000"/>
              <w:left w:val="single" w:sz="18" w:space="0" w:color="000000"/>
              <w:bottom w:val="single" w:sz="18" w:space="0" w:color="000000"/>
              <w:right w:val="single" w:sz="18" w:space="0" w:color="000000"/>
            </w:tcBorders>
            <w:shd w:val="clear" w:color="auto" w:fill="auto"/>
          </w:tcPr>
          <w:p w14:paraId="256629F7" w14:textId="77777777" w:rsidR="001268BC" w:rsidRPr="009445F0" w:rsidRDefault="001268BC" w:rsidP="009445F0">
            <w:pPr>
              <w:spacing w:line="276" w:lineRule="auto"/>
              <w:jc w:val="center"/>
              <w:rPr>
                <w:rFonts w:ascii="Arial" w:hAnsi="Arial" w:cs="Arial"/>
                <w:sz w:val="18"/>
                <w:szCs w:val="18"/>
                <w:vertAlign w:val="subscript"/>
              </w:rPr>
            </w:pPr>
            <w:r w:rsidRPr="009445F0">
              <w:rPr>
                <w:rFonts w:ascii="Arial" w:hAnsi="Arial" w:cs="Arial"/>
                <w:sz w:val="18"/>
                <w:szCs w:val="18"/>
              </w:rPr>
              <w:t>0.70 kW/kg H</w:t>
            </w:r>
            <w:r w:rsidRPr="009445F0">
              <w:rPr>
                <w:rFonts w:ascii="Arial" w:hAnsi="Arial" w:cs="Arial"/>
                <w:sz w:val="18"/>
                <w:szCs w:val="18"/>
                <w:vertAlign w:val="subscript"/>
              </w:rPr>
              <w:t xml:space="preserve">2 </w:t>
            </w:r>
          </w:p>
          <w:p w14:paraId="5B64B9BA" w14:textId="1EFF042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10.1016/j.ijhydene.2019.03.063","ISSN":"03603199","author":[{"dropping-particle":"","family":"Andersson","given":"Joakim","non-dropping-particle":"","parse-names":false,"suffix":""},{"dropping-particle":"","family":"Grönkvist","given":"Stefan","non-dropping-particle":"","parse-names":false,"suffix":""}],"container-title":"International Journal of Hydrogen Energy","id":"ITEM-1","issue":"23","issued":{"date-parts":[["2019","5"]]},"page":"11901-11919","title":"Large-scale storage of hydrogen","type":"article-journal","volume":"44"},"uris":["http://www.mendeley.com/documents/?uuid=c1181927-1b9f-4c03-a972-ffede98c4d5c"]}],"mendeley":{"formattedCitation":"(Andersson and Grönkvist, 2019)","manualFormatting":"(Andersson, 2019)","plainTextFormattedCitation":"(Andersson and Grönkvist, 2019)","previouslyFormattedCitation":"(Andersson and Grönkvist, 2019)"},"properties":{"noteIndex":0},"schema":"https://github.com/citation-style-language/schema/raw/master/csl-citation.json"}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(Andersson, 2019)</w:t>
            </w:r>
            <w:r w:rsidRPr="009445F0">
              <w:rPr>
                <w:rFonts w:ascii="Arial" w:hAnsi="Arial" w:cs="Arial"/>
                <w:sz w:val="18"/>
                <w:szCs w:val="18"/>
              </w:rPr>
              <w:fldChar w:fldCharType="end"/>
            </w:r>
          </w:p>
        </w:tc>
      </w:tr>
      <w:tr w:rsidR="001268BC" w:rsidRPr="009445F0" w14:paraId="04FCA05B" w14:textId="77777777" w:rsidTr="000E579C">
        <w:trPr>
          <w:trHeight w:val="397"/>
        </w:trPr>
        <w:tc>
          <w:tcPr>
            <w:tcW w:w="2500" w:type="pct"/>
            <w:gridSpan w:val="2"/>
            <w:tcBorders>
              <w:top w:val="single" w:sz="18" w:space="0" w:color="000000"/>
              <w:left w:val="single" w:sz="18" w:space="0" w:color="000000"/>
              <w:bottom w:val="single" w:sz="18" w:space="0" w:color="000000"/>
              <w:right w:val="single" w:sz="18" w:space="0" w:color="000000"/>
            </w:tcBorders>
            <w:shd w:val="clear" w:color="auto" w:fill="A8FFB1"/>
            <w:vAlign w:val="center"/>
          </w:tcPr>
          <w:p w14:paraId="2C104C69"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b/>
                <w:bCs/>
                <w:sz w:val="18"/>
                <w:szCs w:val="18"/>
              </w:rPr>
              <w:t>Turquoise H</w:t>
            </w:r>
            <w:r w:rsidRPr="009445F0">
              <w:rPr>
                <w:rFonts w:ascii="Arial" w:hAnsi="Arial" w:cs="Arial"/>
                <w:b/>
                <w:bCs/>
                <w:sz w:val="18"/>
                <w:szCs w:val="18"/>
                <w:vertAlign w:val="subscript"/>
              </w:rPr>
              <w:t>2</w:t>
            </w:r>
          </w:p>
        </w:tc>
        <w:tc>
          <w:tcPr>
            <w:tcW w:w="2500" w:type="pct"/>
            <w:gridSpan w:val="2"/>
            <w:tcBorders>
              <w:top w:val="single" w:sz="18" w:space="0" w:color="000000"/>
              <w:left w:val="single" w:sz="18" w:space="0" w:color="000000"/>
              <w:bottom w:val="single" w:sz="18" w:space="0" w:color="000000"/>
              <w:right w:val="single" w:sz="18" w:space="0" w:color="000000"/>
            </w:tcBorders>
            <w:shd w:val="clear" w:color="auto" w:fill="A8FFB1"/>
            <w:vAlign w:val="center"/>
          </w:tcPr>
          <w:p w14:paraId="08502087"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b/>
                <w:bCs/>
                <w:sz w:val="18"/>
                <w:szCs w:val="18"/>
              </w:rPr>
              <w:t>Circular Carrier</w:t>
            </w:r>
          </w:p>
        </w:tc>
      </w:tr>
      <w:tr w:rsidR="001268BC" w:rsidRPr="009445F0" w14:paraId="0E27C94E" w14:textId="77777777" w:rsidTr="000E579C">
        <w:trPr>
          <w:trHeight w:val="397"/>
        </w:trPr>
        <w:tc>
          <w:tcPr>
            <w:tcW w:w="1250" w:type="pct"/>
            <w:tcBorders>
              <w:top w:val="single" w:sz="18" w:space="0" w:color="000000"/>
              <w:left w:val="single" w:sz="18" w:space="0" w:color="000000"/>
              <w:bottom w:val="single" w:sz="18" w:space="0" w:color="000000"/>
              <w:right w:val="single" w:sz="18" w:space="0" w:color="000000"/>
            </w:tcBorders>
            <w:shd w:val="clear" w:color="auto" w:fill="auto"/>
            <w:vAlign w:val="center"/>
          </w:tcPr>
          <w:p w14:paraId="6AA07735"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Methane Pyrolysis</w:t>
            </w:r>
          </w:p>
        </w:tc>
        <w:tc>
          <w:tcPr>
            <w:tcW w:w="1250" w:type="pct"/>
            <w:tcBorders>
              <w:top w:val="single" w:sz="18" w:space="0" w:color="000000"/>
              <w:left w:val="single" w:sz="18" w:space="0" w:color="000000"/>
              <w:bottom w:val="single" w:sz="18" w:space="0" w:color="000000"/>
              <w:right w:val="single" w:sz="18" w:space="0" w:color="000000"/>
            </w:tcBorders>
            <w:shd w:val="clear" w:color="auto" w:fill="auto"/>
          </w:tcPr>
          <w:p w14:paraId="290A1647" w14:textId="77777777" w:rsidR="001268BC" w:rsidRPr="009445F0" w:rsidRDefault="001268BC" w:rsidP="009445F0">
            <w:pPr>
              <w:spacing w:line="276" w:lineRule="auto"/>
              <w:jc w:val="center"/>
              <w:rPr>
                <w:rFonts w:ascii="Arial" w:hAnsi="Arial" w:cs="Arial"/>
                <w:sz w:val="18"/>
                <w:szCs w:val="18"/>
                <w:vertAlign w:val="subscript"/>
              </w:rPr>
            </w:pPr>
            <w:r w:rsidRPr="009445F0">
              <w:rPr>
                <w:rFonts w:ascii="Arial" w:hAnsi="Arial" w:cs="Arial"/>
                <w:sz w:val="18"/>
                <w:szCs w:val="18"/>
              </w:rPr>
              <w:t>5.23 kW/kg H</w:t>
            </w:r>
            <w:r w:rsidRPr="009445F0">
              <w:rPr>
                <w:rFonts w:ascii="Arial" w:hAnsi="Arial" w:cs="Arial"/>
                <w:sz w:val="18"/>
                <w:szCs w:val="18"/>
                <w:vertAlign w:val="subscript"/>
              </w:rPr>
              <w:t xml:space="preserve">2 </w:t>
            </w:r>
          </w:p>
          <w:p w14:paraId="03057C76" w14:textId="7CEA98CC"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vertAlign w:val="subscript"/>
              </w:rPr>
              <w:fldChar w:fldCharType="begin" w:fldLock="1"/>
            </w:r>
            <w:r w:rsidR="00D27FDA">
              <w:rPr>
                <w:rFonts w:ascii="Arial" w:hAnsi="Arial" w:cs="Arial"/>
                <w:sz w:val="18"/>
                <w:szCs w:val="18"/>
                <w:vertAlign w:val="subscript"/>
              </w:rPr>
              <w:instrText>ADDIN CSL_CITATION {"citationItems":[{"id":"ITEM-1","itemData":{"DOI":"10.1002/ceat.201600023","ISSN":"09307516","author":[{"dropping-particle":"","family":"Machhammer","given":"Otto","non-dropping-particle":"","parse-names":false,"suffix":""},{"dropping-particle":"","family":"Bode","given":"Andreas","non-dropping-particle":"","parse-names":false,"suffix":""},{"dropping-particle":"","family":"Hormuth","given":"Wolfgang","non-dropping-particle":"","parse-names":false,"suffix":""}],"container-title":"Chemical Engineering &amp; Technology","id":"ITEM-1","issue":"6","issued":{"date-parts":[["2016","6"]]},"page":"1185-1193","title":"Financial and Ecological Evaluation of Hydrogen Production Processes on Large Scale","type":"article-journal","volume":"39"},"uris":["http://www.mendeley.com/documents/?uuid=f42687d4-31ad-49c7-9cbc-d3e39ccab11c"]}],"mendeley":{"formattedCitation":"(Machhammer et al., 2016)","manualFormatting":"(Machhammer, 2016)","plainTextFormattedCitation":"(Machhammer et al., 2016)","previouslyFormattedCitation":"(Machhammer et al., 2016)"},"properties":{"noteIndex":0},"schema":"https://github.com/citation-style-language/schema/raw/master/csl-citation.json"}</w:instrText>
            </w:r>
            <w:r w:rsidRPr="009445F0">
              <w:rPr>
                <w:rFonts w:ascii="Arial" w:hAnsi="Arial" w:cs="Arial"/>
                <w:sz w:val="18"/>
                <w:szCs w:val="18"/>
                <w:vertAlign w:val="subscript"/>
              </w:rPr>
              <w:fldChar w:fldCharType="separate"/>
            </w:r>
            <w:r w:rsidRPr="009445F0">
              <w:rPr>
                <w:rFonts w:ascii="Arial" w:hAnsi="Arial" w:cs="Arial"/>
                <w:noProof/>
                <w:sz w:val="18"/>
                <w:szCs w:val="18"/>
              </w:rPr>
              <w:t>(Machhammer, 2016)</w:t>
            </w:r>
            <w:r w:rsidRPr="009445F0">
              <w:rPr>
                <w:rFonts w:ascii="Arial" w:hAnsi="Arial" w:cs="Arial"/>
                <w:sz w:val="18"/>
                <w:szCs w:val="18"/>
                <w:vertAlign w:val="subscript"/>
              </w:rPr>
              <w:fldChar w:fldCharType="end"/>
            </w:r>
          </w:p>
        </w:tc>
        <w:tc>
          <w:tcPr>
            <w:tcW w:w="1250" w:type="pct"/>
            <w:tcBorders>
              <w:top w:val="single" w:sz="18" w:space="0" w:color="000000"/>
              <w:left w:val="single" w:sz="18" w:space="0" w:color="000000"/>
              <w:bottom w:val="single" w:sz="18" w:space="0" w:color="000000"/>
              <w:right w:val="single" w:sz="18" w:space="0" w:color="000000"/>
            </w:tcBorders>
            <w:shd w:val="clear" w:color="auto" w:fill="auto"/>
            <w:vAlign w:val="center"/>
          </w:tcPr>
          <w:p w14:paraId="0484661B"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NH</w:t>
            </w:r>
            <w:r w:rsidRPr="009445F0">
              <w:rPr>
                <w:rFonts w:ascii="Arial" w:hAnsi="Arial" w:cs="Arial"/>
                <w:sz w:val="18"/>
                <w:szCs w:val="18"/>
                <w:vertAlign w:val="subscript"/>
              </w:rPr>
              <w:t>3</w:t>
            </w:r>
          </w:p>
        </w:tc>
        <w:tc>
          <w:tcPr>
            <w:tcW w:w="1250" w:type="pct"/>
            <w:tcBorders>
              <w:top w:val="single" w:sz="18" w:space="0" w:color="000000"/>
              <w:left w:val="single" w:sz="18" w:space="0" w:color="000000"/>
              <w:bottom w:val="single" w:sz="18" w:space="0" w:color="000000"/>
              <w:right w:val="single" w:sz="18" w:space="0" w:color="000000"/>
            </w:tcBorders>
            <w:shd w:val="clear" w:color="auto" w:fill="auto"/>
          </w:tcPr>
          <w:p w14:paraId="664DC5DE" w14:textId="77777777" w:rsidR="001268BC" w:rsidRPr="009445F0" w:rsidRDefault="001268BC" w:rsidP="009445F0">
            <w:pPr>
              <w:spacing w:line="276" w:lineRule="auto"/>
              <w:jc w:val="center"/>
              <w:rPr>
                <w:rFonts w:ascii="Arial" w:hAnsi="Arial" w:cs="Arial"/>
                <w:sz w:val="18"/>
                <w:szCs w:val="18"/>
                <w:vertAlign w:val="subscript"/>
              </w:rPr>
            </w:pPr>
            <w:r w:rsidRPr="009445F0">
              <w:rPr>
                <w:rFonts w:ascii="Arial" w:hAnsi="Arial" w:cs="Arial"/>
                <w:sz w:val="18"/>
                <w:szCs w:val="18"/>
              </w:rPr>
              <w:t>2.00 kW/kg H</w:t>
            </w:r>
            <w:r w:rsidRPr="009445F0">
              <w:rPr>
                <w:rFonts w:ascii="Arial" w:hAnsi="Arial" w:cs="Arial"/>
                <w:sz w:val="18"/>
                <w:szCs w:val="18"/>
                <w:vertAlign w:val="subscript"/>
              </w:rPr>
              <w:t xml:space="preserve">2 </w:t>
            </w:r>
          </w:p>
          <w:p w14:paraId="50ACBEFD" w14:textId="77492268"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10.1016/j.ijhydene.2019.03.063","ISSN":"03603199","author":[{"dropping-particle":"","family":"Andersson","given":"Joakim","non-dropping-particle":"","parse-names":false,"suffix":""},{"dropping-particle":"","family":"Grönkvist","given":"Stefan","non-dropping-particle":"","parse-names":false,"suffix":""}],"container-title":"International Journal of Hydrogen Energy","id":"ITEM-1","issue":"23","issued":{"date-parts":[["2019","5"]]},"page":"11901-11919","title":"Large-scale storage of hydrogen","type":"article-journal","volume":"44"},"uris":["http://www.mendeley.com/documents/?uuid=c1181927-1b9f-4c03-a972-ffede98c4d5c"]}],"mendeley":{"formattedCitation":"(Andersson and Grönkvist, 2019)","manualFormatting":"(Andersson, 2019)","plainTextFormattedCitation":"(Andersson and Grönkvist, 2019)","previouslyFormattedCitation":"(Andersson and Grönkvist, 2019)"},"properties":{"noteIndex":0},"schema":"https://github.com/citation-style-language/schema/raw/master/csl-citation.json"}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(Andersson, 2019)</w:t>
            </w:r>
            <w:r w:rsidRPr="009445F0">
              <w:rPr>
                <w:rFonts w:ascii="Arial" w:hAnsi="Arial" w:cs="Arial"/>
                <w:sz w:val="18"/>
                <w:szCs w:val="18"/>
              </w:rPr>
              <w:fldChar w:fldCharType="end"/>
            </w:r>
          </w:p>
        </w:tc>
      </w:tr>
    </w:tbl>
    <w:p w14:paraId="30822F0A" w14:textId="1C9BC536" w:rsidR="008A65B7" w:rsidRPr="009445F0" w:rsidRDefault="008A65B7" w:rsidP="00D508E9">
      <w:pPr>
        <w:autoSpaceDE w:val="0"/>
        <w:autoSpaceDN w:val="0"/>
        <w:adjustRightInd w:val="0"/>
        <w:spacing w:after="0" w:line="360" w:lineRule="auto"/>
        <w:rPr>
          <w:rFonts w:ascii="Arial" w:hAnsi="Arial" w:cs="Arial"/>
          <w:color w:val="000000" w:themeColor="text1"/>
          <w:sz w:val="20"/>
          <w:szCs w:val="20"/>
        </w:rPr>
      </w:pPr>
    </w:p>
    <w:p w14:paraId="43A7EE61" w14:textId="57E2A948" w:rsidR="009445F0" w:rsidRPr="009445F0" w:rsidRDefault="001268BC" w:rsidP="00D508E9">
      <w:pPr>
        <w:spacing w:after="0" w:line="360" w:lineRule="auto"/>
        <w:jc w:val="center"/>
        <w:rPr>
          <w:rFonts w:ascii="Arial" w:hAnsi="Arial" w:cs="Arial"/>
          <w:b/>
          <w:bCs/>
          <w:i/>
          <w:iCs/>
          <w:sz w:val="18"/>
          <w:szCs w:val="18"/>
          <w:lang w:val="en-US"/>
        </w:rPr>
      </w:pPr>
      <w:r w:rsidRPr="009445F0">
        <w:rPr>
          <w:rFonts w:ascii="Arial" w:hAnsi="Arial" w:cs="Arial"/>
          <w:b/>
          <w:bCs/>
          <w:i/>
          <w:iCs/>
          <w:sz w:val="18"/>
          <w:szCs w:val="18"/>
          <w:lang w:val="en-US"/>
        </w:rPr>
        <w:t xml:space="preserve">Table </w:t>
      </w:r>
      <w:r w:rsidR="0088659A">
        <w:rPr>
          <w:rFonts w:ascii="Arial" w:hAnsi="Arial" w:cs="Arial"/>
          <w:b/>
          <w:bCs/>
          <w:i/>
          <w:iCs/>
          <w:sz w:val="18"/>
          <w:szCs w:val="18"/>
          <w:lang w:val="en-US"/>
        </w:rPr>
        <w:t>A</w:t>
      </w:r>
      <w:r w:rsidRPr="009445F0">
        <w:rPr>
          <w:rFonts w:ascii="Arial" w:hAnsi="Arial" w:cs="Arial"/>
          <w:b/>
          <w:bCs/>
          <w:i/>
          <w:iCs/>
          <w:sz w:val="18"/>
          <w:szCs w:val="18"/>
          <w:lang w:val="en-US"/>
        </w:rPr>
        <w:t xml:space="preserve">5: </w:t>
      </w:r>
      <w:r w:rsidRPr="009445F0">
        <w:rPr>
          <w:rFonts w:ascii="Arial" w:hAnsi="Arial" w:cs="Arial"/>
          <w:i/>
          <w:iCs/>
          <w:sz w:val="18"/>
          <w:szCs w:val="18"/>
          <w:lang w:val="en-US"/>
        </w:rPr>
        <w:t>Cost of Raw Material</w:t>
      </w:r>
      <w:r w:rsidRPr="009445F0">
        <w:rPr>
          <w:rFonts w:ascii="Arial" w:hAnsi="Arial" w:cs="Arial"/>
          <w:b/>
          <w:bCs/>
          <w:i/>
          <w:iCs/>
          <w:sz w:val="18"/>
          <w:szCs w:val="18"/>
          <w:lang w:val="en-US"/>
        </w:rPr>
        <w:t xml:space="preserve"> </w:t>
      </w:r>
    </w:p>
    <w:tbl>
      <w:tblPr>
        <w:tblStyle w:val="TableGrid"/>
        <w:tblW w:w="5000" w:type="pct"/>
        <w:tblInd w:w="0" w:type="dxa"/>
        <w:tblLook w:val="04A0" w:firstRow="1" w:lastRow="0" w:firstColumn="1" w:lastColumn="0" w:noHBand="0" w:noVBand="1"/>
      </w:tblPr>
      <w:tblGrid>
        <w:gridCol w:w="5023"/>
        <w:gridCol w:w="5023"/>
      </w:tblGrid>
      <w:tr w:rsidR="001268BC" w:rsidRPr="009445F0" w14:paraId="5B1BCE7A" w14:textId="77777777" w:rsidTr="00D508E9">
        <w:tc>
          <w:tcPr>
            <w:tcW w:w="2500" w:type="pct"/>
            <w:tcBorders>
              <w:top w:val="single" w:sz="18" w:space="0" w:color="000000"/>
              <w:left w:val="single" w:sz="18" w:space="0" w:color="000000"/>
              <w:bottom w:val="single" w:sz="18" w:space="0" w:color="000000"/>
              <w:right w:val="single" w:sz="18" w:space="0" w:color="000000"/>
            </w:tcBorders>
            <w:shd w:val="clear" w:color="auto" w:fill="A7FFB1"/>
            <w:vAlign w:val="center"/>
          </w:tcPr>
          <w:p w14:paraId="68916C6E"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Raw Material</w:t>
            </w:r>
          </w:p>
        </w:tc>
        <w:tc>
          <w:tcPr>
            <w:tcW w:w="2500" w:type="pct"/>
            <w:tcBorders>
              <w:top w:val="single" w:sz="18" w:space="0" w:color="000000"/>
              <w:left w:val="single" w:sz="18" w:space="0" w:color="000000"/>
              <w:bottom w:val="single" w:sz="18" w:space="0" w:color="000000"/>
              <w:right w:val="single" w:sz="18" w:space="0" w:color="000000"/>
            </w:tcBorders>
            <w:shd w:val="clear" w:color="auto" w:fill="A7FFB1"/>
            <w:vAlign w:val="center"/>
          </w:tcPr>
          <w:p w14:paraId="2DF996D2"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Cost ($/kg)</w:t>
            </w:r>
          </w:p>
        </w:tc>
      </w:tr>
      <w:tr w:rsidR="001268BC" w:rsidRPr="009445F0" w14:paraId="26F62FC9" w14:textId="77777777" w:rsidTr="009445F0">
        <w:tc>
          <w:tcPr>
            <w:tcW w:w="2500" w:type="pct"/>
            <w:tcBorders>
              <w:top w:val="single" w:sz="18" w:space="0" w:color="000000"/>
              <w:left w:val="single" w:sz="18" w:space="0" w:color="000000"/>
              <w:right w:val="single" w:sz="18" w:space="0" w:color="000000"/>
            </w:tcBorders>
            <w:shd w:val="clear" w:color="auto" w:fill="auto"/>
            <w:vAlign w:val="center"/>
          </w:tcPr>
          <w:p w14:paraId="54CD1681"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EFB</w:t>
            </w:r>
          </w:p>
        </w:tc>
        <w:tc>
          <w:tcPr>
            <w:tcW w:w="2500" w:type="pct"/>
            <w:tcBorders>
              <w:top w:val="single" w:sz="18" w:space="0" w:color="000000"/>
              <w:left w:val="single" w:sz="18" w:space="0" w:color="000000"/>
              <w:right w:val="single" w:sz="18" w:space="0" w:color="000000"/>
            </w:tcBorders>
            <w:shd w:val="clear" w:color="auto" w:fill="auto"/>
            <w:vAlign w:val="center"/>
          </w:tcPr>
          <w:p w14:paraId="5AE53A30" w14:textId="5225E4E4"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0.012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{"citationItems":[{"id":"ITEM-1","itemData":{"DOI":"10.15376/biores.9.3.5385-5416","ISBN":"1930-2126","ISSN":"1930-2126","PMID":"20705852","abstract":"Financial, environmental, and supply chain analyses of empty fruit bunch (EFB) biomass are needed for the development of a sustainable green chemicals industry in Malaysia. Herein, holistic analysis of the supply system and EFB life cycle cradle-to-gate are analyzed in an effort to make recommendations for the commercial-scale collection and delivery of EFB from crude palm oil (CPO) extraction facilities to biorefineries in Malaysia. Supply chain modeling tracked inputs and outputs for financial analysis. The openLCA software was used for life cycle assessment (LCA). Allocation scenarios were used to explore the impact of accounting methodologies on the competitiveness of EFB compared to other feedstocks. Sensitivity analysis on the effect of transportation distance, emission flows, and allocation methods on resulting environmental impacts were conducted. The No Burden, Economic, and Mass allocation scenarios resulted in -1629, -1619, and -1474 kg CO2-eq. BD tonne(-1) EFB global warming impacts (GW), respectively. Delivered cost for EFB was calculated to be approximately 45 US$ BD tonne(-1) Environmental burdens were sensitive to allocation scenario, covered area, and land use change. Delivered cost was sensitive to transport distance, covered area, and yield. It was shown that there is sufficient Malaysia EFB available for between 9 and 28 biorefineries, depending upon the scale of production.","author":[{"dropping-particle":"","family":"Reeb","given":"Carter Walker","non-dropping-particle":"","parse-names":false,"suffix":""},{"dropping-particle":"","family":"Hays","given":"Tyler","non-dropping-particle":"","parse-names":false,"suffix":""},{"dropping-particle":"","family":"Venditti","given":"Richard A.","non-dropping-particle":"","parse-names":false,"suffix":""},{"dropping-particle":"","family":"Gonzalez","given":"Ronalds","non-dropping-particle":"","parse-names":false,"suffix":""},{"dropping-particle":"","family":"Kelley","given":"Steve","non-dropping-particle":"","parse-names":false,"suffix":""}],"container-title":"BioResources","id":"ITEM-1","issue":"3","issued":{"date-parts":[["2014"]]},"page":"5385-5416","title":"Supply Chain Analysis, Delivered Cost, and Life Cycle Assessment of Oil Palm Empty Fruit Bunch Biomass for Green Chemical Production in Malaysia","type":"article-journal","volume":"9"},"uris":["http://www.mendeley.com/documents/?uuid=04350ee8-3804-435a-a8de-6255422e538f"]}],"mendeley":{"formattedCitation":"(Reeb et al., 2014)","manualFormatting":"(Reeb, 2014)","plainTextFormattedCitation":"(Reeb et al., 2014)","previouslyFormattedCitation":"(Reeb et al., 2014)"},"properties":{"noteIndex":0},"schema":"https://github.com/citation-style-language/schema/raw/master/csl-citation.json"}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(Reeb, 2014)</w:t>
            </w:r>
            <w:r w:rsidRPr="009445F0">
              <w:rPr>
                <w:rFonts w:ascii="Arial" w:hAnsi="Arial" w:cs="Arial"/>
                <w:sz w:val="18"/>
                <w:szCs w:val="18"/>
              </w:rPr>
              <w:fldChar w:fldCharType="end"/>
            </w:r>
          </w:p>
        </w:tc>
      </w:tr>
      <w:tr w:rsidR="001268BC" w:rsidRPr="009445F0" w14:paraId="0401A813" w14:textId="77777777" w:rsidTr="009445F0">
        <w:tc>
          <w:tcPr>
            <w:tcW w:w="2500" w:type="pct"/>
            <w:tcBorders>
              <w:left w:val="single" w:sz="18" w:space="0" w:color="000000"/>
              <w:right w:val="single" w:sz="18" w:space="0" w:color="000000"/>
            </w:tcBorders>
            <w:shd w:val="clear" w:color="auto" w:fill="auto"/>
            <w:vAlign w:val="center"/>
          </w:tcPr>
          <w:p w14:paraId="4D93FE85"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POME</w:t>
            </w:r>
          </w:p>
        </w:tc>
        <w:tc>
          <w:tcPr>
            <w:tcW w:w="2500" w:type="pct"/>
            <w:tcBorders>
              <w:left w:val="single" w:sz="18" w:space="0" w:color="000000"/>
              <w:right w:val="single" w:sz="18" w:space="0" w:color="000000"/>
            </w:tcBorders>
            <w:shd w:val="clear" w:color="auto" w:fill="auto"/>
            <w:vAlign w:val="center"/>
          </w:tcPr>
          <w:p w14:paraId="41981F9D" w14:textId="62B7FADB"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0.74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{"citationItems":[{"id":"ITEM-1","itemData":{"author":[{"dropping-particle":"","family":"Parmar","given":"Amandeep","non-dropping-particle":"","parse-names":false,"suffix":""}],"container-title":"Argus Media","id":"ITEM-1","issued":{"date-parts":[["2020"]]},"title":"Asian biodiesel resurgence limited by costs","type":"webpage"},"uris":["http://www.mendeley.com/documents/?uuid=7cc0bb5e-6ae5-4557-bc39-5e832f766bf5"]}],"mendeley":{"formattedCitation":"(Parmar, 2020)","plainTextFormattedCitation":"(Parmar, 2020)","previouslyFormattedCitation":"(Parmar, 2020)"},"properties":{"noteIndex":0},"schema":"https://github.com/citation-style-language/schema/raw/master/csl-citation.json"}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(Parmar, 2020)</w:t>
            </w:r>
            <w:r w:rsidRPr="009445F0">
              <w:rPr>
                <w:rFonts w:ascii="Arial" w:hAnsi="Arial" w:cs="Arial"/>
                <w:sz w:val="18"/>
                <w:szCs w:val="18"/>
              </w:rPr>
              <w:fldChar w:fldCharType="end"/>
            </w:r>
          </w:p>
        </w:tc>
      </w:tr>
      <w:tr w:rsidR="001268BC" w:rsidRPr="009445F0" w14:paraId="7C8DFA54" w14:textId="77777777" w:rsidTr="009445F0">
        <w:tc>
          <w:tcPr>
            <w:tcW w:w="2500" w:type="pct"/>
            <w:tcBorders>
              <w:left w:val="single" w:sz="18" w:space="0" w:color="000000"/>
              <w:right w:val="single" w:sz="18" w:space="0" w:color="000000"/>
            </w:tcBorders>
            <w:shd w:val="clear" w:color="auto" w:fill="auto"/>
            <w:vAlign w:val="center"/>
          </w:tcPr>
          <w:p w14:paraId="4E9992CE"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Water</w:t>
            </w:r>
          </w:p>
        </w:tc>
        <w:tc>
          <w:tcPr>
            <w:tcW w:w="2500" w:type="pct"/>
            <w:tcBorders>
              <w:left w:val="single" w:sz="18" w:space="0" w:color="000000"/>
              <w:right w:val="single" w:sz="18" w:space="0" w:color="000000"/>
            </w:tcBorders>
            <w:shd w:val="clear" w:color="auto" w:fill="auto"/>
            <w:vAlign w:val="center"/>
          </w:tcPr>
          <w:p w14:paraId="74A1C1A0" w14:textId="0A730726"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0.00055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{"citationItems":[{"id":"ITEM-1","itemData":{"author":[{"dropping-particle":"","family":"AirSelangor","given":"","non-dropping-particle":"","parse-names":false,"suffix":""}],"id":"ITEM-1","issued":{"date-parts":[["2022"]]},"title":"WATER TARIFF","type":"webpage"},"uris":["http://www.mendeley.com/documents/?uuid=88f1afd3-1cb9-47ed-89a2-c5ee8be074e3"]}],"mendeley":{"formattedCitation":"(AirSelangor, 2022)","plainTextFormattedCitation":"(AirSelangor, 2022)","previouslyFormattedCitation":"(AirSelangor, 2022)"},"properties":{"noteIndex":0},"schema":"https://github.com/citation-style-language/schema/raw/master/csl-citation.json"}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(AirSelangor, 2022)</w:t>
            </w:r>
            <w:r w:rsidRPr="009445F0">
              <w:rPr>
                <w:rFonts w:ascii="Arial" w:hAnsi="Arial" w:cs="Arial"/>
                <w:sz w:val="18"/>
                <w:szCs w:val="18"/>
              </w:rPr>
              <w:fldChar w:fldCharType="end"/>
            </w:r>
          </w:p>
        </w:tc>
      </w:tr>
      <w:tr w:rsidR="001268BC" w:rsidRPr="009445F0" w14:paraId="750EF1B6" w14:textId="77777777" w:rsidTr="009445F0">
        <w:tc>
          <w:tcPr>
            <w:tcW w:w="2500" w:type="pct"/>
            <w:tcBorders>
              <w:left w:val="single" w:sz="18" w:space="0" w:color="000000"/>
              <w:bottom w:val="single" w:sz="18" w:space="0" w:color="000000"/>
              <w:right w:val="single" w:sz="18" w:space="0" w:color="000000"/>
            </w:tcBorders>
            <w:shd w:val="clear" w:color="auto" w:fill="auto"/>
            <w:vAlign w:val="center"/>
          </w:tcPr>
          <w:p w14:paraId="6DC9553C"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Methane</w:t>
            </w:r>
          </w:p>
        </w:tc>
        <w:tc>
          <w:tcPr>
            <w:tcW w:w="2500" w:type="pct"/>
            <w:tcBorders>
              <w:left w:val="single" w:sz="18" w:space="0" w:color="000000"/>
              <w:bottom w:val="single" w:sz="18" w:space="0" w:color="000000"/>
              <w:right w:val="single" w:sz="18" w:space="0" w:color="000000"/>
            </w:tcBorders>
            <w:shd w:val="clear" w:color="auto" w:fill="auto"/>
            <w:vAlign w:val="center"/>
          </w:tcPr>
          <w:p w14:paraId="5FD7CE37" w14:textId="147CC923"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2.37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{"citationItems":[{"id":"ITEM-1","itemData":{"author":[{"dropping-particle":"","family":"Valev","given":"Neven","non-dropping-particle":"","parse-names":false,"suffix":""}],"container-title":"Global Petrol Price","id":"ITEM-1","issued":{"date-parts":[["2022"]]},"title":"Methane prices","type":"webpage"},"uris":["http://www.mendeley.com/documents/?uuid=54754388-fdc0-4c46-979e-e41336450ab5"]}],"mendeley":{"formattedCitation":"(Valev, 2022)","plainTextFormattedCitation":"(Valev, 2022)","previouslyFormattedCitation":"(Valev, 2022)"},"properties":{"noteIndex":0},"schema":"https://github.com/citation-style-language/schema/raw/master/csl-citation.json"}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(Valev, 2022)</w:t>
            </w:r>
            <w:r w:rsidRPr="009445F0">
              <w:rPr>
                <w:rFonts w:ascii="Arial" w:hAnsi="Arial" w:cs="Arial"/>
                <w:sz w:val="18"/>
                <w:szCs w:val="18"/>
              </w:rPr>
              <w:fldChar w:fldCharType="end"/>
            </w:r>
          </w:p>
        </w:tc>
      </w:tr>
    </w:tbl>
    <w:p w14:paraId="5CA61E23" w14:textId="0F8BDFD5" w:rsidR="008A65B7" w:rsidRPr="009445F0" w:rsidRDefault="008A65B7" w:rsidP="00D508E9">
      <w:pPr>
        <w:autoSpaceDE w:val="0"/>
        <w:autoSpaceDN w:val="0"/>
        <w:adjustRightInd w:val="0"/>
        <w:spacing w:after="0" w:line="360" w:lineRule="auto"/>
        <w:rPr>
          <w:rFonts w:ascii="Arial" w:hAnsi="Arial" w:cs="Arial"/>
          <w:color w:val="000000" w:themeColor="text1"/>
          <w:sz w:val="20"/>
          <w:szCs w:val="20"/>
        </w:rPr>
      </w:pPr>
    </w:p>
    <w:p w14:paraId="0369D41F" w14:textId="57C73A81" w:rsidR="009445F0" w:rsidRPr="009445F0" w:rsidRDefault="001268BC" w:rsidP="00D508E9">
      <w:pPr>
        <w:spacing w:after="0" w:line="360" w:lineRule="auto"/>
        <w:jc w:val="center"/>
        <w:rPr>
          <w:rFonts w:ascii="Arial" w:hAnsi="Arial" w:cs="Arial"/>
          <w:b/>
          <w:bCs/>
          <w:i/>
          <w:iCs/>
          <w:sz w:val="18"/>
          <w:szCs w:val="18"/>
          <w:lang w:val="en-US"/>
        </w:rPr>
      </w:pPr>
      <w:r w:rsidRPr="009445F0">
        <w:rPr>
          <w:rFonts w:ascii="Arial" w:hAnsi="Arial" w:cs="Arial"/>
          <w:b/>
          <w:bCs/>
          <w:i/>
          <w:iCs/>
          <w:sz w:val="18"/>
          <w:szCs w:val="18"/>
          <w:lang w:val="en-US"/>
        </w:rPr>
        <w:t xml:space="preserve">Table </w:t>
      </w:r>
      <w:r w:rsidR="0088659A">
        <w:rPr>
          <w:rFonts w:ascii="Arial" w:hAnsi="Arial" w:cs="Arial"/>
          <w:b/>
          <w:bCs/>
          <w:i/>
          <w:iCs/>
          <w:sz w:val="18"/>
          <w:szCs w:val="18"/>
          <w:lang w:val="en-US"/>
        </w:rPr>
        <w:t>A</w:t>
      </w:r>
      <w:r w:rsidRPr="009445F0">
        <w:rPr>
          <w:rFonts w:ascii="Arial" w:hAnsi="Arial" w:cs="Arial"/>
          <w:b/>
          <w:bCs/>
          <w:i/>
          <w:iCs/>
          <w:sz w:val="18"/>
          <w:szCs w:val="18"/>
          <w:lang w:val="en-US"/>
        </w:rPr>
        <w:t xml:space="preserve">6: </w:t>
      </w:r>
      <w:r w:rsidRPr="009445F0">
        <w:rPr>
          <w:rFonts w:ascii="Arial" w:hAnsi="Arial" w:cs="Arial"/>
          <w:i/>
          <w:iCs/>
          <w:sz w:val="18"/>
          <w:szCs w:val="18"/>
          <w:lang w:val="en-US"/>
        </w:rPr>
        <w:t>Solar Energy Can be Collected</w:t>
      </w:r>
      <w:r w:rsidRPr="009445F0">
        <w:rPr>
          <w:rFonts w:ascii="Arial" w:hAnsi="Arial" w:cs="Arial"/>
          <w:b/>
          <w:bCs/>
          <w:i/>
          <w:iCs/>
          <w:sz w:val="18"/>
          <w:szCs w:val="18"/>
          <w:lang w:val="en-US"/>
        </w:rPr>
        <w:t xml:space="preserve"> </w:t>
      </w:r>
    </w:p>
    <w:tbl>
      <w:tblPr>
        <w:tblStyle w:val="TableGrid"/>
        <w:tblW w:w="0" w:type="auto"/>
        <w:tblInd w:w="0" w:type="dxa"/>
        <w:tblLook w:val="04A0" w:firstRow="1" w:lastRow="0" w:firstColumn="1" w:lastColumn="0" w:noHBand="0" w:noVBand="1"/>
      </w:tblPr>
      <w:tblGrid>
        <w:gridCol w:w="5056"/>
        <w:gridCol w:w="4990"/>
      </w:tblGrid>
      <w:tr w:rsidR="001268BC" w:rsidRPr="009445F0" w14:paraId="326EDC68" w14:textId="77777777" w:rsidTr="000E579C">
        <w:tc>
          <w:tcPr>
            <w:tcW w:w="6974" w:type="dxa"/>
            <w:tcBorders>
              <w:top w:val="single" w:sz="18" w:space="0" w:color="000000"/>
              <w:left w:val="single" w:sz="18" w:space="0" w:color="000000"/>
              <w:bottom w:val="single" w:sz="18" w:space="0" w:color="000000"/>
              <w:right w:val="single" w:sz="18" w:space="0" w:color="000000"/>
            </w:tcBorders>
            <w:shd w:val="clear" w:color="auto" w:fill="A8FFB1"/>
            <w:vAlign w:val="center"/>
          </w:tcPr>
          <w:p w14:paraId="7303123C"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Technology</w:t>
            </w:r>
          </w:p>
        </w:tc>
        <w:tc>
          <w:tcPr>
            <w:tcW w:w="6974" w:type="dxa"/>
            <w:tcBorders>
              <w:top w:val="single" w:sz="18" w:space="0" w:color="000000"/>
              <w:left w:val="single" w:sz="18" w:space="0" w:color="000000"/>
              <w:bottom w:val="single" w:sz="18" w:space="0" w:color="000000"/>
              <w:right w:val="single" w:sz="18" w:space="0" w:color="000000"/>
            </w:tcBorders>
            <w:shd w:val="clear" w:color="auto" w:fill="A8FFB1"/>
            <w:vAlign w:val="center"/>
          </w:tcPr>
          <w:p w14:paraId="57DF73EB"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Solar Energy Can be Collected (kW/h m</w:t>
            </w:r>
            <w:r w:rsidRPr="009445F0">
              <w:rPr>
                <w:rFonts w:ascii="Arial" w:hAnsi="Arial" w:cs="Arial"/>
                <w:b/>
                <w:bCs/>
                <w:sz w:val="18"/>
                <w:szCs w:val="18"/>
                <w:vertAlign w:val="superscript"/>
              </w:rPr>
              <w:t>2</w:t>
            </w:r>
            <w:r w:rsidRPr="009445F0">
              <w:rPr>
                <w:rFonts w:ascii="Arial" w:hAnsi="Arial" w:cs="Arial"/>
                <w:b/>
                <w:bCs/>
                <w:sz w:val="18"/>
                <w:szCs w:val="18"/>
              </w:rPr>
              <w:t>)</w:t>
            </w:r>
          </w:p>
        </w:tc>
      </w:tr>
      <w:tr w:rsidR="001268BC" w:rsidRPr="009445F0" w14:paraId="60753002" w14:textId="77777777" w:rsidTr="000E579C">
        <w:tc>
          <w:tcPr>
            <w:tcW w:w="6974" w:type="dxa"/>
            <w:tcBorders>
              <w:top w:val="single" w:sz="18" w:space="0" w:color="000000"/>
              <w:left w:val="single" w:sz="18" w:space="0" w:color="000000"/>
              <w:right w:val="single" w:sz="18" w:space="0" w:color="000000"/>
            </w:tcBorders>
            <w:vAlign w:val="center"/>
          </w:tcPr>
          <w:p w14:paraId="620A5A0C"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CS</w:t>
            </w:r>
          </w:p>
        </w:tc>
        <w:tc>
          <w:tcPr>
            <w:tcW w:w="6974" w:type="dxa"/>
            <w:tcBorders>
              <w:top w:val="single" w:sz="18" w:space="0" w:color="000000"/>
              <w:left w:val="single" w:sz="18" w:space="0" w:color="000000"/>
              <w:right w:val="single" w:sz="18" w:space="0" w:color="000000"/>
            </w:tcBorders>
            <w:vAlign w:val="center"/>
          </w:tcPr>
          <w:p w14:paraId="422D5726"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0.125</w:t>
            </w:r>
          </w:p>
        </w:tc>
      </w:tr>
      <w:tr w:rsidR="001268BC" w:rsidRPr="009445F0" w14:paraId="70EA0E2A" w14:textId="77777777" w:rsidTr="000E579C">
        <w:tc>
          <w:tcPr>
            <w:tcW w:w="6974" w:type="dxa"/>
            <w:tcBorders>
              <w:left w:val="single" w:sz="18" w:space="0" w:color="000000"/>
              <w:right w:val="single" w:sz="18" w:space="0" w:color="000000"/>
            </w:tcBorders>
            <w:vAlign w:val="center"/>
          </w:tcPr>
          <w:p w14:paraId="0ABFA973"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TF</w:t>
            </w:r>
          </w:p>
        </w:tc>
        <w:tc>
          <w:tcPr>
            <w:tcW w:w="6974" w:type="dxa"/>
            <w:tcBorders>
              <w:left w:val="single" w:sz="18" w:space="0" w:color="000000"/>
              <w:right w:val="single" w:sz="18" w:space="0" w:color="000000"/>
            </w:tcBorders>
            <w:vAlign w:val="center"/>
          </w:tcPr>
          <w:p w14:paraId="75D469C1"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0.0667</w:t>
            </w:r>
          </w:p>
        </w:tc>
      </w:tr>
      <w:tr w:rsidR="001268BC" w:rsidRPr="009445F0" w14:paraId="5DCDFB6D" w14:textId="77777777" w:rsidTr="000E579C">
        <w:tc>
          <w:tcPr>
            <w:tcW w:w="6974" w:type="dxa"/>
            <w:tcBorders>
              <w:left w:val="single" w:sz="18" w:space="0" w:color="000000"/>
              <w:right w:val="single" w:sz="18" w:space="0" w:color="000000"/>
            </w:tcBorders>
            <w:vAlign w:val="center"/>
          </w:tcPr>
          <w:p w14:paraId="5E2E679A"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Parabolic Trough</w:t>
            </w:r>
          </w:p>
        </w:tc>
        <w:tc>
          <w:tcPr>
            <w:tcW w:w="6974" w:type="dxa"/>
            <w:tcBorders>
              <w:left w:val="single" w:sz="18" w:space="0" w:color="000000"/>
              <w:right w:val="single" w:sz="18" w:space="0" w:color="000000"/>
            </w:tcBorders>
            <w:vAlign w:val="center"/>
          </w:tcPr>
          <w:p w14:paraId="35497303"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0.253</w:t>
            </w:r>
          </w:p>
        </w:tc>
      </w:tr>
      <w:tr w:rsidR="001268BC" w:rsidRPr="009445F0" w14:paraId="09751CF3" w14:textId="77777777" w:rsidTr="000E579C">
        <w:tc>
          <w:tcPr>
            <w:tcW w:w="6974" w:type="dxa"/>
            <w:tcBorders>
              <w:left w:val="single" w:sz="18" w:space="0" w:color="000000"/>
              <w:bottom w:val="single" w:sz="18" w:space="0" w:color="000000"/>
              <w:right w:val="single" w:sz="18" w:space="0" w:color="000000"/>
            </w:tcBorders>
            <w:vAlign w:val="center"/>
          </w:tcPr>
          <w:p w14:paraId="42336D6C"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Power Tower</w:t>
            </w:r>
          </w:p>
        </w:tc>
        <w:tc>
          <w:tcPr>
            <w:tcW w:w="6974" w:type="dxa"/>
            <w:tcBorders>
              <w:left w:val="single" w:sz="18" w:space="0" w:color="000000"/>
              <w:bottom w:val="single" w:sz="18" w:space="0" w:color="000000"/>
              <w:right w:val="single" w:sz="18" w:space="0" w:color="000000"/>
            </w:tcBorders>
            <w:vAlign w:val="center"/>
          </w:tcPr>
          <w:p w14:paraId="49F9A67E"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0.138 </w:t>
            </w:r>
          </w:p>
        </w:tc>
      </w:tr>
    </w:tbl>
    <w:p w14:paraId="0BAE4784" w14:textId="586E11AE" w:rsidR="008A65B7" w:rsidRPr="009445F0" w:rsidRDefault="008A65B7" w:rsidP="00D508E9">
      <w:pPr>
        <w:spacing w:after="0" w:line="360" w:lineRule="auto"/>
        <w:rPr>
          <w:rFonts w:ascii="Arial" w:hAnsi="Arial" w:cs="Arial"/>
          <w:b/>
          <w:bCs/>
          <w:color w:val="000000" w:themeColor="text1"/>
          <w:sz w:val="18"/>
          <w:szCs w:val="18"/>
        </w:rPr>
      </w:pPr>
    </w:p>
    <w:p w14:paraId="5171BC88" w14:textId="1468648A" w:rsidR="009445F0" w:rsidRPr="00D508E9" w:rsidRDefault="001268BC" w:rsidP="00D508E9">
      <w:pPr>
        <w:spacing w:after="0" w:line="360" w:lineRule="auto"/>
        <w:jc w:val="center"/>
        <w:rPr>
          <w:rFonts w:ascii="Arial" w:hAnsi="Arial" w:cs="Arial"/>
          <w:b/>
          <w:bCs/>
          <w:i/>
          <w:iCs/>
          <w:sz w:val="18"/>
          <w:szCs w:val="18"/>
          <w:lang w:val="en-US"/>
        </w:rPr>
      </w:pPr>
      <w:r w:rsidRPr="009445F0">
        <w:rPr>
          <w:rFonts w:ascii="Arial" w:hAnsi="Arial" w:cs="Arial"/>
          <w:b/>
          <w:bCs/>
          <w:i/>
          <w:iCs/>
          <w:sz w:val="18"/>
          <w:szCs w:val="18"/>
          <w:lang w:val="en-US"/>
        </w:rPr>
        <w:t xml:space="preserve">Table </w:t>
      </w:r>
      <w:r w:rsidR="0088659A">
        <w:rPr>
          <w:rFonts w:ascii="Arial" w:hAnsi="Arial" w:cs="Arial"/>
          <w:b/>
          <w:bCs/>
          <w:i/>
          <w:iCs/>
          <w:sz w:val="18"/>
          <w:szCs w:val="18"/>
          <w:lang w:val="en-US"/>
        </w:rPr>
        <w:t>A</w:t>
      </w:r>
      <w:r w:rsidRPr="009445F0">
        <w:rPr>
          <w:rFonts w:ascii="Arial" w:hAnsi="Arial" w:cs="Arial"/>
          <w:b/>
          <w:bCs/>
          <w:i/>
          <w:iCs/>
          <w:sz w:val="18"/>
          <w:szCs w:val="18"/>
          <w:lang w:val="en-US"/>
        </w:rPr>
        <w:t xml:space="preserve">7: </w:t>
      </w:r>
      <w:r w:rsidRPr="009445F0">
        <w:rPr>
          <w:rFonts w:ascii="Arial" w:hAnsi="Arial" w:cs="Arial"/>
          <w:i/>
          <w:iCs/>
          <w:sz w:val="18"/>
          <w:szCs w:val="18"/>
          <w:lang w:val="en-US"/>
        </w:rPr>
        <w:t>Minimum Area of Solar Panels</w:t>
      </w:r>
      <w:r w:rsidRPr="009445F0">
        <w:rPr>
          <w:rFonts w:ascii="Arial" w:hAnsi="Arial" w:cs="Arial"/>
          <w:b/>
          <w:bCs/>
          <w:i/>
          <w:iCs/>
          <w:sz w:val="18"/>
          <w:szCs w:val="18"/>
          <w:lang w:val="en-US"/>
        </w:rPr>
        <w:t xml:space="preserve"> </w:t>
      </w:r>
    </w:p>
    <w:tbl>
      <w:tblPr>
        <w:tblStyle w:val="TableGrid"/>
        <w:tblW w:w="5000" w:type="pct"/>
        <w:tblInd w:w="0" w:type="dxa"/>
        <w:tblLook w:val="04A0" w:firstRow="1" w:lastRow="0" w:firstColumn="1" w:lastColumn="0" w:noHBand="0" w:noVBand="1"/>
      </w:tblPr>
      <w:tblGrid>
        <w:gridCol w:w="5081"/>
        <w:gridCol w:w="4965"/>
      </w:tblGrid>
      <w:tr w:rsidR="001268BC" w:rsidRPr="009445F0" w14:paraId="326B0FE6" w14:textId="77777777" w:rsidTr="000E579C">
        <w:tc>
          <w:tcPr>
            <w:tcW w:w="2529" w:type="pct"/>
            <w:tcBorders>
              <w:top w:val="single" w:sz="18" w:space="0" w:color="000000"/>
              <w:left w:val="single" w:sz="18" w:space="0" w:color="000000"/>
              <w:bottom w:val="single" w:sz="18" w:space="0" w:color="000000"/>
              <w:right w:val="single" w:sz="18" w:space="0" w:color="000000"/>
            </w:tcBorders>
            <w:shd w:val="clear" w:color="auto" w:fill="A8FFB1"/>
            <w:vAlign w:val="center"/>
          </w:tcPr>
          <w:p w14:paraId="56DF3419"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Technology</w:t>
            </w:r>
          </w:p>
        </w:tc>
        <w:tc>
          <w:tcPr>
            <w:tcW w:w="2471" w:type="pct"/>
            <w:tcBorders>
              <w:top w:val="single" w:sz="18" w:space="0" w:color="000000"/>
              <w:left w:val="single" w:sz="18" w:space="0" w:color="000000"/>
              <w:bottom w:val="single" w:sz="18" w:space="0" w:color="000000"/>
              <w:right w:val="single" w:sz="18" w:space="0" w:color="000000"/>
            </w:tcBorders>
            <w:shd w:val="clear" w:color="auto" w:fill="A8FFB1"/>
            <w:vAlign w:val="center"/>
          </w:tcPr>
          <w:p w14:paraId="4BDE8397"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Minimum Area Required (m</w:t>
            </w:r>
            <w:r w:rsidRPr="009445F0">
              <w:rPr>
                <w:rFonts w:ascii="Arial" w:hAnsi="Arial" w:cs="Arial"/>
                <w:b/>
                <w:bCs/>
                <w:sz w:val="18"/>
                <w:szCs w:val="18"/>
                <w:vertAlign w:val="superscript"/>
              </w:rPr>
              <w:t>2</w:t>
            </w:r>
            <w:r w:rsidRPr="009445F0">
              <w:rPr>
                <w:rFonts w:ascii="Arial" w:hAnsi="Arial" w:cs="Arial"/>
                <w:b/>
                <w:bCs/>
                <w:sz w:val="18"/>
                <w:szCs w:val="18"/>
              </w:rPr>
              <w:t>)</w:t>
            </w:r>
          </w:p>
        </w:tc>
      </w:tr>
      <w:tr w:rsidR="001268BC" w:rsidRPr="009445F0" w14:paraId="16A61F37" w14:textId="77777777" w:rsidTr="000E579C">
        <w:tc>
          <w:tcPr>
            <w:tcW w:w="2529" w:type="pct"/>
            <w:tcBorders>
              <w:top w:val="single" w:sz="18" w:space="0" w:color="000000"/>
              <w:left w:val="single" w:sz="18" w:space="0" w:color="000000"/>
              <w:right w:val="single" w:sz="18" w:space="0" w:color="000000"/>
            </w:tcBorders>
            <w:vAlign w:val="center"/>
          </w:tcPr>
          <w:p w14:paraId="504DAE70"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CS</w:t>
            </w:r>
          </w:p>
        </w:tc>
        <w:tc>
          <w:tcPr>
            <w:tcW w:w="2471" w:type="pct"/>
            <w:tcBorders>
              <w:top w:val="single" w:sz="18" w:space="0" w:color="000000"/>
              <w:left w:val="single" w:sz="18" w:space="0" w:color="000000"/>
              <w:right w:val="single" w:sz="18" w:space="0" w:color="000000"/>
            </w:tcBorders>
            <w:vAlign w:val="center"/>
          </w:tcPr>
          <w:p w14:paraId="4F29EE41" w14:textId="1852325D"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1.635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{"citationItems":[{"id":"ITEM-1","itemData":{"author":[{"dropping-particle":"","family":"Swanson","given":"","non-dropping-particle":"","parse-names":false,"suffix":""}],"container-title":"Sunpower","id":"ITEM-1","issued":{"date-parts":[["2021"]]},"title":"How Many Solar Panels Do You Need: Panel Size and Output Factors","type":"webpage"},"uris":["http://www.mendeley.com/documents/?uuid=8f6da972-4d45-4154-8c19-32fbd9b116a7"]}],"mendeley":{"formattedCitation":"(Swanson, 2021)","plainTextFormattedCitation":"(Swanson, 2021)","previouslyFormattedCitation":"(Swanson, 2021)"},"properties":{"noteIndex":0},"schema":"https://github.com/citation-style-language/schema/raw/master/csl-citation.json"}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(Swanson, 2021)</w:t>
            </w:r>
            <w:r w:rsidRPr="009445F0">
              <w:rPr>
                <w:rFonts w:ascii="Arial" w:hAnsi="Arial" w:cs="Arial"/>
                <w:sz w:val="18"/>
                <w:szCs w:val="18"/>
              </w:rPr>
              <w:fldChar w:fldCharType="end"/>
            </w:r>
          </w:p>
        </w:tc>
      </w:tr>
      <w:tr w:rsidR="001268BC" w:rsidRPr="009445F0" w14:paraId="16305F13" w14:textId="77777777" w:rsidTr="000E579C">
        <w:tc>
          <w:tcPr>
            <w:tcW w:w="2529" w:type="pct"/>
            <w:tcBorders>
              <w:left w:val="single" w:sz="18" w:space="0" w:color="000000"/>
              <w:right w:val="single" w:sz="18" w:space="0" w:color="000000"/>
            </w:tcBorders>
            <w:vAlign w:val="center"/>
          </w:tcPr>
          <w:p w14:paraId="7E082E29"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TF</w:t>
            </w:r>
          </w:p>
        </w:tc>
        <w:tc>
          <w:tcPr>
            <w:tcW w:w="2471" w:type="pct"/>
            <w:tcBorders>
              <w:left w:val="single" w:sz="18" w:space="0" w:color="000000"/>
              <w:right w:val="single" w:sz="18" w:space="0" w:color="000000"/>
            </w:tcBorders>
            <w:vAlign w:val="center"/>
          </w:tcPr>
          <w:p w14:paraId="1ADFC90B" w14:textId="2913179C"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1.635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{"citationItems":[{"id":"ITEM-1","itemData":{"author":[{"dropping-particle":"","family":"Swanson","given":"","non-dropping-particle":"","parse-names":false,"suffix":""}],"container-title":"Sunpower","id":"ITEM-1","issued":{"date-parts":[["2021"]]},"title":"How Many Solar Panels Do You Need: Panel Size and Output Factors","type":"webpage"},"uris":["http://www.mendeley.com/documents/?uuid=8f6da972-4d45-4154-8c19-32fbd9b116a7"]}],"mendeley":{"formattedCitation":"(Swanson, 2021)","plainTextFormattedCitation":"(Swanson, 2021)","previouslyFormattedCitation":"(Swanson, 2021)"},"properties":{"noteIndex":0},"schema":"https://github.com/citation-style-language/schema/raw/master/csl-citation.json"}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(Swanson, 2021)</w:t>
            </w:r>
            <w:r w:rsidRPr="009445F0">
              <w:rPr>
                <w:rFonts w:ascii="Arial" w:hAnsi="Arial" w:cs="Arial"/>
                <w:sz w:val="18"/>
                <w:szCs w:val="18"/>
              </w:rPr>
              <w:fldChar w:fldCharType="end"/>
            </w:r>
          </w:p>
        </w:tc>
      </w:tr>
      <w:tr w:rsidR="001268BC" w:rsidRPr="009445F0" w14:paraId="330B1D96" w14:textId="77777777" w:rsidTr="000E579C">
        <w:tc>
          <w:tcPr>
            <w:tcW w:w="2529" w:type="pct"/>
            <w:tcBorders>
              <w:left w:val="single" w:sz="18" w:space="0" w:color="000000"/>
              <w:right w:val="single" w:sz="18" w:space="0" w:color="000000"/>
            </w:tcBorders>
            <w:vAlign w:val="center"/>
          </w:tcPr>
          <w:p w14:paraId="58BC1898"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Parabolic Trough</w:t>
            </w:r>
          </w:p>
        </w:tc>
        <w:tc>
          <w:tcPr>
            <w:tcW w:w="2471" w:type="pct"/>
            <w:tcBorders>
              <w:left w:val="single" w:sz="18" w:space="0" w:color="000000"/>
              <w:right w:val="single" w:sz="18" w:space="0" w:color="000000"/>
            </w:tcBorders>
            <w:vAlign w:val="center"/>
          </w:tcPr>
          <w:p w14:paraId="43085E01" w14:textId="31F6D4DA"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76.440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{"citationItems":[{"id":"ITEM-1","itemData":{"author":[{"dropping-particle":"","family":"Günther","given":"Matthias","non-dropping-particle":"","parse-names":false,"suffix":""}],"container-title":"Parabolic Trough Technology","id":"ITEM-1","issued":{"date-parts":[["2015"]]},"page":"1 - 106","title":"No Title","type":"article-journal"},"uris":["http://www.mendeley.com/documents/?uuid=34c2ff0c-73a6-488a-b006-072a7eef55a6","http://www.mendeley.com/documents/?uuid=5d17f911-3c87-4678-b35b-915b0be73df0"]}],"mendeley":{"formattedCitation":"(Günther, 2015)","plainTextFormattedCitation":"(Günther, 2015)","previouslyFormattedCitation":"(Günther, 2015)"},"properties":{"noteIndex":0},"schema":"https://github.com/citation-style-language/schema/raw/master/csl-citation.json"}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(Günther, 2015)</w:t>
            </w:r>
            <w:r w:rsidRPr="009445F0">
              <w:rPr>
                <w:rFonts w:ascii="Arial" w:hAnsi="Arial" w:cs="Arial"/>
                <w:sz w:val="18"/>
                <w:szCs w:val="18"/>
              </w:rPr>
              <w:fldChar w:fldCharType="end"/>
            </w:r>
          </w:p>
        </w:tc>
      </w:tr>
      <w:tr w:rsidR="001268BC" w:rsidRPr="009445F0" w14:paraId="7CD1934B" w14:textId="77777777" w:rsidTr="000E579C">
        <w:tc>
          <w:tcPr>
            <w:tcW w:w="2529" w:type="pct"/>
            <w:tcBorders>
              <w:left w:val="single" w:sz="18" w:space="0" w:color="000000"/>
              <w:bottom w:val="single" w:sz="18" w:space="0" w:color="000000"/>
              <w:right w:val="single" w:sz="18" w:space="0" w:color="000000"/>
            </w:tcBorders>
            <w:vAlign w:val="center"/>
          </w:tcPr>
          <w:p w14:paraId="4C7AD96F"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Power Tower</w:t>
            </w:r>
          </w:p>
        </w:tc>
        <w:tc>
          <w:tcPr>
            <w:tcW w:w="2471" w:type="pct"/>
            <w:tcBorders>
              <w:left w:val="single" w:sz="18" w:space="0" w:color="000000"/>
              <w:bottom w:val="single" w:sz="18" w:space="0" w:color="000000"/>
              <w:right w:val="single" w:sz="18" w:space="0" w:color="000000"/>
            </w:tcBorders>
            <w:vAlign w:val="center"/>
          </w:tcPr>
          <w:p w14:paraId="1FF45E47" w14:textId="28B1E9B9"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100.000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{"citationItems":[{"id":"ITEM-1","itemData":{"DOI":"10.1016/B978-0-12-804004-1.00005-1","author":[{"dropping-particle":"","family":"Breeze","given":"Paul","non-dropping-particle":"","parse-names":false,"suffix":""}],"container-title":"Solar Power Generation","id":"ITEM-1","issued":{"date-parts":[["2016"]]},"page":"35-40","publisher":"Elsevier","title":"Solar Towers","type":"article-journal"},"uris":["http://www.mendeley.com/documents/?uuid=a342d793-cf10-4307-ac0d-931b254e9cef"]}],"mendeley":{"formattedCitation":"(Breeze, 2016)","plainTextFormattedCitation":"(Breeze, 2016)","previouslyFormattedCitation":"(Breeze, 2016)"},"properties":{"noteIndex":0},"schema":"https://github.com/citation-style-language/schema/raw/master/csl-citation.json"}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(Breeze, 2016)</w:t>
            </w:r>
            <w:r w:rsidRPr="009445F0">
              <w:rPr>
                <w:rFonts w:ascii="Arial" w:hAnsi="Arial" w:cs="Arial"/>
                <w:sz w:val="18"/>
                <w:szCs w:val="18"/>
              </w:rPr>
              <w:fldChar w:fldCharType="end"/>
            </w:r>
          </w:p>
        </w:tc>
      </w:tr>
    </w:tbl>
    <w:p w14:paraId="6117EB34" w14:textId="77777777" w:rsidR="009445F0" w:rsidRDefault="009445F0" w:rsidP="00D508E9">
      <w:pPr>
        <w:spacing w:after="0" w:line="360" w:lineRule="auto"/>
        <w:jc w:val="both"/>
        <w:rPr>
          <w:rFonts w:ascii="Arial" w:hAnsi="Arial" w:cs="Arial"/>
          <w:sz w:val="18"/>
          <w:szCs w:val="18"/>
        </w:rPr>
      </w:pPr>
    </w:p>
    <w:p w14:paraId="56CABD58" w14:textId="1E21FC7B" w:rsidR="001268BC" w:rsidRDefault="001268BC" w:rsidP="00D508E9">
      <w:pPr>
        <w:spacing w:after="0" w:line="360" w:lineRule="auto"/>
        <w:jc w:val="both"/>
        <w:rPr>
          <w:rFonts w:ascii="Arial" w:hAnsi="Arial" w:cs="Arial"/>
          <w:sz w:val="18"/>
          <w:szCs w:val="18"/>
        </w:rPr>
      </w:pPr>
      <w:r w:rsidRPr="009445F0">
        <w:rPr>
          <w:rFonts w:ascii="Arial" w:hAnsi="Arial" w:cs="Arial"/>
          <w:sz w:val="18"/>
          <w:szCs w:val="18"/>
        </w:rPr>
        <w:t xml:space="preserve">Although solar panels </w:t>
      </w:r>
      <w:proofErr w:type="gramStart"/>
      <w:r w:rsidRPr="009445F0">
        <w:rPr>
          <w:rFonts w:ascii="Arial" w:hAnsi="Arial" w:cs="Arial"/>
          <w:sz w:val="18"/>
          <w:szCs w:val="18"/>
        </w:rPr>
        <w:t>does</w:t>
      </w:r>
      <w:proofErr w:type="gramEnd"/>
      <w:r w:rsidRPr="009445F0">
        <w:rPr>
          <w:rFonts w:ascii="Arial" w:hAnsi="Arial" w:cs="Arial"/>
          <w:sz w:val="18"/>
          <w:szCs w:val="18"/>
        </w:rPr>
        <w:t xml:space="preserve"> not consist upper limit on the implemented area, a maximum area of 1 x 10</w:t>
      </w:r>
      <w:r w:rsidRPr="009445F0">
        <w:rPr>
          <w:rFonts w:ascii="Arial" w:hAnsi="Arial" w:cs="Arial"/>
          <w:sz w:val="18"/>
          <w:szCs w:val="18"/>
          <w:vertAlign w:val="superscript"/>
        </w:rPr>
        <w:t>7</w:t>
      </w:r>
      <w:r w:rsidRPr="009445F0">
        <w:rPr>
          <w:rFonts w:ascii="Arial" w:hAnsi="Arial" w:cs="Arial"/>
          <w:sz w:val="18"/>
          <w:szCs w:val="18"/>
        </w:rPr>
        <w:t xml:space="preserve"> m</w:t>
      </w:r>
      <w:r w:rsidRPr="009445F0">
        <w:rPr>
          <w:rFonts w:ascii="Arial" w:hAnsi="Arial" w:cs="Arial"/>
          <w:sz w:val="18"/>
          <w:szCs w:val="18"/>
          <w:vertAlign w:val="superscript"/>
        </w:rPr>
        <w:t>2</w:t>
      </w:r>
      <w:r w:rsidRPr="009445F0">
        <w:rPr>
          <w:rFonts w:ascii="Arial" w:hAnsi="Arial" w:cs="Arial"/>
          <w:sz w:val="18"/>
          <w:szCs w:val="18"/>
        </w:rPr>
        <w:t xml:space="preserve"> is applied to all of the solar energy technologies.</w:t>
      </w:r>
    </w:p>
    <w:p w14:paraId="18DFACE3" w14:textId="77777777" w:rsidR="009445F0" w:rsidRPr="009445F0" w:rsidRDefault="009445F0" w:rsidP="00D508E9">
      <w:pPr>
        <w:spacing w:after="0" w:line="360" w:lineRule="auto"/>
        <w:jc w:val="both"/>
        <w:rPr>
          <w:rFonts w:ascii="Arial" w:hAnsi="Arial" w:cs="Arial"/>
          <w:sz w:val="18"/>
          <w:szCs w:val="18"/>
        </w:rPr>
      </w:pPr>
    </w:p>
    <w:p w14:paraId="60302168" w14:textId="77777777" w:rsidR="00875DD1" w:rsidRDefault="00875DD1">
      <w:pPr>
        <w:rPr>
          <w:rFonts w:ascii="Arial" w:hAnsi="Arial" w:cs="Arial"/>
          <w:b/>
          <w:bCs/>
          <w:i/>
          <w:iCs/>
          <w:sz w:val="18"/>
          <w:szCs w:val="18"/>
          <w:lang w:val="en-US"/>
        </w:rPr>
      </w:pPr>
      <w:r>
        <w:rPr>
          <w:rFonts w:ascii="Arial" w:hAnsi="Arial" w:cs="Arial"/>
          <w:b/>
          <w:bCs/>
          <w:i/>
          <w:iCs/>
          <w:sz w:val="18"/>
          <w:szCs w:val="18"/>
          <w:lang w:val="en-US"/>
        </w:rPr>
        <w:br w:type="page"/>
      </w:r>
    </w:p>
    <w:p w14:paraId="412A7398" w14:textId="08708878" w:rsidR="009445F0" w:rsidRPr="00D508E9" w:rsidRDefault="001268BC" w:rsidP="00D508E9">
      <w:pPr>
        <w:spacing w:after="0" w:line="360" w:lineRule="auto"/>
        <w:jc w:val="center"/>
        <w:rPr>
          <w:rFonts w:ascii="Arial" w:hAnsi="Arial" w:cs="Arial"/>
          <w:i/>
          <w:iCs/>
          <w:sz w:val="18"/>
          <w:szCs w:val="18"/>
        </w:rPr>
      </w:pPr>
      <w:r w:rsidRPr="009445F0">
        <w:rPr>
          <w:rFonts w:ascii="Arial" w:hAnsi="Arial" w:cs="Arial"/>
          <w:b/>
          <w:bCs/>
          <w:i/>
          <w:iCs/>
          <w:sz w:val="18"/>
          <w:szCs w:val="18"/>
          <w:lang w:val="en-US"/>
        </w:rPr>
        <w:lastRenderedPageBreak/>
        <w:t xml:space="preserve">Table </w:t>
      </w:r>
      <w:r w:rsidR="0088659A">
        <w:rPr>
          <w:rFonts w:ascii="Arial" w:hAnsi="Arial" w:cs="Arial"/>
          <w:b/>
          <w:bCs/>
          <w:i/>
          <w:iCs/>
          <w:sz w:val="18"/>
          <w:szCs w:val="18"/>
          <w:lang w:val="en-US"/>
        </w:rPr>
        <w:t>A</w:t>
      </w:r>
      <w:r w:rsidRPr="009445F0">
        <w:rPr>
          <w:rFonts w:ascii="Arial" w:hAnsi="Arial" w:cs="Arial"/>
          <w:b/>
          <w:bCs/>
          <w:i/>
          <w:iCs/>
          <w:sz w:val="18"/>
          <w:szCs w:val="18"/>
          <w:lang w:val="en-US"/>
        </w:rPr>
        <w:t xml:space="preserve">8: </w:t>
      </w:r>
      <w:r w:rsidRPr="009445F0">
        <w:rPr>
          <w:rFonts w:ascii="Arial" w:hAnsi="Arial" w:cs="Arial"/>
          <w:i/>
          <w:iCs/>
          <w:sz w:val="18"/>
          <w:szCs w:val="18"/>
          <w:lang w:val="en-US"/>
        </w:rPr>
        <w:t>Detailed Information for Combustion of EFB</w:t>
      </w:r>
      <w:r w:rsidRPr="009445F0">
        <w:rPr>
          <w:rFonts w:ascii="Arial" w:hAnsi="Arial" w:cs="Arial"/>
          <w:b/>
          <w:bCs/>
          <w:i/>
          <w:iCs/>
          <w:sz w:val="18"/>
          <w:szCs w:val="18"/>
          <w:lang w:val="en-US"/>
        </w:rPr>
        <w:t xml:space="preserve">  </w:t>
      </w:r>
      <w:r w:rsidRPr="009445F0">
        <w:rPr>
          <w:rFonts w:ascii="Arial" w:hAnsi="Arial" w:cs="Arial"/>
          <w:i/>
          <w:iCs/>
          <w:sz w:val="18"/>
          <w:szCs w:val="18"/>
        </w:rPr>
        <w:t xml:space="preserve"> </w:t>
      </w:r>
    </w:p>
    <w:tbl>
      <w:tblPr>
        <w:tblStyle w:val="TableGrid"/>
        <w:tblW w:w="5000" w:type="pct"/>
        <w:tblInd w:w="0" w:type="dxa"/>
        <w:tblLook w:val="04A0" w:firstRow="1" w:lastRow="0" w:firstColumn="1" w:lastColumn="0" w:noHBand="0" w:noVBand="1"/>
      </w:tblPr>
      <w:tblGrid>
        <w:gridCol w:w="5049"/>
        <w:gridCol w:w="3002"/>
        <w:gridCol w:w="1995"/>
      </w:tblGrid>
      <w:tr w:rsidR="001268BC" w:rsidRPr="009445F0" w14:paraId="5BC66B64" w14:textId="77777777" w:rsidTr="000E579C">
        <w:tc>
          <w:tcPr>
            <w:tcW w:w="2513" w:type="pct"/>
            <w:tcBorders>
              <w:top w:val="single" w:sz="18" w:space="0" w:color="000000"/>
              <w:left w:val="single" w:sz="18" w:space="0" w:color="000000"/>
              <w:bottom w:val="single" w:sz="18" w:space="0" w:color="000000"/>
              <w:right w:val="single" w:sz="18" w:space="0" w:color="000000"/>
            </w:tcBorders>
            <w:shd w:val="clear" w:color="auto" w:fill="A8FFB1"/>
            <w:vAlign w:val="center"/>
          </w:tcPr>
          <w:p w14:paraId="187825C2"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Parameter</w:t>
            </w:r>
          </w:p>
        </w:tc>
        <w:tc>
          <w:tcPr>
            <w:tcW w:w="1494" w:type="pct"/>
            <w:tcBorders>
              <w:top w:val="single" w:sz="18" w:space="0" w:color="000000"/>
              <w:left w:val="single" w:sz="18" w:space="0" w:color="000000"/>
              <w:bottom w:val="single" w:sz="18" w:space="0" w:color="000000"/>
              <w:right w:val="single" w:sz="18" w:space="0" w:color="000000"/>
            </w:tcBorders>
            <w:shd w:val="clear" w:color="auto" w:fill="A8FFB1"/>
            <w:vAlign w:val="center"/>
          </w:tcPr>
          <w:p w14:paraId="544D390D"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Value</w:t>
            </w:r>
          </w:p>
        </w:tc>
        <w:tc>
          <w:tcPr>
            <w:tcW w:w="993" w:type="pct"/>
            <w:tcBorders>
              <w:top w:val="single" w:sz="18" w:space="0" w:color="000000"/>
              <w:left w:val="single" w:sz="18" w:space="0" w:color="000000"/>
              <w:bottom w:val="single" w:sz="18" w:space="0" w:color="000000"/>
              <w:right w:val="single" w:sz="18" w:space="0" w:color="000000"/>
            </w:tcBorders>
            <w:shd w:val="clear" w:color="auto" w:fill="A8FFB1"/>
            <w:vAlign w:val="center"/>
          </w:tcPr>
          <w:p w14:paraId="31927CB1"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Unit</w:t>
            </w:r>
          </w:p>
        </w:tc>
      </w:tr>
      <w:tr w:rsidR="001268BC" w:rsidRPr="009445F0" w14:paraId="170CAA8D" w14:textId="77777777" w:rsidTr="000E579C">
        <w:tc>
          <w:tcPr>
            <w:tcW w:w="2513" w:type="pct"/>
            <w:tcBorders>
              <w:top w:val="single" w:sz="18" w:space="0" w:color="000000"/>
              <w:left w:val="single" w:sz="18" w:space="0" w:color="000000"/>
              <w:right w:val="single" w:sz="18" w:space="0" w:color="000000"/>
            </w:tcBorders>
            <w:vAlign w:val="center"/>
          </w:tcPr>
          <w:p w14:paraId="6612B40B" w14:textId="7355AB0D"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Calorific Value of EFB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{"citationItems":[{"id":"ITEM-1","itemData":{"DOI":"10.11113/jt.v67.2768","ISSN":"2180-3722","abstract":"The thermochemical properties of biomass are largely influenced by the nature, yield and composition of the feedstock. In addition, the low moisture content, energy density and solid uniform structure of briquettes have been reported to improve heat and mass transfer during thermochemical conversion. Hence, this study is aimed at investigating the thermochemical properties of Empty Fruit Bunch (EFB) briquettes using Thermogravimetric analysis (TGA). The heating value (HHV), ultimate and proximate analysis was determined using standard ASTM techniques. Consequently, the thermal decomposition behavior of the fuel was determined by heating the sample from 50°C to 900°C in a thermogravimetric analyzer (TGA) at 10°C per min heating rate. The ultimate and proximate analysis revealed that EFB briquette contains low moisture content, ash content and high fixed carbon, volatile matter content while the HHV was 17.57 MJ/kg. In addition, TGA results indicated thermal decomposition of the fuel occurs in four stages. Devolatization commenced at 206°C with a peak devolatization temperature (Tmax) of 325°C resulting in 70% weight loss.","author":[{"dropping-particle":"","family":"Nyakuma","given":"Bemgba Bevan","non-dropping-particle":"","parse-names":false,"suffix":""},{"dropping-particle":"","family":"Johari","given":"Anwar","non-dropping-particle":"","parse-names":false,"suffix":""},{"dropping-particle":"","family":"Ahmad","given":"Arshad","non-dropping-particle":"","parse-names":false,"suffix":""},{"dropping-particle":"","family":"Tuan Abdullah","given":"Tuan Amran","non-dropping-particle":"","parse-names":false,"suffix":""}],"container-title":"Jurnal Teknologi","id":"ITEM-1","issue":"3","issued":{"date-parts":[["2014","3"]]},"title":"Thermogravimetric Analysis of the Fuel Properties of Empty Fruit Bunch Briquettes","type":"article-journal","volume":"67"},"uris":["http://www.mendeley.com/documents/?uuid=86fe0ef3-7335-4f1d-b85c-b11568e7af8c"]}],"mendeley":{"formattedCitation":"(Nyakuma et al., 2014)","manualFormatting":"(Nyakuma, 2014)","plainTextFormattedCitation":"(Nyakuma et al., 2014)","previouslyFormattedCitation":"(Nyakuma et al., 2014)"},"properties":{"noteIndex":0},"schema":"https://github.com/citation-style-language/schema/raw/master/csl-citation.json"}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(Nyakuma, 2014)</w:t>
            </w:r>
            <w:r w:rsidRPr="009445F0">
              <w:rPr>
                <w:rFonts w:ascii="Arial" w:hAnsi="Arial" w:cs="Arial"/>
                <w:sz w:val="18"/>
                <w:szCs w:val="18"/>
              </w:rPr>
              <w:fldChar w:fldCharType="end"/>
            </w:r>
          </w:p>
        </w:tc>
        <w:tc>
          <w:tcPr>
            <w:tcW w:w="1494" w:type="pct"/>
            <w:tcBorders>
              <w:top w:val="single" w:sz="18" w:space="0" w:color="000000"/>
              <w:left w:val="single" w:sz="18" w:space="0" w:color="000000"/>
              <w:right w:val="single" w:sz="18" w:space="0" w:color="000000"/>
            </w:tcBorders>
            <w:vAlign w:val="center"/>
          </w:tcPr>
          <w:p w14:paraId="7691E63B"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17.02</w:t>
            </w:r>
          </w:p>
        </w:tc>
        <w:tc>
          <w:tcPr>
            <w:tcW w:w="993" w:type="pct"/>
            <w:tcBorders>
              <w:top w:val="single" w:sz="18" w:space="0" w:color="000000"/>
              <w:left w:val="single" w:sz="18" w:space="0" w:color="000000"/>
              <w:right w:val="single" w:sz="18" w:space="0" w:color="000000"/>
            </w:tcBorders>
            <w:vAlign w:val="center"/>
          </w:tcPr>
          <w:p w14:paraId="563A5646"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MJ/kg EFB</w:t>
            </w:r>
          </w:p>
        </w:tc>
      </w:tr>
      <w:tr w:rsidR="001268BC" w:rsidRPr="009445F0" w14:paraId="1F37DBD4" w14:textId="77777777" w:rsidTr="000E579C">
        <w:tc>
          <w:tcPr>
            <w:tcW w:w="2513" w:type="pct"/>
            <w:tcBorders>
              <w:left w:val="single" w:sz="18" w:space="0" w:color="000000"/>
              <w:right w:val="single" w:sz="18" w:space="0" w:color="000000"/>
            </w:tcBorders>
            <w:vAlign w:val="center"/>
          </w:tcPr>
          <w:p w14:paraId="5BF7A502" w14:textId="3F0FA0A3"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Boiler Efficiency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{"citationItems":[{"id":"ITEM-1","itemData":{"author":[{"dropping-particle":"","family":"CDM","given":"","non-dropping-particle":"","parse-names":false,"suffix":""}],"id":"ITEM-1","issued":{"date-parts":[["2001"]]},"number-of-pages":"1 - 15","title":"Energy efficiency improvement projects: boiler rehabilitation or replacement in industrial and district heating sectors","type":"report"},"uris":["http://www.mendeley.com/documents/?uuid=45c11cce-f835-4d91-8228-94225a9311bd"]}],"mendeley":{"formattedCitation":"(CDM, 2001)","plainTextFormattedCitation":"(CDM, 2001)","previouslyFormattedCitation":"(CDM, 2001)"},"properties":{"noteIndex":0},"schema":"https://github.com/citation-style-language/schema/raw/master/csl-citation.json"}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(CDM, 2001)</w:t>
            </w:r>
            <w:r w:rsidRPr="009445F0">
              <w:rPr>
                <w:rFonts w:ascii="Arial" w:hAnsi="Arial" w:cs="Arial"/>
                <w:sz w:val="18"/>
                <w:szCs w:val="18"/>
              </w:rPr>
              <w:fldChar w:fldCharType="end"/>
            </w:r>
          </w:p>
        </w:tc>
        <w:tc>
          <w:tcPr>
            <w:tcW w:w="1494" w:type="pct"/>
            <w:tcBorders>
              <w:left w:val="single" w:sz="18" w:space="0" w:color="000000"/>
              <w:right w:val="single" w:sz="18" w:space="0" w:color="000000"/>
            </w:tcBorders>
            <w:vAlign w:val="center"/>
          </w:tcPr>
          <w:p w14:paraId="468229FF"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75</w:t>
            </w:r>
          </w:p>
        </w:tc>
        <w:tc>
          <w:tcPr>
            <w:tcW w:w="993" w:type="pct"/>
            <w:tcBorders>
              <w:left w:val="single" w:sz="18" w:space="0" w:color="000000"/>
              <w:right w:val="single" w:sz="18" w:space="0" w:color="000000"/>
            </w:tcBorders>
            <w:vAlign w:val="center"/>
          </w:tcPr>
          <w:p w14:paraId="0A920789"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w:t>
            </w:r>
          </w:p>
        </w:tc>
      </w:tr>
      <w:tr w:rsidR="001268BC" w:rsidRPr="009445F0" w14:paraId="51F2CB67" w14:textId="77777777" w:rsidTr="000E579C">
        <w:tc>
          <w:tcPr>
            <w:tcW w:w="2513" w:type="pct"/>
            <w:tcBorders>
              <w:left w:val="single" w:sz="18" w:space="0" w:color="000000"/>
              <w:right w:val="single" w:sz="18" w:space="0" w:color="000000"/>
            </w:tcBorders>
            <w:vAlign w:val="center"/>
          </w:tcPr>
          <w:p w14:paraId="3CF90B50" w14:textId="39B266F2"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Heat Content of EFB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{"citationItems":[{"id":"ITEM-1","itemData":{"DOI":"10.15376/biores.8.1.1166-1185","ISSN":"1930-2126","author":[{"dropping-particle":"","family":"Protásio","given":"Thiago De Paula","non-dropping-particle":"","parse-names":false,"suffix":""},{"dropping-particle":"","family":"Bufalino","given":"Lina","non-dropping-particle":"","parse-names":false,"suffix":""},{"dropping-particle":"","family":"Tonoli","given":"Gustavo Henrique Denzin","non-dropping-particle":"","parse-names":false,"suffix":""},{"dropping-particle":"","family":"Guimarães Junior","given":"Mario","non-dropping-particle":"","parse-names":false,"suffix":""},{"dropping-particle":"","family":"Trugilho","given":"Paulo Fernando","non-dropping-particle":"","parse-names":false,"suffix":""},{"dropping-particle":"","family":"Mendes","given":"Lourival Marin","non-dropping-particle":"","parse-names":false,"suffix":""}],"container-title":"BioResources","id":"ITEM-1","issue":"1","issued":{"date-parts":[["2013","1"]]},"title":"Brazilian Lignocellulosic Wastes for Bioenergy Production: Characterization and Comparison with Fossil Fuels","type":"article-journal","volume":"8"},"uris":["http://www.mendeley.com/documents/?uuid=acd2f367-577c-4db0-99d6-60c31657de53"]}],"mendeley":{"formattedCitation":"(Protásio et al., 2013)","manualFormatting":"(Protásio, 2013)","plainTextFormattedCitation":"(Protásio et al., 2013)","previouslyFormattedCitation":"(Protásio et al., 2013)"},"properties":{"noteIndex":0},"schema":"https://github.com/citation-style-language/schema/raw/master/csl-citation.json"}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(Protásio, 2013)</w:t>
            </w:r>
            <w:r w:rsidRPr="009445F0">
              <w:rPr>
                <w:rFonts w:ascii="Arial" w:hAnsi="Arial" w:cs="Arial"/>
                <w:sz w:val="18"/>
                <w:szCs w:val="18"/>
              </w:rPr>
              <w:fldChar w:fldCharType="end"/>
            </w:r>
          </w:p>
        </w:tc>
        <w:tc>
          <w:tcPr>
            <w:tcW w:w="1494" w:type="pct"/>
            <w:tcBorders>
              <w:left w:val="single" w:sz="18" w:space="0" w:color="000000"/>
              <w:right w:val="single" w:sz="18" w:space="0" w:color="000000"/>
            </w:tcBorders>
            <w:vAlign w:val="center"/>
          </w:tcPr>
          <w:p w14:paraId="3933D7DA"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12.765</w:t>
            </w:r>
          </w:p>
        </w:tc>
        <w:tc>
          <w:tcPr>
            <w:tcW w:w="993" w:type="pct"/>
            <w:tcBorders>
              <w:left w:val="single" w:sz="18" w:space="0" w:color="000000"/>
              <w:right w:val="single" w:sz="18" w:space="0" w:color="000000"/>
            </w:tcBorders>
            <w:vAlign w:val="center"/>
          </w:tcPr>
          <w:p w14:paraId="14EC8D3B"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MJ heat/kg EFB</w:t>
            </w:r>
          </w:p>
        </w:tc>
      </w:tr>
      <w:tr w:rsidR="001268BC" w:rsidRPr="009445F0" w14:paraId="14CD1FD3" w14:textId="77777777" w:rsidTr="000E579C">
        <w:tc>
          <w:tcPr>
            <w:tcW w:w="2513" w:type="pct"/>
            <w:tcBorders>
              <w:left w:val="single" w:sz="18" w:space="0" w:color="000000"/>
              <w:right w:val="single" w:sz="18" w:space="0" w:color="000000"/>
            </w:tcBorders>
            <w:vAlign w:val="center"/>
          </w:tcPr>
          <w:p w14:paraId="6A720662" w14:textId="097851EE"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Pressure of High Pressure Steam (HPS)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{"citationItems":[{"id":"ITEM-1","itemData":{"author":[{"dropping-particle":"","family":"CDM","given":"","non-dropping-particle":"","parse-names":false,"suffix":""}],"id":"ITEM-1","issued":{"date-parts":[["2001"]]},"number-of-pages":"1 - 15","title":"Energy efficiency improvement projects: boiler rehabilitation or replacement in industrial and district heating sectors","type":"report"},"uris":["http://www.mendeley.com/documents/?uuid=45c11cce-f835-4d91-8228-94225a9311bd"]}],"mendeley":{"formattedCitation":"(CDM, 2001)","plainTextFormattedCitation":"(CDM, 2001)","previouslyFormattedCitation":"(CDM, 2001)"},"properties":{"noteIndex":0},"schema":"https://github.com/citation-style-language/schema/raw/master/csl-citation.json"}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(CDM, 2001)</w:t>
            </w:r>
            <w:r w:rsidRPr="009445F0">
              <w:rPr>
                <w:rFonts w:ascii="Arial" w:hAnsi="Arial" w:cs="Arial"/>
                <w:sz w:val="18"/>
                <w:szCs w:val="18"/>
              </w:rPr>
              <w:fldChar w:fldCharType="end"/>
            </w:r>
          </w:p>
        </w:tc>
        <w:tc>
          <w:tcPr>
            <w:tcW w:w="1494" w:type="pct"/>
            <w:tcBorders>
              <w:left w:val="single" w:sz="18" w:space="0" w:color="000000"/>
              <w:right w:val="single" w:sz="18" w:space="0" w:color="000000"/>
            </w:tcBorders>
            <w:vAlign w:val="center"/>
          </w:tcPr>
          <w:p w14:paraId="336BC0E2"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25</w:t>
            </w:r>
          </w:p>
        </w:tc>
        <w:tc>
          <w:tcPr>
            <w:tcW w:w="993" w:type="pct"/>
            <w:tcBorders>
              <w:left w:val="single" w:sz="18" w:space="0" w:color="000000"/>
              <w:right w:val="single" w:sz="18" w:space="0" w:color="000000"/>
            </w:tcBorders>
            <w:vAlign w:val="center"/>
          </w:tcPr>
          <w:p w14:paraId="47D36B6D" w14:textId="77777777" w:rsidR="001268BC" w:rsidRPr="009445F0" w:rsidRDefault="001268BC" w:rsidP="009445F0">
            <w:pPr>
              <w:spacing w:line="276" w:lineRule="auto"/>
              <w:jc w:val="center"/>
              <w:rPr>
                <w:rFonts w:ascii="Arial" w:hAnsi="Arial" w:cs="Arial"/>
                <w:sz w:val="18"/>
                <w:szCs w:val="18"/>
              </w:rPr>
            </w:pPr>
            <w:proofErr w:type="spellStart"/>
            <w:r w:rsidRPr="009445F0">
              <w:rPr>
                <w:rFonts w:ascii="Arial" w:hAnsi="Arial" w:cs="Arial"/>
                <w:sz w:val="18"/>
                <w:szCs w:val="18"/>
              </w:rPr>
              <w:t>barg</w:t>
            </w:r>
            <w:proofErr w:type="spellEnd"/>
          </w:p>
        </w:tc>
      </w:tr>
      <w:tr w:rsidR="001268BC" w:rsidRPr="009445F0" w14:paraId="244F55BF" w14:textId="77777777" w:rsidTr="000E579C">
        <w:tc>
          <w:tcPr>
            <w:tcW w:w="2513" w:type="pct"/>
            <w:tcBorders>
              <w:left w:val="single" w:sz="18" w:space="0" w:color="000000"/>
              <w:right w:val="single" w:sz="18" w:space="0" w:color="000000"/>
            </w:tcBorders>
            <w:vAlign w:val="center"/>
          </w:tcPr>
          <w:p w14:paraId="1C4A925C" w14:textId="7B405108"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Temperature of HPS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{"citationItems":[{"id":"ITEM-1","itemData":{"author":[{"dropping-particle":"","family":"CDM","given":"","non-dropping-particle":"","parse-names":false,"suffix":""}],"id":"ITEM-1","issued":{"date-parts":[["2001"]]},"number-of-pages":"1 - 15","title":"Energy efficiency improvement projects: boiler rehabilitation or replacement in industrial and district heating sectors","type":"report"},"uris":["http://www.mendeley.com/documents/?uuid=45c11cce-f835-4d91-8228-94225a9311bd"]}],"mendeley":{"formattedCitation":"(CDM, 2001)","plainTextFormattedCitation":"(CDM, 2001)","previouslyFormattedCitation":"(CDM, 2001)"},"properties":{"noteIndex":0},"schema":"https://github.com/citation-style-language/schema/raw/master/csl-citation.json"}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(CDM, 2001)</w:t>
            </w:r>
            <w:r w:rsidRPr="009445F0">
              <w:rPr>
                <w:rFonts w:ascii="Arial" w:hAnsi="Arial" w:cs="Arial"/>
                <w:sz w:val="18"/>
                <w:szCs w:val="18"/>
              </w:rPr>
              <w:fldChar w:fldCharType="end"/>
            </w:r>
          </w:p>
        </w:tc>
        <w:tc>
          <w:tcPr>
            <w:tcW w:w="1494" w:type="pct"/>
            <w:tcBorders>
              <w:left w:val="single" w:sz="18" w:space="0" w:color="000000"/>
              <w:right w:val="single" w:sz="18" w:space="0" w:color="000000"/>
            </w:tcBorders>
            <w:vAlign w:val="center"/>
          </w:tcPr>
          <w:p w14:paraId="73DD8971"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226</w:t>
            </w:r>
          </w:p>
        </w:tc>
        <w:tc>
          <w:tcPr>
            <w:tcW w:w="993" w:type="pct"/>
            <w:tcBorders>
              <w:left w:val="single" w:sz="18" w:space="0" w:color="000000"/>
              <w:right w:val="single" w:sz="18" w:space="0" w:color="000000"/>
            </w:tcBorders>
            <w:vAlign w:val="center"/>
          </w:tcPr>
          <w:p w14:paraId="14EEB2D5" w14:textId="77777777" w:rsidR="001268BC" w:rsidRPr="009445F0" w:rsidRDefault="001268BC" w:rsidP="009445F0">
            <w:pPr>
              <w:spacing w:line="276" w:lineRule="auto"/>
              <w:jc w:val="center"/>
              <w:rPr>
                <w:rFonts w:ascii="Arial" w:hAnsi="Arial" w:cs="Arial"/>
                <w:sz w:val="18"/>
                <w:szCs w:val="18"/>
              </w:rPr>
            </w:pPr>
            <w:proofErr w:type="spellStart"/>
            <w:r w:rsidRPr="009445F0">
              <w:rPr>
                <w:rFonts w:ascii="Arial" w:hAnsi="Arial" w:cs="Arial"/>
                <w:sz w:val="18"/>
                <w:szCs w:val="18"/>
                <w:vertAlign w:val="superscript"/>
              </w:rPr>
              <w:t>o</w:t>
            </w:r>
            <w:r w:rsidRPr="009445F0">
              <w:rPr>
                <w:rFonts w:ascii="Arial" w:hAnsi="Arial" w:cs="Arial"/>
                <w:sz w:val="18"/>
                <w:szCs w:val="18"/>
              </w:rPr>
              <w:t>C</w:t>
            </w:r>
            <w:proofErr w:type="spellEnd"/>
          </w:p>
        </w:tc>
      </w:tr>
      <w:tr w:rsidR="001268BC" w:rsidRPr="009445F0" w14:paraId="304F99F6" w14:textId="77777777" w:rsidTr="000E579C">
        <w:tc>
          <w:tcPr>
            <w:tcW w:w="2513" w:type="pct"/>
            <w:tcBorders>
              <w:left w:val="single" w:sz="18" w:space="0" w:color="000000"/>
              <w:right w:val="single" w:sz="18" w:space="0" w:color="000000"/>
            </w:tcBorders>
            <w:vAlign w:val="center"/>
          </w:tcPr>
          <w:p w14:paraId="129934FD" w14:textId="642665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Enthalpy of HPS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{"citationItems":[{"id":"ITEM-1","itemData":{"author":[{"dropping-particle":"","family":"CDM","given":"","non-dropping-particle":"","parse-names":false,"suffix":""}],"id":"ITEM-1","issued":{"date-parts":[["2001"]]},"number-of-pages":"1 - 15","title":"Energy efficiency improvement projects: boiler rehabilitation or replacement in industrial and district heating sectors","type":"report"},"uris":["http://www.mendeley.com/documents/?uuid=45c11cce-f835-4d91-8228-94225a9311bd"]}],"mendeley":{"formattedCitation":"(CDM, 2001)","plainTextFormattedCitation":"(CDM, 2001)","previouslyFormattedCitation":"(CDM, 2001)"},"properties":{"noteIndex":0},"schema":"https://github.com/citation-style-language/schema/raw/master/csl-citation.json"}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(CDM, 2001)</w:t>
            </w:r>
            <w:r w:rsidRPr="009445F0">
              <w:rPr>
                <w:rFonts w:ascii="Arial" w:hAnsi="Arial" w:cs="Arial"/>
                <w:sz w:val="18"/>
                <w:szCs w:val="18"/>
              </w:rPr>
              <w:fldChar w:fldCharType="end"/>
            </w:r>
          </w:p>
        </w:tc>
        <w:tc>
          <w:tcPr>
            <w:tcW w:w="1494" w:type="pct"/>
            <w:tcBorders>
              <w:left w:val="single" w:sz="18" w:space="0" w:color="000000"/>
              <w:right w:val="single" w:sz="18" w:space="0" w:color="000000"/>
            </w:tcBorders>
            <w:vAlign w:val="center"/>
          </w:tcPr>
          <w:p w14:paraId="1A929505"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2.802</w:t>
            </w:r>
          </w:p>
        </w:tc>
        <w:tc>
          <w:tcPr>
            <w:tcW w:w="993" w:type="pct"/>
            <w:tcBorders>
              <w:left w:val="single" w:sz="18" w:space="0" w:color="000000"/>
              <w:right w:val="single" w:sz="18" w:space="0" w:color="000000"/>
            </w:tcBorders>
            <w:vAlign w:val="center"/>
          </w:tcPr>
          <w:p w14:paraId="046BA2C2"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MJ heat/kg HPS</w:t>
            </w:r>
          </w:p>
        </w:tc>
      </w:tr>
      <w:tr w:rsidR="001268BC" w:rsidRPr="009445F0" w14:paraId="60F0A340" w14:textId="77777777" w:rsidTr="000E579C">
        <w:tc>
          <w:tcPr>
            <w:tcW w:w="2513" w:type="pct"/>
            <w:tcBorders>
              <w:left w:val="single" w:sz="18" w:space="0" w:color="000000"/>
              <w:right w:val="single" w:sz="18" w:space="0" w:color="000000"/>
            </w:tcBorders>
            <w:vAlign w:val="center"/>
          </w:tcPr>
          <w:p w14:paraId="78D22FA8"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Conversion of EFB to HPS</w:t>
            </w:r>
          </w:p>
        </w:tc>
        <w:tc>
          <w:tcPr>
            <w:tcW w:w="1494" w:type="pct"/>
            <w:tcBorders>
              <w:left w:val="single" w:sz="18" w:space="0" w:color="000000"/>
              <w:right w:val="single" w:sz="18" w:space="0" w:color="000000"/>
            </w:tcBorders>
            <w:vAlign w:val="center"/>
          </w:tcPr>
          <w:p w14:paraId="327B3033"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4.555</w:t>
            </w:r>
          </w:p>
        </w:tc>
        <w:tc>
          <w:tcPr>
            <w:tcW w:w="993" w:type="pct"/>
            <w:tcBorders>
              <w:left w:val="single" w:sz="18" w:space="0" w:color="000000"/>
              <w:right w:val="single" w:sz="18" w:space="0" w:color="000000"/>
            </w:tcBorders>
            <w:vAlign w:val="center"/>
          </w:tcPr>
          <w:p w14:paraId="3AF4EB38"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kg HPS/kg EFB</w:t>
            </w:r>
          </w:p>
        </w:tc>
      </w:tr>
      <w:tr w:rsidR="001268BC" w:rsidRPr="009445F0" w14:paraId="5246AFF5" w14:textId="77777777" w:rsidTr="000E579C">
        <w:tc>
          <w:tcPr>
            <w:tcW w:w="2513" w:type="pct"/>
            <w:tcBorders>
              <w:left w:val="single" w:sz="18" w:space="0" w:color="000000"/>
              <w:right w:val="single" w:sz="18" w:space="0" w:color="000000"/>
            </w:tcBorders>
            <w:vAlign w:val="center"/>
          </w:tcPr>
          <w:p w14:paraId="0AB3BB46" w14:textId="3B68E376"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Steam Turbine Efficiency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{"citationItems":[{"id":"ITEM-1","itemData":{"DOI":"10.1016/B978-0-408-01250-8.50022-2","author":[{"dropping-particle":"","family":"Jane","given":"","non-dropping-particle":"","parse-names":false,"suffix":""}],"container-title":"The Efficient Use of Energy","id":"ITEM-1","issued":{"date-parts":[["1982"]]},"page":"286-308","publisher":"Elsevier","title":"Production of electrical power","type":"chapter"},"uris":["http://www.mendeley.com/documents/?uuid=5f55d164-d652-4eeb-90d3-202996561b01"]}],"mendeley":{"formattedCitation":"(Jane, 1982)","plainTextFormattedCitation":"(Jane, 1982)","previouslyFormattedCitation":"(Jane, 1982)"},"properties":{"noteIndex":0},"schema":"https://github.com/citation-style-language/schema/raw/master/csl-citation.json"}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(Jane, 1982)</w:t>
            </w:r>
            <w:r w:rsidRPr="009445F0">
              <w:rPr>
                <w:rFonts w:ascii="Arial" w:hAnsi="Arial" w:cs="Arial"/>
                <w:sz w:val="18"/>
                <w:szCs w:val="18"/>
              </w:rPr>
              <w:fldChar w:fldCharType="end"/>
            </w:r>
          </w:p>
        </w:tc>
        <w:tc>
          <w:tcPr>
            <w:tcW w:w="1494" w:type="pct"/>
            <w:tcBorders>
              <w:left w:val="single" w:sz="18" w:space="0" w:color="000000"/>
              <w:right w:val="single" w:sz="18" w:space="0" w:color="000000"/>
            </w:tcBorders>
            <w:vAlign w:val="center"/>
          </w:tcPr>
          <w:p w14:paraId="2C242AEC"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37</w:t>
            </w:r>
          </w:p>
        </w:tc>
        <w:tc>
          <w:tcPr>
            <w:tcW w:w="993" w:type="pct"/>
            <w:tcBorders>
              <w:left w:val="single" w:sz="18" w:space="0" w:color="000000"/>
              <w:right w:val="single" w:sz="18" w:space="0" w:color="000000"/>
            </w:tcBorders>
            <w:vAlign w:val="center"/>
          </w:tcPr>
          <w:p w14:paraId="028F65F2"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w:t>
            </w:r>
          </w:p>
        </w:tc>
      </w:tr>
      <w:tr w:rsidR="001268BC" w:rsidRPr="009445F0" w14:paraId="342CD8EA" w14:textId="77777777" w:rsidTr="000E579C">
        <w:tc>
          <w:tcPr>
            <w:tcW w:w="2513" w:type="pct"/>
            <w:tcBorders>
              <w:left w:val="single" w:sz="18" w:space="0" w:color="000000"/>
              <w:bottom w:val="single" w:sz="18" w:space="0" w:color="000000"/>
              <w:right w:val="single" w:sz="18" w:space="0" w:color="000000"/>
            </w:tcBorders>
            <w:vAlign w:val="center"/>
          </w:tcPr>
          <w:p w14:paraId="7CD928F0"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Electricity Produced from HPS</w:t>
            </w:r>
          </w:p>
        </w:tc>
        <w:tc>
          <w:tcPr>
            <w:tcW w:w="1494" w:type="pct"/>
            <w:tcBorders>
              <w:left w:val="single" w:sz="18" w:space="0" w:color="000000"/>
              <w:bottom w:val="single" w:sz="18" w:space="0" w:color="000000"/>
              <w:right w:val="single" w:sz="18" w:space="0" w:color="000000"/>
            </w:tcBorders>
            <w:vAlign w:val="center"/>
          </w:tcPr>
          <w:p w14:paraId="3204755A"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1.037</w:t>
            </w:r>
          </w:p>
        </w:tc>
        <w:tc>
          <w:tcPr>
            <w:tcW w:w="993" w:type="pct"/>
            <w:tcBorders>
              <w:left w:val="single" w:sz="18" w:space="0" w:color="000000"/>
              <w:bottom w:val="single" w:sz="18" w:space="0" w:color="000000"/>
              <w:right w:val="single" w:sz="18" w:space="0" w:color="000000"/>
            </w:tcBorders>
            <w:vAlign w:val="center"/>
          </w:tcPr>
          <w:p w14:paraId="7016C267"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MW/kg HPS</w:t>
            </w:r>
          </w:p>
        </w:tc>
      </w:tr>
    </w:tbl>
    <w:p w14:paraId="11A9333B" w14:textId="77EF2B5E" w:rsidR="001268BC" w:rsidRPr="009445F0" w:rsidRDefault="001268BC" w:rsidP="00D508E9">
      <w:pPr>
        <w:spacing w:after="0" w:line="360" w:lineRule="auto"/>
        <w:rPr>
          <w:rFonts w:ascii="Arial" w:hAnsi="Arial" w:cs="Arial"/>
          <w:b/>
          <w:bCs/>
          <w:color w:val="000000" w:themeColor="text1"/>
          <w:sz w:val="18"/>
          <w:szCs w:val="18"/>
          <w:lang w:val="en-US"/>
        </w:rPr>
      </w:pPr>
    </w:p>
    <w:p w14:paraId="0505CB64" w14:textId="3178D62D" w:rsidR="009445F0" w:rsidRPr="00D508E9" w:rsidRDefault="001268BC" w:rsidP="00D508E9">
      <w:pPr>
        <w:spacing w:after="0" w:line="360" w:lineRule="auto"/>
        <w:jc w:val="center"/>
        <w:rPr>
          <w:rFonts w:ascii="Arial" w:hAnsi="Arial" w:cs="Arial"/>
          <w:i/>
          <w:iCs/>
          <w:sz w:val="18"/>
          <w:szCs w:val="18"/>
        </w:rPr>
      </w:pPr>
      <w:r w:rsidRPr="009445F0">
        <w:rPr>
          <w:rFonts w:ascii="Arial" w:hAnsi="Arial" w:cs="Arial"/>
          <w:b/>
          <w:bCs/>
          <w:i/>
          <w:iCs/>
          <w:sz w:val="18"/>
          <w:szCs w:val="18"/>
          <w:lang w:val="en-US"/>
        </w:rPr>
        <w:t xml:space="preserve">Table </w:t>
      </w:r>
      <w:r w:rsidR="0088659A">
        <w:rPr>
          <w:rFonts w:ascii="Arial" w:hAnsi="Arial" w:cs="Arial"/>
          <w:b/>
          <w:bCs/>
          <w:i/>
          <w:iCs/>
          <w:sz w:val="18"/>
          <w:szCs w:val="18"/>
          <w:lang w:val="en-US"/>
        </w:rPr>
        <w:t>A</w:t>
      </w:r>
      <w:r w:rsidRPr="009445F0">
        <w:rPr>
          <w:rFonts w:ascii="Arial" w:hAnsi="Arial" w:cs="Arial"/>
          <w:b/>
          <w:bCs/>
          <w:i/>
          <w:iCs/>
          <w:sz w:val="18"/>
          <w:szCs w:val="18"/>
          <w:lang w:val="en-US"/>
        </w:rPr>
        <w:t xml:space="preserve">9: </w:t>
      </w:r>
      <w:r w:rsidRPr="009445F0">
        <w:rPr>
          <w:rFonts w:ascii="Arial" w:hAnsi="Arial" w:cs="Arial"/>
          <w:i/>
          <w:iCs/>
          <w:sz w:val="18"/>
          <w:szCs w:val="18"/>
          <w:lang w:val="en-US"/>
        </w:rPr>
        <w:t>Detailed Information for Pyrolysis and Gasification of EFB</w:t>
      </w:r>
      <w:r w:rsidRPr="009445F0">
        <w:rPr>
          <w:rFonts w:ascii="Arial" w:hAnsi="Arial" w:cs="Arial"/>
          <w:b/>
          <w:bCs/>
          <w:i/>
          <w:iCs/>
          <w:sz w:val="18"/>
          <w:szCs w:val="18"/>
          <w:lang w:val="en-US"/>
        </w:rPr>
        <w:t xml:space="preserve">  </w:t>
      </w:r>
      <w:r w:rsidRPr="009445F0">
        <w:rPr>
          <w:rFonts w:ascii="Arial" w:hAnsi="Arial" w:cs="Arial"/>
          <w:i/>
          <w:iCs/>
          <w:sz w:val="18"/>
          <w:szCs w:val="18"/>
        </w:rPr>
        <w:t xml:space="preserve"> </w:t>
      </w:r>
    </w:p>
    <w:tbl>
      <w:tblPr>
        <w:tblStyle w:val="TableGrid"/>
        <w:tblW w:w="5000" w:type="pct"/>
        <w:tblInd w:w="0" w:type="dxa"/>
        <w:tblLook w:val="04A0" w:firstRow="1" w:lastRow="0" w:firstColumn="1" w:lastColumn="0" w:noHBand="0" w:noVBand="1"/>
      </w:tblPr>
      <w:tblGrid>
        <w:gridCol w:w="4579"/>
        <w:gridCol w:w="1897"/>
        <w:gridCol w:w="2007"/>
        <w:gridCol w:w="1563"/>
      </w:tblGrid>
      <w:tr w:rsidR="009445F0" w:rsidRPr="009445F0" w14:paraId="7BED0D15" w14:textId="77777777" w:rsidTr="009445F0">
        <w:tc>
          <w:tcPr>
            <w:tcW w:w="2279" w:type="pct"/>
            <w:tcBorders>
              <w:top w:val="single" w:sz="18" w:space="0" w:color="000000"/>
              <w:left w:val="single" w:sz="18" w:space="0" w:color="000000"/>
              <w:bottom w:val="single" w:sz="18" w:space="0" w:color="000000"/>
              <w:right w:val="single" w:sz="18" w:space="0" w:color="000000"/>
            </w:tcBorders>
            <w:shd w:val="clear" w:color="auto" w:fill="A8FFB1"/>
            <w:vAlign w:val="center"/>
          </w:tcPr>
          <w:p w14:paraId="2CA4CA96"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Parameter</w:t>
            </w:r>
          </w:p>
        </w:tc>
        <w:tc>
          <w:tcPr>
            <w:tcW w:w="944" w:type="pct"/>
            <w:tcBorders>
              <w:top w:val="single" w:sz="18" w:space="0" w:color="000000"/>
              <w:left w:val="single" w:sz="18" w:space="0" w:color="000000"/>
              <w:bottom w:val="single" w:sz="18" w:space="0" w:color="000000"/>
              <w:right w:val="single" w:sz="18" w:space="0" w:color="000000"/>
            </w:tcBorders>
            <w:shd w:val="clear" w:color="auto" w:fill="A8FFB1"/>
            <w:vAlign w:val="center"/>
          </w:tcPr>
          <w:p w14:paraId="48FC967D"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Pyrolysis</w:t>
            </w:r>
          </w:p>
        </w:tc>
        <w:tc>
          <w:tcPr>
            <w:tcW w:w="998" w:type="pct"/>
            <w:tcBorders>
              <w:top w:val="single" w:sz="18" w:space="0" w:color="000000"/>
              <w:left w:val="single" w:sz="18" w:space="0" w:color="000000"/>
              <w:bottom w:val="single" w:sz="18" w:space="0" w:color="000000"/>
              <w:right w:val="single" w:sz="18" w:space="0" w:color="000000"/>
            </w:tcBorders>
            <w:shd w:val="clear" w:color="auto" w:fill="A8FFB1"/>
            <w:vAlign w:val="center"/>
          </w:tcPr>
          <w:p w14:paraId="1D260384"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Gasification</w:t>
            </w:r>
          </w:p>
        </w:tc>
        <w:tc>
          <w:tcPr>
            <w:tcW w:w="778" w:type="pct"/>
            <w:tcBorders>
              <w:top w:val="single" w:sz="18" w:space="0" w:color="000000"/>
              <w:left w:val="single" w:sz="18" w:space="0" w:color="000000"/>
              <w:bottom w:val="single" w:sz="12" w:space="0" w:color="000000"/>
              <w:right w:val="single" w:sz="18" w:space="0" w:color="000000"/>
            </w:tcBorders>
            <w:shd w:val="clear" w:color="auto" w:fill="A8FFB1"/>
            <w:vAlign w:val="center"/>
          </w:tcPr>
          <w:p w14:paraId="5661AB14"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Unit</w:t>
            </w:r>
          </w:p>
        </w:tc>
      </w:tr>
      <w:tr w:rsidR="001268BC" w:rsidRPr="009445F0" w14:paraId="59F61CD7" w14:textId="77777777" w:rsidTr="009445F0">
        <w:tc>
          <w:tcPr>
            <w:tcW w:w="2279" w:type="pct"/>
            <w:tcBorders>
              <w:top w:val="single" w:sz="18" w:space="0" w:color="000000"/>
              <w:left w:val="single" w:sz="18" w:space="0" w:color="000000"/>
              <w:right w:val="single" w:sz="18" w:space="0" w:color="000000"/>
            </w:tcBorders>
            <w:vAlign w:val="center"/>
          </w:tcPr>
          <w:p w14:paraId="501BD145" w14:textId="00F802AD"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Calorific Value of EFB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{"citationItems":[{"id":"ITEM-1","itemData":{"DOI":"10.11113/jt.v67.2768","ISSN":"2180-3722","abstract":"The thermochemical properties of biomass are largely influenced by the nature, yield and composition of the feedstock. In addition, the low moisture content, energy density and solid uniform structure of briquettes have been reported to improve heat and mass transfer during thermochemical conversion. Hence, this study is aimed at investigating the thermochemical properties of Empty Fruit Bunch (EFB) briquettes using Thermogravimetric analysis (TGA). The heating value (HHV), ultimate and proximate analysis was determined using standard ASTM techniques. Consequently, the thermal decomposition behavior of the fuel was determined by heating the sample from 50°C to 900°C in a thermogravimetric analyzer (TGA) at 10°C per min heating rate. The ultimate and proximate analysis revealed that EFB briquette contains low moisture content, ash content and high fixed carbon, volatile matter content while the HHV was 17.57 MJ/kg. In addition, TGA results indicated thermal decomposition of the fuel occurs in four stages. Devolatization commenced at 206°C with a peak devolatization temperature (Tmax) of 325°C resulting in 70% weight loss.","author":[{"dropping-particle":"","family":"Nyakuma","given":"Bemgba Bevan","non-dropping-particle":"","parse-names":false,"suffix":""},{"dropping-particle":"","family":"Johari","given":"Anwar","non-dropping-particle":"","parse-names":false,"suffix":""},{"dropping-particle":"","family":"Ahmad","given":"Arshad","non-dropping-particle":"","parse-names":false,"suffix":""},{"dropping-particle":"","family":"Tuan Abdullah","given":"Tuan Amran","non-dropping-particle":"","parse-names":false,"suffix":""}],"container-title":"Jurnal Teknologi","id":"ITEM-1","issue":"3","issued":{"date-parts":[["2014","3"]]},"title":"Thermogravimetric Analysis of the Fuel Properties of Empty Fruit Bunch Briquettes","type":"article-journal","volume":"67"},"uris":["http://www.mendeley.com/documents/?uuid=86fe0ef3-7335-4f1d-b85c-b11568e7af8c"]}],"mendeley":{"formattedCitation":"(Nyakuma et al., 2014)","manualFormatting":"(Nyakuma, 2014)","plainTextFormattedCitation":"(Nyakuma et al., 2014)","previouslyFormattedCitation":"(Nyakuma et al., 2014)"},"properties":{"noteIndex":0},"schema":"https://github.com/citation-style-language/schema/raw/master/csl-citation.json"}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(Nyakuma, 2014)</w:t>
            </w:r>
            <w:r w:rsidRPr="009445F0">
              <w:rPr>
                <w:rFonts w:ascii="Arial" w:hAnsi="Arial" w:cs="Arial"/>
                <w:sz w:val="18"/>
                <w:szCs w:val="18"/>
              </w:rPr>
              <w:fldChar w:fldCharType="end"/>
            </w:r>
          </w:p>
        </w:tc>
        <w:tc>
          <w:tcPr>
            <w:tcW w:w="1943" w:type="pct"/>
            <w:gridSpan w:val="2"/>
            <w:tcBorders>
              <w:top w:val="single" w:sz="18" w:space="0" w:color="000000"/>
              <w:left w:val="single" w:sz="18" w:space="0" w:color="000000"/>
              <w:right w:val="single" w:sz="18" w:space="0" w:color="000000"/>
            </w:tcBorders>
            <w:vAlign w:val="center"/>
          </w:tcPr>
          <w:p w14:paraId="56381A9C"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17.02</w:t>
            </w:r>
          </w:p>
        </w:tc>
        <w:tc>
          <w:tcPr>
            <w:tcW w:w="778" w:type="pct"/>
            <w:tcBorders>
              <w:top w:val="single" w:sz="18" w:space="0" w:color="000000"/>
              <w:left w:val="single" w:sz="18" w:space="0" w:color="000000"/>
              <w:right w:val="single" w:sz="18" w:space="0" w:color="000000"/>
            </w:tcBorders>
            <w:vAlign w:val="center"/>
          </w:tcPr>
          <w:p w14:paraId="4161A4A5"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MJ/kg EFB</w:t>
            </w:r>
          </w:p>
        </w:tc>
      </w:tr>
      <w:tr w:rsidR="001268BC" w:rsidRPr="009445F0" w14:paraId="731380D1" w14:textId="77777777" w:rsidTr="009445F0">
        <w:tc>
          <w:tcPr>
            <w:tcW w:w="2279" w:type="pct"/>
            <w:tcBorders>
              <w:left w:val="single" w:sz="18" w:space="0" w:color="000000"/>
              <w:right w:val="single" w:sz="18" w:space="0" w:color="000000"/>
            </w:tcBorders>
            <w:vAlign w:val="center"/>
          </w:tcPr>
          <w:p w14:paraId="51BD4835" w14:textId="6A156E26"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Yield of Syngas (SG)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{"citationItems":[{"id":"ITEM-1","itemData":{"DOI":"10.4236/jpee.2017.52001","ISSN":"2327-588X","author":[{"dropping-particle":"","family":"Bogale","given":"Wondwossen","non-dropping-particle":"","parse-names":false,"suffix":""}],"container-title":"Journal of Power and Energy Engineering","id":"ITEM-1","issue":"02","issued":{"date-parts":[["2017"]]},"page":"1-10","title":"Preparation of Charcoal Using Flower Waste","type":"article-journal","volume":"05"},"uris":["http://www.mendeley.com/documents/?uuid=7cb2ba03-8dd5-4db6-85d5-48693b63744b"]}],"mendeley":{"formattedCitation":"(Bogale, 2017)","plainTextFormattedCitation":"(Bogale, 2017)","previouslyFormattedCitation":"(Bogale, 2017)"},"properties":{"noteIndex":0},"schema":"https://github.com/citation-style-language/schema/raw/master/csl-citation.json"}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(Bogale, 2017)</w:t>
            </w:r>
            <w:r w:rsidRPr="009445F0">
              <w:rPr>
                <w:rFonts w:ascii="Arial" w:hAnsi="Arial" w:cs="Arial"/>
                <w:sz w:val="18"/>
                <w:szCs w:val="18"/>
              </w:rPr>
              <w:fldChar w:fldCharType="end"/>
            </w:r>
          </w:p>
        </w:tc>
        <w:tc>
          <w:tcPr>
            <w:tcW w:w="944" w:type="pct"/>
            <w:tcBorders>
              <w:left w:val="single" w:sz="18" w:space="0" w:color="000000"/>
              <w:right w:val="single" w:sz="18" w:space="0" w:color="000000"/>
            </w:tcBorders>
            <w:vAlign w:val="center"/>
          </w:tcPr>
          <w:p w14:paraId="65880CDE"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35</w:t>
            </w:r>
          </w:p>
        </w:tc>
        <w:tc>
          <w:tcPr>
            <w:tcW w:w="998" w:type="pct"/>
            <w:tcBorders>
              <w:left w:val="single" w:sz="18" w:space="0" w:color="000000"/>
              <w:right w:val="single" w:sz="18" w:space="0" w:color="000000"/>
            </w:tcBorders>
            <w:vAlign w:val="center"/>
          </w:tcPr>
          <w:p w14:paraId="2F6284E7"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85</w:t>
            </w:r>
          </w:p>
        </w:tc>
        <w:tc>
          <w:tcPr>
            <w:tcW w:w="778" w:type="pct"/>
            <w:tcBorders>
              <w:left w:val="single" w:sz="18" w:space="0" w:color="000000"/>
              <w:right w:val="single" w:sz="18" w:space="0" w:color="000000"/>
            </w:tcBorders>
            <w:vAlign w:val="center"/>
          </w:tcPr>
          <w:p w14:paraId="71916D1A"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w:t>
            </w:r>
          </w:p>
        </w:tc>
      </w:tr>
      <w:tr w:rsidR="001268BC" w:rsidRPr="009445F0" w14:paraId="00CBA4B4" w14:textId="77777777" w:rsidTr="009445F0">
        <w:tc>
          <w:tcPr>
            <w:tcW w:w="2279" w:type="pct"/>
            <w:tcBorders>
              <w:left w:val="single" w:sz="18" w:space="0" w:color="000000"/>
              <w:right w:val="single" w:sz="18" w:space="0" w:color="000000"/>
            </w:tcBorders>
            <w:vAlign w:val="center"/>
          </w:tcPr>
          <w:p w14:paraId="4E41D43A"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Temperature</w:t>
            </w:r>
          </w:p>
        </w:tc>
        <w:tc>
          <w:tcPr>
            <w:tcW w:w="944" w:type="pct"/>
            <w:tcBorders>
              <w:left w:val="single" w:sz="18" w:space="0" w:color="000000"/>
              <w:right w:val="single" w:sz="18" w:space="0" w:color="000000"/>
            </w:tcBorders>
            <w:vAlign w:val="center"/>
          </w:tcPr>
          <w:p w14:paraId="4E778A1D"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500</w:t>
            </w:r>
          </w:p>
          <w:p w14:paraId="5AFA5A98" w14:textId="7FF7986E"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Zajec","given":"Luka","non-dropping-particle":"","parse-names":false,"suffix":""}],"id":"ITEM-1","issued":{"date-parts":[["2009"]]},"number-of-pages":"1 - 66","publisher-place":"Iceland","title":"SLOW PYROLYSIS IN A ROTARY KILN REACTOR: OPTIMIZATION AND EXPERIMENTS","type":"report"},"uris":["http://www.mendeley.com/documents/?uuid=ec084d27-31ee-471b-ab63-87e2f05e16fe"]}],"mendeley":{"formattedCitation":"(Zajec, 2009)","plainTextFormattedCitation":"(Zajec, 2009)","previouslyFormattedCitation":"(Zajec, 2009)"},"properties":{"noteIndex":0},"schema":"https://github.com/citation-style-language/schema/raw/master/csl-citation.json"}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(Zajec, 2009)</w:t>
            </w:r>
            <w:r w:rsidRPr="009445F0">
              <w:rPr>
                <w:rFonts w:ascii="Arial" w:hAnsi="Arial" w:cs="Arial"/>
                <w:sz w:val="18"/>
                <w:szCs w:val="18"/>
              </w:rPr>
              <w:fldChar w:fldCharType="end"/>
            </w:r>
          </w:p>
        </w:tc>
        <w:tc>
          <w:tcPr>
            <w:tcW w:w="998" w:type="pct"/>
            <w:tcBorders>
              <w:left w:val="single" w:sz="18" w:space="0" w:color="000000"/>
              <w:right w:val="single" w:sz="18" w:space="0" w:color="000000"/>
            </w:tcBorders>
            <w:vAlign w:val="center"/>
          </w:tcPr>
          <w:p w14:paraId="51724DD0"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700</w:t>
            </w:r>
          </w:p>
          <w:p w14:paraId="2920012D" w14:textId="1F24493E"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{"citationItems":[{"id":"ITEM-1","itemData":{"DOI":"10.1016/j.enconman.2010.10.023","ISSN":"01968904","abstract":"A study on gasification of empty fruit bunch (EFB), a waste of the palm oil industry, was investigated. The composition and particle size distribution of feedstock were determined and the thermal degradation behaviour was analysed by a thermogravimetric analysis (TGA). Then fluidized bed bench scale gasification unit was used to investigate the effect of the operating parameters on EFB air gasification namely reactor temperature in the range of 700-1000 °C, feedstock particle size in the range of 0.3-1.0 mm and equivalence ratio (ER) in the range of 0.15-0.35. The main gas species generated, as identified by a gas chromatography (GC), were H2, CO, CO2 and CH4. With temperature increasing from 700 °C to 1000 °C, the total gas yield was enhanced greatly and reached the maximum value (</w:instrText>
            </w:r>
            <w:r w:rsidR="00D27FDA">
              <w:rPr>
                <w:rFonts w:ascii="Cambria Math" w:hAnsi="Cambria Math" w:cs="Cambria Math"/>
                <w:sz w:val="18"/>
                <w:szCs w:val="18"/>
              </w:rPr>
              <w:instrText>∼</w:instrText>
            </w:r>
            <w:r w:rsidR="00D27FDA">
              <w:rPr>
                <w:rFonts w:ascii="Arial" w:hAnsi="Arial" w:cs="Arial"/>
                <w:sz w:val="18"/>
                <w:szCs w:val="18"/>
              </w:rPr>
              <w:instrText>92 wt.%, on the raw biomass sample basis) at 1000 °C with big portions of H2 (38.02 vol.%) and CO (36.36 vol.%). Feedstock particle size showed an influence on the upgrading of H2, CO and CH4 yields. The feedstock particle size of 0.3-0.5 mm, was found to obtain a higher H2 yield (33.93 vol.%), and higher LHV of gas product (15.26 MJ/m3). Equivalence ratio (ER) showed a significant influence on the upgrading of hydrogen production and product distribution. The optimum ER (0.25) was found to attain a higher H2 yield (27.31 vol.%) at 850 °C. Due to the low efficiency of bench scale gasification unit the system needs to be scaling-up. The cost analysis for scale-up EFB gasification unit showed that the hydrogen supply cost is RM 6.70/kg EFB ($2.11/kg = $0.18/Nm3). © 2010 Elsevier Ltd. All rights reserved.","author":[{"dropping-particle":"","family":"Mohammed","given":"M. A.A.","non-dropping-particle":"","parse-names":false,"suffix":""},{"dropping-particle":"","family":"Salmiaton","given":"A.","non-dropping-particle":"","parse-names":false,"suffix":""},{"dropping-particle":"","family":"Wan Azlina","given":"W. A.K.G.","non-dropping-particle":"","parse-names":false,"suffix":""},{"dropping-particle":"","family":"Mohammad Amran","given":"M. S.","non-dropping-particle":"","parse-names":false,"suffix":""},{"dropping-particle":"","family":"Fakhru'L-Razi","given":"A.","non-dropping-particle":"","parse-names":false,"suffix":""}],"container-title":"Energy Conversion and Management","id":"ITEM-1","issue":"2","issued":{"date-parts":[["2011"]]},"page":"1555-1561","title":"Air gasification of empty fruit bunch for hydrogen-rich gas production in a fluidized-bed reactor","type":"article-journal","volume":"52"},"uris":["http://www.mendeley.com/documents/?uuid=187e821c-7831-4cc3-871c-237d7e662690"]}],"mendeley":{"formattedCitation":"(Mohammed et al., 2011)","manualFormatting":"(Mohammed, 2011)","plainTextFormattedCitation":"(Mohammed et al., 2011)","previouslyFormattedCitation":"(Mohammed et al., 2011)"},"properties":{"noteIndex":0},"schema":"https://github.com/citation-style-language/schema/raw/master/csl-citation.json"}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(Mohammed, 2011)</w:t>
            </w:r>
            <w:r w:rsidRPr="009445F0">
              <w:rPr>
                <w:rFonts w:ascii="Arial" w:hAnsi="Arial" w:cs="Arial"/>
                <w:sz w:val="18"/>
                <w:szCs w:val="18"/>
              </w:rPr>
              <w:fldChar w:fldCharType="end"/>
            </w:r>
          </w:p>
        </w:tc>
        <w:tc>
          <w:tcPr>
            <w:tcW w:w="778" w:type="pct"/>
            <w:tcBorders>
              <w:left w:val="single" w:sz="18" w:space="0" w:color="000000"/>
              <w:right w:val="single" w:sz="18" w:space="0" w:color="000000"/>
            </w:tcBorders>
            <w:vAlign w:val="center"/>
          </w:tcPr>
          <w:p w14:paraId="4BD9E24E" w14:textId="77777777" w:rsidR="001268BC" w:rsidRPr="009445F0" w:rsidRDefault="001268BC" w:rsidP="009445F0">
            <w:pPr>
              <w:spacing w:line="276" w:lineRule="auto"/>
              <w:jc w:val="center"/>
              <w:rPr>
                <w:rFonts w:ascii="Arial" w:hAnsi="Arial" w:cs="Arial"/>
                <w:sz w:val="18"/>
                <w:szCs w:val="18"/>
              </w:rPr>
            </w:pPr>
            <w:proofErr w:type="spellStart"/>
            <w:r w:rsidRPr="009445F0">
              <w:rPr>
                <w:rFonts w:ascii="Arial" w:hAnsi="Arial" w:cs="Arial"/>
                <w:sz w:val="18"/>
                <w:szCs w:val="18"/>
                <w:vertAlign w:val="superscript"/>
              </w:rPr>
              <w:t>o</w:t>
            </w:r>
            <w:r w:rsidRPr="009445F0">
              <w:rPr>
                <w:rFonts w:ascii="Arial" w:hAnsi="Arial" w:cs="Arial"/>
                <w:sz w:val="18"/>
                <w:szCs w:val="18"/>
              </w:rPr>
              <w:t>C</w:t>
            </w:r>
            <w:proofErr w:type="spellEnd"/>
          </w:p>
        </w:tc>
      </w:tr>
      <w:tr w:rsidR="001268BC" w:rsidRPr="009445F0" w14:paraId="4BD09AA5" w14:textId="77777777" w:rsidTr="009445F0">
        <w:tc>
          <w:tcPr>
            <w:tcW w:w="2279" w:type="pct"/>
            <w:tcBorders>
              <w:left w:val="single" w:sz="18" w:space="0" w:color="000000"/>
              <w:right w:val="single" w:sz="18" w:space="0" w:color="000000"/>
            </w:tcBorders>
            <w:vAlign w:val="center"/>
          </w:tcPr>
          <w:p w14:paraId="1F7A431E"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Composition of H</w:t>
            </w:r>
            <w:r w:rsidRPr="009445F0">
              <w:rPr>
                <w:rFonts w:ascii="Arial" w:hAnsi="Arial" w:cs="Arial"/>
                <w:sz w:val="18"/>
                <w:szCs w:val="18"/>
                <w:vertAlign w:val="subscript"/>
              </w:rPr>
              <w:t>2</w:t>
            </w:r>
          </w:p>
        </w:tc>
        <w:tc>
          <w:tcPr>
            <w:tcW w:w="944" w:type="pct"/>
            <w:tcBorders>
              <w:left w:val="single" w:sz="18" w:space="0" w:color="000000"/>
              <w:right w:val="single" w:sz="18" w:space="0" w:color="000000"/>
            </w:tcBorders>
            <w:vAlign w:val="center"/>
          </w:tcPr>
          <w:p w14:paraId="306D9271"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0.429</w:t>
            </w:r>
          </w:p>
          <w:p w14:paraId="7697D566" w14:textId="0439D705"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Zajec","given":"Luka","non-dropping-particle":"","parse-names":false,"suffix":""}],"id":"ITEM-1","issued":{"date-parts":[["2009"]]},"number-of-pages":"1 - 66","publisher-place":"Iceland","title":"SLOW PYROLYSIS IN A ROTARY KILN REACTOR: OPTIMIZATION AND EXPERIMENTS","type":"report"},"uris":["http://www.mendeley.com/documents/?uuid=ec084d27-31ee-471b-ab63-87e2f05e16fe"]}],"mendeley":{"formattedCitation":"(Zajec, 2009)","plainTextFormattedCitation":"(Zajec, 2009)","previouslyFormattedCitation":"(Zajec, 2009)"},"properties":{"noteIndex":0},"schema":"https://github.com/citation-style-language/schema/raw/master/csl-citation.json"}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(Zajec, 2009)</w:t>
            </w:r>
            <w:r w:rsidRPr="009445F0">
              <w:rPr>
                <w:rFonts w:ascii="Arial" w:hAnsi="Arial" w:cs="Arial"/>
                <w:sz w:val="18"/>
                <w:szCs w:val="18"/>
              </w:rPr>
              <w:fldChar w:fldCharType="end"/>
            </w:r>
          </w:p>
        </w:tc>
        <w:tc>
          <w:tcPr>
            <w:tcW w:w="998" w:type="pct"/>
            <w:tcBorders>
              <w:left w:val="single" w:sz="18" w:space="0" w:color="000000"/>
              <w:right w:val="single" w:sz="18" w:space="0" w:color="000000"/>
            </w:tcBorders>
            <w:vAlign w:val="center"/>
          </w:tcPr>
          <w:p w14:paraId="39E2922B"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0.485</w:t>
            </w:r>
          </w:p>
          <w:p w14:paraId="440E5144" w14:textId="2367E566"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{"citationItems":[{"id":"ITEM-1","itemData":{"DOI":"10.1016/j.enconman.2010.10.023","ISSN":"01968904","abstract":"A study on gasification of empty fruit bunch (EFB), a waste of the palm oil industry, was investigated. The composition and particle size distribution of feedstock were determined and the thermal degradation behaviour was analysed by a thermogravimetric analysis (TGA). Then fluidized bed bench scale gasification unit was used to investigate the effect of the operating parameters on EFB air gasification namely reactor temperature in the range of 700-1000 °C, feedstock particle size in the range of 0.3-1.0 mm and equivalence ratio (ER) in the range of 0.15-0.35. The main gas species generated, as identified by a gas chromatography (GC), were H2, CO, CO2 and CH4. With temperature increasing from 700 °C to 1000 °C, the total gas yield was enhanced greatly and reached the maximum value (</w:instrText>
            </w:r>
            <w:r w:rsidR="00D27FDA">
              <w:rPr>
                <w:rFonts w:ascii="Cambria Math" w:hAnsi="Cambria Math" w:cs="Cambria Math"/>
                <w:sz w:val="18"/>
                <w:szCs w:val="18"/>
              </w:rPr>
              <w:instrText>∼</w:instrText>
            </w:r>
            <w:r w:rsidR="00D27FDA">
              <w:rPr>
                <w:rFonts w:ascii="Arial" w:hAnsi="Arial" w:cs="Arial"/>
                <w:sz w:val="18"/>
                <w:szCs w:val="18"/>
              </w:rPr>
              <w:instrText>92 wt.%, on the raw biomass sample basis) at 1000 °C with big portions of H2 (38.02 vol.%) and CO (36.36 vol.%). Feedstock particle size showed an influence on the upgrading of H2, CO and CH4 yields. The feedstock particle size of 0.3-0.5 mm, was found to obtain a higher H2 yield (33.93 vol.%), and higher LHV of gas product (15.26 MJ/m3). Equivalence ratio (ER) showed a significant influence on the upgrading of hydrogen production and product distribution. The optimum ER (0.25) was found to attain a higher H2 yield (27.31 vol.%) at 850 °C. Due to the low efficiency of bench scale gasification unit the system needs to be scaling-up. The cost analysis for scale-up EFB gasification unit showed that the hydrogen supply cost is RM 6.70/kg EFB ($2.11/kg = $0.18/Nm3). © 2010 Elsevier Ltd. All rights reserved.","author":[{"dropping-particle":"","family":"Mohammed","given":"M. A.A.","non-dropping-particle":"","parse-names":false,"suffix":""},{"dropping-particle":"","family":"Salmiaton","given":"A.","non-dropping-particle":"","parse-names":false,"suffix":""},{"dropping-particle":"","family":"Wan Azlina","given":"W. A.K.G.","non-dropping-particle":"","parse-names":false,"suffix":""},{"dropping-particle":"","family":"Mohammad Amran","given":"M. S.","non-dropping-particle":"","parse-names":false,"suffix":""},{"dropping-particle":"","family":"Fakhru'L-Razi","given":"A.","non-dropping-particle":"","parse-names":false,"suffix":""}],"container-title":"Energy Conversion and Management","id":"ITEM-1","issue":"2","issued":{"date-parts":[["2011"]]},"page":"1555-1561","title":"Air gasification of empty fruit bunch for hydrogen-rich gas production in a fluidized-bed reactor","type":"article-journal","volume":"52"},"uris":["http://www.mendeley.com/documents/?uuid=187e821c-7831-4cc3-871c-237d7e662690"]}],"mendeley":{"formattedCitation":"(Mohammed et al., 2011)","manualFormatting":"(Mohammed, 2011)","plainTextFormattedCitation":"(Mohammed et al., 2011)","previouslyFormattedCitation":"(Mohammed et al., 2011)"},"properties":{"noteIndex":0},"schema":"https://github.com/citation-style-language/schema/raw/master/csl-citation.json"}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(Mohammed, 2011)</w:t>
            </w:r>
            <w:r w:rsidRPr="009445F0">
              <w:rPr>
                <w:rFonts w:ascii="Arial" w:hAnsi="Arial" w:cs="Arial"/>
                <w:sz w:val="18"/>
                <w:szCs w:val="18"/>
              </w:rPr>
              <w:fldChar w:fldCharType="end"/>
            </w:r>
          </w:p>
        </w:tc>
        <w:tc>
          <w:tcPr>
            <w:tcW w:w="778" w:type="pct"/>
            <w:tcBorders>
              <w:left w:val="single" w:sz="18" w:space="0" w:color="000000"/>
              <w:right w:val="single" w:sz="18" w:space="0" w:color="000000"/>
            </w:tcBorders>
            <w:vAlign w:val="center"/>
          </w:tcPr>
          <w:p w14:paraId="745068C7" w14:textId="77777777" w:rsidR="001268BC" w:rsidRPr="009445F0" w:rsidRDefault="001268BC" w:rsidP="009445F0">
            <w:pPr>
              <w:spacing w:line="276" w:lineRule="auto"/>
              <w:jc w:val="center"/>
              <w:rPr>
                <w:rFonts w:ascii="Arial" w:hAnsi="Arial" w:cs="Arial"/>
                <w:sz w:val="18"/>
                <w:szCs w:val="18"/>
              </w:rPr>
            </w:pPr>
            <w:proofErr w:type="spellStart"/>
            <w:r w:rsidRPr="009445F0">
              <w:rPr>
                <w:rFonts w:ascii="Arial" w:hAnsi="Arial" w:cs="Arial"/>
                <w:sz w:val="18"/>
                <w:szCs w:val="18"/>
              </w:rPr>
              <w:t>wt</w:t>
            </w:r>
            <w:proofErr w:type="spellEnd"/>
            <w:r w:rsidRPr="009445F0">
              <w:rPr>
                <w:rFonts w:ascii="Arial" w:hAnsi="Arial" w:cs="Arial"/>
                <w:sz w:val="18"/>
                <w:szCs w:val="18"/>
              </w:rPr>
              <w:t>%</w:t>
            </w:r>
          </w:p>
        </w:tc>
      </w:tr>
      <w:tr w:rsidR="001268BC" w:rsidRPr="009445F0" w14:paraId="1CC034C5" w14:textId="77777777" w:rsidTr="009445F0">
        <w:tc>
          <w:tcPr>
            <w:tcW w:w="2279" w:type="pct"/>
            <w:tcBorders>
              <w:left w:val="single" w:sz="18" w:space="0" w:color="000000"/>
              <w:right w:val="single" w:sz="18" w:space="0" w:color="000000"/>
            </w:tcBorders>
            <w:vAlign w:val="center"/>
          </w:tcPr>
          <w:p w14:paraId="1CC98BA1"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Composition of Carbon Monoxide (CO)</w:t>
            </w:r>
          </w:p>
        </w:tc>
        <w:tc>
          <w:tcPr>
            <w:tcW w:w="944" w:type="pct"/>
            <w:tcBorders>
              <w:left w:val="single" w:sz="18" w:space="0" w:color="000000"/>
              <w:right w:val="single" w:sz="18" w:space="0" w:color="000000"/>
            </w:tcBorders>
            <w:vAlign w:val="center"/>
          </w:tcPr>
          <w:p w14:paraId="7AFE513D"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47.912</w:t>
            </w:r>
          </w:p>
          <w:p w14:paraId="097F8261" w14:textId="2EBB0CBB"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Zajec","given":"Luka","non-dropping-particle":"","parse-names":false,"suffix":""}],"id":"ITEM-1","issued":{"date-parts":[["2009"]]},"number-of-pages":"1 - 66","publisher-place":"Iceland","title":"SLOW PYROLYSIS IN A ROTARY KILN REACTOR: OPTIMIZATION AND EXPERIMENTS","type":"report"},"uris":["http://www.mendeley.com/documents/?uuid=ec084d27-31ee-471b-ab63-87e2f05e16fe"]}],"mendeley":{"formattedCitation":"(Zajec, 2009)","plainTextFormattedCitation":"(Zajec, 2009)","previouslyFormattedCitation":"(Zajec, 2009)"},"properties":{"noteIndex":0},"schema":"https://github.com/citation-style-language/schema/raw/master/csl-citation.json"}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(Zajec, 2009)</w:t>
            </w:r>
            <w:r w:rsidRPr="009445F0">
              <w:rPr>
                <w:rFonts w:ascii="Arial" w:hAnsi="Arial" w:cs="Arial"/>
                <w:sz w:val="18"/>
                <w:szCs w:val="18"/>
              </w:rPr>
              <w:fldChar w:fldCharType="end"/>
            </w:r>
          </w:p>
        </w:tc>
        <w:tc>
          <w:tcPr>
            <w:tcW w:w="998" w:type="pct"/>
            <w:tcBorders>
              <w:left w:val="single" w:sz="18" w:space="0" w:color="000000"/>
              <w:right w:val="single" w:sz="18" w:space="0" w:color="000000"/>
            </w:tcBorders>
            <w:vAlign w:val="center"/>
          </w:tcPr>
          <w:p w14:paraId="7BB98865"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27.720</w:t>
            </w:r>
          </w:p>
          <w:p w14:paraId="17B27DA2" w14:textId="6CAB9BD1"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{"citationItems":[{"id":"ITEM-1","itemData":{"DOI":"10.1016/j.enconman.2010.10.023","ISSN":"01968904","abstract":"A study on gasification of empty fruit bunch (EFB), a waste of the palm oil industry, was investigated. The composition and particle size distribution of feedstock were determined and the thermal degradation behaviour was analysed by a thermogravimetric analysis (TGA). Then fluidized bed bench scale gasification unit was used to investigate the effect of the operating parameters on EFB air gasification namely reactor temperature in the range of 700-1000 °C, feedstock particle size in the range of 0.3-1.0 mm and equivalence ratio (ER) in the range of 0.15-0.35. The main gas species generated, as identified by a gas chromatography (GC), were H2, CO, CO2 and CH4. With temperature increasing from 700 °C to 1000 °C, the total gas yield was enhanced greatly and reached the maximum value (</w:instrText>
            </w:r>
            <w:r w:rsidR="00D27FDA">
              <w:rPr>
                <w:rFonts w:ascii="Cambria Math" w:hAnsi="Cambria Math" w:cs="Cambria Math"/>
                <w:sz w:val="18"/>
                <w:szCs w:val="18"/>
              </w:rPr>
              <w:instrText>∼</w:instrText>
            </w:r>
            <w:r w:rsidR="00D27FDA">
              <w:rPr>
                <w:rFonts w:ascii="Arial" w:hAnsi="Arial" w:cs="Arial"/>
                <w:sz w:val="18"/>
                <w:szCs w:val="18"/>
              </w:rPr>
              <w:instrText>92 wt.%, on the raw biomass sample basis) at 1000 °C with big portions of H2 (38.02 vol.%) and CO (36.36 vol.%). Feedstock particle size showed an influence on the upgrading of H2, CO and CH4 yields. The feedstock particle size of 0.3-0.5 mm, was found to obtain a higher H2 yield (33.93 vol.%), and higher LHV of gas product (15.26 MJ/m3). Equivalence ratio (ER) showed a significant influence on the upgrading of hydrogen production and product distribution. The optimum ER (0.25) was found to attain a higher H2 yield (27.31 vol.%) at 850 °C. Due to the low efficiency of bench scale gasification unit the system needs to be scaling-up. The cost analysis for scale-up EFB gasification unit showed that the hydrogen supply cost is RM 6.70/kg EFB ($2.11/kg = $0.18/Nm3). © 2010 Elsevier Ltd. All rights reserved.","author":[{"dropping-particle":"","family":"Mohammed","given":"M. A.A.","non-dropping-particle":"","parse-names":false,"suffix":""},{"dropping-particle":"","family":"Salmiaton","given":"A.","non-dropping-particle":"","parse-names":false,"suffix":""},{"dropping-particle":"","family":"Wan Azlina","given":"W. A.K.G.","non-dropping-particle":"","parse-names":false,"suffix":""},{"dropping-particle":"","family":"Mohammad Amran","given":"M. S.","non-dropping-particle":"","parse-names":false,"suffix":""},{"dropping-particle":"","family":"Fakhru'L-Razi","given":"A.","non-dropping-particle":"","parse-names":false,"suffix":""}],"container-title":"Energy Conversion and Management","id":"ITEM-1","issue":"2","issued":{"date-parts":[["2011"]]},"page":"1555-1561","title":"Air gasification of empty fruit bunch for hydrogen-rich gas production in a fluidized-bed reactor","type":"article-journal","volume":"52"},"uris":["http://www.mendeley.com/documents/?uuid=187e821c-7831-4cc3-871c-237d7e662690"]}],"mendeley":{"formattedCitation":"(Mohammed et al., 2011)","manualFormatting":"(Mohammed, 2011)","plainTextFormattedCitation":"(Mohammed et al., 2011)","previouslyFormattedCitation":"(Mohammed et al., 2011)"},"properties":{"noteIndex":0},"schema":"https://github.com/citation-style-language/schema/raw/master/csl-citation.json"}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(Mohammed, 2011)</w:t>
            </w:r>
            <w:r w:rsidRPr="009445F0">
              <w:rPr>
                <w:rFonts w:ascii="Arial" w:hAnsi="Arial" w:cs="Arial"/>
                <w:sz w:val="18"/>
                <w:szCs w:val="18"/>
              </w:rPr>
              <w:fldChar w:fldCharType="end"/>
            </w:r>
          </w:p>
        </w:tc>
        <w:tc>
          <w:tcPr>
            <w:tcW w:w="778" w:type="pct"/>
            <w:tcBorders>
              <w:left w:val="single" w:sz="18" w:space="0" w:color="000000"/>
              <w:right w:val="single" w:sz="18" w:space="0" w:color="000000"/>
            </w:tcBorders>
            <w:vAlign w:val="center"/>
          </w:tcPr>
          <w:p w14:paraId="358A7BE8" w14:textId="77777777" w:rsidR="001268BC" w:rsidRPr="009445F0" w:rsidRDefault="001268BC" w:rsidP="009445F0">
            <w:pPr>
              <w:spacing w:line="276" w:lineRule="auto"/>
              <w:jc w:val="center"/>
              <w:rPr>
                <w:rFonts w:ascii="Arial" w:hAnsi="Arial" w:cs="Arial"/>
                <w:sz w:val="18"/>
                <w:szCs w:val="18"/>
              </w:rPr>
            </w:pPr>
            <w:proofErr w:type="spellStart"/>
            <w:r w:rsidRPr="009445F0">
              <w:rPr>
                <w:rFonts w:ascii="Arial" w:hAnsi="Arial" w:cs="Arial"/>
                <w:sz w:val="18"/>
                <w:szCs w:val="18"/>
              </w:rPr>
              <w:t>wt</w:t>
            </w:r>
            <w:proofErr w:type="spellEnd"/>
            <w:r w:rsidRPr="009445F0">
              <w:rPr>
                <w:rFonts w:ascii="Arial" w:hAnsi="Arial" w:cs="Arial"/>
                <w:sz w:val="18"/>
                <w:szCs w:val="18"/>
              </w:rPr>
              <w:t>%</w:t>
            </w:r>
          </w:p>
        </w:tc>
      </w:tr>
      <w:tr w:rsidR="001268BC" w:rsidRPr="009445F0" w14:paraId="25A95DB9" w14:textId="77777777" w:rsidTr="009445F0">
        <w:tc>
          <w:tcPr>
            <w:tcW w:w="2279" w:type="pct"/>
            <w:tcBorders>
              <w:left w:val="single" w:sz="18" w:space="0" w:color="000000"/>
              <w:right w:val="single" w:sz="18" w:space="0" w:color="000000"/>
            </w:tcBorders>
            <w:vAlign w:val="center"/>
          </w:tcPr>
          <w:p w14:paraId="14B539F8"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Heating Value of CO</w:t>
            </w:r>
          </w:p>
        </w:tc>
        <w:tc>
          <w:tcPr>
            <w:tcW w:w="944" w:type="pct"/>
            <w:tcBorders>
              <w:left w:val="single" w:sz="18" w:space="0" w:color="000000"/>
              <w:right w:val="single" w:sz="18" w:space="0" w:color="000000"/>
            </w:tcBorders>
            <w:vAlign w:val="center"/>
          </w:tcPr>
          <w:p w14:paraId="077D8EC0"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5.478</w:t>
            </w:r>
          </w:p>
          <w:p w14:paraId="76DA234E" w14:textId="65D72B1C"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Zajec","given":"Luka","non-dropping-particle":"","parse-names":false,"suffix":""}],"id":"ITEM-1","issued":{"date-parts":[["2009"]]},"number-of-pages":"1 - 66","publisher-place":"Iceland","title":"SLOW PYROLYSIS IN A ROTARY KILN REACTOR: OPTIMIZATION AND EXPERIMENTS","type":"report"},"uris":["http://www.mendeley.com/documents/?uuid=ec084d27-31ee-471b-ab63-87e2f05e16fe"]}],"mendeley":{"formattedCitation":"(Zajec, 2009)","plainTextFormattedCitation":"(Zajec, 2009)","previouslyFormattedCitation":"(Zajec, 2009)"},"properties":{"noteIndex":0},"schema":"https://github.com/citation-style-language/schema/raw/master/csl-citation.json"}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(Zajec, 2009)</w:t>
            </w:r>
            <w:r w:rsidRPr="009445F0">
              <w:rPr>
                <w:rFonts w:ascii="Arial" w:hAnsi="Arial" w:cs="Arial"/>
                <w:sz w:val="18"/>
                <w:szCs w:val="18"/>
              </w:rPr>
              <w:fldChar w:fldCharType="end"/>
            </w:r>
          </w:p>
        </w:tc>
        <w:tc>
          <w:tcPr>
            <w:tcW w:w="998" w:type="pct"/>
            <w:tcBorders>
              <w:left w:val="single" w:sz="18" w:space="0" w:color="000000"/>
              <w:right w:val="single" w:sz="18" w:space="0" w:color="000000"/>
            </w:tcBorders>
            <w:vAlign w:val="center"/>
          </w:tcPr>
          <w:p w14:paraId="29895316"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10.160</w:t>
            </w:r>
          </w:p>
          <w:p w14:paraId="14452E43" w14:textId="2BAEE5F3"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{"citationItems":[{"id":"ITEM-1","itemData":{"DOI":"10.1016/j.enconman.2010.10.023","ISSN":"01968904","abstract":"A study on gasification of empty fruit bunch (EFB), a waste of the palm oil industry, was investigated. The composition and particle size distribution of feedstock were determined and the thermal degradation behaviour was analysed by a thermogravimetric analysis (TGA). Then fluidized bed bench scale gasification unit was used to investigate the effect of the operating parameters on EFB air gasification namely reactor temperature in the range of 700-1000 °C, feedstock particle size in the range of 0.3-1.0 mm and equivalence ratio (ER) in the range of 0.15-0.35. The main gas species generated, as identified by a gas chromatography (GC), were H2, CO, CO2 and CH4. With temperature increasing from 700 °C to 1000 °C, the total gas yield was enhanced greatly and reached the maximum value (</w:instrText>
            </w:r>
            <w:r w:rsidR="00D27FDA">
              <w:rPr>
                <w:rFonts w:ascii="Cambria Math" w:hAnsi="Cambria Math" w:cs="Cambria Math"/>
                <w:sz w:val="18"/>
                <w:szCs w:val="18"/>
              </w:rPr>
              <w:instrText>∼</w:instrText>
            </w:r>
            <w:r w:rsidR="00D27FDA">
              <w:rPr>
                <w:rFonts w:ascii="Arial" w:hAnsi="Arial" w:cs="Arial"/>
                <w:sz w:val="18"/>
                <w:szCs w:val="18"/>
              </w:rPr>
              <w:instrText>92 wt.%, on the raw biomass sample basis) at 1000 °C with big portions of H2 (38.02 vol.%) and CO (36.36 vol.%). Feedstock particle size showed an influence on the upgrading of H2, CO and CH4 yields. The feedstock particle size of 0.3-0.5 mm, was found to obtain a higher H2 yield (33.93 vol.%), and higher LHV of gas product (15.26 MJ/m3). Equivalence ratio (ER) showed a significant influence on the upgrading of hydrogen production and product distribution. The optimum ER (0.25) was found to attain a higher H2 yield (27.31 vol.%) at 850 °C. Due to the low efficiency of bench scale gasification unit the system needs to be scaling-up. The cost analysis for scale-up EFB gasification unit showed that the hydrogen supply cost is RM 6.70/kg EFB ($2.11/kg = $0.18/Nm3). © 2010 Elsevier Ltd. All rights reserved.","author":[{"dropping-particle":"","family":"Mohammed","given":"M. A.A.","non-dropping-particle":"","parse-names":false,"suffix":""},{"dropping-particle":"","family":"Salmiaton","given":"A.","non-dropping-particle":"","parse-names":false,"suffix":""},{"dropping-particle":"","family":"Wan Azlina","given":"W. A.K.G.","non-dropping-particle":"","parse-names":false,"suffix":""},{"dropping-particle":"","family":"Mohammad Amran","given":"M. S.","non-dropping-particle":"","parse-names":false,"suffix":""},{"dropping-particle":"","family":"Fakhru'L-Razi","given":"A.","non-dropping-particle":"","parse-names":false,"suffix":""}],"container-title":"Energy Conversion and Management","id":"ITEM-1","issue":"2","issued":{"date-parts":[["2011"]]},"page":"1555-1561","title":"Air gasification of empty fruit bunch for hydrogen-rich gas production in a fluidized-bed reactor","type":"article-journal","volume":"52"},"uris":["http://www.mendeley.com/documents/?uuid=187e821c-7831-4cc3-871c-237d7e662690"]}],"mendeley":{"formattedCitation":"(Mohammed et al., 2011)","manualFormatting":"(Mohammed, 2011)","plainTextFormattedCitation":"(Mohammed et al., 2011)","previouslyFormattedCitation":"(Mohammed et al., 2011)"},"properties":{"noteIndex":0},"schema":"https://github.com/citation-style-language/schema/raw/master/csl-citation.json"}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(Mohammed, 2011)</w:t>
            </w:r>
            <w:r w:rsidRPr="009445F0">
              <w:rPr>
                <w:rFonts w:ascii="Arial" w:hAnsi="Arial" w:cs="Arial"/>
                <w:sz w:val="18"/>
                <w:szCs w:val="18"/>
              </w:rPr>
              <w:fldChar w:fldCharType="end"/>
            </w:r>
          </w:p>
        </w:tc>
        <w:tc>
          <w:tcPr>
            <w:tcW w:w="778" w:type="pct"/>
            <w:tcBorders>
              <w:left w:val="single" w:sz="18" w:space="0" w:color="000000"/>
              <w:right w:val="single" w:sz="18" w:space="0" w:color="000000"/>
            </w:tcBorders>
            <w:vAlign w:val="center"/>
          </w:tcPr>
          <w:p w14:paraId="3D0C8DD1"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MJ heat/kg CO</w:t>
            </w:r>
          </w:p>
        </w:tc>
      </w:tr>
      <w:tr w:rsidR="001268BC" w:rsidRPr="009445F0" w14:paraId="6562E00B" w14:textId="77777777" w:rsidTr="009445F0">
        <w:tc>
          <w:tcPr>
            <w:tcW w:w="2279" w:type="pct"/>
            <w:tcBorders>
              <w:left w:val="single" w:sz="18" w:space="0" w:color="000000"/>
              <w:right w:val="single" w:sz="18" w:space="0" w:color="000000"/>
            </w:tcBorders>
            <w:vAlign w:val="center"/>
          </w:tcPr>
          <w:p w14:paraId="6D7D5107"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Gas Engine Efficiency</w:t>
            </w:r>
          </w:p>
        </w:tc>
        <w:tc>
          <w:tcPr>
            <w:tcW w:w="944" w:type="pct"/>
            <w:tcBorders>
              <w:left w:val="single" w:sz="18" w:space="0" w:color="000000"/>
              <w:right w:val="single" w:sz="18" w:space="0" w:color="000000"/>
            </w:tcBorders>
            <w:vAlign w:val="center"/>
          </w:tcPr>
          <w:p w14:paraId="7B9A7D0A"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35</w:t>
            </w:r>
          </w:p>
          <w:p w14:paraId="70BBE071" w14:textId="0FF84149"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MacKay","given":"David","non-dropping-particle":"","parse-names":false,"suffix":""}],"id":"ITEM-1","issued":{"date-parts":[["2011"]]},"number-of-pages":"1 - 26","publisher-place":"UK","title":"Biomass Pyrolysis","type":"report"},"uris":["http://www.mendeley.com/documents/?uuid=65ee3e52-8264-4bfd-946d-df9561d39fb5"]}],"mendeley":{"formattedCitation":"(MacKay, 2011)","plainTextFormattedCitation":"(MacKay, 2011)","previouslyFormattedCitation":"(MacKay, 2011)"},"properties":{"noteIndex":0},"schema":"https://github.com/citation-style-language/schema/raw/master/csl-citation.json"}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(MacKay, 2011)</w:t>
            </w:r>
            <w:r w:rsidRPr="009445F0">
              <w:rPr>
                <w:rFonts w:ascii="Arial" w:hAnsi="Arial" w:cs="Arial"/>
                <w:sz w:val="18"/>
                <w:szCs w:val="18"/>
              </w:rPr>
              <w:fldChar w:fldCharType="end"/>
            </w:r>
          </w:p>
        </w:tc>
        <w:tc>
          <w:tcPr>
            <w:tcW w:w="998" w:type="pct"/>
            <w:tcBorders>
              <w:left w:val="single" w:sz="18" w:space="0" w:color="000000"/>
              <w:right w:val="single" w:sz="18" w:space="0" w:color="000000"/>
            </w:tcBorders>
            <w:vAlign w:val="center"/>
          </w:tcPr>
          <w:p w14:paraId="729E39F8"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30</w:t>
            </w:r>
          </w:p>
          <w:p w14:paraId="3B22E717" w14:textId="022F6110"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Ralph","given":"","non-dropping-particle":"","parse-names":false,"suffix":""}],"id":"ITEM-1","issued":{"date-parts":[["2007"]]},"number-of-pages":"1 - 61","publisher-place":"France","title":"Bioenergy Project Development &amp; Biomass Supply","type":"report"},"uris":["http://www.mendeley.com/documents/?uuid=53fcfc8c-8097-4a66-94a3-5e6eb2f8d835"]}],"mendeley":{"formattedCitation":"(Ralph, 2007)","plainTextFormattedCitation":"(Ralph, 2007)","previouslyFormattedCitation":"(Ralph, 2007)"},"properties":{"noteIndex":0},"schema":"https://github.com/citation-style-language/schema/raw/master/csl-citation.json"}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(Ralph, 2007)</w:t>
            </w:r>
            <w:r w:rsidRPr="009445F0">
              <w:rPr>
                <w:rFonts w:ascii="Arial" w:hAnsi="Arial" w:cs="Arial"/>
                <w:sz w:val="18"/>
                <w:szCs w:val="18"/>
              </w:rPr>
              <w:fldChar w:fldCharType="end"/>
            </w:r>
          </w:p>
        </w:tc>
        <w:tc>
          <w:tcPr>
            <w:tcW w:w="778" w:type="pct"/>
            <w:tcBorders>
              <w:left w:val="single" w:sz="18" w:space="0" w:color="000000"/>
              <w:right w:val="single" w:sz="18" w:space="0" w:color="000000"/>
            </w:tcBorders>
            <w:vAlign w:val="center"/>
          </w:tcPr>
          <w:p w14:paraId="45082AE8"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w:t>
            </w:r>
          </w:p>
        </w:tc>
      </w:tr>
      <w:tr w:rsidR="001268BC" w:rsidRPr="009445F0" w14:paraId="4227F2CC" w14:textId="77777777" w:rsidTr="009445F0">
        <w:tc>
          <w:tcPr>
            <w:tcW w:w="2279" w:type="pct"/>
            <w:tcBorders>
              <w:left w:val="single" w:sz="18" w:space="0" w:color="000000"/>
              <w:right w:val="single" w:sz="18" w:space="0" w:color="000000"/>
            </w:tcBorders>
            <w:vAlign w:val="center"/>
          </w:tcPr>
          <w:p w14:paraId="1D39F711"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Electricity Produced from CO</w:t>
            </w:r>
          </w:p>
        </w:tc>
        <w:tc>
          <w:tcPr>
            <w:tcW w:w="944" w:type="pct"/>
            <w:tcBorders>
              <w:left w:val="single" w:sz="18" w:space="0" w:color="000000"/>
              <w:right w:val="single" w:sz="18" w:space="0" w:color="000000"/>
            </w:tcBorders>
            <w:vAlign w:val="center"/>
          </w:tcPr>
          <w:p w14:paraId="53C7FE52"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3.556</w:t>
            </w:r>
          </w:p>
        </w:tc>
        <w:tc>
          <w:tcPr>
            <w:tcW w:w="998" w:type="pct"/>
            <w:tcBorders>
              <w:left w:val="single" w:sz="18" w:space="0" w:color="000000"/>
              <w:right w:val="single" w:sz="18" w:space="0" w:color="000000"/>
            </w:tcBorders>
            <w:vAlign w:val="center"/>
          </w:tcPr>
          <w:p w14:paraId="3A748401"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3.048</w:t>
            </w:r>
          </w:p>
        </w:tc>
        <w:tc>
          <w:tcPr>
            <w:tcW w:w="778" w:type="pct"/>
            <w:tcBorders>
              <w:left w:val="single" w:sz="18" w:space="0" w:color="000000"/>
              <w:right w:val="single" w:sz="18" w:space="0" w:color="000000"/>
            </w:tcBorders>
            <w:vAlign w:val="center"/>
          </w:tcPr>
          <w:p w14:paraId="22F8E9A4"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MW/kg CO</w:t>
            </w:r>
          </w:p>
        </w:tc>
      </w:tr>
      <w:tr w:rsidR="001268BC" w:rsidRPr="009445F0" w14:paraId="60315F56" w14:textId="77777777" w:rsidTr="009445F0">
        <w:tc>
          <w:tcPr>
            <w:tcW w:w="2279" w:type="pct"/>
            <w:tcBorders>
              <w:left w:val="single" w:sz="18" w:space="0" w:color="000000"/>
              <w:bottom w:val="single" w:sz="18" w:space="0" w:color="000000"/>
              <w:right w:val="single" w:sz="18" w:space="0" w:color="000000"/>
            </w:tcBorders>
            <w:vAlign w:val="center"/>
          </w:tcPr>
          <w:p w14:paraId="119A5B1F" w14:textId="2F5E1293"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Recovery of H</w:t>
            </w:r>
            <w:r w:rsidRPr="009445F0">
              <w:rPr>
                <w:rFonts w:ascii="Arial" w:hAnsi="Arial" w:cs="Arial"/>
                <w:sz w:val="18"/>
                <w:szCs w:val="18"/>
                <w:vertAlign w:val="subscript"/>
              </w:rPr>
              <w:t xml:space="preserve">2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{"citationItems":[{"id":"ITEM-1","itemData":{"author":[{"dropping-particle":"","family":"Logan","given":"Cordelia","non-dropping-particle":"","parse-names":false,"suffix":""}],"container-title":"National Research Council","id":"ITEM-1","issued":{"date-parts":[["2015"]]},"page":"1 - 47","title":"Membrane gas separation: Fundamentals and applications Giuseppe BARBIERI Institute on Membrane Technology (ITM-CNR), National Research Council","type":"webpage"},"uris":["http://www.mendeley.com/documents/?uuid=0156c450-8ebc-497d-933e-5f29e7a9059f"]}],"mendeley":{"formattedCitation":"(Logan, 2015)","plainTextFormattedCitation":"(Logan, 2015)","previouslyFormattedCitation":"(Logan, 2015)"},"properties":{"noteIndex":0},"schema":"https://github.com/citation-style-language/schema/raw/master/csl-citation.json"}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(Logan, 2015)</w:t>
            </w:r>
            <w:r w:rsidRPr="009445F0">
              <w:rPr>
                <w:rFonts w:ascii="Arial" w:hAnsi="Arial" w:cs="Arial"/>
                <w:sz w:val="18"/>
                <w:szCs w:val="18"/>
              </w:rPr>
              <w:fldChar w:fldCharType="end"/>
            </w:r>
          </w:p>
        </w:tc>
        <w:tc>
          <w:tcPr>
            <w:tcW w:w="1943" w:type="pct"/>
            <w:gridSpan w:val="2"/>
            <w:tcBorders>
              <w:left w:val="single" w:sz="18" w:space="0" w:color="000000"/>
              <w:bottom w:val="single" w:sz="18" w:space="0" w:color="000000"/>
              <w:right w:val="single" w:sz="18" w:space="0" w:color="000000"/>
            </w:tcBorders>
            <w:vAlign w:val="center"/>
          </w:tcPr>
          <w:p w14:paraId="69A67406"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95</w:t>
            </w:r>
          </w:p>
        </w:tc>
        <w:tc>
          <w:tcPr>
            <w:tcW w:w="778" w:type="pct"/>
            <w:tcBorders>
              <w:left w:val="single" w:sz="18" w:space="0" w:color="000000"/>
              <w:bottom w:val="single" w:sz="18" w:space="0" w:color="000000"/>
              <w:right w:val="single" w:sz="18" w:space="0" w:color="000000"/>
            </w:tcBorders>
            <w:vAlign w:val="center"/>
          </w:tcPr>
          <w:p w14:paraId="31BDFA20"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w:t>
            </w:r>
          </w:p>
        </w:tc>
      </w:tr>
    </w:tbl>
    <w:p w14:paraId="0818DA6C" w14:textId="77777777" w:rsidR="009445F0" w:rsidRDefault="009445F0" w:rsidP="00D508E9">
      <w:pPr>
        <w:spacing w:after="0" w:line="360" w:lineRule="auto"/>
        <w:jc w:val="center"/>
        <w:rPr>
          <w:rFonts w:ascii="Arial" w:hAnsi="Arial" w:cs="Arial"/>
          <w:b/>
          <w:bCs/>
          <w:sz w:val="18"/>
          <w:szCs w:val="18"/>
          <w:lang w:val="en-US"/>
        </w:rPr>
      </w:pPr>
    </w:p>
    <w:p w14:paraId="5C8735AC" w14:textId="6BDBAC72" w:rsidR="009445F0" w:rsidRPr="00D508E9" w:rsidRDefault="001268BC" w:rsidP="00D508E9">
      <w:pPr>
        <w:spacing w:after="0" w:line="360" w:lineRule="auto"/>
        <w:jc w:val="center"/>
        <w:rPr>
          <w:rFonts w:ascii="Arial" w:hAnsi="Arial" w:cs="Arial"/>
          <w:i/>
          <w:iCs/>
          <w:sz w:val="18"/>
          <w:szCs w:val="18"/>
        </w:rPr>
      </w:pPr>
      <w:r w:rsidRPr="009445F0">
        <w:rPr>
          <w:rFonts w:ascii="Arial" w:hAnsi="Arial" w:cs="Arial"/>
          <w:b/>
          <w:bCs/>
          <w:i/>
          <w:iCs/>
          <w:sz w:val="18"/>
          <w:szCs w:val="18"/>
          <w:lang w:val="en-US"/>
        </w:rPr>
        <w:t xml:space="preserve">Table </w:t>
      </w:r>
      <w:r w:rsidR="0088659A">
        <w:rPr>
          <w:rFonts w:ascii="Arial" w:hAnsi="Arial" w:cs="Arial"/>
          <w:b/>
          <w:bCs/>
          <w:i/>
          <w:iCs/>
          <w:sz w:val="18"/>
          <w:szCs w:val="18"/>
          <w:lang w:val="en-US"/>
        </w:rPr>
        <w:t>A</w:t>
      </w:r>
      <w:r w:rsidRPr="009445F0">
        <w:rPr>
          <w:rFonts w:ascii="Arial" w:hAnsi="Arial" w:cs="Arial"/>
          <w:b/>
          <w:bCs/>
          <w:i/>
          <w:iCs/>
          <w:sz w:val="18"/>
          <w:szCs w:val="18"/>
          <w:lang w:val="en-US"/>
        </w:rPr>
        <w:t xml:space="preserve">10: </w:t>
      </w:r>
      <w:r w:rsidRPr="009445F0">
        <w:rPr>
          <w:rFonts w:ascii="Arial" w:hAnsi="Arial" w:cs="Arial"/>
          <w:i/>
          <w:iCs/>
          <w:sz w:val="18"/>
          <w:szCs w:val="18"/>
          <w:lang w:val="en-US"/>
        </w:rPr>
        <w:t xml:space="preserve">Detailed Information for Anaerobic Digestion of POME  </w:t>
      </w:r>
      <w:r w:rsidRPr="009445F0">
        <w:rPr>
          <w:rFonts w:ascii="Arial" w:hAnsi="Arial" w:cs="Arial"/>
          <w:i/>
          <w:iCs/>
          <w:sz w:val="18"/>
          <w:szCs w:val="18"/>
        </w:rPr>
        <w:t xml:space="preserve"> </w:t>
      </w:r>
    </w:p>
    <w:tbl>
      <w:tblPr>
        <w:tblStyle w:val="TableGrid"/>
        <w:tblW w:w="5000" w:type="pct"/>
        <w:tblInd w:w="0" w:type="dxa"/>
        <w:tblLook w:val="04A0" w:firstRow="1" w:lastRow="0" w:firstColumn="1" w:lastColumn="0" w:noHBand="0" w:noVBand="1"/>
      </w:tblPr>
      <w:tblGrid>
        <w:gridCol w:w="4733"/>
        <w:gridCol w:w="3000"/>
        <w:gridCol w:w="2313"/>
      </w:tblGrid>
      <w:tr w:rsidR="001268BC" w:rsidRPr="009445F0" w14:paraId="6F1F27D9" w14:textId="77777777" w:rsidTr="000E579C">
        <w:tc>
          <w:tcPr>
            <w:tcW w:w="2356" w:type="pct"/>
            <w:tcBorders>
              <w:top w:val="single" w:sz="18" w:space="0" w:color="000000"/>
              <w:left w:val="single" w:sz="18" w:space="0" w:color="000000"/>
              <w:bottom w:val="single" w:sz="18" w:space="0" w:color="000000"/>
              <w:right w:val="single" w:sz="18" w:space="0" w:color="000000"/>
            </w:tcBorders>
            <w:shd w:val="clear" w:color="auto" w:fill="A8FFB1"/>
            <w:vAlign w:val="center"/>
          </w:tcPr>
          <w:p w14:paraId="4B2D5088"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Parameter</w:t>
            </w:r>
          </w:p>
        </w:tc>
        <w:tc>
          <w:tcPr>
            <w:tcW w:w="1493" w:type="pct"/>
            <w:tcBorders>
              <w:top w:val="single" w:sz="18" w:space="0" w:color="000000"/>
              <w:left w:val="single" w:sz="18" w:space="0" w:color="000000"/>
              <w:bottom w:val="single" w:sz="18" w:space="0" w:color="000000"/>
              <w:right w:val="single" w:sz="18" w:space="0" w:color="000000"/>
            </w:tcBorders>
            <w:shd w:val="clear" w:color="auto" w:fill="A8FFB1"/>
            <w:vAlign w:val="center"/>
          </w:tcPr>
          <w:p w14:paraId="247744BB"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Value</w:t>
            </w:r>
          </w:p>
        </w:tc>
        <w:tc>
          <w:tcPr>
            <w:tcW w:w="1151" w:type="pct"/>
            <w:tcBorders>
              <w:top w:val="single" w:sz="18" w:space="0" w:color="000000"/>
              <w:left w:val="single" w:sz="18" w:space="0" w:color="000000"/>
              <w:bottom w:val="single" w:sz="18" w:space="0" w:color="000000"/>
              <w:right w:val="single" w:sz="18" w:space="0" w:color="000000"/>
            </w:tcBorders>
            <w:shd w:val="clear" w:color="auto" w:fill="A8FFB1"/>
            <w:vAlign w:val="center"/>
          </w:tcPr>
          <w:p w14:paraId="0E946CD0"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Unit</w:t>
            </w:r>
          </w:p>
        </w:tc>
      </w:tr>
      <w:tr w:rsidR="001268BC" w:rsidRPr="009445F0" w14:paraId="0E90ADDB" w14:textId="77777777" w:rsidTr="000E579C">
        <w:tc>
          <w:tcPr>
            <w:tcW w:w="2356" w:type="pct"/>
            <w:tcBorders>
              <w:top w:val="single" w:sz="18" w:space="0" w:color="000000"/>
              <w:left w:val="single" w:sz="18" w:space="0" w:color="000000"/>
              <w:right w:val="single" w:sz="18" w:space="0" w:color="000000"/>
            </w:tcBorders>
            <w:vAlign w:val="center"/>
          </w:tcPr>
          <w:p w14:paraId="1948AA31" w14:textId="54307795"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COD of POME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{"citationItems":[{"id":"ITEM-1","itemData":{"DOI":"10.1063/1.5027941","author":[{"dropping-particle":"","family":"Aziz","given":"Nur Izzah Hamna A.","non-dropping-particle":"","parse-names":false,"suffix":""},{"dropping-particle":"","family":"Hanafiah","given":"Marlia M.","non-dropping-particle":"","parse-names":false,"suffix":""}],"id":"ITEM-1","issued":{"date-parts":[["2018"]]},"page":"020026","title":"Anaerobic digestion of palm oil mill effluent (POME) using bio-methane potential (BMP) test","type":"paper-conference"},"uris":["http://www.mendeley.com/documents/?uuid=8d2cd0a8-6f6c-4701-9516-6c22cc42651f"]}],"mendeley":{"formattedCitation":"(Aziz and Hanafiah, 2018)","manualFormatting":"(Aziz, 2018)","plainTextFormattedCitation":"(Aziz and Hanafiah, 2018)","previouslyFormattedCitation":"(Aziz and Hanafiah, 2018)"},"properties":{"noteIndex":0},"schema":"https://github.com/citation-style-language/schema/raw/master/csl-citation.json"}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(Aziz, 2018)</w:t>
            </w:r>
            <w:r w:rsidRPr="009445F0">
              <w:rPr>
                <w:rFonts w:ascii="Arial" w:hAnsi="Arial" w:cs="Arial"/>
                <w:sz w:val="18"/>
                <w:szCs w:val="18"/>
              </w:rPr>
              <w:fldChar w:fldCharType="end"/>
            </w:r>
          </w:p>
        </w:tc>
        <w:tc>
          <w:tcPr>
            <w:tcW w:w="1493" w:type="pct"/>
            <w:tcBorders>
              <w:top w:val="single" w:sz="18" w:space="0" w:color="000000"/>
              <w:left w:val="single" w:sz="18" w:space="0" w:color="000000"/>
              <w:right w:val="single" w:sz="18" w:space="0" w:color="000000"/>
            </w:tcBorders>
            <w:vAlign w:val="center"/>
          </w:tcPr>
          <w:p w14:paraId="13B5E51B"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40,667</w:t>
            </w:r>
          </w:p>
        </w:tc>
        <w:tc>
          <w:tcPr>
            <w:tcW w:w="1151" w:type="pct"/>
            <w:tcBorders>
              <w:top w:val="single" w:sz="18" w:space="0" w:color="000000"/>
              <w:left w:val="single" w:sz="18" w:space="0" w:color="000000"/>
              <w:right w:val="single" w:sz="18" w:space="0" w:color="000000"/>
            </w:tcBorders>
            <w:vAlign w:val="center"/>
          </w:tcPr>
          <w:p w14:paraId="44230557"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mg/L</w:t>
            </w:r>
          </w:p>
        </w:tc>
      </w:tr>
      <w:tr w:rsidR="001268BC" w:rsidRPr="009445F0" w14:paraId="6D07754B" w14:textId="77777777" w:rsidTr="000E579C">
        <w:tc>
          <w:tcPr>
            <w:tcW w:w="2356" w:type="pct"/>
            <w:tcBorders>
              <w:left w:val="single" w:sz="18" w:space="0" w:color="000000"/>
              <w:right w:val="single" w:sz="18" w:space="0" w:color="000000"/>
            </w:tcBorders>
            <w:vAlign w:val="center"/>
          </w:tcPr>
          <w:p w14:paraId="5F6A5677" w14:textId="75345C3A"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Conversion from POME to Biogas (BG)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{"citationItems":[{"id":"ITEM-1","itemData":{"DOI":"10.1063/1.5027941","author":[{"dropping-particle":"","family":"Aziz","given":"Nur Izzah Hamna A.","non-dropping-particle":"","parse-names":false,"suffix":""},{"dropping-particle":"","family":"Hanafiah","given":"Marlia M.","non-dropping-particle":"","parse-names":false,"suffix":""}],"id":"ITEM-1","issued":{"date-parts":[["2018"]]},"page":"020026","title":"Anaerobic digestion of palm oil mill effluent (POME) using bio-methane potential (BMP) test","type":"paper-conference"},"uris":["http://www.mendeley.com/documents/?uuid=8d2cd0a8-6f6c-4701-9516-6c22cc42651f"]}],"mendeley":{"formattedCitation":"(Aziz and Hanafiah, 2018)","manualFormatting":"(Aziz, 2018)","plainTextFormattedCitation":"(Aziz and Hanafiah, 2018)","previouslyFormattedCitation":"(Aziz and Hanafiah, 2018)"},"properties":{"noteIndex":0},"schema":"https://github.com/citation-style-language/schema/raw/master/csl-citation.json"}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(Aziz, 2018)</w:t>
            </w:r>
            <w:r w:rsidRPr="009445F0">
              <w:rPr>
                <w:rFonts w:ascii="Arial" w:hAnsi="Arial" w:cs="Arial"/>
                <w:sz w:val="18"/>
                <w:szCs w:val="18"/>
              </w:rPr>
              <w:fldChar w:fldCharType="end"/>
            </w:r>
          </w:p>
        </w:tc>
        <w:tc>
          <w:tcPr>
            <w:tcW w:w="1493" w:type="pct"/>
            <w:tcBorders>
              <w:left w:val="single" w:sz="18" w:space="0" w:color="000000"/>
              <w:right w:val="single" w:sz="18" w:space="0" w:color="000000"/>
            </w:tcBorders>
            <w:vAlign w:val="center"/>
          </w:tcPr>
          <w:p w14:paraId="0D83FE02"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0.0314</w:t>
            </w:r>
          </w:p>
        </w:tc>
        <w:tc>
          <w:tcPr>
            <w:tcW w:w="1151" w:type="pct"/>
            <w:tcBorders>
              <w:left w:val="single" w:sz="18" w:space="0" w:color="000000"/>
              <w:right w:val="single" w:sz="18" w:space="0" w:color="000000"/>
            </w:tcBorders>
            <w:vAlign w:val="center"/>
          </w:tcPr>
          <w:p w14:paraId="1BB43FFC"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kg BG/kg POME</w:t>
            </w:r>
          </w:p>
        </w:tc>
      </w:tr>
      <w:tr w:rsidR="001268BC" w:rsidRPr="009445F0" w14:paraId="358C45D8" w14:textId="77777777" w:rsidTr="000E579C">
        <w:tc>
          <w:tcPr>
            <w:tcW w:w="2356" w:type="pct"/>
            <w:tcBorders>
              <w:left w:val="single" w:sz="18" w:space="0" w:color="000000"/>
              <w:right w:val="single" w:sz="18" w:space="0" w:color="000000"/>
            </w:tcBorders>
            <w:vAlign w:val="center"/>
          </w:tcPr>
          <w:p w14:paraId="522BBAC7" w14:textId="0FBAF2CD"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Heat Content of POME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{"citationItems":[{"id":"ITEM-1","itemData":{"DOI":"10.15376/biores.8.1.1166-1185","ISSN":"1930-2126","author":[{"dropping-particle":"","family":"Protásio","given":"Thiago De Paula","non-dropping-particle":"","parse-names":false,"suffix":""},{"dropping-particle":"","family":"Bufalino","given":"Lina","non-dropping-particle":"","parse-names":false,"suffix":""},{"dropping-particle":"","family":"Tonoli","given":"Gustavo Henrique Denzin","non-dropping-particle":"","parse-names":false,"suffix":""},{"dropping-particle":"","family":"Guimarães Junior","given":"Mario","non-dropping-particle":"","parse-names":false,"suffix":""},{"dropping-particle":"","family":"Trugilho","given":"Paulo Fernando","non-dropping-particle":"","parse-names":false,"suffix":""},{"dropping-particle":"","family":"Mendes","given":"Lourival Marin","non-dropping-particle":"","parse-names":false,"suffix":""}],"container-title":"BioResources","id":"ITEM-1","issue":"1","issued":{"date-parts":[["2013","1"]]},"title":"Brazilian Lignocellulosic Wastes for Bioenergy Production: Characterization and Comparison with Fossil Fuels","type":"article-journal","volume":"8"},"uris":["http://www.mendeley.com/documents/?uuid=acd2f367-577c-4db0-99d6-60c31657de53"]}],"mendeley":{"formattedCitation":"(Protásio et al., 2013)","manualFormatting":"(Protásio, 2013)","plainTextFormattedCitation":"(Protásio et al., 2013)","previouslyFormattedCitation":"(Protásio et al., 2013)"},"properties":{"noteIndex":0},"schema":"https://github.com/citation-style-language/schema/raw/master/csl-citation.json"}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(Protásio, 2013)</w:t>
            </w:r>
            <w:r w:rsidRPr="009445F0">
              <w:rPr>
                <w:rFonts w:ascii="Arial" w:hAnsi="Arial" w:cs="Arial"/>
                <w:sz w:val="18"/>
                <w:szCs w:val="18"/>
              </w:rPr>
              <w:fldChar w:fldCharType="end"/>
            </w:r>
          </w:p>
        </w:tc>
        <w:tc>
          <w:tcPr>
            <w:tcW w:w="1493" w:type="pct"/>
            <w:tcBorders>
              <w:left w:val="single" w:sz="18" w:space="0" w:color="000000"/>
              <w:right w:val="single" w:sz="18" w:space="0" w:color="000000"/>
            </w:tcBorders>
            <w:vAlign w:val="center"/>
          </w:tcPr>
          <w:p w14:paraId="72A939EF"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1,275.374</w:t>
            </w:r>
          </w:p>
        </w:tc>
        <w:tc>
          <w:tcPr>
            <w:tcW w:w="1151" w:type="pct"/>
            <w:tcBorders>
              <w:left w:val="single" w:sz="18" w:space="0" w:color="000000"/>
              <w:right w:val="single" w:sz="18" w:space="0" w:color="000000"/>
            </w:tcBorders>
            <w:vAlign w:val="center"/>
          </w:tcPr>
          <w:p w14:paraId="61207744"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MJ heat/kg POME</w:t>
            </w:r>
          </w:p>
        </w:tc>
      </w:tr>
      <w:tr w:rsidR="001268BC" w:rsidRPr="009445F0" w14:paraId="61375FA7" w14:textId="77777777" w:rsidTr="000E579C">
        <w:tc>
          <w:tcPr>
            <w:tcW w:w="2356" w:type="pct"/>
            <w:tcBorders>
              <w:left w:val="single" w:sz="18" w:space="0" w:color="000000"/>
              <w:right w:val="single" w:sz="18" w:space="0" w:color="000000"/>
            </w:tcBorders>
            <w:vAlign w:val="center"/>
          </w:tcPr>
          <w:p w14:paraId="616036A6" w14:textId="60A47445"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Heating Value of Methane (CH</w:t>
            </w:r>
            <w:r w:rsidRPr="009445F0">
              <w:rPr>
                <w:rFonts w:ascii="Arial" w:hAnsi="Arial" w:cs="Arial"/>
                <w:sz w:val="18"/>
                <w:szCs w:val="18"/>
                <w:vertAlign w:val="subscript"/>
              </w:rPr>
              <w:t>4</w:t>
            </w:r>
            <w:r w:rsidRPr="009445F0">
              <w:rPr>
                <w:rFonts w:ascii="Arial" w:hAnsi="Arial" w:cs="Arial"/>
                <w:sz w:val="18"/>
                <w:szCs w:val="18"/>
              </w:rPr>
              <w:t xml:space="preserve">)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{"citationItems":[{"id":"ITEM-1","itemData":{"DOI":"10.33736/jaspe.1711.2019","ISSN":"2289-7771","abstract":"The aim of this research is to optimize Biogas production from palm oil mill effluent (POME) with organic loading rate (OLR), carbon-to-nitrogen (C / N) ratio and pH using anaerobic processes. This study explores the potential of POME in anaerobic digestion with the perspective to develop a constructive process to treat POME and it can significantly contribute to biogas production. Design of Experiment (DoE) is used to determine the inputs (OLR, C/N, pH) for conducting research to achieve outputs (biogas production). Based on Central Composite Design (CCD), 5 levels of inputs for pH, C/N, and OLR are obtained. The findings of data analysis from Response Surface Methodology (RSM) shows that pH of 6.9, C/N of 30, and OLR of 6 VSS g/L.d have contributed to obtaining 3.8 L/day biogas production from POME. Treating POME anaerobically has proven to be successful because it is value-effective and environmentally friendly. The consequences of the research outcome in terms of environmental pollution are huge. The study suggests implementing a pilot scale study for producing required data is needed in developing economic scale POME treatment plant.","author":[{"dropping-particle":"","family":"Shakib","given":"Nazmus","non-dropping-particle":"","parse-names":false,"suffix":""},{"dropping-particle":"","family":"Rashid","given":"Mamunur","non-dropping-particle":"","parse-names":false,"suffix":""}],"container-title":"Journal of Applied Science &amp; Process Engineering","id":"ITEM-1","issue":"2","issued":{"date-parts":[["2019","10"]]},"page":"369-377","title":"Biogas Production Optimization from POME by Using Anaerobic Digestion Process","type":"article-journal","volume":"6"},"uris":["http://www.mendeley.com/documents/?uuid=c5baf030-6f10-464a-8fba-dc9c3019592d"]}],"mendeley":{"formattedCitation":"(Shakib and Rashid, 2019)","manualFormatting":"(Shakib, 2019)","plainTextFormattedCitation":"(Shakib and Rashid, 2019)","previouslyFormattedCitation":"(Shakib and Rashid, 2019)"},"properties":{"noteIndex":0},"schema":"https://github.com/citation-style-language/schema/raw/master/csl-citation.json"}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(Shakib, 2019)</w:t>
            </w:r>
            <w:r w:rsidRPr="009445F0">
              <w:rPr>
                <w:rFonts w:ascii="Arial" w:hAnsi="Arial" w:cs="Arial"/>
                <w:sz w:val="18"/>
                <w:szCs w:val="18"/>
              </w:rPr>
              <w:fldChar w:fldCharType="end"/>
            </w:r>
          </w:p>
        </w:tc>
        <w:tc>
          <w:tcPr>
            <w:tcW w:w="1493" w:type="pct"/>
            <w:tcBorders>
              <w:left w:val="single" w:sz="18" w:space="0" w:color="000000"/>
              <w:right w:val="single" w:sz="18" w:space="0" w:color="000000"/>
            </w:tcBorders>
            <w:vAlign w:val="center"/>
          </w:tcPr>
          <w:p w14:paraId="431D6D93"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55.384</w:t>
            </w:r>
          </w:p>
        </w:tc>
        <w:tc>
          <w:tcPr>
            <w:tcW w:w="1151" w:type="pct"/>
            <w:tcBorders>
              <w:left w:val="single" w:sz="18" w:space="0" w:color="000000"/>
              <w:right w:val="single" w:sz="18" w:space="0" w:color="000000"/>
            </w:tcBorders>
            <w:vAlign w:val="center"/>
          </w:tcPr>
          <w:p w14:paraId="5B017020"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MJ heat/kg CH</w:t>
            </w:r>
            <w:r w:rsidRPr="009445F0">
              <w:rPr>
                <w:rFonts w:ascii="Arial" w:hAnsi="Arial" w:cs="Arial"/>
                <w:sz w:val="18"/>
                <w:szCs w:val="18"/>
                <w:vertAlign w:val="subscript"/>
              </w:rPr>
              <w:t>4</w:t>
            </w:r>
          </w:p>
        </w:tc>
      </w:tr>
      <w:tr w:rsidR="001268BC" w:rsidRPr="009445F0" w14:paraId="59B66008" w14:textId="77777777" w:rsidTr="000E579C">
        <w:tc>
          <w:tcPr>
            <w:tcW w:w="2356" w:type="pct"/>
            <w:tcBorders>
              <w:left w:val="single" w:sz="18" w:space="0" w:color="000000"/>
              <w:right w:val="single" w:sz="18" w:space="0" w:color="000000"/>
            </w:tcBorders>
            <w:vAlign w:val="center"/>
          </w:tcPr>
          <w:p w14:paraId="245D7651" w14:textId="40163AF5"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Composition of CH</w:t>
            </w:r>
            <w:r w:rsidRPr="009445F0">
              <w:rPr>
                <w:rFonts w:ascii="Arial" w:hAnsi="Arial" w:cs="Arial"/>
                <w:sz w:val="18"/>
                <w:szCs w:val="18"/>
                <w:vertAlign w:val="subscript"/>
              </w:rPr>
              <w:t xml:space="preserve">4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{"citationItems":[{"id":"ITEM-1","itemData":{"DOI":"10.33736/jaspe.1711.2019","ISSN":"2289-7771","abstract":"The aim of this research is to optimize Biogas production from palm oil mill effluent (POME) with organic loading rate (OLR), carbon-to-nitrogen (C / N) ratio and pH using anaerobic processes. This study explores the potential of POME in anaerobic digestion with the perspective to develop a constructive process to treat POME and it can significantly contribute to biogas production. Design of Experiment (DoE) is used to determine the inputs (OLR, C/N, pH) for conducting research to achieve outputs (biogas production). Based on Central Composite Design (CCD), 5 levels of inputs for pH, C/N, and OLR are obtained. The findings of data analysis from Response Surface Methodology (RSM) shows that pH of 6.9, C/N of 30, and OLR of 6 VSS g/L.d have contributed to obtaining 3.8 L/day biogas production from POME. Treating POME anaerobically has proven to be successful because it is value-effective and environmentally friendly. The consequences of the research outcome in terms of environmental pollution are huge. The study suggests implementing a pilot scale study for producing required data is needed in developing economic scale POME treatment plant.","author":[{"dropping-particle":"","family":"Shakib","given":"Nazmus","non-dropping-particle":"","parse-names":false,"suffix":""},{"dropping-particle":"","family":"Rashid","given":"Mamunur","non-dropping-particle":"","parse-names":false,"suffix":""}],"container-title":"Journal of Applied Science &amp; Process Engineering","id":"ITEM-1","issue":"2","issued":{"date-parts":[["2019","10"]]},"page":"369-377","title":"Biogas Production Optimization from POME by Using Anaerobic Digestion Process","type":"article-journal","volume":"6"},"uris":["http://www.mendeley.com/documents/?uuid=c5baf030-6f10-464a-8fba-dc9c3019592d"]}],"mendeley":{"formattedCitation":"(Shakib and Rashid, 2019)","manualFormatting":"(Shakib, 2019)","plainTextFormattedCitation":"(Shakib and Rashid, 2019)","previouslyFormattedCitation":"(Shakib and Rashid, 2019)"},"properties":{"noteIndex":0},"schema":"https://github.com/citation-style-language/schema/raw/master/csl-citation.json"}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(Shakib, 2019)</w:t>
            </w:r>
            <w:r w:rsidRPr="009445F0">
              <w:rPr>
                <w:rFonts w:ascii="Arial" w:hAnsi="Arial" w:cs="Arial"/>
                <w:sz w:val="18"/>
                <w:szCs w:val="18"/>
              </w:rPr>
              <w:fldChar w:fldCharType="end"/>
            </w:r>
          </w:p>
        </w:tc>
        <w:tc>
          <w:tcPr>
            <w:tcW w:w="1493" w:type="pct"/>
            <w:tcBorders>
              <w:left w:val="single" w:sz="18" w:space="0" w:color="000000"/>
              <w:right w:val="single" w:sz="18" w:space="0" w:color="000000"/>
            </w:tcBorders>
            <w:vAlign w:val="center"/>
          </w:tcPr>
          <w:p w14:paraId="3090C370"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65</w:t>
            </w:r>
          </w:p>
        </w:tc>
        <w:tc>
          <w:tcPr>
            <w:tcW w:w="1151" w:type="pct"/>
            <w:tcBorders>
              <w:left w:val="single" w:sz="18" w:space="0" w:color="000000"/>
              <w:right w:val="single" w:sz="18" w:space="0" w:color="000000"/>
            </w:tcBorders>
            <w:vAlign w:val="center"/>
          </w:tcPr>
          <w:p w14:paraId="3CA67A80"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w:t>
            </w:r>
          </w:p>
        </w:tc>
      </w:tr>
      <w:tr w:rsidR="001268BC" w:rsidRPr="009445F0" w14:paraId="52AD00C5" w14:textId="77777777" w:rsidTr="000E579C">
        <w:tc>
          <w:tcPr>
            <w:tcW w:w="2356" w:type="pct"/>
            <w:tcBorders>
              <w:left w:val="single" w:sz="18" w:space="0" w:color="000000"/>
              <w:right w:val="single" w:sz="18" w:space="0" w:color="000000"/>
            </w:tcBorders>
            <w:vAlign w:val="center"/>
          </w:tcPr>
          <w:p w14:paraId="448F0373" w14:textId="5D75FE2D"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Heating Value of BG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{"citationItems":[{"id":"ITEM-1","itemData":{"DOI":"10.33736/jaspe.1711.2019","ISSN":"2289-7771","abstract":"The aim of this research is to optimize Biogas production from palm oil mill effluent (POME) with organic loading rate (OLR), carbon-to-nitrogen (C / N) ratio and pH using anaerobic processes. This study explores the potential of POME in anaerobic digestion with the perspective to develop a constructive process to treat POME and it can significantly contribute to biogas production. Design of Experiment (DoE) is used to determine the inputs (OLR, C/N, pH) for conducting research to achieve outputs (biogas production). Based on Central Composite Design (CCD), 5 levels of inputs for pH, C/N, and OLR are obtained. The findings of data analysis from Response Surface Methodology (RSM) shows that pH of 6.9, C/N of 30, and OLR of 6 VSS g/L.d have contributed to obtaining 3.8 L/day biogas production from POME. Treating POME anaerobically has proven to be successful because it is value-effective and environmentally friendly. The consequences of the research outcome in terms of environmental pollution are huge. The study suggests implementing a pilot scale study for producing required data is needed in developing economic scale POME treatment plant.","author":[{"dropping-particle":"","family":"Shakib","given":"Nazmus","non-dropping-particle":"","parse-names":false,"suffix":""},{"dropping-particle":"","family":"Rashid","given":"Mamunur","non-dropping-particle":"","parse-names":false,"suffix":""}],"container-title":"Journal of Applied Science &amp; Process Engineering","id":"ITEM-1","issue":"2","issued":{"date-parts":[["2019","10"]]},"page":"369-377","title":"Biogas Production Optimization from POME by Using Anaerobic Digestion Process","type":"article-journal","volume":"6"},"uris":["http://www.mendeley.com/documents/?uuid=c5baf030-6f10-464a-8fba-dc9c3019592d"]}],"mendeley":{"formattedCitation":"(Shakib and Rashid, 2019)","manualFormatting":"(Shakib, 2019)","plainTextFormattedCitation":"(Shakib and Rashid, 2019)","previouslyFormattedCitation":"(Shakib and Rashid, 2019)"},"properties":{"noteIndex":0},"schema":"https://github.com/citation-style-language/schema/raw/master/csl-citation.json"}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(Shakib, 2019)</w:t>
            </w:r>
            <w:r w:rsidRPr="009445F0">
              <w:rPr>
                <w:rFonts w:ascii="Arial" w:hAnsi="Arial" w:cs="Arial"/>
                <w:sz w:val="18"/>
                <w:szCs w:val="18"/>
              </w:rPr>
              <w:fldChar w:fldCharType="end"/>
            </w:r>
          </w:p>
        </w:tc>
        <w:tc>
          <w:tcPr>
            <w:tcW w:w="1493" w:type="pct"/>
            <w:tcBorders>
              <w:left w:val="single" w:sz="18" w:space="0" w:color="000000"/>
              <w:right w:val="single" w:sz="18" w:space="0" w:color="000000"/>
            </w:tcBorders>
            <w:vAlign w:val="center"/>
          </w:tcPr>
          <w:p w14:paraId="3D8425E0"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36.000</w:t>
            </w:r>
          </w:p>
        </w:tc>
        <w:tc>
          <w:tcPr>
            <w:tcW w:w="1151" w:type="pct"/>
            <w:tcBorders>
              <w:left w:val="single" w:sz="18" w:space="0" w:color="000000"/>
              <w:right w:val="single" w:sz="18" w:space="0" w:color="000000"/>
            </w:tcBorders>
            <w:vAlign w:val="center"/>
          </w:tcPr>
          <w:p w14:paraId="11ADC6B6"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MJ heat/kg BG</w:t>
            </w:r>
          </w:p>
        </w:tc>
      </w:tr>
      <w:tr w:rsidR="001268BC" w:rsidRPr="009445F0" w14:paraId="62C635C6" w14:textId="77777777" w:rsidTr="000E579C">
        <w:tc>
          <w:tcPr>
            <w:tcW w:w="2356" w:type="pct"/>
            <w:tcBorders>
              <w:left w:val="single" w:sz="18" w:space="0" w:color="000000"/>
              <w:right w:val="single" w:sz="18" w:space="0" w:color="000000"/>
            </w:tcBorders>
            <w:vAlign w:val="center"/>
          </w:tcPr>
          <w:p w14:paraId="52035870" w14:textId="5C784F9B"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Gas Engine Efficiency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{"citationItems":[{"id":"ITEM-1","itemData":{"DOI":"10.1016/j.rser.2018.07.057","ISSN":"13640321","author":[{"dropping-particle":"","family":"Beegle","given":"Jeffrey R.","non-dropping-particle":"","parse-names":false,"suffix":""},{"dropping-particle":"","family":"Borole","given":"Abhijeet P.","non-dropping-particle":"","parse-names":false,"suffix":""}],"container-title":"Renewable and Sustainable Energy Reviews","id":"ITEM-1","issued":{"date-parts":[["2018","11"]]},"page":"343-351","title":"Energy production from waste: Evaluation of anaerobic digestion and bioelectrochemical systems based on energy efficiency and economic factors","type":"article-journal","volume":"96"},"uris":["http://www.mendeley.com/documents/?uuid=a61a35dd-eb8e-45cc-8a02-c5eb2303f3ff"]}],"mendeley":{"formattedCitation":"(Beegle and Borole, 2018)","manualFormatting":"(Beegle, 2018)","plainTextFormattedCitation":"(Beegle and Borole, 2018)","previouslyFormattedCitation":"(Beegle and Borole, 2018)"},"properties":{"noteIndex":0},"schema":"https://github.com/citation-style-language/schema/raw/master/csl-citation.json"}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(Beegle, 2018)</w:t>
            </w:r>
            <w:r w:rsidRPr="009445F0">
              <w:rPr>
                <w:rFonts w:ascii="Arial" w:hAnsi="Arial" w:cs="Arial"/>
                <w:sz w:val="18"/>
                <w:szCs w:val="18"/>
              </w:rPr>
              <w:fldChar w:fldCharType="end"/>
            </w:r>
          </w:p>
        </w:tc>
        <w:tc>
          <w:tcPr>
            <w:tcW w:w="1493" w:type="pct"/>
            <w:tcBorders>
              <w:left w:val="single" w:sz="18" w:space="0" w:color="000000"/>
              <w:right w:val="single" w:sz="18" w:space="0" w:color="000000"/>
            </w:tcBorders>
            <w:vAlign w:val="center"/>
          </w:tcPr>
          <w:p w14:paraId="6564967A"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38</w:t>
            </w:r>
          </w:p>
        </w:tc>
        <w:tc>
          <w:tcPr>
            <w:tcW w:w="1151" w:type="pct"/>
            <w:tcBorders>
              <w:left w:val="single" w:sz="18" w:space="0" w:color="000000"/>
              <w:right w:val="single" w:sz="18" w:space="0" w:color="000000"/>
            </w:tcBorders>
            <w:vAlign w:val="center"/>
          </w:tcPr>
          <w:p w14:paraId="5EEDC5B2"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w:t>
            </w:r>
          </w:p>
        </w:tc>
      </w:tr>
      <w:tr w:rsidR="001268BC" w:rsidRPr="009445F0" w14:paraId="35F64717" w14:textId="77777777" w:rsidTr="000E579C">
        <w:tc>
          <w:tcPr>
            <w:tcW w:w="2356" w:type="pct"/>
            <w:tcBorders>
              <w:left w:val="single" w:sz="18" w:space="0" w:color="000000"/>
              <w:bottom w:val="single" w:sz="18" w:space="0" w:color="000000"/>
              <w:right w:val="single" w:sz="18" w:space="0" w:color="000000"/>
            </w:tcBorders>
            <w:vAlign w:val="center"/>
          </w:tcPr>
          <w:p w14:paraId="6909CD49"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Electricity Produced from BG</w:t>
            </w:r>
          </w:p>
        </w:tc>
        <w:tc>
          <w:tcPr>
            <w:tcW w:w="1493" w:type="pct"/>
            <w:tcBorders>
              <w:left w:val="single" w:sz="18" w:space="0" w:color="000000"/>
              <w:bottom w:val="single" w:sz="18" w:space="0" w:color="000000"/>
              <w:right w:val="single" w:sz="18" w:space="0" w:color="000000"/>
            </w:tcBorders>
            <w:vAlign w:val="center"/>
          </w:tcPr>
          <w:p w14:paraId="381559FD"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13.680</w:t>
            </w:r>
          </w:p>
        </w:tc>
        <w:tc>
          <w:tcPr>
            <w:tcW w:w="1151" w:type="pct"/>
            <w:tcBorders>
              <w:left w:val="single" w:sz="18" w:space="0" w:color="000000"/>
              <w:bottom w:val="single" w:sz="18" w:space="0" w:color="000000"/>
              <w:right w:val="single" w:sz="18" w:space="0" w:color="000000"/>
            </w:tcBorders>
            <w:vAlign w:val="center"/>
          </w:tcPr>
          <w:p w14:paraId="262A0B0A"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MW/kg BG</w:t>
            </w:r>
          </w:p>
        </w:tc>
      </w:tr>
    </w:tbl>
    <w:p w14:paraId="441209A2" w14:textId="77777777" w:rsidR="001268BC" w:rsidRPr="009445F0" w:rsidRDefault="001268BC" w:rsidP="00D508E9">
      <w:pPr>
        <w:spacing w:after="0" w:line="360" w:lineRule="auto"/>
        <w:rPr>
          <w:rFonts w:ascii="Arial" w:hAnsi="Arial" w:cs="Arial"/>
          <w:sz w:val="18"/>
          <w:szCs w:val="18"/>
        </w:rPr>
      </w:pPr>
    </w:p>
    <w:p w14:paraId="3DAE7EBC" w14:textId="6A469A9A" w:rsidR="009445F0" w:rsidRPr="00D508E9" w:rsidRDefault="001268BC" w:rsidP="00D508E9">
      <w:pPr>
        <w:spacing w:after="0" w:line="360" w:lineRule="auto"/>
        <w:jc w:val="center"/>
        <w:rPr>
          <w:rFonts w:ascii="Arial" w:hAnsi="Arial" w:cs="Arial"/>
          <w:i/>
          <w:iCs/>
          <w:sz w:val="18"/>
          <w:szCs w:val="18"/>
        </w:rPr>
      </w:pPr>
      <w:r w:rsidRPr="009445F0">
        <w:rPr>
          <w:rFonts w:ascii="Arial" w:hAnsi="Arial" w:cs="Arial"/>
          <w:b/>
          <w:bCs/>
          <w:i/>
          <w:iCs/>
          <w:sz w:val="18"/>
          <w:szCs w:val="18"/>
          <w:lang w:val="en-US"/>
        </w:rPr>
        <w:t xml:space="preserve">Table </w:t>
      </w:r>
      <w:r w:rsidR="0088659A">
        <w:rPr>
          <w:rFonts w:ascii="Arial" w:hAnsi="Arial" w:cs="Arial"/>
          <w:b/>
          <w:bCs/>
          <w:i/>
          <w:iCs/>
          <w:sz w:val="18"/>
          <w:szCs w:val="18"/>
          <w:lang w:val="en-US"/>
        </w:rPr>
        <w:t>A</w:t>
      </w:r>
      <w:r w:rsidRPr="009445F0">
        <w:rPr>
          <w:rFonts w:ascii="Arial" w:hAnsi="Arial" w:cs="Arial"/>
          <w:b/>
          <w:bCs/>
          <w:i/>
          <w:iCs/>
          <w:sz w:val="18"/>
          <w:szCs w:val="18"/>
          <w:lang w:val="en-US"/>
        </w:rPr>
        <w:t xml:space="preserve">11: </w:t>
      </w:r>
      <w:r w:rsidRPr="009445F0">
        <w:rPr>
          <w:rFonts w:ascii="Arial" w:hAnsi="Arial" w:cs="Arial"/>
          <w:i/>
          <w:iCs/>
          <w:sz w:val="18"/>
          <w:szCs w:val="18"/>
          <w:lang w:val="en-US"/>
        </w:rPr>
        <w:t>Detailed Information for DFMEC</w:t>
      </w:r>
      <w:r w:rsidRPr="009445F0">
        <w:rPr>
          <w:rFonts w:ascii="Arial" w:hAnsi="Arial" w:cs="Arial"/>
          <w:b/>
          <w:bCs/>
          <w:i/>
          <w:iCs/>
          <w:sz w:val="18"/>
          <w:szCs w:val="18"/>
          <w:lang w:val="en-US"/>
        </w:rPr>
        <w:t xml:space="preserve">  </w:t>
      </w:r>
      <w:r w:rsidRPr="009445F0">
        <w:rPr>
          <w:rFonts w:ascii="Arial" w:hAnsi="Arial" w:cs="Arial"/>
          <w:i/>
          <w:iCs/>
          <w:sz w:val="18"/>
          <w:szCs w:val="18"/>
        </w:rPr>
        <w:t xml:space="preserve"> </w:t>
      </w:r>
    </w:p>
    <w:tbl>
      <w:tblPr>
        <w:tblStyle w:val="TableGrid"/>
        <w:tblW w:w="5000" w:type="pct"/>
        <w:tblInd w:w="0" w:type="dxa"/>
        <w:tblLook w:val="04A0" w:firstRow="1" w:lastRow="0" w:firstColumn="1" w:lastColumn="0" w:noHBand="0" w:noVBand="1"/>
      </w:tblPr>
      <w:tblGrid>
        <w:gridCol w:w="3785"/>
        <w:gridCol w:w="1895"/>
        <w:gridCol w:w="2053"/>
        <w:gridCol w:w="2313"/>
      </w:tblGrid>
      <w:tr w:rsidR="001268BC" w:rsidRPr="009445F0" w14:paraId="2231EC8E" w14:textId="77777777" w:rsidTr="000E579C">
        <w:tc>
          <w:tcPr>
            <w:tcW w:w="1884" w:type="pct"/>
            <w:tcBorders>
              <w:top w:val="single" w:sz="18" w:space="0" w:color="000000"/>
              <w:left w:val="single" w:sz="18" w:space="0" w:color="000000"/>
              <w:bottom w:val="single" w:sz="18" w:space="0" w:color="000000"/>
              <w:right w:val="single" w:sz="18" w:space="0" w:color="000000"/>
            </w:tcBorders>
            <w:shd w:val="clear" w:color="auto" w:fill="A8FFB1"/>
            <w:vAlign w:val="center"/>
          </w:tcPr>
          <w:p w14:paraId="73ADCEEB"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Parameter</w:t>
            </w:r>
          </w:p>
        </w:tc>
        <w:tc>
          <w:tcPr>
            <w:tcW w:w="943" w:type="pct"/>
            <w:tcBorders>
              <w:top w:val="single" w:sz="18" w:space="0" w:color="000000"/>
              <w:left w:val="single" w:sz="18" w:space="0" w:color="000000"/>
              <w:bottom w:val="single" w:sz="18" w:space="0" w:color="000000"/>
              <w:right w:val="single" w:sz="18" w:space="0" w:color="000000"/>
            </w:tcBorders>
            <w:shd w:val="clear" w:color="auto" w:fill="A8FFB1"/>
            <w:vAlign w:val="center"/>
          </w:tcPr>
          <w:p w14:paraId="6DE80AE0"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DF</w:t>
            </w:r>
          </w:p>
        </w:tc>
        <w:tc>
          <w:tcPr>
            <w:tcW w:w="1022" w:type="pct"/>
            <w:tcBorders>
              <w:top w:val="single" w:sz="18" w:space="0" w:color="000000"/>
              <w:left w:val="single" w:sz="18" w:space="0" w:color="000000"/>
              <w:bottom w:val="single" w:sz="18" w:space="0" w:color="000000"/>
              <w:right w:val="single" w:sz="18" w:space="0" w:color="000000"/>
            </w:tcBorders>
            <w:shd w:val="clear" w:color="auto" w:fill="A8FFB1"/>
            <w:vAlign w:val="center"/>
          </w:tcPr>
          <w:p w14:paraId="79F62DBB"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MEC</w:t>
            </w:r>
          </w:p>
        </w:tc>
        <w:tc>
          <w:tcPr>
            <w:tcW w:w="1151" w:type="pct"/>
            <w:tcBorders>
              <w:top w:val="single" w:sz="18" w:space="0" w:color="000000"/>
              <w:left w:val="single" w:sz="18" w:space="0" w:color="000000"/>
              <w:bottom w:val="single" w:sz="12" w:space="0" w:color="000000"/>
              <w:right w:val="single" w:sz="18" w:space="0" w:color="000000"/>
            </w:tcBorders>
            <w:shd w:val="clear" w:color="auto" w:fill="A8FFB1"/>
            <w:vAlign w:val="center"/>
          </w:tcPr>
          <w:p w14:paraId="74455099"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Unit</w:t>
            </w:r>
          </w:p>
        </w:tc>
      </w:tr>
      <w:tr w:rsidR="001268BC" w:rsidRPr="009445F0" w14:paraId="2CAB3021" w14:textId="77777777" w:rsidTr="000E579C">
        <w:tc>
          <w:tcPr>
            <w:tcW w:w="1884" w:type="pct"/>
            <w:tcBorders>
              <w:top w:val="single" w:sz="18" w:space="0" w:color="000000"/>
              <w:left w:val="single" w:sz="18" w:space="0" w:color="000000"/>
              <w:right w:val="single" w:sz="18" w:space="0" w:color="000000"/>
            </w:tcBorders>
            <w:vAlign w:val="center"/>
          </w:tcPr>
          <w:p w14:paraId="704CB782" w14:textId="342FB1FA"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Density of POME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{"citationItems":[{"id":"ITEM-1","itemData":{"DOI":"10.1016/j.proeng.2013.02.002","ISSN":"18777058","author":[{"dropping-particle":"","family":"Ali","given":"Eman N.","non-dropping-particle":"","parse-names":false,"suffix":""},{"dropping-particle":"","family":"Tay","given":"Cadence Isis","non-dropping-particle":"","parse-names":false,"suffix":""}],"container-title":"Procedia Engineering","id":"ITEM-1","issued":{"date-parts":[["2013"]]},"page":"7-12","title":"Characterization of Biodiesel Produced from Palm Oil via Base Catalyzed Transesterification","type":"article-journal","volume":"53"},"uris":["http://www.mendeley.com/documents/?uuid=c5809cbf-b5fd-4302-8c35-0dbf8c54d9b9"]}],"mendeley":{"formattedCitation":"(Ali and Tay, 2013)","manualFormatting":"(Ali, 2013)","plainTextFormattedCitation":"(Ali and Tay, 2013)","previouslyFormattedCitation":"(Ali and Tay, 2013)"},"properties":{"noteIndex":0},"schema":"https://github.com/citation-style-language/schema/raw/master/csl-citation.json"}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(Ali, 2013)</w:t>
            </w:r>
            <w:r w:rsidRPr="009445F0">
              <w:rPr>
                <w:rFonts w:ascii="Arial" w:hAnsi="Arial" w:cs="Arial"/>
                <w:sz w:val="18"/>
                <w:szCs w:val="18"/>
              </w:rPr>
              <w:fldChar w:fldCharType="end"/>
            </w:r>
          </w:p>
        </w:tc>
        <w:tc>
          <w:tcPr>
            <w:tcW w:w="1965" w:type="pct"/>
            <w:gridSpan w:val="2"/>
            <w:tcBorders>
              <w:top w:val="single" w:sz="18" w:space="0" w:color="000000"/>
              <w:left w:val="single" w:sz="18" w:space="0" w:color="000000"/>
              <w:right w:val="single" w:sz="18" w:space="0" w:color="000000"/>
            </w:tcBorders>
            <w:vAlign w:val="center"/>
          </w:tcPr>
          <w:p w14:paraId="4A28F1B5"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876</w:t>
            </w:r>
          </w:p>
        </w:tc>
        <w:tc>
          <w:tcPr>
            <w:tcW w:w="1151" w:type="pct"/>
            <w:tcBorders>
              <w:top w:val="single" w:sz="18" w:space="0" w:color="000000"/>
              <w:left w:val="single" w:sz="18" w:space="0" w:color="000000"/>
              <w:right w:val="single" w:sz="18" w:space="0" w:color="000000"/>
            </w:tcBorders>
            <w:vAlign w:val="center"/>
          </w:tcPr>
          <w:p w14:paraId="1FCD93C8"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g/litre</w:t>
            </w:r>
          </w:p>
        </w:tc>
      </w:tr>
      <w:tr w:rsidR="001268BC" w:rsidRPr="009445F0" w14:paraId="6F7CC845" w14:textId="77777777" w:rsidTr="000E579C">
        <w:tc>
          <w:tcPr>
            <w:tcW w:w="1884" w:type="pct"/>
            <w:tcBorders>
              <w:left w:val="single" w:sz="18" w:space="0" w:color="000000"/>
              <w:right w:val="single" w:sz="18" w:space="0" w:color="000000"/>
            </w:tcBorders>
            <w:vAlign w:val="center"/>
          </w:tcPr>
          <w:p w14:paraId="3E623EFA" w14:textId="4537824E"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COD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{"citationItems":[{"id":"ITEM-1","itemData":{"DOI":"10.1016/j.proeng.2013.02.002","ISSN":"18777058","author":[{"dropping-particle":"","family":"Ali","given":"Eman N.","non-dropping-particle":"","parse-names":false,"suffix":""},{"dropping-particle":"","family":"Tay","given":"Cadence Isis","non-dropping-particle":"","parse-names":false,"suffix":""}],"container-title":"Procedia Engineering","id":"ITEM-1","issued":{"date-parts":[["2013"]]},"page":"7-12","title":"Characterization of Biodiesel Produced from Palm Oil via Base Catalyzed Transesterification","type":"article-journal","volume":"53"},"uris":["http://www.mendeley.com/documents/?uuid=c5809cbf-b5fd-4302-8c35-0dbf8c54d9b9"]}],"mendeley":{"formattedCitation":"(Ali and Tay, 2013)","manualFormatting":"(Ali, 2013)","plainTextFormattedCitation":"(Ali and Tay, 2013)","previouslyFormattedCitation":"(Ali and Tay, 2013)"},"properties":{"noteIndex":0},"schema":"https://github.com/citation-style-language/schema/raw/master/csl-citation.json"}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(Ali, 2013)</w:t>
            </w:r>
            <w:r w:rsidRPr="009445F0">
              <w:rPr>
                <w:rFonts w:ascii="Arial" w:hAnsi="Arial" w:cs="Arial"/>
                <w:sz w:val="18"/>
                <w:szCs w:val="18"/>
              </w:rPr>
              <w:fldChar w:fldCharType="end"/>
            </w:r>
          </w:p>
        </w:tc>
        <w:tc>
          <w:tcPr>
            <w:tcW w:w="943" w:type="pct"/>
            <w:tcBorders>
              <w:left w:val="single" w:sz="18" w:space="0" w:color="000000"/>
              <w:right w:val="single" w:sz="18" w:space="0" w:color="000000"/>
            </w:tcBorders>
            <w:vAlign w:val="center"/>
          </w:tcPr>
          <w:p w14:paraId="5A16C041"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82.911</w:t>
            </w:r>
          </w:p>
        </w:tc>
        <w:tc>
          <w:tcPr>
            <w:tcW w:w="1022" w:type="pct"/>
            <w:tcBorders>
              <w:left w:val="single" w:sz="18" w:space="0" w:color="000000"/>
              <w:right w:val="single" w:sz="18" w:space="0" w:color="000000"/>
            </w:tcBorders>
            <w:vAlign w:val="center"/>
          </w:tcPr>
          <w:p w14:paraId="35DA69BC"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61.183</w:t>
            </w:r>
          </w:p>
        </w:tc>
        <w:tc>
          <w:tcPr>
            <w:tcW w:w="1151" w:type="pct"/>
            <w:tcBorders>
              <w:left w:val="single" w:sz="18" w:space="0" w:color="000000"/>
              <w:right w:val="single" w:sz="18" w:space="0" w:color="000000"/>
            </w:tcBorders>
            <w:vAlign w:val="center"/>
          </w:tcPr>
          <w:p w14:paraId="17172F43"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g COD/litre POME</w:t>
            </w:r>
          </w:p>
        </w:tc>
      </w:tr>
      <w:tr w:rsidR="001268BC" w:rsidRPr="009445F0" w14:paraId="043EF844" w14:textId="77777777" w:rsidTr="000E579C">
        <w:tc>
          <w:tcPr>
            <w:tcW w:w="1884" w:type="pct"/>
            <w:tcBorders>
              <w:left w:val="single" w:sz="18" w:space="0" w:color="000000"/>
              <w:right w:val="single" w:sz="18" w:space="0" w:color="000000"/>
            </w:tcBorders>
            <w:vAlign w:val="center"/>
          </w:tcPr>
          <w:p w14:paraId="211C0258" w14:textId="0F0836E6"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Density of H</w:t>
            </w:r>
            <w:r w:rsidRPr="009445F0">
              <w:rPr>
                <w:rFonts w:ascii="Arial" w:hAnsi="Arial" w:cs="Arial"/>
                <w:sz w:val="18"/>
                <w:szCs w:val="18"/>
                <w:vertAlign w:val="subscript"/>
              </w:rPr>
              <w:t xml:space="preserve">2 </w:t>
            </w:r>
            <w:r w:rsidRPr="009445F0">
              <w:rPr>
                <w:rFonts w:ascii="Arial" w:hAnsi="Arial" w:cs="Arial"/>
                <w:sz w:val="18"/>
                <w:szCs w:val="18"/>
                <w:vertAlign w:val="subscript"/>
              </w:rPr>
              <w:fldChar w:fldCharType="begin" w:fldLock="1"/>
            </w:r>
            <w:r w:rsidR="00D27FDA">
              <w:rPr>
                <w:rFonts w:ascii="Arial" w:hAnsi="Arial" w:cs="Arial"/>
                <w:sz w:val="18"/>
                <w:szCs w:val="18"/>
                <w:vertAlign w:val="subscript"/>
              </w:rPr>
              <w:instrText>ADDIN CSL_CITATION {"citationItems":[{"id":"ITEM-1","itemData":{"author":[{"dropping-particle":"","family":"Portal","given":"","non-dropping-particle":"","parse-names":false,"suffix":""}],"container-title":"Pacific Northwest National Laboratory","id":"ITEM-1","issued":{"date-parts":[["2021"]]},"title":"Basic Hydrogen Properties","type":"webpage"},"uris":["http://www.mendeley.com/documents/?uuid=e0c74847-d063-45e6-aca4-9d611d8dbe9f"]}],"mendeley":{"formattedCitation":"(Portal, 2021)","plainTextFormattedCitation":"(Portal, 2021)","previouslyFormattedCitation":"(Portal, 2021)"},"properties":{"noteIndex":0},"schema":"https://github.com/citation-style-language/schema/raw/master/csl-citation.json"}</w:instrText>
            </w:r>
            <w:r w:rsidRPr="009445F0">
              <w:rPr>
                <w:rFonts w:ascii="Arial" w:hAnsi="Arial" w:cs="Arial"/>
                <w:sz w:val="18"/>
                <w:szCs w:val="18"/>
                <w:vertAlign w:val="subscript"/>
              </w:rPr>
              <w:fldChar w:fldCharType="separate"/>
            </w:r>
            <w:r w:rsidRPr="009445F0">
              <w:rPr>
                <w:rFonts w:ascii="Arial" w:hAnsi="Arial" w:cs="Arial"/>
                <w:noProof/>
                <w:sz w:val="18"/>
                <w:szCs w:val="18"/>
              </w:rPr>
              <w:t>(Portal, 2021)</w:t>
            </w:r>
            <w:r w:rsidRPr="009445F0">
              <w:rPr>
                <w:rFonts w:ascii="Arial" w:hAnsi="Arial" w:cs="Arial"/>
                <w:sz w:val="18"/>
                <w:szCs w:val="18"/>
                <w:vertAlign w:val="subscript"/>
              </w:rPr>
              <w:fldChar w:fldCharType="end"/>
            </w:r>
          </w:p>
        </w:tc>
        <w:tc>
          <w:tcPr>
            <w:tcW w:w="1965" w:type="pct"/>
            <w:gridSpan w:val="2"/>
            <w:tcBorders>
              <w:left w:val="single" w:sz="18" w:space="0" w:color="000000"/>
              <w:right w:val="single" w:sz="18" w:space="0" w:color="000000"/>
            </w:tcBorders>
            <w:vAlign w:val="center"/>
          </w:tcPr>
          <w:p w14:paraId="4A92A670"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0.0899</w:t>
            </w:r>
          </w:p>
        </w:tc>
        <w:tc>
          <w:tcPr>
            <w:tcW w:w="1151" w:type="pct"/>
            <w:tcBorders>
              <w:left w:val="single" w:sz="18" w:space="0" w:color="000000"/>
              <w:right w:val="single" w:sz="18" w:space="0" w:color="000000"/>
            </w:tcBorders>
            <w:vAlign w:val="center"/>
          </w:tcPr>
          <w:p w14:paraId="7707E090"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g/litre</w:t>
            </w:r>
          </w:p>
        </w:tc>
      </w:tr>
      <w:tr w:rsidR="001268BC" w:rsidRPr="009445F0" w14:paraId="67872BE6" w14:textId="77777777" w:rsidTr="000E579C">
        <w:tc>
          <w:tcPr>
            <w:tcW w:w="1884" w:type="pct"/>
            <w:tcBorders>
              <w:left w:val="single" w:sz="18" w:space="0" w:color="000000"/>
              <w:right w:val="single" w:sz="18" w:space="0" w:color="000000"/>
            </w:tcBorders>
            <w:vAlign w:val="center"/>
          </w:tcPr>
          <w:p w14:paraId="7EC6F73B"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Yield of H</w:t>
            </w:r>
            <w:r w:rsidRPr="009445F0">
              <w:rPr>
                <w:rFonts w:ascii="Arial" w:hAnsi="Arial" w:cs="Arial"/>
                <w:sz w:val="18"/>
                <w:szCs w:val="18"/>
                <w:vertAlign w:val="subscript"/>
              </w:rPr>
              <w:t>2</w:t>
            </w:r>
            <w:r w:rsidRPr="009445F0">
              <w:rPr>
                <w:rFonts w:ascii="Arial" w:hAnsi="Arial" w:cs="Arial"/>
                <w:sz w:val="18"/>
                <w:szCs w:val="18"/>
              </w:rPr>
              <w:t xml:space="preserve"> from COD</w:t>
            </w:r>
          </w:p>
        </w:tc>
        <w:tc>
          <w:tcPr>
            <w:tcW w:w="943" w:type="pct"/>
            <w:tcBorders>
              <w:left w:val="single" w:sz="18" w:space="0" w:color="000000"/>
              <w:right w:val="single" w:sz="18" w:space="0" w:color="000000"/>
            </w:tcBorders>
            <w:vAlign w:val="center"/>
          </w:tcPr>
          <w:p w14:paraId="32078AEB"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0.007</w:t>
            </w:r>
          </w:p>
        </w:tc>
        <w:tc>
          <w:tcPr>
            <w:tcW w:w="1022" w:type="pct"/>
            <w:tcBorders>
              <w:left w:val="single" w:sz="18" w:space="0" w:color="000000"/>
              <w:right w:val="single" w:sz="18" w:space="0" w:color="000000"/>
            </w:tcBorders>
            <w:vAlign w:val="center"/>
          </w:tcPr>
          <w:p w14:paraId="66693635"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0.015</w:t>
            </w:r>
          </w:p>
        </w:tc>
        <w:tc>
          <w:tcPr>
            <w:tcW w:w="1151" w:type="pct"/>
            <w:tcBorders>
              <w:left w:val="single" w:sz="18" w:space="0" w:color="000000"/>
              <w:right w:val="single" w:sz="18" w:space="0" w:color="000000"/>
            </w:tcBorders>
            <w:vAlign w:val="center"/>
          </w:tcPr>
          <w:p w14:paraId="6D516B1D"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g H</w:t>
            </w:r>
            <w:r w:rsidRPr="009445F0">
              <w:rPr>
                <w:rFonts w:ascii="Arial" w:hAnsi="Arial" w:cs="Arial"/>
                <w:sz w:val="18"/>
                <w:szCs w:val="18"/>
                <w:vertAlign w:val="subscript"/>
              </w:rPr>
              <w:t>2</w:t>
            </w:r>
            <w:r w:rsidRPr="009445F0">
              <w:rPr>
                <w:rFonts w:ascii="Arial" w:hAnsi="Arial" w:cs="Arial"/>
                <w:sz w:val="18"/>
                <w:szCs w:val="18"/>
              </w:rPr>
              <w:t>/g COD</w:t>
            </w:r>
          </w:p>
        </w:tc>
      </w:tr>
      <w:tr w:rsidR="001268BC" w:rsidRPr="009445F0" w14:paraId="3972E721" w14:textId="77777777" w:rsidTr="000E579C">
        <w:tc>
          <w:tcPr>
            <w:tcW w:w="1884" w:type="pct"/>
            <w:tcBorders>
              <w:left w:val="single" w:sz="18" w:space="0" w:color="000000"/>
              <w:bottom w:val="single" w:sz="18" w:space="0" w:color="000000"/>
              <w:right w:val="single" w:sz="18" w:space="0" w:color="000000"/>
            </w:tcBorders>
            <w:vAlign w:val="center"/>
          </w:tcPr>
          <w:p w14:paraId="47ABF3D7"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Yield of H</w:t>
            </w:r>
            <w:r w:rsidRPr="009445F0">
              <w:rPr>
                <w:rFonts w:ascii="Arial" w:hAnsi="Arial" w:cs="Arial"/>
                <w:sz w:val="18"/>
                <w:szCs w:val="18"/>
                <w:vertAlign w:val="subscript"/>
              </w:rPr>
              <w:t>2</w:t>
            </w:r>
            <w:r w:rsidRPr="009445F0">
              <w:rPr>
                <w:rFonts w:ascii="Arial" w:hAnsi="Arial" w:cs="Arial"/>
                <w:sz w:val="18"/>
                <w:szCs w:val="18"/>
              </w:rPr>
              <w:t xml:space="preserve"> from POME</w:t>
            </w:r>
          </w:p>
        </w:tc>
        <w:tc>
          <w:tcPr>
            <w:tcW w:w="943" w:type="pct"/>
            <w:tcBorders>
              <w:left w:val="single" w:sz="18" w:space="0" w:color="000000"/>
              <w:bottom w:val="single" w:sz="18" w:space="0" w:color="000000"/>
              <w:right w:val="single" w:sz="18" w:space="0" w:color="000000"/>
            </w:tcBorders>
            <w:vAlign w:val="center"/>
          </w:tcPr>
          <w:p w14:paraId="2AB65E6A"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0.621</w:t>
            </w:r>
          </w:p>
        </w:tc>
        <w:tc>
          <w:tcPr>
            <w:tcW w:w="1022" w:type="pct"/>
            <w:tcBorders>
              <w:left w:val="single" w:sz="18" w:space="0" w:color="000000"/>
              <w:bottom w:val="single" w:sz="18" w:space="0" w:color="000000"/>
              <w:right w:val="single" w:sz="18" w:space="0" w:color="000000"/>
            </w:tcBorders>
            <w:vAlign w:val="center"/>
          </w:tcPr>
          <w:p w14:paraId="3150E425"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1.023</w:t>
            </w:r>
          </w:p>
        </w:tc>
        <w:tc>
          <w:tcPr>
            <w:tcW w:w="1151" w:type="pct"/>
            <w:tcBorders>
              <w:left w:val="single" w:sz="18" w:space="0" w:color="000000"/>
              <w:bottom w:val="single" w:sz="18" w:space="0" w:color="000000"/>
              <w:right w:val="single" w:sz="18" w:space="0" w:color="000000"/>
            </w:tcBorders>
            <w:vAlign w:val="center"/>
          </w:tcPr>
          <w:p w14:paraId="074D3EE7"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kg H</w:t>
            </w:r>
            <w:r w:rsidRPr="009445F0">
              <w:rPr>
                <w:rFonts w:ascii="Arial" w:hAnsi="Arial" w:cs="Arial"/>
                <w:sz w:val="18"/>
                <w:szCs w:val="18"/>
                <w:vertAlign w:val="subscript"/>
              </w:rPr>
              <w:t>2</w:t>
            </w:r>
            <w:r w:rsidRPr="009445F0">
              <w:rPr>
                <w:rFonts w:ascii="Arial" w:hAnsi="Arial" w:cs="Arial"/>
                <w:sz w:val="18"/>
                <w:szCs w:val="18"/>
              </w:rPr>
              <w:t>/kg POME</w:t>
            </w:r>
          </w:p>
        </w:tc>
      </w:tr>
    </w:tbl>
    <w:p w14:paraId="0819B435" w14:textId="77777777" w:rsidR="001268BC" w:rsidRPr="009445F0" w:rsidRDefault="001268BC" w:rsidP="00D508E9">
      <w:pPr>
        <w:spacing w:after="0" w:line="360" w:lineRule="auto"/>
        <w:rPr>
          <w:rFonts w:ascii="Arial" w:hAnsi="Arial" w:cs="Arial"/>
          <w:sz w:val="18"/>
          <w:szCs w:val="18"/>
        </w:rPr>
      </w:pPr>
    </w:p>
    <w:p w14:paraId="0C0A9675" w14:textId="77777777" w:rsidR="00875DD1" w:rsidRDefault="00875DD1">
      <w:pPr>
        <w:rPr>
          <w:rFonts w:ascii="Arial" w:hAnsi="Arial" w:cs="Arial"/>
          <w:b/>
          <w:bCs/>
          <w:i/>
          <w:iCs/>
          <w:sz w:val="18"/>
          <w:szCs w:val="18"/>
          <w:lang w:val="en-US"/>
        </w:rPr>
      </w:pPr>
      <w:r>
        <w:rPr>
          <w:rFonts w:ascii="Arial" w:hAnsi="Arial" w:cs="Arial"/>
          <w:b/>
          <w:bCs/>
          <w:i/>
          <w:iCs/>
          <w:sz w:val="18"/>
          <w:szCs w:val="18"/>
          <w:lang w:val="en-US"/>
        </w:rPr>
        <w:br w:type="page"/>
      </w:r>
    </w:p>
    <w:p w14:paraId="167D7AFF" w14:textId="10B50842" w:rsidR="009445F0" w:rsidRPr="00D508E9" w:rsidRDefault="001268BC" w:rsidP="00D508E9">
      <w:pPr>
        <w:spacing w:after="0" w:line="360" w:lineRule="auto"/>
        <w:jc w:val="center"/>
        <w:rPr>
          <w:rFonts w:ascii="Arial" w:hAnsi="Arial" w:cs="Arial"/>
          <w:i/>
          <w:iCs/>
          <w:sz w:val="18"/>
          <w:szCs w:val="18"/>
        </w:rPr>
      </w:pPr>
      <w:r w:rsidRPr="009445F0">
        <w:rPr>
          <w:rFonts w:ascii="Arial" w:hAnsi="Arial" w:cs="Arial"/>
          <w:b/>
          <w:bCs/>
          <w:i/>
          <w:iCs/>
          <w:sz w:val="18"/>
          <w:szCs w:val="18"/>
          <w:lang w:val="en-US"/>
        </w:rPr>
        <w:lastRenderedPageBreak/>
        <w:t xml:space="preserve">Table </w:t>
      </w:r>
      <w:r w:rsidR="0088659A">
        <w:rPr>
          <w:rFonts w:ascii="Arial" w:hAnsi="Arial" w:cs="Arial"/>
          <w:b/>
          <w:bCs/>
          <w:i/>
          <w:iCs/>
          <w:sz w:val="18"/>
          <w:szCs w:val="18"/>
          <w:lang w:val="en-US"/>
        </w:rPr>
        <w:t>A</w:t>
      </w:r>
      <w:r w:rsidRPr="009445F0">
        <w:rPr>
          <w:rFonts w:ascii="Arial" w:hAnsi="Arial" w:cs="Arial"/>
          <w:b/>
          <w:bCs/>
          <w:i/>
          <w:iCs/>
          <w:sz w:val="18"/>
          <w:szCs w:val="18"/>
          <w:lang w:val="en-US"/>
        </w:rPr>
        <w:t xml:space="preserve">12: </w:t>
      </w:r>
      <w:r w:rsidRPr="009445F0">
        <w:rPr>
          <w:rFonts w:ascii="Arial" w:hAnsi="Arial" w:cs="Arial"/>
          <w:i/>
          <w:iCs/>
          <w:sz w:val="18"/>
          <w:szCs w:val="18"/>
          <w:lang w:val="en-US"/>
        </w:rPr>
        <w:t>Production Capacity</w:t>
      </w:r>
      <w:r w:rsidRPr="009445F0">
        <w:rPr>
          <w:rFonts w:ascii="Arial" w:hAnsi="Arial" w:cs="Arial"/>
          <w:b/>
          <w:bCs/>
          <w:i/>
          <w:iCs/>
          <w:sz w:val="18"/>
          <w:szCs w:val="18"/>
          <w:lang w:val="en-US"/>
        </w:rPr>
        <w:t xml:space="preserve">  </w:t>
      </w:r>
      <w:r w:rsidRPr="009445F0">
        <w:rPr>
          <w:rFonts w:ascii="Arial" w:hAnsi="Arial" w:cs="Arial"/>
          <w:i/>
          <w:iCs/>
          <w:sz w:val="18"/>
          <w:szCs w:val="18"/>
        </w:rPr>
        <w:t xml:space="preserve"> </w:t>
      </w:r>
    </w:p>
    <w:tbl>
      <w:tblPr>
        <w:tblStyle w:val="TableGrid"/>
        <w:tblW w:w="5000" w:type="pct"/>
        <w:tblInd w:w="0" w:type="dxa"/>
        <w:tblLook w:val="04A0" w:firstRow="1" w:lastRow="0" w:firstColumn="1" w:lastColumn="0" w:noHBand="0" w:noVBand="1"/>
      </w:tblPr>
      <w:tblGrid>
        <w:gridCol w:w="2546"/>
        <w:gridCol w:w="2819"/>
        <w:gridCol w:w="1581"/>
        <w:gridCol w:w="1740"/>
        <w:gridCol w:w="1360"/>
      </w:tblGrid>
      <w:tr w:rsidR="001268BC" w:rsidRPr="009445F0" w14:paraId="0E52F4A4" w14:textId="77777777" w:rsidTr="009445F0">
        <w:trPr>
          <w:trHeight w:val="187"/>
        </w:trPr>
        <w:tc>
          <w:tcPr>
            <w:tcW w:w="1267" w:type="pct"/>
            <w:tcBorders>
              <w:top w:val="single" w:sz="18" w:space="0" w:color="000000"/>
              <w:left w:val="single" w:sz="18" w:space="0" w:color="000000"/>
              <w:bottom w:val="single" w:sz="18" w:space="0" w:color="000000"/>
              <w:right w:val="single" w:sz="18" w:space="0" w:color="000000"/>
            </w:tcBorders>
            <w:shd w:val="clear" w:color="auto" w:fill="A8FFB1"/>
            <w:vAlign w:val="center"/>
          </w:tcPr>
          <w:p w14:paraId="268B2328"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Technology</w:t>
            </w:r>
          </w:p>
        </w:tc>
        <w:tc>
          <w:tcPr>
            <w:tcW w:w="1403" w:type="pct"/>
            <w:tcBorders>
              <w:top w:val="single" w:sz="18" w:space="0" w:color="000000"/>
              <w:left w:val="single" w:sz="18" w:space="0" w:color="000000"/>
              <w:bottom w:val="single" w:sz="18" w:space="0" w:color="000000"/>
              <w:right w:val="single" w:sz="18" w:space="0" w:color="000000"/>
            </w:tcBorders>
            <w:shd w:val="clear" w:color="auto" w:fill="A8FFB1"/>
            <w:vAlign w:val="center"/>
          </w:tcPr>
          <w:p w14:paraId="42D076A5"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Equipment</w:t>
            </w:r>
          </w:p>
        </w:tc>
        <w:tc>
          <w:tcPr>
            <w:tcW w:w="787" w:type="pct"/>
            <w:tcBorders>
              <w:top w:val="single" w:sz="18" w:space="0" w:color="000000"/>
              <w:left w:val="single" w:sz="18" w:space="0" w:color="000000"/>
              <w:bottom w:val="single" w:sz="18" w:space="0" w:color="000000"/>
              <w:right w:val="single" w:sz="18" w:space="0" w:color="000000"/>
            </w:tcBorders>
            <w:shd w:val="clear" w:color="auto" w:fill="A8FFB1"/>
            <w:vAlign w:val="center"/>
          </w:tcPr>
          <w:p w14:paraId="52646BDC"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Minimum</w:t>
            </w:r>
          </w:p>
        </w:tc>
        <w:tc>
          <w:tcPr>
            <w:tcW w:w="866" w:type="pct"/>
            <w:tcBorders>
              <w:top w:val="single" w:sz="18" w:space="0" w:color="000000"/>
              <w:left w:val="single" w:sz="18" w:space="0" w:color="000000"/>
              <w:bottom w:val="single" w:sz="18" w:space="0" w:color="000000"/>
              <w:right w:val="single" w:sz="18" w:space="0" w:color="000000"/>
            </w:tcBorders>
            <w:shd w:val="clear" w:color="auto" w:fill="A8FFB1"/>
            <w:vAlign w:val="center"/>
          </w:tcPr>
          <w:p w14:paraId="718AC18B"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Maximum</w:t>
            </w:r>
          </w:p>
        </w:tc>
        <w:tc>
          <w:tcPr>
            <w:tcW w:w="677" w:type="pct"/>
            <w:tcBorders>
              <w:top w:val="single" w:sz="18" w:space="0" w:color="000000"/>
              <w:left w:val="single" w:sz="18" w:space="0" w:color="000000"/>
              <w:bottom w:val="single" w:sz="18" w:space="0" w:color="000000"/>
              <w:right w:val="single" w:sz="18" w:space="0" w:color="000000"/>
            </w:tcBorders>
            <w:shd w:val="clear" w:color="auto" w:fill="A8FFB1"/>
            <w:vAlign w:val="center"/>
          </w:tcPr>
          <w:p w14:paraId="732FDD8A"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Unit</w:t>
            </w:r>
          </w:p>
        </w:tc>
      </w:tr>
      <w:tr w:rsidR="001268BC" w:rsidRPr="009445F0" w14:paraId="7C0C4D10" w14:textId="77777777" w:rsidTr="009445F0">
        <w:trPr>
          <w:trHeight w:val="187"/>
        </w:trPr>
        <w:tc>
          <w:tcPr>
            <w:tcW w:w="1267" w:type="pct"/>
            <w:vMerge w:val="restart"/>
            <w:tcBorders>
              <w:top w:val="single" w:sz="18" w:space="0" w:color="000000"/>
              <w:left w:val="single" w:sz="18" w:space="0" w:color="000000"/>
              <w:right w:val="single" w:sz="18" w:space="0" w:color="000000"/>
            </w:tcBorders>
            <w:vAlign w:val="center"/>
          </w:tcPr>
          <w:p w14:paraId="1F7FF4A6"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Combustion</w:t>
            </w:r>
          </w:p>
        </w:tc>
        <w:tc>
          <w:tcPr>
            <w:tcW w:w="1403" w:type="pct"/>
            <w:tcBorders>
              <w:top w:val="single" w:sz="18" w:space="0" w:color="000000"/>
              <w:left w:val="single" w:sz="18" w:space="0" w:color="000000"/>
              <w:right w:val="single" w:sz="18" w:space="0" w:color="000000"/>
            </w:tcBorders>
            <w:vAlign w:val="center"/>
          </w:tcPr>
          <w:p w14:paraId="0AD93935" w14:textId="7BDF7A8F"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Water Tube Boiler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{"citationItems":[{"id":"ITEM-1","itemData":{"author":[{"dropping-particle":"","family":"Hong","given":"","non-dropping-particle":"","parse-names":false,"suffix":""}],"container-title":"HKB Boiler Solutions","id":"ITEM-1","issued":{"date-parts":[["2022"]]},"title":"The next generation steamboilers","type":"webpage"},"uris":["http://www.mendeley.com/documents/?uuid=18043114-c83f-445b-9034-3fc94fd66886"]}],"mendeley":{"formattedCitation":"(Hong, 2022)","plainTextFormattedCitation":"(Hong, 2022)","previouslyFormattedCitation":"(Hong, 2022)"},"properties":{"noteIndex":0},"schema":"https://github.com/citation-style-language/schema/raw/master/csl-citation.json"}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(Hong, 2022)</w:t>
            </w:r>
            <w:r w:rsidRPr="009445F0">
              <w:rPr>
                <w:rFonts w:ascii="Arial" w:hAnsi="Arial" w:cs="Arial"/>
                <w:sz w:val="18"/>
                <w:szCs w:val="18"/>
              </w:rPr>
              <w:fldChar w:fldCharType="end"/>
            </w:r>
          </w:p>
        </w:tc>
        <w:tc>
          <w:tcPr>
            <w:tcW w:w="787" w:type="pct"/>
            <w:tcBorders>
              <w:top w:val="single" w:sz="18" w:space="0" w:color="000000"/>
              <w:left w:val="single" w:sz="18" w:space="0" w:color="000000"/>
              <w:right w:val="single" w:sz="18" w:space="0" w:color="000000"/>
            </w:tcBorders>
            <w:vAlign w:val="center"/>
          </w:tcPr>
          <w:p w14:paraId="4A7462DF"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5,000</w:t>
            </w:r>
          </w:p>
        </w:tc>
        <w:tc>
          <w:tcPr>
            <w:tcW w:w="866" w:type="pct"/>
            <w:tcBorders>
              <w:top w:val="single" w:sz="18" w:space="0" w:color="000000"/>
              <w:left w:val="single" w:sz="18" w:space="0" w:color="000000"/>
              <w:right w:val="single" w:sz="18" w:space="0" w:color="000000"/>
            </w:tcBorders>
            <w:vAlign w:val="center"/>
          </w:tcPr>
          <w:p w14:paraId="6E01DCD3"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120,000</w:t>
            </w:r>
          </w:p>
        </w:tc>
        <w:tc>
          <w:tcPr>
            <w:tcW w:w="677" w:type="pct"/>
            <w:tcBorders>
              <w:top w:val="single" w:sz="18" w:space="0" w:color="000000"/>
              <w:left w:val="single" w:sz="18" w:space="0" w:color="000000"/>
              <w:right w:val="single" w:sz="18" w:space="0" w:color="000000"/>
            </w:tcBorders>
            <w:vAlign w:val="center"/>
          </w:tcPr>
          <w:p w14:paraId="5881865C"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kg HPS/hr</w:t>
            </w:r>
          </w:p>
        </w:tc>
      </w:tr>
      <w:tr w:rsidR="001268BC" w:rsidRPr="009445F0" w14:paraId="0AE05E15" w14:textId="77777777" w:rsidTr="009445F0">
        <w:trPr>
          <w:trHeight w:val="187"/>
        </w:trPr>
        <w:tc>
          <w:tcPr>
            <w:tcW w:w="1267" w:type="pct"/>
            <w:vMerge/>
            <w:tcBorders>
              <w:left w:val="single" w:sz="18" w:space="0" w:color="000000"/>
              <w:right w:val="single" w:sz="18" w:space="0" w:color="000000"/>
            </w:tcBorders>
            <w:vAlign w:val="center"/>
          </w:tcPr>
          <w:p w14:paraId="7EF55040" w14:textId="77777777" w:rsidR="001268BC" w:rsidRPr="009445F0" w:rsidRDefault="001268BC" w:rsidP="009445F0">
            <w:pPr>
              <w:spacing w:line="276" w:lineRule="auto"/>
              <w:jc w:val="center"/>
              <w:rPr>
                <w:rFonts w:ascii="Arial" w:hAnsi="Arial" w:cs="Arial"/>
                <w:sz w:val="18"/>
                <w:szCs w:val="18"/>
              </w:rPr>
            </w:pPr>
          </w:p>
        </w:tc>
        <w:tc>
          <w:tcPr>
            <w:tcW w:w="1403" w:type="pct"/>
            <w:tcBorders>
              <w:left w:val="single" w:sz="18" w:space="0" w:color="000000"/>
              <w:right w:val="single" w:sz="18" w:space="0" w:color="000000"/>
            </w:tcBorders>
            <w:vAlign w:val="center"/>
          </w:tcPr>
          <w:p w14:paraId="2414A7C1" w14:textId="23C36CE3"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Steam Turbine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{"citationItems":[{"id":"ITEM-1","itemData":{"DOI":"10.1016/B978-0-408-01250-8.50022-2","author":[{"dropping-particle":"","family":"Jane","given":"","non-dropping-particle":"","parse-names":false,"suffix":""}],"container-title":"The Efficient Use of Energy","id":"ITEM-1","issued":{"date-parts":[["1982"]]},"page":"286-308","publisher":"Elsevier","title":"Production of electrical power","type":"chapter"},"uris":["http://www.mendeley.com/documents/?uuid=5f55d164-d652-4eeb-90d3-202996561b01"]}],"mendeley":{"formattedCitation":"(Jane, 1982)","plainTextFormattedCitation":"(Jane, 1982)","previouslyFormattedCitation":"(Jane, 1982)"},"properties":{"noteIndex":0},"schema":"https://github.com/citation-style-language/schema/raw/master/csl-citation.json"}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(Jane, 1982)</w:t>
            </w:r>
            <w:r w:rsidRPr="009445F0">
              <w:rPr>
                <w:rFonts w:ascii="Arial" w:hAnsi="Arial" w:cs="Arial"/>
                <w:sz w:val="18"/>
                <w:szCs w:val="18"/>
              </w:rPr>
              <w:fldChar w:fldCharType="end"/>
            </w:r>
          </w:p>
        </w:tc>
        <w:tc>
          <w:tcPr>
            <w:tcW w:w="787" w:type="pct"/>
            <w:tcBorders>
              <w:left w:val="single" w:sz="18" w:space="0" w:color="000000"/>
              <w:right w:val="single" w:sz="18" w:space="0" w:color="000000"/>
            </w:tcBorders>
            <w:vAlign w:val="center"/>
          </w:tcPr>
          <w:p w14:paraId="47745E5F"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1,000</w:t>
            </w:r>
          </w:p>
        </w:tc>
        <w:tc>
          <w:tcPr>
            <w:tcW w:w="866" w:type="pct"/>
            <w:tcBorders>
              <w:left w:val="single" w:sz="18" w:space="0" w:color="000000"/>
              <w:right w:val="single" w:sz="18" w:space="0" w:color="000000"/>
            </w:tcBorders>
            <w:vAlign w:val="center"/>
          </w:tcPr>
          <w:p w14:paraId="56553262"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1,000,000</w:t>
            </w:r>
          </w:p>
        </w:tc>
        <w:tc>
          <w:tcPr>
            <w:tcW w:w="677" w:type="pct"/>
            <w:tcBorders>
              <w:left w:val="single" w:sz="18" w:space="0" w:color="000000"/>
              <w:right w:val="single" w:sz="18" w:space="0" w:color="000000"/>
            </w:tcBorders>
            <w:vAlign w:val="center"/>
          </w:tcPr>
          <w:p w14:paraId="1D7ACB92"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kW</w:t>
            </w:r>
          </w:p>
        </w:tc>
      </w:tr>
      <w:tr w:rsidR="001268BC" w:rsidRPr="009445F0" w14:paraId="5D9845FD" w14:textId="77777777" w:rsidTr="009445F0">
        <w:trPr>
          <w:trHeight w:val="187"/>
        </w:trPr>
        <w:tc>
          <w:tcPr>
            <w:tcW w:w="1267" w:type="pct"/>
            <w:vMerge w:val="restart"/>
            <w:tcBorders>
              <w:left w:val="single" w:sz="18" w:space="0" w:color="000000"/>
              <w:right w:val="single" w:sz="18" w:space="0" w:color="000000"/>
            </w:tcBorders>
            <w:vAlign w:val="center"/>
          </w:tcPr>
          <w:p w14:paraId="5C860E63"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Pyrolysis</w:t>
            </w:r>
          </w:p>
        </w:tc>
        <w:tc>
          <w:tcPr>
            <w:tcW w:w="1403" w:type="pct"/>
            <w:tcBorders>
              <w:left w:val="single" w:sz="18" w:space="0" w:color="000000"/>
              <w:right w:val="single" w:sz="18" w:space="0" w:color="000000"/>
            </w:tcBorders>
            <w:vAlign w:val="center"/>
          </w:tcPr>
          <w:p w14:paraId="1DE2E61A" w14:textId="2AA04762" w:rsidR="001268BC" w:rsidRPr="009445F0" w:rsidRDefault="001268BC" w:rsidP="009445F0">
            <w:pPr>
              <w:spacing w:line="276" w:lineRule="auto"/>
              <w:jc w:val="center"/>
              <w:rPr>
                <w:rFonts w:ascii="Arial" w:hAnsi="Arial" w:cs="Arial"/>
                <w:sz w:val="18"/>
                <w:szCs w:val="18"/>
              </w:rPr>
            </w:pPr>
            <w:proofErr w:type="spellStart"/>
            <w:r w:rsidRPr="009445F0">
              <w:rPr>
                <w:rFonts w:ascii="Arial" w:hAnsi="Arial" w:cs="Arial"/>
                <w:sz w:val="18"/>
                <w:szCs w:val="18"/>
              </w:rPr>
              <w:t>Pyrolyser</w:t>
            </w:r>
            <w:proofErr w:type="spellEnd"/>
            <w:r w:rsidRPr="009445F0">
              <w:rPr>
                <w:rFonts w:ascii="Arial" w:hAnsi="Arial" w:cs="Arial"/>
                <w:sz w:val="18"/>
                <w:szCs w:val="18"/>
              </w:rPr>
              <w:t xml:space="preserve">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{"citationItems":[{"id":"ITEM-1","itemData":{"author":[{"dropping-particle":"","family":"Monnet","given":"Jean","non-dropping-particle":"","parse-names":false,"suffix":""}],"container-title":"Biogreen","id":"ITEM-1","issued":{"date-parts":[["2020"]]},"title":"Find the right size for industrial pyrolysis unit","type":"webpage"},"uris":["http://www.mendeley.com/documents/?uuid=c8b83386-79d2-4108-801d-6c82cc46ced1"]}],"mendeley":{"formattedCitation":"(Monnet, 2020)","plainTextFormattedCitation":"(Monnet, 2020)","previouslyFormattedCitation":"(Monnet, 2020)"},"properties":{"noteIndex":0},"schema":"https://github.com/citation-style-language/schema/raw/master/csl-citation.json"}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(Monnet, 2020)</w:t>
            </w:r>
            <w:r w:rsidRPr="009445F0">
              <w:rPr>
                <w:rFonts w:ascii="Arial" w:hAnsi="Arial" w:cs="Arial"/>
                <w:sz w:val="18"/>
                <w:szCs w:val="18"/>
              </w:rPr>
              <w:fldChar w:fldCharType="end"/>
            </w:r>
          </w:p>
        </w:tc>
        <w:tc>
          <w:tcPr>
            <w:tcW w:w="787" w:type="pct"/>
            <w:tcBorders>
              <w:left w:val="single" w:sz="18" w:space="0" w:color="000000"/>
              <w:right w:val="single" w:sz="18" w:space="0" w:color="000000"/>
            </w:tcBorders>
            <w:vAlign w:val="center"/>
          </w:tcPr>
          <w:p w14:paraId="24A229C5"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188</w:t>
            </w:r>
          </w:p>
        </w:tc>
        <w:tc>
          <w:tcPr>
            <w:tcW w:w="866" w:type="pct"/>
            <w:tcBorders>
              <w:left w:val="single" w:sz="18" w:space="0" w:color="000000"/>
              <w:right w:val="single" w:sz="18" w:space="0" w:color="000000"/>
            </w:tcBorders>
            <w:vAlign w:val="center"/>
          </w:tcPr>
          <w:p w14:paraId="7C29387D"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1,500</w:t>
            </w:r>
          </w:p>
        </w:tc>
        <w:tc>
          <w:tcPr>
            <w:tcW w:w="677" w:type="pct"/>
            <w:tcBorders>
              <w:left w:val="single" w:sz="18" w:space="0" w:color="000000"/>
              <w:right w:val="single" w:sz="18" w:space="0" w:color="000000"/>
            </w:tcBorders>
            <w:vAlign w:val="center"/>
          </w:tcPr>
          <w:p w14:paraId="54691004"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kg EFB/hr</w:t>
            </w:r>
          </w:p>
        </w:tc>
      </w:tr>
      <w:tr w:rsidR="001268BC" w:rsidRPr="009445F0" w14:paraId="0F409022" w14:textId="77777777" w:rsidTr="009445F0">
        <w:trPr>
          <w:trHeight w:val="187"/>
        </w:trPr>
        <w:tc>
          <w:tcPr>
            <w:tcW w:w="1267" w:type="pct"/>
            <w:vMerge/>
            <w:tcBorders>
              <w:left w:val="single" w:sz="18" w:space="0" w:color="000000"/>
              <w:right w:val="single" w:sz="18" w:space="0" w:color="000000"/>
            </w:tcBorders>
            <w:vAlign w:val="center"/>
          </w:tcPr>
          <w:p w14:paraId="35C1E143" w14:textId="77777777" w:rsidR="001268BC" w:rsidRPr="009445F0" w:rsidRDefault="001268BC" w:rsidP="009445F0">
            <w:pPr>
              <w:spacing w:line="276" w:lineRule="auto"/>
              <w:jc w:val="center"/>
              <w:rPr>
                <w:rFonts w:ascii="Arial" w:hAnsi="Arial" w:cs="Arial"/>
                <w:sz w:val="18"/>
                <w:szCs w:val="18"/>
              </w:rPr>
            </w:pPr>
          </w:p>
        </w:tc>
        <w:tc>
          <w:tcPr>
            <w:tcW w:w="1403" w:type="pct"/>
            <w:tcBorders>
              <w:left w:val="single" w:sz="18" w:space="0" w:color="000000"/>
              <w:right w:val="single" w:sz="18" w:space="0" w:color="000000"/>
            </w:tcBorders>
            <w:vAlign w:val="center"/>
          </w:tcPr>
          <w:p w14:paraId="69EBA5D2" w14:textId="256902E1"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Gas Engine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Haga","given":"Niklas","non-dropping-particle":"","parse-names":false,"suffix":""}],"id":"ITEM-1","issued":{"date-parts":[["2011"]]},"number-of-pages":"1- 16","publisher-place":"Finland","title":"Combustion engine power plants","type":"report"},"uris":["http://www.mendeley.com/documents/?uuid=1ac280bc-d7d1-427b-8128-fcdb17dbe5d3"]}],"mendeley":{"formattedCitation":"(Haga, 2011)","plainTextFormattedCitation":"(Haga, 2011)","previouslyFormattedCitation":"(Haga, 2011)"},"properties":{"noteIndex":0},"schema":"https://github.com/citation-style-language/schema/raw/master/csl-citation.json"}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(Haga, 2011)</w:t>
            </w:r>
            <w:r w:rsidRPr="009445F0">
              <w:rPr>
                <w:rFonts w:ascii="Arial" w:hAnsi="Arial" w:cs="Arial"/>
                <w:sz w:val="18"/>
                <w:szCs w:val="18"/>
              </w:rPr>
              <w:fldChar w:fldCharType="end"/>
            </w:r>
          </w:p>
        </w:tc>
        <w:tc>
          <w:tcPr>
            <w:tcW w:w="787" w:type="pct"/>
            <w:tcBorders>
              <w:left w:val="single" w:sz="18" w:space="0" w:color="000000"/>
              <w:right w:val="single" w:sz="18" w:space="0" w:color="000000"/>
            </w:tcBorders>
            <w:vAlign w:val="center"/>
          </w:tcPr>
          <w:p w14:paraId="10456B5E"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1,000</w:t>
            </w:r>
          </w:p>
        </w:tc>
        <w:tc>
          <w:tcPr>
            <w:tcW w:w="866" w:type="pct"/>
            <w:tcBorders>
              <w:left w:val="single" w:sz="18" w:space="0" w:color="000000"/>
              <w:right w:val="single" w:sz="18" w:space="0" w:color="000000"/>
            </w:tcBorders>
            <w:vAlign w:val="center"/>
          </w:tcPr>
          <w:p w14:paraId="5234B536"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1,000,000</w:t>
            </w:r>
          </w:p>
        </w:tc>
        <w:tc>
          <w:tcPr>
            <w:tcW w:w="677" w:type="pct"/>
            <w:tcBorders>
              <w:left w:val="single" w:sz="18" w:space="0" w:color="000000"/>
              <w:right w:val="single" w:sz="18" w:space="0" w:color="000000"/>
            </w:tcBorders>
            <w:vAlign w:val="center"/>
          </w:tcPr>
          <w:p w14:paraId="4B18BE12"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kW</w:t>
            </w:r>
          </w:p>
        </w:tc>
      </w:tr>
      <w:tr w:rsidR="001268BC" w:rsidRPr="009445F0" w14:paraId="0C069F17" w14:textId="77777777" w:rsidTr="009445F0">
        <w:trPr>
          <w:trHeight w:val="187"/>
        </w:trPr>
        <w:tc>
          <w:tcPr>
            <w:tcW w:w="1267" w:type="pct"/>
            <w:vMerge w:val="restart"/>
            <w:tcBorders>
              <w:left w:val="single" w:sz="18" w:space="0" w:color="000000"/>
              <w:right w:val="single" w:sz="18" w:space="0" w:color="000000"/>
            </w:tcBorders>
            <w:vAlign w:val="center"/>
          </w:tcPr>
          <w:p w14:paraId="3AE628CA"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Gasification</w:t>
            </w:r>
          </w:p>
        </w:tc>
        <w:tc>
          <w:tcPr>
            <w:tcW w:w="1403" w:type="pct"/>
            <w:tcBorders>
              <w:left w:val="single" w:sz="18" w:space="0" w:color="000000"/>
              <w:right w:val="single" w:sz="18" w:space="0" w:color="000000"/>
            </w:tcBorders>
            <w:vAlign w:val="center"/>
          </w:tcPr>
          <w:p w14:paraId="2AB7AF51" w14:textId="520F4870"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Gasifier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{"citationItems":[{"id":"ITEM-1","itemData":{"author":[{"dropping-particle":"","family":"Frank","given":"","non-dropping-particle":"","parse-names":false,"suffix":""}],"container-title":"Beltran Technologies","id":"ITEM-1","issued":{"date-parts":[["2015"]]},"page":"1 - 26","title":"Gasification of Biomass/Waste","type":"webpage"},"uris":["http://www.mendeley.com/documents/?uuid=dbb590f0-1554-40d8-91b1-a9d9eac164be"]}],"mendeley":{"formattedCitation":"(Frank, 2015)","plainTextFormattedCitation":"(Frank, 2015)","previouslyFormattedCitation":"(Frank, 2015)"},"properties":{"noteIndex":0},"schema":"https://github.com/citation-style-language/schema/raw/master/csl-citation.json"}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(Frank, 2015)</w:t>
            </w:r>
            <w:r w:rsidRPr="009445F0">
              <w:rPr>
                <w:rFonts w:ascii="Arial" w:hAnsi="Arial" w:cs="Arial"/>
                <w:sz w:val="18"/>
                <w:szCs w:val="18"/>
              </w:rPr>
              <w:fldChar w:fldCharType="end"/>
            </w:r>
          </w:p>
        </w:tc>
        <w:tc>
          <w:tcPr>
            <w:tcW w:w="787" w:type="pct"/>
            <w:tcBorders>
              <w:left w:val="single" w:sz="18" w:space="0" w:color="000000"/>
              <w:right w:val="single" w:sz="18" w:space="0" w:color="000000"/>
            </w:tcBorders>
            <w:vAlign w:val="center"/>
          </w:tcPr>
          <w:p w14:paraId="63CD7969"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83.333</w:t>
            </w:r>
          </w:p>
        </w:tc>
        <w:tc>
          <w:tcPr>
            <w:tcW w:w="866" w:type="pct"/>
            <w:tcBorders>
              <w:left w:val="single" w:sz="18" w:space="0" w:color="000000"/>
              <w:right w:val="single" w:sz="18" w:space="0" w:color="000000"/>
            </w:tcBorders>
            <w:vAlign w:val="center"/>
          </w:tcPr>
          <w:p w14:paraId="5CB799D1"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2,000</w:t>
            </w:r>
          </w:p>
        </w:tc>
        <w:tc>
          <w:tcPr>
            <w:tcW w:w="677" w:type="pct"/>
            <w:tcBorders>
              <w:left w:val="single" w:sz="18" w:space="0" w:color="000000"/>
              <w:right w:val="single" w:sz="18" w:space="0" w:color="000000"/>
            </w:tcBorders>
            <w:vAlign w:val="center"/>
          </w:tcPr>
          <w:p w14:paraId="0A94DD9E"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kg EFB/hr</w:t>
            </w:r>
          </w:p>
        </w:tc>
      </w:tr>
      <w:tr w:rsidR="001268BC" w:rsidRPr="009445F0" w14:paraId="4B7FD915" w14:textId="77777777" w:rsidTr="009445F0">
        <w:trPr>
          <w:trHeight w:val="187"/>
        </w:trPr>
        <w:tc>
          <w:tcPr>
            <w:tcW w:w="1267" w:type="pct"/>
            <w:vMerge/>
            <w:tcBorders>
              <w:left w:val="single" w:sz="18" w:space="0" w:color="000000"/>
              <w:right w:val="single" w:sz="18" w:space="0" w:color="000000"/>
            </w:tcBorders>
            <w:vAlign w:val="center"/>
          </w:tcPr>
          <w:p w14:paraId="7511DAAB" w14:textId="77777777" w:rsidR="001268BC" w:rsidRPr="009445F0" w:rsidRDefault="001268BC" w:rsidP="009445F0">
            <w:pPr>
              <w:spacing w:line="276" w:lineRule="auto"/>
              <w:jc w:val="center"/>
              <w:rPr>
                <w:rFonts w:ascii="Arial" w:hAnsi="Arial" w:cs="Arial"/>
                <w:sz w:val="18"/>
                <w:szCs w:val="18"/>
              </w:rPr>
            </w:pPr>
          </w:p>
        </w:tc>
        <w:tc>
          <w:tcPr>
            <w:tcW w:w="1403" w:type="pct"/>
            <w:tcBorders>
              <w:left w:val="single" w:sz="18" w:space="0" w:color="000000"/>
              <w:right w:val="single" w:sz="18" w:space="0" w:color="000000"/>
            </w:tcBorders>
            <w:vAlign w:val="center"/>
          </w:tcPr>
          <w:p w14:paraId="48FEBD7E" w14:textId="59245DC4"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Gas Engine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Haga","given":"Niklas","non-dropping-particle":"","parse-names":false,"suffix":""}],"id":"ITEM-1","issued":{"date-parts":[["2011"]]},"number-of-pages":"1- 16","publisher-place":"Finland","title":"Combustion engine power plants","type":"report"},"uris":["http://www.mendeley.com/documents/?uuid=1ac280bc-d7d1-427b-8128-fcdb17dbe5d3"]}],"mendeley":{"formattedCitation":"(Haga, 2011)","plainTextFormattedCitation":"(Haga, 2011)","previouslyFormattedCitation":"(Haga, 2011)"},"properties":{"noteIndex":0},"schema":"https://github.com/citation-style-language/schema/raw/master/csl-citation.json"}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(Haga, 2011)</w:t>
            </w:r>
            <w:r w:rsidRPr="009445F0">
              <w:rPr>
                <w:rFonts w:ascii="Arial" w:hAnsi="Arial" w:cs="Arial"/>
                <w:sz w:val="18"/>
                <w:szCs w:val="18"/>
              </w:rPr>
              <w:fldChar w:fldCharType="end"/>
            </w:r>
          </w:p>
        </w:tc>
        <w:tc>
          <w:tcPr>
            <w:tcW w:w="787" w:type="pct"/>
            <w:tcBorders>
              <w:left w:val="single" w:sz="18" w:space="0" w:color="000000"/>
              <w:right w:val="single" w:sz="18" w:space="0" w:color="000000"/>
            </w:tcBorders>
            <w:vAlign w:val="center"/>
          </w:tcPr>
          <w:p w14:paraId="6FB86FD9"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1,000</w:t>
            </w:r>
          </w:p>
        </w:tc>
        <w:tc>
          <w:tcPr>
            <w:tcW w:w="866" w:type="pct"/>
            <w:tcBorders>
              <w:left w:val="single" w:sz="18" w:space="0" w:color="000000"/>
              <w:right w:val="single" w:sz="18" w:space="0" w:color="000000"/>
            </w:tcBorders>
            <w:vAlign w:val="center"/>
          </w:tcPr>
          <w:p w14:paraId="11A7D950"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1,000,000</w:t>
            </w:r>
          </w:p>
        </w:tc>
        <w:tc>
          <w:tcPr>
            <w:tcW w:w="677" w:type="pct"/>
            <w:tcBorders>
              <w:left w:val="single" w:sz="18" w:space="0" w:color="000000"/>
              <w:right w:val="single" w:sz="18" w:space="0" w:color="000000"/>
            </w:tcBorders>
            <w:vAlign w:val="center"/>
          </w:tcPr>
          <w:p w14:paraId="6F4880BE"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kW</w:t>
            </w:r>
          </w:p>
        </w:tc>
      </w:tr>
      <w:tr w:rsidR="001268BC" w:rsidRPr="009445F0" w14:paraId="466AFEE5" w14:textId="77777777" w:rsidTr="009445F0">
        <w:trPr>
          <w:trHeight w:val="187"/>
        </w:trPr>
        <w:tc>
          <w:tcPr>
            <w:tcW w:w="1267" w:type="pct"/>
            <w:tcBorders>
              <w:left w:val="single" w:sz="18" w:space="0" w:color="000000"/>
              <w:right w:val="single" w:sz="18" w:space="0" w:color="000000"/>
            </w:tcBorders>
            <w:vAlign w:val="center"/>
          </w:tcPr>
          <w:p w14:paraId="02B7CF60"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Anaerobic Digestion</w:t>
            </w:r>
          </w:p>
        </w:tc>
        <w:tc>
          <w:tcPr>
            <w:tcW w:w="1403" w:type="pct"/>
            <w:tcBorders>
              <w:left w:val="single" w:sz="18" w:space="0" w:color="000000"/>
              <w:right w:val="single" w:sz="18" w:space="0" w:color="000000"/>
            </w:tcBorders>
            <w:vAlign w:val="center"/>
          </w:tcPr>
          <w:p w14:paraId="609B5A0F" w14:textId="49FDC39D"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Gas Engine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Haga","given":"Niklas","non-dropping-particle":"","parse-names":false,"suffix":""}],"id":"ITEM-1","issued":{"date-parts":[["2011"]]},"number-of-pages":"1- 16","publisher-place":"Finland","title":"Combustion engine power plants","type":"report"},"uris":["http://www.mendeley.com/documents/?uuid=1ac280bc-d7d1-427b-8128-fcdb17dbe5d3"]}],"mendeley":{"formattedCitation":"(Haga, 2011)","plainTextFormattedCitation":"(Haga, 2011)","previouslyFormattedCitation":"(Haga, 2011)"},"properties":{"noteIndex":0},"schema":"https://github.com/citation-style-language/schema/raw/master/csl-citation.json"}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(Haga, 2011)</w:t>
            </w:r>
            <w:r w:rsidRPr="009445F0">
              <w:rPr>
                <w:rFonts w:ascii="Arial" w:hAnsi="Arial" w:cs="Arial"/>
                <w:sz w:val="18"/>
                <w:szCs w:val="18"/>
              </w:rPr>
              <w:fldChar w:fldCharType="end"/>
            </w:r>
          </w:p>
        </w:tc>
        <w:tc>
          <w:tcPr>
            <w:tcW w:w="787" w:type="pct"/>
            <w:tcBorders>
              <w:left w:val="single" w:sz="18" w:space="0" w:color="000000"/>
              <w:right w:val="single" w:sz="18" w:space="0" w:color="000000"/>
            </w:tcBorders>
            <w:vAlign w:val="center"/>
          </w:tcPr>
          <w:p w14:paraId="42DAD688"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1,000</w:t>
            </w:r>
          </w:p>
        </w:tc>
        <w:tc>
          <w:tcPr>
            <w:tcW w:w="866" w:type="pct"/>
            <w:tcBorders>
              <w:left w:val="single" w:sz="18" w:space="0" w:color="000000"/>
              <w:right w:val="single" w:sz="18" w:space="0" w:color="000000"/>
            </w:tcBorders>
            <w:vAlign w:val="center"/>
          </w:tcPr>
          <w:p w14:paraId="6064EB28"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23,000</w:t>
            </w:r>
          </w:p>
        </w:tc>
        <w:tc>
          <w:tcPr>
            <w:tcW w:w="677" w:type="pct"/>
            <w:tcBorders>
              <w:left w:val="single" w:sz="18" w:space="0" w:color="000000"/>
              <w:right w:val="single" w:sz="18" w:space="0" w:color="000000"/>
            </w:tcBorders>
            <w:vAlign w:val="center"/>
          </w:tcPr>
          <w:p w14:paraId="1A9E4FE0"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kW</w:t>
            </w:r>
          </w:p>
        </w:tc>
      </w:tr>
      <w:tr w:rsidR="001268BC" w:rsidRPr="009445F0" w14:paraId="2389CB00" w14:textId="77777777" w:rsidTr="009445F0">
        <w:trPr>
          <w:trHeight w:val="187"/>
        </w:trPr>
        <w:tc>
          <w:tcPr>
            <w:tcW w:w="1267" w:type="pct"/>
            <w:vMerge w:val="restart"/>
            <w:tcBorders>
              <w:left w:val="single" w:sz="18" w:space="0" w:color="000000"/>
              <w:right w:val="single" w:sz="18" w:space="0" w:color="000000"/>
            </w:tcBorders>
            <w:vAlign w:val="center"/>
          </w:tcPr>
          <w:p w14:paraId="11C16BB7"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Green H</w:t>
            </w:r>
            <w:r w:rsidRPr="009445F0">
              <w:rPr>
                <w:rFonts w:ascii="Arial" w:hAnsi="Arial" w:cs="Arial"/>
                <w:sz w:val="18"/>
                <w:szCs w:val="18"/>
                <w:vertAlign w:val="subscript"/>
              </w:rPr>
              <w:t>2</w:t>
            </w:r>
            <w:r w:rsidRPr="009445F0">
              <w:rPr>
                <w:rFonts w:ascii="Arial" w:hAnsi="Arial" w:cs="Arial"/>
                <w:sz w:val="18"/>
                <w:szCs w:val="18"/>
              </w:rPr>
              <w:t xml:space="preserve"> Production</w:t>
            </w:r>
          </w:p>
        </w:tc>
        <w:tc>
          <w:tcPr>
            <w:tcW w:w="1403" w:type="pct"/>
            <w:tcBorders>
              <w:left w:val="single" w:sz="18" w:space="0" w:color="000000"/>
              <w:right w:val="single" w:sz="18" w:space="0" w:color="000000"/>
            </w:tcBorders>
            <w:vAlign w:val="center"/>
          </w:tcPr>
          <w:p w14:paraId="444DFAC3" w14:textId="79E3C0D6"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PEM </w:t>
            </w:r>
            <w:r w:rsidRPr="009445F0">
              <w:rPr>
                <w:rFonts w:ascii="Arial" w:hAnsi="Arial" w:cs="Arial"/>
                <w:sz w:val="18"/>
                <w:szCs w:val="18"/>
              </w:rPr>
              <w:fldChar w:fldCharType="begin" w:fldLock="1"/>
            </w:r>
            <w:r w:rsidR="00D27FDA">
              <w:rPr>
                <w:rFonts w:ascii="Arial" w:hAnsi="Arial" w:cs="Arial" w:hint="eastAsia"/>
                <w:sz w:val="18"/>
                <w:szCs w:val="18"/>
              </w:rPr>
              <w:instrText>ADDIN CSL_CITATION {"citationItems":[{"id":"ITEM-1","itemData":{"DOI":"10.1002/cben.201900012","ISSN":"2196-9744","author":[{"dropping-particle":"","family":"Roode</w:instrText>
            </w:r>
            <w:r w:rsidR="00D27FDA">
              <w:rPr>
                <w:rFonts w:ascii="Arial" w:hAnsi="Arial" w:cs="Arial" w:hint="eastAsia"/>
                <w:sz w:val="18"/>
                <w:szCs w:val="18"/>
              </w:rPr>
              <w:instrText>‐</w:instrText>
            </w:r>
            <w:r w:rsidR="00D27FDA">
              <w:rPr>
                <w:rFonts w:ascii="Arial" w:hAnsi="Arial" w:cs="Arial" w:hint="eastAsia"/>
                <w:sz w:val="18"/>
                <w:szCs w:val="18"/>
              </w:rPr>
              <w:instrText>Gutzmer","given":"Quirina I.","non-dropping-particle":"","parse-names":false,"suffix":""},{</w:instrText>
            </w:r>
            <w:r w:rsidR="00D27FDA">
              <w:rPr>
                <w:rFonts w:ascii="Arial" w:hAnsi="Arial" w:cs="Arial"/>
                <w:sz w:val="18"/>
                <w:szCs w:val="18"/>
              </w:rPr>
              <w:instrText>"dropping-particle":"","family":"Kaiser","given":"Doreen","non-dropping-particle":"","parse-names":false,"suffix":""},{"dropping-particle":"","family":"Bertau","given":"Martin","non-dropping-particle":"","parse-names":false,"suffix":""}],"container-title":"ChemBioEng Reviews","id":"ITEM-1","issue":"6","issued":{"date-parts":[["2019","12"]]},"page":"209-236","title":"Renewable Methanol Synthesis","type":"article-journal","volume":"6"},"uris":["http://www.mendeley.com/documents/?uuid=b84e963e-f84b-4f70-847d</w:instrText>
            </w:r>
            <w:r w:rsidR="00D27FDA">
              <w:rPr>
                <w:rFonts w:ascii="Arial" w:hAnsi="Arial" w:cs="Arial" w:hint="eastAsia"/>
                <w:sz w:val="18"/>
                <w:szCs w:val="18"/>
              </w:rPr>
              <w:instrText>-ec19d207cd34"]}],"mendeley":{"formattedCitation":"(Roode</w:instrText>
            </w:r>
            <w:r w:rsidR="00D27FDA">
              <w:rPr>
                <w:rFonts w:ascii="Arial" w:hAnsi="Arial" w:cs="Arial" w:hint="eastAsia"/>
                <w:sz w:val="18"/>
                <w:szCs w:val="18"/>
              </w:rPr>
              <w:instrText>‐</w:instrText>
            </w:r>
            <w:r w:rsidR="00D27FDA">
              <w:rPr>
                <w:rFonts w:ascii="Arial" w:hAnsi="Arial" w:cs="Arial" w:hint="eastAsia"/>
                <w:sz w:val="18"/>
                <w:szCs w:val="18"/>
              </w:rPr>
              <w:instrText>Gutzmer et al., 2019)","manualFormatting":"(Roode, 2019)","plainTextFormattedCitation":"(Roode</w:instrText>
            </w:r>
            <w:r w:rsidR="00D27FDA">
              <w:rPr>
                <w:rFonts w:ascii="Arial" w:hAnsi="Arial" w:cs="Arial" w:hint="eastAsia"/>
                <w:sz w:val="18"/>
                <w:szCs w:val="18"/>
              </w:rPr>
              <w:instrText>‐</w:instrText>
            </w:r>
            <w:r w:rsidR="00D27FDA">
              <w:rPr>
                <w:rFonts w:ascii="Arial" w:hAnsi="Arial" w:cs="Arial" w:hint="eastAsia"/>
                <w:sz w:val="18"/>
                <w:szCs w:val="18"/>
              </w:rPr>
              <w:instrText>Gutzmer et al., 2019)","previouslyFormattedCitation":"(Roode</w:instrText>
            </w:r>
            <w:r w:rsidR="00D27FDA">
              <w:rPr>
                <w:rFonts w:ascii="Arial" w:hAnsi="Arial" w:cs="Arial" w:hint="eastAsia"/>
                <w:sz w:val="18"/>
                <w:szCs w:val="18"/>
              </w:rPr>
              <w:instrText>‐</w:instrText>
            </w:r>
            <w:r w:rsidR="00D27FDA">
              <w:rPr>
                <w:rFonts w:ascii="Arial" w:hAnsi="Arial" w:cs="Arial" w:hint="eastAsia"/>
                <w:sz w:val="18"/>
                <w:szCs w:val="18"/>
              </w:rPr>
              <w:instrText>Gutzmer et al., 2019)"},"properties":{"no</w:instrText>
            </w:r>
            <w:r w:rsidR="00D27FDA">
              <w:rPr>
                <w:rFonts w:ascii="Arial" w:hAnsi="Arial" w:cs="Arial"/>
                <w:sz w:val="18"/>
                <w:szCs w:val="18"/>
              </w:rPr>
              <w:instrText>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(Roode, 2019)</w:t>
            </w:r>
            <w:r w:rsidRPr="009445F0">
              <w:rPr>
                <w:rFonts w:ascii="Arial" w:hAnsi="Arial" w:cs="Arial"/>
                <w:sz w:val="18"/>
                <w:szCs w:val="18"/>
              </w:rPr>
              <w:fldChar w:fldCharType="end"/>
            </w:r>
          </w:p>
        </w:tc>
        <w:tc>
          <w:tcPr>
            <w:tcW w:w="787" w:type="pct"/>
            <w:tcBorders>
              <w:left w:val="single" w:sz="18" w:space="0" w:color="000000"/>
              <w:right w:val="single" w:sz="18" w:space="0" w:color="000000"/>
            </w:tcBorders>
            <w:vAlign w:val="center"/>
          </w:tcPr>
          <w:p w14:paraId="7E99D5EA"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0.0899</w:t>
            </w:r>
          </w:p>
        </w:tc>
        <w:tc>
          <w:tcPr>
            <w:tcW w:w="866" w:type="pct"/>
            <w:tcBorders>
              <w:left w:val="single" w:sz="18" w:space="0" w:color="000000"/>
              <w:right w:val="single" w:sz="18" w:space="0" w:color="000000"/>
            </w:tcBorders>
            <w:vAlign w:val="center"/>
          </w:tcPr>
          <w:p w14:paraId="6EB0725C"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35.953</w:t>
            </w:r>
          </w:p>
        </w:tc>
        <w:tc>
          <w:tcPr>
            <w:tcW w:w="677" w:type="pct"/>
            <w:tcBorders>
              <w:left w:val="single" w:sz="18" w:space="0" w:color="000000"/>
              <w:right w:val="single" w:sz="18" w:space="0" w:color="000000"/>
            </w:tcBorders>
            <w:vAlign w:val="center"/>
          </w:tcPr>
          <w:p w14:paraId="0220131C"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kg H</w:t>
            </w:r>
            <w:r w:rsidRPr="009445F0">
              <w:rPr>
                <w:rFonts w:ascii="Arial" w:hAnsi="Arial" w:cs="Arial"/>
                <w:sz w:val="18"/>
                <w:szCs w:val="18"/>
                <w:vertAlign w:val="subscript"/>
              </w:rPr>
              <w:t>2</w:t>
            </w:r>
            <w:r w:rsidRPr="009445F0">
              <w:rPr>
                <w:rFonts w:ascii="Arial" w:hAnsi="Arial" w:cs="Arial"/>
                <w:sz w:val="18"/>
                <w:szCs w:val="18"/>
              </w:rPr>
              <w:t>/hr</w:t>
            </w:r>
          </w:p>
        </w:tc>
      </w:tr>
      <w:tr w:rsidR="001268BC" w:rsidRPr="009445F0" w14:paraId="08C5B1A4" w14:textId="77777777" w:rsidTr="009445F0">
        <w:trPr>
          <w:trHeight w:val="187"/>
        </w:trPr>
        <w:tc>
          <w:tcPr>
            <w:tcW w:w="1267" w:type="pct"/>
            <w:vMerge/>
            <w:tcBorders>
              <w:left w:val="single" w:sz="18" w:space="0" w:color="000000"/>
              <w:right w:val="single" w:sz="18" w:space="0" w:color="000000"/>
            </w:tcBorders>
            <w:vAlign w:val="center"/>
          </w:tcPr>
          <w:p w14:paraId="783D90D2" w14:textId="77777777" w:rsidR="001268BC" w:rsidRPr="009445F0" w:rsidRDefault="001268BC" w:rsidP="009445F0">
            <w:pPr>
              <w:spacing w:line="276" w:lineRule="auto"/>
              <w:jc w:val="center"/>
              <w:rPr>
                <w:rFonts w:ascii="Arial" w:hAnsi="Arial" w:cs="Arial"/>
                <w:sz w:val="18"/>
                <w:szCs w:val="18"/>
              </w:rPr>
            </w:pPr>
          </w:p>
        </w:tc>
        <w:tc>
          <w:tcPr>
            <w:tcW w:w="1403" w:type="pct"/>
            <w:tcBorders>
              <w:left w:val="single" w:sz="18" w:space="0" w:color="000000"/>
              <w:right w:val="single" w:sz="18" w:space="0" w:color="000000"/>
            </w:tcBorders>
            <w:vAlign w:val="center"/>
          </w:tcPr>
          <w:p w14:paraId="6CE9C69E" w14:textId="77F5957E"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AWE </w:t>
            </w:r>
            <w:r w:rsidRPr="009445F0">
              <w:rPr>
                <w:rFonts w:ascii="Arial" w:hAnsi="Arial" w:cs="Arial"/>
                <w:sz w:val="18"/>
                <w:szCs w:val="18"/>
              </w:rPr>
              <w:fldChar w:fldCharType="begin" w:fldLock="1"/>
            </w:r>
            <w:r w:rsidR="00D27FDA">
              <w:rPr>
                <w:rFonts w:ascii="Arial" w:hAnsi="Arial" w:cs="Arial" w:hint="eastAsia"/>
                <w:sz w:val="18"/>
                <w:szCs w:val="18"/>
              </w:rPr>
              <w:instrText>ADDIN CSL_CITATION {"citationItems":[{"id":"ITEM-1","itemData":{"DOI":"10.1002/cben.201900012","ISSN":"2196-9744","author":[{"dropping-particle":"","family":"Roode</w:instrText>
            </w:r>
            <w:r w:rsidR="00D27FDA">
              <w:rPr>
                <w:rFonts w:ascii="Arial" w:hAnsi="Arial" w:cs="Arial" w:hint="eastAsia"/>
                <w:sz w:val="18"/>
                <w:szCs w:val="18"/>
              </w:rPr>
              <w:instrText>‐</w:instrText>
            </w:r>
            <w:r w:rsidR="00D27FDA">
              <w:rPr>
                <w:rFonts w:ascii="Arial" w:hAnsi="Arial" w:cs="Arial" w:hint="eastAsia"/>
                <w:sz w:val="18"/>
                <w:szCs w:val="18"/>
              </w:rPr>
              <w:instrText>Gutzmer","given":"Quirina I.","non-dropping-particle":"","parse-names":false,"suffix":""},{</w:instrText>
            </w:r>
            <w:r w:rsidR="00D27FDA">
              <w:rPr>
                <w:rFonts w:ascii="Arial" w:hAnsi="Arial" w:cs="Arial"/>
                <w:sz w:val="18"/>
                <w:szCs w:val="18"/>
              </w:rPr>
              <w:instrText>"dropping-particle":"","family":"Kaiser","given":"Doreen","non-dropping-particle":"","parse-names":false,"suffix":""},{"dropping-particle":"","family":"Bertau","given":"Martin","non-dropping-particle":"","parse-names":false,"suffix":""}],"container-title":"ChemBioEng Reviews","id":"ITEM-1","issue":"6","issued":{"date-parts":[["2019","12"]]},"page":"209-236","title":"Renewable Methanol Synthesis","type":"article-journal","volume":"6"},"uris":["http://www.mendeley.com/documents/?uuid=b84e963e-f84b-4f70-847d</w:instrText>
            </w:r>
            <w:r w:rsidR="00D27FDA">
              <w:rPr>
                <w:rFonts w:ascii="Arial" w:hAnsi="Arial" w:cs="Arial" w:hint="eastAsia"/>
                <w:sz w:val="18"/>
                <w:szCs w:val="18"/>
              </w:rPr>
              <w:instrText>-ec19d207cd34"]}],"mendeley":{"formattedCitation":"(Roode</w:instrText>
            </w:r>
            <w:r w:rsidR="00D27FDA">
              <w:rPr>
                <w:rFonts w:ascii="Arial" w:hAnsi="Arial" w:cs="Arial" w:hint="eastAsia"/>
                <w:sz w:val="18"/>
                <w:szCs w:val="18"/>
              </w:rPr>
              <w:instrText>‐</w:instrText>
            </w:r>
            <w:r w:rsidR="00D27FDA">
              <w:rPr>
                <w:rFonts w:ascii="Arial" w:hAnsi="Arial" w:cs="Arial" w:hint="eastAsia"/>
                <w:sz w:val="18"/>
                <w:szCs w:val="18"/>
              </w:rPr>
              <w:instrText>Gutzmer et al., 2019)","manualFormatting":"(Roode, 2019)","plainTextFormattedCitation":"(Roode</w:instrText>
            </w:r>
            <w:r w:rsidR="00D27FDA">
              <w:rPr>
                <w:rFonts w:ascii="Arial" w:hAnsi="Arial" w:cs="Arial" w:hint="eastAsia"/>
                <w:sz w:val="18"/>
                <w:szCs w:val="18"/>
              </w:rPr>
              <w:instrText>‐</w:instrText>
            </w:r>
            <w:r w:rsidR="00D27FDA">
              <w:rPr>
                <w:rFonts w:ascii="Arial" w:hAnsi="Arial" w:cs="Arial" w:hint="eastAsia"/>
                <w:sz w:val="18"/>
                <w:szCs w:val="18"/>
              </w:rPr>
              <w:instrText>Gutzmer et al., 2019)","previouslyFormattedCitation":"(Roode</w:instrText>
            </w:r>
            <w:r w:rsidR="00D27FDA">
              <w:rPr>
                <w:rFonts w:ascii="Arial" w:hAnsi="Arial" w:cs="Arial" w:hint="eastAsia"/>
                <w:sz w:val="18"/>
                <w:szCs w:val="18"/>
              </w:rPr>
              <w:instrText>‐</w:instrText>
            </w:r>
            <w:r w:rsidR="00D27FDA">
              <w:rPr>
                <w:rFonts w:ascii="Arial" w:hAnsi="Arial" w:cs="Arial" w:hint="eastAsia"/>
                <w:sz w:val="18"/>
                <w:szCs w:val="18"/>
              </w:rPr>
              <w:instrText>Gutzmer et al., 2019)"},"properties":{"no</w:instrText>
            </w:r>
            <w:r w:rsidR="00D27FDA">
              <w:rPr>
                <w:rFonts w:ascii="Arial" w:hAnsi="Arial" w:cs="Arial"/>
                <w:sz w:val="18"/>
                <w:szCs w:val="18"/>
              </w:rPr>
              <w:instrText>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(Roode, 2019)</w:t>
            </w:r>
            <w:r w:rsidRPr="009445F0">
              <w:rPr>
                <w:rFonts w:ascii="Arial" w:hAnsi="Arial" w:cs="Arial"/>
                <w:sz w:val="18"/>
                <w:szCs w:val="18"/>
              </w:rPr>
              <w:fldChar w:fldCharType="end"/>
            </w:r>
          </w:p>
        </w:tc>
        <w:tc>
          <w:tcPr>
            <w:tcW w:w="787" w:type="pct"/>
            <w:tcBorders>
              <w:left w:val="single" w:sz="18" w:space="0" w:color="000000"/>
              <w:right w:val="single" w:sz="18" w:space="0" w:color="000000"/>
            </w:tcBorders>
            <w:vAlign w:val="center"/>
          </w:tcPr>
          <w:p w14:paraId="5F757ED4"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0.0899</w:t>
            </w:r>
          </w:p>
        </w:tc>
        <w:tc>
          <w:tcPr>
            <w:tcW w:w="866" w:type="pct"/>
            <w:tcBorders>
              <w:left w:val="single" w:sz="18" w:space="0" w:color="000000"/>
              <w:right w:val="single" w:sz="18" w:space="0" w:color="000000"/>
            </w:tcBorders>
            <w:vAlign w:val="center"/>
          </w:tcPr>
          <w:p w14:paraId="398F665B"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107.856</w:t>
            </w:r>
          </w:p>
        </w:tc>
        <w:tc>
          <w:tcPr>
            <w:tcW w:w="677" w:type="pct"/>
            <w:tcBorders>
              <w:left w:val="single" w:sz="18" w:space="0" w:color="000000"/>
              <w:right w:val="single" w:sz="18" w:space="0" w:color="000000"/>
            </w:tcBorders>
            <w:vAlign w:val="center"/>
          </w:tcPr>
          <w:p w14:paraId="4D5674A5"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kg H</w:t>
            </w:r>
            <w:r w:rsidRPr="009445F0">
              <w:rPr>
                <w:rFonts w:ascii="Arial" w:hAnsi="Arial" w:cs="Arial"/>
                <w:sz w:val="18"/>
                <w:szCs w:val="18"/>
                <w:vertAlign w:val="subscript"/>
              </w:rPr>
              <w:t>2</w:t>
            </w:r>
            <w:r w:rsidRPr="009445F0">
              <w:rPr>
                <w:rFonts w:ascii="Arial" w:hAnsi="Arial" w:cs="Arial"/>
                <w:sz w:val="18"/>
                <w:szCs w:val="18"/>
              </w:rPr>
              <w:t>/hr</w:t>
            </w:r>
          </w:p>
        </w:tc>
      </w:tr>
      <w:tr w:rsidR="001268BC" w:rsidRPr="009445F0" w14:paraId="1AB6EE1D" w14:textId="77777777" w:rsidTr="009445F0">
        <w:trPr>
          <w:trHeight w:val="187"/>
        </w:trPr>
        <w:tc>
          <w:tcPr>
            <w:tcW w:w="1267" w:type="pct"/>
            <w:vMerge/>
            <w:tcBorders>
              <w:left w:val="single" w:sz="18" w:space="0" w:color="000000"/>
              <w:right w:val="single" w:sz="18" w:space="0" w:color="000000"/>
            </w:tcBorders>
            <w:vAlign w:val="center"/>
          </w:tcPr>
          <w:p w14:paraId="233C8FEF" w14:textId="77777777" w:rsidR="001268BC" w:rsidRPr="009445F0" w:rsidRDefault="001268BC" w:rsidP="009445F0">
            <w:pPr>
              <w:spacing w:line="276" w:lineRule="auto"/>
              <w:jc w:val="center"/>
              <w:rPr>
                <w:rFonts w:ascii="Arial" w:hAnsi="Arial" w:cs="Arial"/>
                <w:sz w:val="18"/>
                <w:szCs w:val="18"/>
              </w:rPr>
            </w:pPr>
          </w:p>
        </w:tc>
        <w:tc>
          <w:tcPr>
            <w:tcW w:w="1403" w:type="pct"/>
            <w:tcBorders>
              <w:left w:val="single" w:sz="18" w:space="0" w:color="000000"/>
              <w:right w:val="single" w:sz="18" w:space="0" w:color="000000"/>
            </w:tcBorders>
            <w:vAlign w:val="center"/>
          </w:tcPr>
          <w:p w14:paraId="656A95DE" w14:textId="627465E8"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SOEC </w:t>
            </w:r>
            <w:r w:rsidRPr="009445F0">
              <w:rPr>
                <w:rFonts w:ascii="Arial" w:hAnsi="Arial" w:cs="Arial"/>
                <w:sz w:val="18"/>
                <w:szCs w:val="18"/>
              </w:rPr>
              <w:fldChar w:fldCharType="begin" w:fldLock="1"/>
            </w:r>
            <w:r w:rsidR="00D27FDA">
              <w:rPr>
                <w:rFonts w:ascii="Arial" w:hAnsi="Arial" w:cs="Arial" w:hint="eastAsia"/>
                <w:sz w:val="18"/>
                <w:szCs w:val="18"/>
              </w:rPr>
              <w:instrText>ADDIN CSL_CITATION {"citationItems":[{"id":"ITEM-1","itemData":{"DOI":"10.1002/cben.201900012","ISSN":"2196-9744","author":[{"dropping-particle":"","family":"Roode</w:instrText>
            </w:r>
            <w:r w:rsidR="00D27FDA">
              <w:rPr>
                <w:rFonts w:ascii="Arial" w:hAnsi="Arial" w:cs="Arial" w:hint="eastAsia"/>
                <w:sz w:val="18"/>
                <w:szCs w:val="18"/>
              </w:rPr>
              <w:instrText>‐</w:instrText>
            </w:r>
            <w:r w:rsidR="00D27FDA">
              <w:rPr>
                <w:rFonts w:ascii="Arial" w:hAnsi="Arial" w:cs="Arial" w:hint="eastAsia"/>
                <w:sz w:val="18"/>
                <w:szCs w:val="18"/>
              </w:rPr>
              <w:instrText>Gutzmer","given":"Quirina I.","non-dropping-particle":"","parse-names":false,"suffix":""},{</w:instrText>
            </w:r>
            <w:r w:rsidR="00D27FDA">
              <w:rPr>
                <w:rFonts w:ascii="Arial" w:hAnsi="Arial" w:cs="Arial"/>
                <w:sz w:val="18"/>
                <w:szCs w:val="18"/>
              </w:rPr>
              <w:instrText>"dropping-particle":"","family":"Kaiser","given":"Doreen","non-dropping-particle":"","parse-names":false,"suffix":""},{"dropping-particle":"","family":"Bertau","given":"Martin","non-dropping-particle":"","parse-names":false,"suffix":""}],"container-title":"ChemBioEng Reviews","id":"ITEM-1","issue":"6","issued":{"date-parts":[["2019","12"]]},"page":"209-236","title":"Renewable Methanol Synthesis","type":"article-journal","volume":"6"},"uris":["http://www.mendeley.com/documents/?uuid=b84e963e-f84b-4f70-847d</w:instrText>
            </w:r>
            <w:r w:rsidR="00D27FDA">
              <w:rPr>
                <w:rFonts w:ascii="Arial" w:hAnsi="Arial" w:cs="Arial" w:hint="eastAsia"/>
                <w:sz w:val="18"/>
                <w:szCs w:val="18"/>
              </w:rPr>
              <w:instrText>-ec19d207cd34"]}],"mendeley":{"formattedCitation":"(Roode</w:instrText>
            </w:r>
            <w:r w:rsidR="00D27FDA">
              <w:rPr>
                <w:rFonts w:ascii="Arial" w:hAnsi="Arial" w:cs="Arial" w:hint="eastAsia"/>
                <w:sz w:val="18"/>
                <w:szCs w:val="18"/>
              </w:rPr>
              <w:instrText>‐</w:instrText>
            </w:r>
            <w:r w:rsidR="00D27FDA">
              <w:rPr>
                <w:rFonts w:ascii="Arial" w:hAnsi="Arial" w:cs="Arial" w:hint="eastAsia"/>
                <w:sz w:val="18"/>
                <w:szCs w:val="18"/>
              </w:rPr>
              <w:instrText>Gutzmer et al., 2019)","manualFormatting":"(Roode, 2019)","plainTextFormattedCitation":"(Roode</w:instrText>
            </w:r>
            <w:r w:rsidR="00D27FDA">
              <w:rPr>
                <w:rFonts w:ascii="Arial" w:hAnsi="Arial" w:cs="Arial" w:hint="eastAsia"/>
                <w:sz w:val="18"/>
                <w:szCs w:val="18"/>
              </w:rPr>
              <w:instrText>‐</w:instrText>
            </w:r>
            <w:r w:rsidR="00D27FDA">
              <w:rPr>
                <w:rFonts w:ascii="Arial" w:hAnsi="Arial" w:cs="Arial" w:hint="eastAsia"/>
                <w:sz w:val="18"/>
                <w:szCs w:val="18"/>
              </w:rPr>
              <w:instrText>Gutzmer et al., 2019)","previouslyFormattedCitation":"(Roode</w:instrText>
            </w:r>
            <w:r w:rsidR="00D27FDA">
              <w:rPr>
                <w:rFonts w:ascii="Arial" w:hAnsi="Arial" w:cs="Arial" w:hint="eastAsia"/>
                <w:sz w:val="18"/>
                <w:szCs w:val="18"/>
              </w:rPr>
              <w:instrText>‐</w:instrText>
            </w:r>
            <w:r w:rsidR="00D27FDA">
              <w:rPr>
                <w:rFonts w:ascii="Arial" w:hAnsi="Arial" w:cs="Arial" w:hint="eastAsia"/>
                <w:sz w:val="18"/>
                <w:szCs w:val="18"/>
              </w:rPr>
              <w:instrText>Gutzmer et al., 2019)"},"properties":{"no</w:instrText>
            </w:r>
            <w:r w:rsidR="00D27FDA">
              <w:rPr>
                <w:rFonts w:ascii="Arial" w:hAnsi="Arial" w:cs="Arial"/>
                <w:sz w:val="18"/>
                <w:szCs w:val="18"/>
              </w:rPr>
              <w:instrText>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(Roode, 2019)</w:t>
            </w:r>
            <w:r w:rsidRPr="009445F0">
              <w:rPr>
                <w:rFonts w:ascii="Arial" w:hAnsi="Arial" w:cs="Arial"/>
                <w:sz w:val="18"/>
                <w:szCs w:val="18"/>
              </w:rPr>
              <w:fldChar w:fldCharType="end"/>
            </w:r>
          </w:p>
        </w:tc>
        <w:tc>
          <w:tcPr>
            <w:tcW w:w="787" w:type="pct"/>
            <w:tcBorders>
              <w:left w:val="single" w:sz="18" w:space="0" w:color="000000"/>
              <w:right w:val="single" w:sz="18" w:space="0" w:color="000000"/>
            </w:tcBorders>
            <w:vAlign w:val="center"/>
          </w:tcPr>
          <w:p w14:paraId="450461E1"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0.0899</w:t>
            </w:r>
          </w:p>
        </w:tc>
        <w:tc>
          <w:tcPr>
            <w:tcW w:w="866" w:type="pct"/>
            <w:tcBorders>
              <w:left w:val="single" w:sz="18" w:space="0" w:color="000000"/>
              <w:right w:val="single" w:sz="18" w:space="0" w:color="000000"/>
            </w:tcBorders>
            <w:vAlign w:val="center"/>
          </w:tcPr>
          <w:p w14:paraId="542BD4B8"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5.662</w:t>
            </w:r>
          </w:p>
        </w:tc>
        <w:tc>
          <w:tcPr>
            <w:tcW w:w="677" w:type="pct"/>
            <w:tcBorders>
              <w:left w:val="single" w:sz="18" w:space="0" w:color="000000"/>
              <w:right w:val="single" w:sz="18" w:space="0" w:color="000000"/>
            </w:tcBorders>
            <w:vAlign w:val="center"/>
          </w:tcPr>
          <w:p w14:paraId="308C8AD6"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kg H</w:t>
            </w:r>
            <w:r w:rsidRPr="009445F0">
              <w:rPr>
                <w:rFonts w:ascii="Arial" w:hAnsi="Arial" w:cs="Arial"/>
                <w:sz w:val="18"/>
                <w:szCs w:val="18"/>
                <w:vertAlign w:val="subscript"/>
              </w:rPr>
              <w:t>2</w:t>
            </w:r>
            <w:r w:rsidRPr="009445F0">
              <w:rPr>
                <w:rFonts w:ascii="Arial" w:hAnsi="Arial" w:cs="Arial"/>
                <w:sz w:val="18"/>
                <w:szCs w:val="18"/>
              </w:rPr>
              <w:t>/hr</w:t>
            </w:r>
          </w:p>
        </w:tc>
      </w:tr>
      <w:tr w:rsidR="001268BC" w:rsidRPr="009445F0" w14:paraId="62667B20" w14:textId="77777777" w:rsidTr="009445F0">
        <w:trPr>
          <w:trHeight w:val="187"/>
        </w:trPr>
        <w:tc>
          <w:tcPr>
            <w:tcW w:w="1267" w:type="pct"/>
            <w:vMerge/>
            <w:tcBorders>
              <w:left w:val="single" w:sz="18" w:space="0" w:color="000000"/>
              <w:right w:val="single" w:sz="18" w:space="0" w:color="000000"/>
            </w:tcBorders>
            <w:vAlign w:val="center"/>
          </w:tcPr>
          <w:p w14:paraId="76D9951D" w14:textId="77777777" w:rsidR="001268BC" w:rsidRPr="009445F0" w:rsidRDefault="001268BC" w:rsidP="009445F0">
            <w:pPr>
              <w:spacing w:line="276" w:lineRule="auto"/>
              <w:jc w:val="center"/>
              <w:rPr>
                <w:rFonts w:ascii="Arial" w:hAnsi="Arial" w:cs="Arial"/>
                <w:sz w:val="18"/>
                <w:szCs w:val="18"/>
              </w:rPr>
            </w:pPr>
          </w:p>
        </w:tc>
        <w:tc>
          <w:tcPr>
            <w:tcW w:w="1403" w:type="pct"/>
            <w:tcBorders>
              <w:left w:val="single" w:sz="18" w:space="0" w:color="000000"/>
              <w:right w:val="single" w:sz="18" w:space="0" w:color="000000"/>
            </w:tcBorders>
            <w:vAlign w:val="center"/>
          </w:tcPr>
          <w:p w14:paraId="143A7DC9" w14:textId="5D8208F9"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AEM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{"citationItems":[{"id":"ITEM-1","itemData":{"author":[{"dropping-particle":"","family":"Benny Wang","given":"","non-dropping-particle":"","parse-names":false,"suffix":""}],"container-title":"Weiqing Industry Park","id":"ITEM-1","issued":{"date-parts":[["2012"]]},"title":"AEM Water Electrolysis Equipment","type":"webpage"},"uris":["http://www.mendeley.com/documents/?uuid=62d65d37-b543-4c54-8eb4-fe8f874dade1"]}],"mendeley":{"formattedCitation":"(Benny Wang, 2012)","manualFormatting":"(Wang, 2012)","plainTextFormattedCitation":"(Benny Wang, 2012)","previouslyFormattedCitation":"(Benny Wang, 2012)"},"properties":{"noteIndex":0},"schema":"https://github.com/citation-style-language/schema/raw/master/csl-citation.json"}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(Wang, 2012)</w:t>
            </w:r>
            <w:r w:rsidRPr="009445F0">
              <w:rPr>
                <w:rFonts w:ascii="Arial" w:hAnsi="Arial" w:cs="Arial"/>
                <w:sz w:val="18"/>
                <w:szCs w:val="18"/>
              </w:rPr>
              <w:fldChar w:fldCharType="end"/>
            </w:r>
          </w:p>
        </w:tc>
        <w:tc>
          <w:tcPr>
            <w:tcW w:w="787" w:type="pct"/>
            <w:tcBorders>
              <w:left w:val="single" w:sz="18" w:space="0" w:color="000000"/>
              <w:right w:val="single" w:sz="18" w:space="0" w:color="000000"/>
            </w:tcBorders>
            <w:vAlign w:val="center"/>
          </w:tcPr>
          <w:p w14:paraId="22F8526D"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0.0449</w:t>
            </w:r>
          </w:p>
        </w:tc>
        <w:tc>
          <w:tcPr>
            <w:tcW w:w="866" w:type="pct"/>
            <w:tcBorders>
              <w:left w:val="single" w:sz="18" w:space="0" w:color="000000"/>
              <w:right w:val="single" w:sz="18" w:space="0" w:color="000000"/>
            </w:tcBorders>
            <w:vAlign w:val="center"/>
          </w:tcPr>
          <w:p w14:paraId="2B7EE13D"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0.899</w:t>
            </w:r>
          </w:p>
        </w:tc>
        <w:tc>
          <w:tcPr>
            <w:tcW w:w="677" w:type="pct"/>
            <w:tcBorders>
              <w:left w:val="single" w:sz="18" w:space="0" w:color="000000"/>
              <w:right w:val="single" w:sz="18" w:space="0" w:color="000000"/>
            </w:tcBorders>
            <w:vAlign w:val="center"/>
          </w:tcPr>
          <w:p w14:paraId="3D939922"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kg H</w:t>
            </w:r>
            <w:r w:rsidRPr="009445F0">
              <w:rPr>
                <w:rFonts w:ascii="Arial" w:hAnsi="Arial" w:cs="Arial"/>
                <w:sz w:val="18"/>
                <w:szCs w:val="18"/>
                <w:vertAlign w:val="subscript"/>
              </w:rPr>
              <w:t>2</w:t>
            </w:r>
            <w:r w:rsidRPr="009445F0">
              <w:rPr>
                <w:rFonts w:ascii="Arial" w:hAnsi="Arial" w:cs="Arial"/>
                <w:sz w:val="18"/>
                <w:szCs w:val="18"/>
              </w:rPr>
              <w:t>/hr</w:t>
            </w:r>
          </w:p>
        </w:tc>
      </w:tr>
      <w:tr w:rsidR="001268BC" w:rsidRPr="009445F0" w14:paraId="76164A2A" w14:textId="77777777" w:rsidTr="009445F0">
        <w:trPr>
          <w:trHeight w:val="187"/>
        </w:trPr>
        <w:tc>
          <w:tcPr>
            <w:tcW w:w="1267" w:type="pct"/>
            <w:tcBorders>
              <w:left w:val="single" w:sz="18" w:space="0" w:color="000000"/>
              <w:bottom w:val="single" w:sz="18" w:space="0" w:color="000000"/>
              <w:right w:val="single" w:sz="18" w:space="0" w:color="000000"/>
            </w:tcBorders>
            <w:vAlign w:val="center"/>
          </w:tcPr>
          <w:p w14:paraId="108E694C"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Turquoise H</w:t>
            </w:r>
            <w:r w:rsidRPr="009445F0">
              <w:rPr>
                <w:rFonts w:ascii="Arial" w:hAnsi="Arial" w:cs="Arial"/>
                <w:sz w:val="18"/>
                <w:szCs w:val="18"/>
                <w:vertAlign w:val="subscript"/>
              </w:rPr>
              <w:t>2</w:t>
            </w:r>
            <w:r w:rsidRPr="009445F0">
              <w:rPr>
                <w:rFonts w:ascii="Arial" w:hAnsi="Arial" w:cs="Arial"/>
                <w:sz w:val="18"/>
                <w:szCs w:val="18"/>
              </w:rPr>
              <w:t xml:space="preserve"> Production</w:t>
            </w:r>
          </w:p>
        </w:tc>
        <w:tc>
          <w:tcPr>
            <w:tcW w:w="1403" w:type="pct"/>
            <w:tcBorders>
              <w:left w:val="single" w:sz="18" w:space="0" w:color="000000"/>
              <w:bottom w:val="single" w:sz="18" w:space="0" w:color="000000"/>
              <w:right w:val="single" w:sz="18" w:space="0" w:color="000000"/>
            </w:tcBorders>
            <w:vAlign w:val="center"/>
          </w:tcPr>
          <w:p w14:paraId="426A46F3" w14:textId="35F5F7EA" w:rsidR="001268BC" w:rsidRPr="009445F0" w:rsidRDefault="001268BC" w:rsidP="009445F0">
            <w:pPr>
              <w:spacing w:line="276" w:lineRule="auto"/>
              <w:jc w:val="center"/>
              <w:rPr>
                <w:rFonts w:ascii="Arial" w:hAnsi="Arial" w:cs="Arial"/>
                <w:sz w:val="18"/>
                <w:szCs w:val="18"/>
              </w:rPr>
            </w:pPr>
            <w:proofErr w:type="spellStart"/>
            <w:r w:rsidRPr="009445F0">
              <w:rPr>
                <w:rFonts w:ascii="Arial" w:hAnsi="Arial" w:cs="Arial"/>
                <w:sz w:val="18"/>
                <w:szCs w:val="18"/>
              </w:rPr>
              <w:t>Pyrolyser</w:t>
            </w:r>
            <w:proofErr w:type="spellEnd"/>
            <w:r w:rsidRPr="009445F0">
              <w:rPr>
                <w:rFonts w:ascii="Arial" w:hAnsi="Arial" w:cs="Arial"/>
                <w:sz w:val="18"/>
                <w:szCs w:val="18"/>
              </w:rPr>
              <w:t xml:space="preserve">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{"citationItems":[{"id":"ITEM-1","itemData":{"author":[{"dropping-particle":"","family":"Mesrobian","given":"Chris","non-dropping-particle":"","parse-names":false,"suffix":""}],"id":"ITEM-1","issued":{"date-parts":[["2021"]]},"number-of-pages":"11","title":"Taking Methane Pyrolysis from Concept to Industrial Plant","type":"report"},"uris":["http://www.mendeley.com/documents/?uuid=7059d10c-abd4-4984-9cd3-86a559c8dbb8"]}],"mendeley":{"formattedCitation":"(Mesrobian, 2021)","plainTextFormattedCitation":"(Mesrobian, 2021)","previouslyFormattedCitation":"(Mesrobian, 2021)"},"properties":{"noteIndex":0},"schema":"https://github.com/citation-style-language/schema/raw/master/csl-citation.json"}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(Mesrobian, 2021)</w:t>
            </w:r>
            <w:r w:rsidRPr="009445F0">
              <w:rPr>
                <w:rFonts w:ascii="Arial" w:hAnsi="Arial" w:cs="Arial"/>
                <w:sz w:val="18"/>
                <w:szCs w:val="18"/>
              </w:rPr>
              <w:fldChar w:fldCharType="end"/>
            </w:r>
          </w:p>
        </w:tc>
        <w:tc>
          <w:tcPr>
            <w:tcW w:w="787" w:type="pct"/>
            <w:tcBorders>
              <w:left w:val="single" w:sz="18" w:space="0" w:color="000000"/>
              <w:bottom w:val="single" w:sz="18" w:space="0" w:color="000000"/>
              <w:right w:val="single" w:sz="18" w:space="0" w:color="000000"/>
            </w:tcBorders>
            <w:vAlign w:val="center"/>
          </w:tcPr>
          <w:p w14:paraId="0230B6EA"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1</w:t>
            </w:r>
          </w:p>
        </w:tc>
        <w:tc>
          <w:tcPr>
            <w:tcW w:w="866" w:type="pct"/>
            <w:tcBorders>
              <w:left w:val="single" w:sz="18" w:space="0" w:color="000000"/>
              <w:bottom w:val="single" w:sz="18" w:space="0" w:color="000000"/>
              <w:right w:val="single" w:sz="18" w:space="0" w:color="000000"/>
            </w:tcBorders>
            <w:vAlign w:val="center"/>
          </w:tcPr>
          <w:p w14:paraId="21E5F24C"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400</w:t>
            </w:r>
          </w:p>
        </w:tc>
        <w:tc>
          <w:tcPr>
            <w:tcW w:w="677" w:type="pct"/>
            <w:tcBorders>
              <w:left w:val="single" w:sz="18" w:space="0" w:color="000000"/>
              <w:bottom w:val="single" w:sz="18" w:space="0" w:color="000000"/>
              <w:right w:val="single" w:sz="18" w:space="0" w:color="000000"/>
            </w:tcBorders>
            <w:vAlign w:val="center"/>
          </w:tcPr>
          <w:p w14:paraId="0D8D0570"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kg H</w:t>
            </w:r>
            <w:r w:rsidRPr="009445F0">
              <w:rPr>
                <w:rFonts w:ascii="Arial" w:hAnsi="Arial" w:cs="Arial"/>
                <w:sz w:val="18"/>
                <w:szCs w:val="18"/>
                <w:vertAlign w:val="subscript"/>
              </w:rPr>
              <w:t>2</w:t>
            </w:r>
            <w:r w:rsidRPr="009445F0">
              <w:rPr>
                <w:rFonts w:ascii="Arial" w:hAnsi="Arial" w:cs="Arial"/>
                <w:sz w:val="18"/>
                <w:szCs w:val="18"/>
              </w:rPr>
              <w:t>/hr</w:t>
            </w:r>
          </w:p>
        </w:tc>
      </w:tr>
    </w:tbl>
    <w:p w14:paraId="50281B1A" w14:textId="77777777" w:rsidR="001268BC" w:rsidRPr="009445F0" w:rsidRDefault="001268BC" w:rsidP="00D508E9">
      <w:pPr>
        <w:spacing w:after="0" w:line="360" w:lineRule="auto"/>
        <w:rPr>
          <w:rFonts w:ascii="Arial" w:hAnsi="Arial" w:cs="Arial"/>
          <w:sz w:val="18"/>
          <w:szCs w:val="18"/>
        </w:rPr>
      </w:pPr>
    </w:p>
    <w:p w14:paraId="635FF3DB" w14:textId="3B242447" w:rsidR="009445F0" w:rsidRPr="00D508E9" w:rsidRDefault="001268BC" w:rsidP="00D508E9">
      <w:pPr>
        <w:spacing w:after="0" w:line="360" w:lineRule="auto"/>
        <w:jc w:val="center"/>
        <w:rPr>
          <w:rFonts w:ascii="Arial" w:hAnsi="Arial" w:cs="Arial"/>
          <w:i/>
          <w:iCs/>
          <w:sz w:val="18"/>
          <w:szCs w:val="18"/>
        </w:rPr>
      </w:pPr>
      <w:r w:rsidRPr="009445F0">
        <w:rPr>
          <w:rFonts w:ascii="Arial" w:hAnsi="Arial" w:cs="Arial"/>
          <w:b/>
          <w:bCs/>
          <w:i/>
          <w:iCs/>
          <w:sz w:val="18"/>
          <w:szCs w:val="18"/>
          <w:lang w:val="en-US"/>
        </w:rPr>
        <w:t xml:space="preserve">Table </w:t>
      </w:r>
      <w:r w:rsidR="0088659A">
        <w:rPr>
          <w:rFonts w:ascii="Arial" w:hAnsi="Arial" w:cs="Arial"/>
          <w:b/>
          <w:bCs/>
          <w:i/>
          <w:iCs/>
          <w:sz w:val="18"/>
          <w:szCs w:val="18"/>
          <w:lang w:val="en-US"/>
        </w:rPr>
        <w:t>A</w:t>
      </w:r>
      <w:r w:rsidRPr="009445F0">
        <w:rPr>
          <w:rFonts w:ascii="Arial" w:hAnsi="Arial" w:cs="Arial"/>
          <w:b/>
          <w:bCs/>
          <w:i/>
          <w:iCs/>
          <w:sz w:val="18"/>
          <w:szCs w:val="18"/>
          <w:lang w:val="en-US"/>
        </w:rPr>
        <w:t xml:space="preserve">13: </w:t>
      </w:r>
      <w:r w:rsidRPr="009445F0">
        <w:rPr>
          <w:rFonts w:ascii="Arial" w:hAnsi="Arial" w:cs="Arial"/>
          <w:i/>
          <w:iCs/>
          <w:sz w:val="18"/>
          <w:szCs w:val="18"/>
          <w:lang w:val="en-US"/>
        </w:rPr>
        <w:t xml:space="preserve">Unit Cost for Maximum Capacity </w:t>
      </w:r>
      <w:proofErr w:type="spellStart"/>
      <w:r w:rsidRPr="009445F0">
        <w:rPr>
          <w:rFonts w:ascii="Arial" w:hAnsi="Arial" w:cs="Arial"/>
          <w:i/>
          <w:iCs/>
          <w:sz w:val="18"/>
          <w:szCs w:val="18"/>
          <w:lang w:val="en-US"/>
        </w:rPr>
        <w:t>Electrolyser</w:t>
      </w:r>
      <w:proofErr w:type="spellEnd"/>
      <w:r w:rsidRPr="009445F0">
        <w:rPr>
          <w:rFonts w:ascii="Arial" w:hAnsi="Arial" w:cs="Arial"/>
          <w:b/>
          <w:bCs/>
          <w:i/>
          <w:iCs/>
          <w:sz w:val="18"/>
          <w:szCs w:val="18"/>
          <w:lang w:val="en-US"/>
        </w:rPr>
        <w:t xml:space="preserve">  </w:t>
      </w:r>
      <w:r w:rsidRPr="009445F0">
        <w:rPr>
          <w:rFonts w:ascii="Arial" w:hAnsi="Arial" w:cs="Arial"/>
          <w:i/>
          <w:iCs/>
          <w:sz w:val="18"/>
          <w:szCs w:val="18"/>
        </w:rPr>
        <w:t xml:space="preserve"> </w:t>
      </w:r>
    </w:p>
    <w:tbl>
      <w:tblPr>
        <w:tblStyle w:val="TableGrid"/>
        <w:tblW w:w="5000" w:type="pct"/>
        <w:tblInd w:w="0" w:type="dxa"/>
        <w:tblLook w:val="04A0" w:firstRow="1" w:lastRow="0" w:firstColumn="1" w:lastColumn="0" w:noHBand="0" w:noVBand="1"/>
      </w:tblPr>
      <w:tblGrid>
        <w:gridCol w:w="4733"/>
        <w:gridCol w:w="3000"/>
        <w:gridCol w:w="2313"/>
      </w:tblGrid>
      <w:tr w:rsidR="001268BC" w:rsidRPr="009445F0" w14:paraId="338859E8" w14:textId="77777777" w:rsidTr="000E579C">
        <w:tc>
          <w:tcPr>
            <w:tcW w:w="2356" w:type="pct"/>
            <w:tcBorders>
              <w:top w:val="single" w:sz="18" w:space="0" w:color="000000"/>
              <w:left w:val="single" w:sz="18" w:space="0" w:color="000000"/>
              <w:bottom w:val="single" w:sz="18" w:space="0" w:color="000000"/>
              <w:right w:val="single" w:sz="18" w:space="0" w:color="000000"/>
            </w:tcBorders>
            <w:shd w:val="clear" w:color="auto" w:fill="A8FFB1"/>
            <w:vAlign w:val="center"/>
          </w:tcPr>
          <w:p w14:paraId="1E9CC50E"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Technology</w:t>
            </w:r>
          </w:p>
        </w:tc>
        <w:tc>
          <w:tcPr>
            <w:tcW w:w="1493" w:type="pct"/>
            <w:tcBorders>
              <w:top w:val="single" w:sz="18" w:space="0" w:color="000000"/>
              <w:left w:val="single" w:sz="18" w:space="0" w:color="000000"/>
              <w:bottom w:val="single" w:sz="18" w:space="0" w:color="000000"/>
              <w:right w:val="single" w:sz="18" w:space="0" w:color="000000"/>
            </w:tcBorders>
            <w:shd w:val="clear" w:color="auto" w:fill="A8FFB1"/>
            <w:vAlign w:val="center"/>
          </w:tcPr>
          <w:p w14:paraId="7F406101"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Value</w:t>
            </w:r>
          </w:p>
        </w:tc>
        <w:tc>
          <w:tcPr>
            <w:tcW w:w="1151" w:type="pct"/>
            <w:tcBorders>
              <w:top w:val="single" w:sz="18" w:space="0" w:color="000000"/>
              <w:left w:val="single" w:sz="18" w:space="0" w:color="000000"/>
              <w:bottom w:val="single" w:sz="18" w:space="0" w:color="000000"/>
              <w:right w:val="single" w:sz="18" w:space="0" w:color="000000"/>
            </w:tcBorders>
            <w:shd w:val="clear" w:color="auto" w:fill="A8FFB1"/>
            <w:vAlign w:val="center"/>
          </w:tcPr>
          <w:p w14:paraId="63D66909"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Unit</w:t>
            </w:r>
          </w:p>
        </w:tc>
      </w:tr>
      <w:tr w:rsidR="001268BC" w:rsidRPr="009445F0" w14:paraId="5EABB269" w14:textId="77777777" w:rsidTr="000E579C">
        <w:tc>
          <w:tcPr>
            <w:tcW w:w="2356" w:type="pct"/>
            <w:tcBorders>
              <w:top w:val="single" w:sz="18" w:space="0" w:color="000000"/>
              <w:left w:val="single" w:sz="18" w:space="0" w:color="000000"/>
              <w:right w:val="single" w:sz="18" w:space="0" w:color="000000"/>
            </w:tcBorders>
            <w:vAlign w:val="center"/>
          </w:tcPr>
          <w:p w14:paraId="10EDF8BE"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PEM</w:t>
            </w:r>
          </w:p>
        </w:tc>
        <w:tc>
          <w:tcPr>
            <w:tcW w:w="1493" w:type="pct"/>
            <w:tcBorders>
              <w:top w:val="single" w:sz="18" w:space="0" w:color="000000"/>
              <w:left w:val="single" w:sz="18" w:space="0" w:color="000000"/>
              <w:right w:val="single" w:sz="18" w:space="0" w:color="000000"/>
            </w:tcBorders>
            <w:vAlign w:val="center"/>
          </w:tcPr>
          <w:p w14:paraId="146C543D"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3.99</w:t>
            </w:r>
          </w:p>
        </w:tc>
        <w:tc>
          <w:tcPr>
            <w:tcW w:w="1151" w:type="pct"/>
            <w:tcBorders>
              <w:top w:val="single" w:sz="18" w:space="0" w:color="000000"/>
              <w:left w:val="single" w:sz="18" w:space="0" w:color="000000"/>
              <w:right w:val="single" w:sz="18" w:space="0" w:color="000000"/>
            </w:tcBorders>
            <w:vAlign w:val="center"/>
          </w:tcPr>
          <w:p w14:paraId="1AE85904"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w:t>
            </w:r>
          </w:p>
        </w:tc>
      </w:tr>
      <w:tr w:rsidR="001268BC" w:rsidRPr="009445F0" w14:paraId="2F96390E" w14:textId="77777777" w:rsidTr="000E579C">
        <w:tc>
          <w:tcPr>
            <w:tcW w:w="2356" w:type="pct"/>
            <w:tcBorders>
              <w:left w:val="single" w:sz="18" w:space="0" w:color="000000"/>
              <w:right w:val="single" w:sz="18" w:space="0" w:color="000000"/>
            </w:tcBorders>
            <w:vAlign w:val="center"/>
          </w:tcPr>
          <w:p w14:paraId="7BE85CAE"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AWE</w:t>
            </w:r>
          </w:p>
        </w:tc>
        <w:tc>
          <w:tcPr>
            <w:tcW w:w="1493" w:type="pct"/>
            <w:tcBorders>
              <w:left w:val="single" w:sz="18" w:space="0" w:color="000000"/>
              <w:right w:val="single" w:sz="18" w:space="0" w:color="000000"/>
            </w:tcBorders>
            <w:vAlign w:val="center"/>
          </w:tcPr>
          <w:p w14:paraId="1C3866B0"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9.20</w:t>
            </w:r>
          </w:p>
        </w:tc>
        <w:tc>
          <w:tcPr>
            <w:tcW w:w="1151" w:type="pct"/>
            <w:tcBorders>
              <w:left w:val="single" w:sz="18" w:space="0" w:color="000000"/>
              <w:right w:val="single" w:sz="18" w:space="0" w:color="000000"/>
            </w:tcBorders>
            <w:vAlign w:val="center"/>
          </w:tcPr>
          <w:p w14:paraId="3AC841EF"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w:t>
            </w:r>
          </w:p>
        </w:tc>
      </w:tr>
      <w:tr w:rsidR="001268BC" w:rsidRPr="009445F0" w14:paraId="1E96299C" w14:textId="77777777" w:rsidTr="000E579C">
        <w:tc>
          <w:tcPr>
            <w:tcW w:w="2356" w:type="pct"/>
            <w:tcBorders>
              <w:left w:val="single" w:sz="18" w:space="0" w:color="000000"/>
              <w:right w:val="single" w:sz="18" w:space="0" w:color="000000"/>
            </w:tcBorders>
            <w:vAlign w:val="center"/>
          </w:tcPr>
          <w:p w14:paraId="31178FA6"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SOEC</w:t>
            </w:r>
          </w:p>
        </w:tc>
        <w:tc>
          <w:tcPr>
            <w:tcW w:w="1493" w:type="pct"/>
            <w:tcBorders>
              <w:left w:val="single" w:sz="18" w:space="0" w:color="000000"/>
              <w:right w:val="single" w:sz="18" w:space="0" w:color="000000"/>
            </w:tcBorders>
            <w:vAlign w:val="center"/>
          </w:tcPr>
          <w:p w14:paraId="6FEEAAAB"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0.53</w:t>
            </w:r>
          </w:p>
        </w:tc>
        <w:tc>
          <w:tcPr>
            <w:tcW w:w="1151" w:type="pct"/>
            <w:tcBorders>
              <w:left w:val="single" w:sz="18" w:space="0" w:color="000000"/>
              <w:right w:val="single" w:sz="18" w:space="0" w:color="000000"/>
            </w:tcBorders>
            <w:vAlign w:val="center"/>
          </w:tcPr>
          <w:p w14:paraId="32165A62"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w:t>
            </w:r>
          </w:p>
        </w:tc>
      </w:tr>
      <w:tr w:rsidR="001268BC" w:rsidRPr="009445F0" w14:paraId="1FFD2A23" w14:textId="77777777" w:rsidTr="000E579C">
        <w:tc>
          <w:tcPr>
            <w:tcW w:w="2356" w:type="pct"/>
            <w:tcBorders>
              <w:left w:val="single" w:sz="18" w:space="0" w:color="000000"/>
              <w:bottom w:val="single" w:sz="18" w:space="0" w:color="000000"/>
              <w:right w:val="single" w:sz="18" w:space="0" w:color="000000"/>
            </w:tcBorders>
            <w:vAlign w:val="center"/>
          </w:tcPr>
          <w:p w14:paraId="01C70E82"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AEM</w:t>
            </w:r>
          </w:p>
        </w:tc>
        <w:tc>
          <w:tcPr>
            <w:tcW w:w="1493" w:type="pct"/>
            <w:tcBorders>
              <w:left w:val="single" w:sz="18" w:space="0" w:color="000000"/>
              <w:bottom w:val="single" w:sz="18" w:space="0" w:color="000000"/>
              <w:right w:val="single" w:sz="18" w:space="0" w:color="000000"/>
            </w:tcBorders>
            <w:vAlign w:val="center"/>
          </w:tcPr>
          <w:p w14:paraId="4C84339E"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0.23</w:t>
            </w:r>
          </w:p>
        </w:tc>
        <w:tc>
          <w:tcPr>
            <w:tcW w:w="1151" w:type="pct"/>
            <w:tcBorders>
              <w:left w:val="single" w:sz="18" w:space="0" w:color="000000"/>
              <w:bottom w:val="single" w:sz="18" w:space="0" w:color="000000"/>
              <w:right w:val="single" w:sz="18" w:space="0" w:color="000000"/>
            </w:tcBorders>
            <w:vAlign w:val="center"/>
          </w:tcPr>
          <w:p w14:paraId="06BD1C8E"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w:t>
            </w:r>
          </w:p>
        </w:tc>
      </w:tr>
    </w:tbl>
    <w:p w14:paraId="4E463D2E" w14:textId="77777777" w:rsidR="001268BC" w:rsidRPr="009445F0" w:rsidRDefault="001268BC" w:rsidP="00D508E9">
      <w:pPr>
        <w:spacing w:after="0" w:line="360" w:lineRule="auto"/>
        <w:rPr>
          <w:rFonts w:ascii="Arial" w:hAnsi="Arial" w:cs="Arial"/>
          <w:sz w:val="18"/>
          <w:szCs w:val="18"/>
        </w:rPr>
      </w:pPr>
    </w:p>
    <w:p w14:paraId="31CED21B" w14:textId="1DA9CDCF" w:rsidR="009445F0" w:rsidRPr="00D508E9" w:rsidRDefault="001268BC" w:rsidP="00D508E9">
      <w:pPr>
        <w:spacing w:after="0" w:line="360" w:lineRule="auto"/>
        <w:jc w:val="center"/>
        <w:rPr>
          <w:rFonts w:ascii="Arial" w:hAnsi="Arial" w:cs="Arial"/>
          <w:i/>
          <w:iCs/>
          <w:sz w:val="18"/>
          <w:szCs w:val="18"/>
        </w:rPr>
      </w:pPr>
      <w:r w:rsidRPr="009445F0">
        <w:rPr>
          <w:rFonts w:ascii="Arial" w:hAnsi="Arial" w:cs="Arial"/>
          <w:b/>
          <w:bCs/>
          <w:i/>
          <w:iCs/>
          <w:sz w:val="18"/>
          <w:szCs w:val="18"/>
          <w:lang w:val="en-US"/>
        </w:rPr>
        <w:t xml:space="preserve">Table </w:t>
      </w:r>
      <w:r w:rsidR="0088659A">
        <w:rPr>
          <w:rFonts w:ascii="Arial" w:hAnsi="Arial" w:cs="Arial"/>
          <w:b/>
          <w:bCs/>
          <w:i/>
          <w:iCs/>
          <w:sz w:val="18"/>
          <w:szCs w:val="18"/>
          <w:lang w:val="en-US"/>
        </w:rPr>
        <w:t>A</w:t>
      </w:r>
      <w:r w:rsidRPr="009445F0">
        <w:rPr>
          <w:rFonts w:ascii="Arial" w:hAnsi="Arial" w:cs="Arial"/>
          <w:b/>
          <w:bCs/>
          <w:i/>
          <w:iCs/>
          <w:sz w:val="18"/>
          <w:szCs w:val="18"/>
          <w:lang w:val="en-US"/>
        </w:rPr>
        <w:t xml:space="preserve">14: </w:t>
      </w:r>
      <w:r w:rsidRPr="009445F0">
        <w:rPr>
          <w:rFonts w:ascii="Arial" w:hAnsi="Arial" w:cs="Arial"/>
          <w:i/>
          <w:iCs/>
          <w:sz w:val="18"/>
          <w:szCs w:val="18"/>
          <w:lang w:val="en-US"/>
        </w:rPr>
        <w:t>Storage Condition</w:t>
      </w:r>
      <w:r w:rsidRPr="009445F0">
        <w:rPr>
          <w:rFonts w:ascii="Arial" w:hAnsi="Arial" w:cs="Arial"/>
          <w:b/>
          <w:bCs/>
          <w:i/>
          <w:iCs/>
          <w:sz w:val="18"/>
          <w:szCs w:val="18"/>
          <w:lang w:val="en-US"/>
        </w:rPr>
        <w:t xml:space="preserve">  </w:t>
      </w:r>
      <w:r w:rsidRPr="009445F0">
        <w:rPr>
          <w:rFonts w:ascii="Arial" w:hAnsi="Arial" w:cs="Arial"/>
          <w:i/>
          <w:iCs/>
          <w:sz w:val="18"/>
          <w:szCs w:val="18"/>
        </w:rPr>
        <w:t xml:space="preserve"> </w:t>
      </w:r>
    </w:p>
    <w:tbl>
      <w:tblPr>
        <w:tblStyle w:val="TableGrid"/>
        <w:tblW w:w="5000" w:type="pct"/>
        <w:tblInd w:w="0" w:type="dxa"/>
        <w:tblLook w:val="04A0" w:firstRow="1" w:lastRow="0" w:firstColumn="1" w:lastColumn="0" w:noHBand="0" w:noVBand="1"/>
      </w:tblPr>
      <w:tblGrid>
        <w:gridCol w:w="4733"/>
        <w:gridCol w:w="3000"/>
        <w:gridCol w:w="2313"/>
      </w:tblGrid>
      <w:tr w:rsidR="001268BC" w:rsidRPr="009445F0" w14:paraId="2B320908" w14:textId="77777777" w:rsidTr="000E579C">
        <w:tc>
          <w:tcPr>
            <w:tcW w:w="2356" w:type="pct"/>
            <w:tcBorders>
              <w:top w:val="single" w:sz="18" w:space="0" w:color="000000"/>
              <w:left w:val="single" w:sz="18" w:space="0" w:color="000000"/>
              <w:bottom w:val="single" w:sz="18" w:space="0" w:color="000000"/>
              <w:right w:val="single" w:sz="18" w:space="0" w:color="000000"/>
            </w:tcBorders>
            <w:shd w:val="clear" w:color="auto" w:fill="A8FFB1"/>
            <w:vAlign w:val="center"/>
          </w:tcPr>
          <w:p w14:paraId="360C573A"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Technology</w:t>
            </w:r>
          </w:p>
        </w:tc>
        <w:tc>
          <w:tcPr>
            <w:tcW w:w="1493" w:type="pct"/>
            <w:tcBorders>
              <w:top w:val="single" w:sz="18" w:space="0" w:color="000000"/>
              <w:left w:val="single" w:sz="18" w:space="0" w:color="000000"/>
              <w:bottom w:val="single" w:sz="18" w:space="0" w:color="000000"/>
              <w:right w:val="single" w:sz="18" w:space="0" w:color="000000"/>
            </w:tcBorders>
            <w:shd w:val="clear" w:color="auto" w:fill="A8FFB1"/>
            <w:vAlign w:val="center"/>
          </w:tcPr>
          <w:p w14:paraId="127B20F8"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Value</w:t>
            </w:r>
          </w:p>
        </w:tc>
        <w:tc>
          <w:tcPr>
            <w:tcW w:w="1151" w:type="pct"/>
            <w:tcBorders>
              <w:top w:val="single" w:sz="18" w:space="0" w:color="000000"/>
              <w:left w:val="single" w:sz="18" w:space="0" w:color="000000"/>
              <w:bottom w:val="single" w:sz="18" w:space="0" w:color="000000"/>
              <w:right w:val="single" w:sz="18" w:space="0" w:color="000000"/>
            </w:tcBorders>
            <w:shd w:val="clear" w:color="auto" w:fill="A8FFB1"/>
          </w:tcPr>
          <w:p w14:paraId="18AC75DB"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Unit</w:t>
            </w:r>
          </w:p>
        </w:tc>
      </w:tr>
      <w:tr w:rsidR="001268BC" w:rsidRPr="009445F0" w14:paraId="2B5A81CF" w14:textId="77777777" w:rsidTr="000E579C">
        <w:tc>
          <w:tcPr>
            <w:tcW w:w="2356" w:type="pct"/>
            <w:tcBorders>
              <w:top w:val="single" w:sz="18" w:space="0" w:color="000000"/>
              <w:left w:val="single" w:sz="18" w:space="0" w:color="000000"/>
              <w:right w:val="single" w:sz="18" w:space="0" w:color="000000"/>
            </w:tcBorders>
            <w:vAlign w:val="center"/>
          </w:tcPr>
          <w:p w14:paraId="399153C5" w14:textId="43101062"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C</w:t>
            </w:r>
            <w:r w:rsidR="001A5E8F">
              <w:rPr>
                <w:rFonts w:ascii="Arial" w:hAnsi="Arial" w:cs="Arial"/>
                <w:sz w:val="18"/>
                <w:szCs w:val="18"/>
              </w:rPr>
              <w:t xml:space="preserve">ompressed </w:t>
            </w:r>
            <w:bookmarkStart w:id="0" w:name="_GoBack"/>
            <w:bookmarkEnd w:id="0"/>
            <w:r w:rsidRPr="009445F0">
              <w:rPr>
                <w:rFonts w:ascii="Arial" w:hAnsi="Arial" w:cs="Arial"/>
                <w:sz w:val="18"/>
                <w:szCs w:val="18"/>
              </w:rPr>
              <w:t>H</w:t>
            </w:r>
            <w:r w:rsidRPr="009445F0">
              <w:rPr>
                <w:rFonts w:ascii="Arial" w:hAnsi="Arial" w:cs="Arial"/>
                <w:sz w:val="18"/>
                <w:szCs w:val="18"/>
                <w:vertAlign w:val="subscript"/>
              </w:rPr>
              <w:t>2</w:t>
            </w:r>
          </w:p>
        </w:tc>
        <w:tc>
          <w:tcPr>
            <w:tcW w:w="1493" w:type="pct"/>
            <w:tcBorders>
              <w:top w:val="single" w:sz="18" w:space="0" w:color="000000"/>
              <w:left w:val="single" w:sz="18" w:space="0" w:color="000000"/>
              <w:right w:val="single" w:sz="18" w:space="0" w:color="000000"/>
            </w:tcBorders>
            <w:vAlign w:val="center"/>
          </w:tcPr>
          <w:p w14:paraId="17477A92" w14:textId="6FA2F4B0"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70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10.1533/9780857097422.1.117","author":[{"dropping-particle":"","family":"Sheffield","given":"J.W.","non-dropping-particle":"","parse-names":false,"suffix":""},{"dropping-particle":"","family":"Martin","given":"K.B.","non-dropping-particle":"","parse-names":false,"suffix":""},{"dropping-particle":"","family":"Folkson","given":"R.","non-dropping-particle":"","parse-names":false,"suffix":""}],"container-title":"Alternative Fuels and Advanced Vehicle Technologies for Improved Environmental Performance","id":"ITEM-1","issued":{"date-parts":[["2014"]]},"page":"117-137","publisher":"Elsevier","title":"Electricity and hydrogen as energy vectors for transportation vehicles","type":"chapter"},"uris":["http://www.mendeley.com/documents/?uuid=6bcddb30-daf1-4593-a9fb-03aee7463ef4"]}],"mendeley":{"formattedCitation":"(Sheffield et al., 2014)","manualFormatting":"(Sheffield, 2014)","plainTextFormattedCitation":"(Sheffield et al., 2014)","previouslyFormattedCitation":"(Sheffield et al., 2014)"},"properties":{"noteIndex":0},"schema":"https://github.com/citation-style-language/schema/raw/master/csl-citation.json"}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(Sheffield, 2014)</w:t>
            </w:r>
            <w:r w:rsidRPr="009445F0">
              <w:rPr>
                <w:rFonts w:ascii="Arial" w:hAnsi="Arial" w:cs="Arial"/>
                <w:sz w:val="18"/>
                <w:szCs w:val="18"/>
              </w:rPr>
              <w:fldChar w:fldCharType="end"/>
            </w:r>
          </w:p>
        </w:tc>
        <w:tc>
          <w:tcPr>
            <w:tcW w:w="1151" w:type="pct"/>
            <w:tcBorders>
              <w:top w:val="single" w:sz="18" w:space="0" w:color="000000"/>
              <w:left w:val="single" w:sz="18" w:space="0" w:color="000000"/>
              <w:right w:val="single" w:sz="18" w:space="0" w:color="000000"/>
            </w:tcBorders>
          </w:tcPr>
          <w:p w14:paraId="2C35E9E3"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MPa</w:t>
            </w:r>
          </w:p>
        </w:tc>
      </w:tr>
      <w:tr w:rsidR="001268BC" w:rsidRPr="009445F0" w14:paraId="4C3D0FFF" w14:textId="77777777" w:rsidTr="000E579C">
        <w:tc>
          <w:tcPr>
            <w:tcW w:w="2356" w:type="pct"/>
            <w:tcBorders>
              <w:left w:val="single" w:sz="18" w:space="0" w:color="000000"/>
              <w:right w:val="single" w:sz="18" w:space="0" w:color="000000"/>
            </w:tcBorders>
            <w:vAlign w:val="center"/>
          </w:tcPr>
          <w:p w14:paraId="4A329B98"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LH</w:t>
            </w:r>
            <w:r w:rsidRPr="009445F0">
              <w:rPr>
                <w:rFonts w:ascii="Arial" w:hAnsi="Arial" w:cs="Arial"/>
                <w:sz w:val="18"/>
                <w:szCs w:val="18"/>
                <w:vertAlign w:val="subscript"/>
              </w:rPr>
              <w:t>2</w:t>
            </w:r>
          </w:p>
        </w:tc>
        <w:tc>
          <w:tcPr>
            <w:tcW w:w="1493" w:type="pct"/>
            <w:tcBorders>
              <w:left w:val="single" w:sz="18" w:space="0" w:color="000000"/>
              <w:right w:val="single" w:sz="18" w:space="0" w:color="000000"/>
            </w:tcBorders>
            <w:vAlign w:val="center"/>
          </w:tcPr>
          <w:p w14:paraId="1287F54E" w14:textId="3161BF1D"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20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{"citationItems":[{"id":"ITEM-1","itemData":{"author":[{"dropping-particle":"","family":"Gardiner","given":"Monterey","non-dropping-particle":"","parse-names":false,"suffix":""}],"id":"ITEM-1","issued":{"date-parts":[["2009"]]},"number-of-pages":"1 - 6","title":"Energy requirements for hydrogen gas compression and liquefaction as related to vehicle storage needs","type":"report"},"uris":["http://www.mendeley.com/documents/?uuid=bed24fb4-6dcd-4d5e-8845-2ab033691a43"]}],"mendeley":{"formattedCitation":"(Gardiner, 2009)","plainTextFormattedCitation":"(Gardiner, 2009)","previouslyFormattedCitation":"(Gardiner, 2009)"},"properties":{"noteIndex":0},"schema":"https://github.com/citation-style-language/schema/raw/master/csl-citation.json"}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(Gardiner, 2009)</w:t>
            </w:r>
            <w:r w:rsidRPr="009445F0">
              <w:rPr>
                <w:rFonts w:ascii="Arial" w:hAnsi="Arial" w:cs="Arial"/>
                <w:sz w:val="18"/>
                <w:szCs w:val="18"/>
              </w:rPr>
              <w:fldChar w:fldCharType="end"/>
            </w:r>
          </w:p>
        </w:tc>
        <w:tc>
          <w:tcPr>
            <w:tcW w:w="1151" w:type="pct"/>
            <w:tcBorders>
              <w:left w:val="single" w:sz="18" w:space="0" w:color="000000"/>
              <w:right w:val="single" w:sz="18" w:space="0" w:color="000000"/>
            </w:tcBorders>
          </w:tcPr>
          <w:p w14:paraId="04DA7812"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K</w:t>
            </w:r>
          </w:p>
        </w:tc>
      </w:tr>
      <w:tr w:rsidR="001268BC" w:rsidRPr="009445F0" w14:paraId="419D3486" w14:textId="77777777" w:rsidTr="000E579C">
        <w:tc>
          <w:tcPr>
            <w:tcW w:w="2356" w:type="pct"/>
            <w:tcBorders>
              <w:left w:val="single" w:sz="18" w:space="0" w:color="000000"/>
              <w:right w:val="single" w:sz="18" w:space="0" w:color="000000"/>
            </w:tcBorders>
            <w:vAlign w:val="center"/>
          </w:tcPr>
          <w:p w14:paraId="5D9B9216"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Metal Hydride</w:t>
            </w:r>
          </w:p>
        </w:tc>
        <w:tc>
          <w:tcPr>
            <w:tcW w:w="1493" w:type="pct"/>
            <w:tcBorders>
              <w:left w:val="single" w:sz="18" w:space="0" w:color="000000"/>
              <w:right w:val="single" w:sz="18" w:space="0" w:color="000000"/>
            </w:tcBorders>
            <w:vAlign w:val="center"/>
          </w:tcPr>
          <w:p w14:paraId="344037C6" w14:textId="213B03DF"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1 </w:t>
            </w:r>
            <w:r w:rsidRPr="009445F0">
              <w:rPr>
                <w:rFonts w:ascii="Arial" w:hAnsi="Arial" w:cs="Arial"/>
                <w:sz w:val="18"/>
                <w:szCs w:val="18"/>
                <w:vertAlign w:val="subscript"/>
              </w:rPr>
              <w:fldChar w:fldCharType="begin" w:fldLock="1"/>
            </w:r>
            <w:r w:rsidR="00D27FDA">
              <w:rPr>
                <w:rFonts w:ascii="Arial" w:hAnsi="Arial" w:cs="Arial"/>
                <w:sz w:val="18"/>
                <w:szCs w:val="18"/>
                <w:vertAlign w:val="subscript"/>
              </w:rPr>
              <w:instrText>ADDIN CSL_CITATION {"citationItems":[{"id":"ITEM-1","itemData":{"DOI":"10.1533/9780857097422.1.117","author":[{"dropping-particle":"","family":"Sheffield","given":"J.W.","non-dropping-particle":"","parse-names":false,"suffix":""},{"dropping-particle":"","family":"Martin","given":"K.B.","non-dropping-particle":"","parse-names":false,"suffix":""},{"dropping-particle":"","family":"Folkson","given":"R.","non-dropping-particle":"","parse-names":false,"suffix":""}],"container-title":"Alternative Fuels and Advanced Vehicle Technologies for Improved Environmental Performance","id":"ITEM-1","issued":{"date-parts":[["2014"]]},"page":"117-137","publisher":"Elsevier","title":"Electricity and hydrogen as energy vectors for transportation vehicles","type":"chapter"},"uris":["http://www.mendeley.com/documents/?uuid=6bcddb30-daf1-4593-a9fb-03aee7463ef4"]}],"mendeley":{"formattedCitation":"(Sheffield et al., 2014)","manualFormatting":"(Sheffield, 2014)","plainTextFormattedCitation":"(Sheffield et al., 2014)","previouslyFormattedCitation":"(Sheffield et al., 2014)"},"properties":{"noteIndex":0},"schema":"https://github.com/citation-style-language/schema/raw/master/csl-citation.json"}</w:instrText>
            </w:r>
            <w:r w:rsidRPr="009445F0">
              <w:rPr>
                <w:rFonts w:ascii="Arial" w:hAnsi="Arial" w:cs="Arial"/>
                <w:sz w:val="18"/>
                <w:szCs w:val="18"/>
                <w:vertAlign w:val="subscript"/>
              </w:rPr>
              <w:fldChar w:fldCharType="separate"/>
            </w:r>
            <w:r w:rsidRPr="009445F0">
              <w:rPr>
                <w:rFonts w:ascii="Arial" w:hAnsi="Arial" w:cs="Arial"/>
                <w:noProof/>
                <w:sz w:val="18"/>
                <w:szCs w:val="18"/>
              </w:rPr>
              <w:t>(Sheffield, 2014)</w:t>
            </w:r>
            <w:r w:rsidRPr="009445F0">
              <w:rPr>
                <w:rFonts w:ascii="Arial" w:hAnsi="Arial" w:cs="Arial"/>
                <w:sz w:val="18"/>
                <w:szCs w:val="18"/>
                <w:vertAlign w:val="subscript"/>
              </w:rPr>
              <w:fldChar w:fldCharType="end"/>
            </w:r>
          </w:p>
        </w:tc>
        <w:tc>
          <w:tcPr>
            <w:tcW w:w="1151" w:type="pct"/>
            <w:tcBorders>
              <w:left w:val="single" w:sz="18" w:space="0" w:color="000000"/>
              <w:right w:val="single" w:sz="18" w:space="0" w:color="000000"/>
            </w:tcBorders>
          </w:tcPr>
          <w:p w14:paraId="1EA88258"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MPa</w:t>
            </w:r>
          </w:p>
        </w:tc>
      </w:tr>
      <w:tr w:rsidR="001268BC" w:rsidRPr="009445F0" w14:paraId="7935546A" w14:textId="77777777" w:rsidTr="000E579C">
        <w:tc>
          <w:tcPr>
            <w:tcW w:w="2356" w:type="pct"/>
            <w:tcBorders>
              <w:left w:val="single" w:sz="18" w:space="0" w:color="000000"/>
              <w:right w:val="single" w:sz="18" w:space="0" w:color="000000"/>
            </w:tcBorders>
            <w:vAlign w:val="center"/>
          </w:tcPr>
          <w:p w14:paraId="46F4C841"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LOH</w:t>
            </w:r>
          </w:p>
        </w:tc>
        <w:tc>
          <w:tcPr>
            <w:tcW w:w="1493" w:type="pct"/>
            <w:tcBorders>
              <w:left w:val="single" w:sz="18" w:space="0" w:color="000000"/>
              <w:right w:val="single" w:sz="18" w:space="0" w:color="000000"/>
            </w:tcBorders>
            <w:vAlign w:val="center"/>
          </w:tcPr>
          <w:p w14:paraId="37B33BB5" w14:textId="6755E3F5"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3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10.1016/j.ijhydene.2019.03.063","ISSN":"03603199","author":[{"dropping-particle":"","family":"Andersson","given":"Joakim","non-dropping-particle":"","parse-names":false,"suffix":""},{"dropping-particle":"","family":"Grönkvist","given":"Stefan","non-dropping-particle":"","parse-names":false,"suffix":""}],"container-title":"International Journal of Hydrogen Energy","id":"ITEM-1","issue":"23","issued":{"date-parts":[["2019","5"]]},"page":"11901-11919","title":"Large-scale storage of hydrogen","type":"article-journal","volume":"44"},"uris":["http://www.mendeley.com/documents/?uuid=c1181927-1b9f-4c03-a972-ffede98c4d5c"]}],"mendeley":{"formattedCitation":"(Andersson and Grönkvist, 2019)","manualFormatting":"(Andersson, 2019)","plainTextFormattedCitation":"(Andersson and Grönkvist, 2019)","previouslyFormattedCitation":"(Andersson and Grönkvist, 2019)"},"properties":{"noteIndex":0},"schema":"https://github.com/citation-style-language/schema/raw/master/csl-citation.json"}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(Andersson, 2019)</w:t>
            </w:r>
            <w:r w:rsidRPr="009445F0">
              <w:rPr>
                <w:rFonts w:ascii="Arial" w:hAnsi="Arial" w:cs="Arial"/>
                <w:sz w:val="18"/>
                <w:szCs w:val="18"/>
              </w:rPr>
              <w:fldChar w:fldCharType="end"/>
            </w:r>
          </w:p>
        </w:tc>
        <w:tc>
          <w:tcPr>
            <w:tcW w:w="1151" w:type="pct"/>
            <w:tcBorders>
              <w:left w:val="single" w:sz="18" w:space="0" w:color="000000"/>
              <w:right w:val="single" w:sz="18" w:space="0" w:color="000000"/>
            </w:tcBorders>
          </w:tcPr>
          <w:p w14:paraId="72065D47"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MPa</w:t>
            </w:r>
          </w:p>
        </w:tc>
      </w:tr>
      <w:tr w:rsidR="001268BC" w:rsidRPr="009445F0" w14:paraId="0EABAD19" w14:textId="77777777" w:rsidTr="000E579C">
        <w:tc>
          <w:tcPr>
            <w:tcW w:w="2356" w:type="pct"/>
            <w:tcBorders>
              <w:left w:val="single" w:sz="18" w:space="0" w:color="000000"/>
              <w:bottom w:val="single" w:sz="18" w:space="0" w:color="000000"/>
              <w:right w:val="single" w:sz="18" w:space="0" w:color="000000"/>
            </w:tcBorders>
            <w:vAlign w:val="center"/>
          </w:tcPr>
          <w:p w14:paraId="0DF46ECE"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NH</w:t>
            </w:r>
            <w:r w:rsidRPr="009445F0">
              <w:rPr>
                <w:rFonts w:ascii="Arial" w:hAnsi="Arial" w:cs="Arial"/>
                <w:sz w:val="18"/>
                <w:szCs w:val="18"/>
                <w:vertAlign w:val="subscript"/>
              </w:rPr>
              <w:t>3</w:t>
            </w:r>
          </w:p>
        </w:tc>
        <w:tc>
          <w:tcPr>
            <w:tcW w:w="1493" w:type="pct"/>
            <w:tcBorders>
              <w:left w:val="single" w:sz="18" w:space="0" w:color="000000"/>
              <w:bottom w:val="single" w:sz="18" w:space="0" w:color="000000"/>
              <w:right w:val="single" w:sz="18" w:space="0" w:color="000000"/>
            </w:tcBorders>
            <w:vAlign w:val="center"/>
          </w:tcPr>
          <w:p w14:paraId="754B97E5" w14:textId="4B312DC9"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1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10.1016/j.ijhydene.2019.03.063","ISSN":"03603199","author":[{"dropping-particle":"","family":"Andersson","given":"Joakim","non-dropping-particle":"","parse-names":false,"suffix":""},{"dropping-particle":"","family":"Grönkvist","given":"Stefan","non-dropping-particle":"","parse-names":false,"suffix":""}],"container-title":"International Journal of Hydrogen Energy","id":"ITEM-1","issue":"23","issued":{"date-parts":[["2019","5"]]},"page":"11901-11919","title":"Large-scale storage of hydrogen","type":"article-journal","volume":"44"},"uris":["http://www.mendeley.com/documents/?uuid=c1181927-1b9f-4c03-a972-ffede98c4d5c"]}],"mendeley":{"formattedCitation":"(Andersson and Grönkvist, 2019)","manualFormatting":"(Andersson, 2019)","plainTextFormattedCitation":"(Andersson and Grönkvist, 2019)","previouslyFormattedCitation":"(Andersson and Grönkvist, 2019)"},"properties":{"noteIndex":0},"schema":"https://github.com/citation-style-language/schema/raw/master/csl-citation.json"}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(Andersson, 2019)</w:t>
            </w:r>
            <w:r w:rsidRPr="009445F0">
              <w:rPr>
                <w:rFonts w:ascii="Arial" w:hAnsi="Arial" w:cs="Arial"/>
                <w:sz w:val="18"/>
                <w:szCs w:val="18"/>
              </w:rPr>
              <w:fldChar w:fldCharType="end"/>
            </w:r>
          </w:p>
        </w:tc>
        <w:tc>
          <w:tcPr>
            <w:tcW w:w="1151" w:type="pct"/>
            <w:tcBorders>
              <w:left w:val="single" w:sz="18" w:space="0" w:color="000000"/>
              <w:bottom w:val="single" w:sz="18" w:space="0" w:color="000000"/>
              <w:right w:val="single" w:sz="18" w:space="0" w:color="000000"/>
            </w:tcBorders>
          </w:tcPr>
          <w:p w14:paraId="700F1BD5"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MPa</w:t>
            </w:r>
          </w:p>
        </w:tc>
      </w:tr>
    </w:tbl>
    <w:p w14:paraId="5445DE09" w14:textId="77777777" w:rsidR="009F2BAC" w:rsidRPr="009445F0" w:rsidRDefault="009F2BAC" w:rsidP="00D508E9">
      <w:pPr>
        <w:spacing w:after="0" w:line="360" w:lineRule="auto"/>
        <w:rPr>
          <w:rFonts w:ascii="Arial" w:hAnsi="Arial" w:cs="Arial"/>
          <w:b/>
          <w:bCs/>
          <w:sz w:val="18"/>
          <w:szCs w:val="18"/>
          <w:lang w:val="en-US"/>
        </w:rPr>
      </w:pPr>
    </w:p>
    <w:p w14:paraId="5E46FB52" w14:textId="7C738F51" w:rsidR="009445F0" w:rsidRPr="00D508E9" w:rsidRDefault="001268BC" w:rsidP="00D508E9">
      <w:pPr>
        <w:spacing w:after="0" w:line="360" w:lineRule="auto"/>
        <w:jc w:val="center"/>
        <w:rPr>
          <w:rFonts w:ascii="Arial" w:hAnsi="Arial" w:cs="Arial"/>
          <w:b/>
          <w:bCs/>
          <w:i/>
          <w:iCs/>
          <w:sz w:val="18"/>
          <w:szCs w:val="18"/>
          <w:lang w:val="en-US"/>
        </w:rPr>
      </w:pPr>
      <w:r w:rsidRPr="009445F0">
        <w:rPr>
          <w:rFonts w:ascii="Arial" w:hAnsi="Arial" w:cs="Arial"/>
          <w:b/>
          <w:bCs/>
          <w:i/>
          <w:iCs/>
          <w:sz w:val="18"/>
          <w:szCs w:val="18"/>
          <w:lang w:val="en-US"/>
        </w:rPr>
        <w:t xml:space="preserve">Table </w:t>
      </w:r>
      <w:r w:rsidR="0088659A">
        <w:rPr>
          <w:rFonts w:ascii="Arial" w:hAnsi="Arial" w:cs="Arial"/>
          <w:b/>
          <w:bCs/>
          <w:i/>
          <w:iCs/>
          <w:sz w:val="18"/>
          <w:szCs w:val="18"/>
          <w:lang w:val="en-US"/>
        </w:rPr>
        <w:t>A</w:t>
      </w:r>
      <w:r w:rsidRPr="009445F0">
        <w:rPr>
          <w:rFonts w:ascii="Arial" w:hAnsi="Arial" w:cs="Arial"/>
          <w:b/>
          <w:bCs/>
          <w:i/>
          <w:iCs/>
          <w:sz w:val="18"/>
          <w:szCs w:val="18"/>
          <w:lang w:val="en-US"/>
        </w:rPr>
        <w:t xml:space="preserve">15: </w:t>
      </w:r>
      <w:r w:rsidRPr="009445F0">
        <w:rPr>
          <w:rFonts w:ascii="Arial" w:hAnsi="Arial" w:cs="Arial"/>
          <w:i/>
          <w:iCs/>
          <w:sz w:val="18"/>
          <w:szCs w:val="18"/>
          <w:lang w:val="en-US"/>
        </w:rPr>
        <w:t>Water Consumption</w:t>
      </w:r>
    </w:p>
    <w:tbl>
      <w:tblPr>
        <w:tblStyle w:val="TableGrid"/>
        <w:tblW w:w="5000" w:type="pct"/>
        <w:tblInd w:w="0" w:type="dxa"/>
        <w:tblLook w:val="04A0" w:firstRow="1" w:lastRow="0" w:firstColumn="1" w:lastColumn="0" w:noHBand="0" w:noVBand="1"/>
      </w:tblPr>
      <w:tblGrid>
        <w:gridCol w:w="4733"/>
        <w:gridCol w:w="3000"/>
        <w:gridCol w:w="2313"/>
      </w:tblGrid>
      <w:tr w:rsidR="001268BC" w:rsidRPr="009445F0" w14:paraId="1202184F" w14:textId="77777777" w:rsidTr="000E579C">
        <w:tc>
          <w:tcPr>
            <w:tcW w:w="2355" w:type="pct"/>
            <w:tcBorders>
              <w:top w:val="single" w:sz="18" w:space="0" w:color="000000"/>
              <w:left w:val="single" w:sz="18" w:space="0" w:color="000000"/>
              <w:bottom w:val="single" w:sz="18" w:space="0" w:color="000000"/>
              <w:right w:val="single" w:sz="18" w:space="0" w:color="000000"/>
            </w:tcBorders>
            <w:shd w:val="clear" w:color="auto" w:fill="A8FFB1"/>
            <w:vAlign w:val="center"/>
          </w:tcPr>
          <w:p w14:paraId="2AB94E0E"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Technology</w:t>
            </w:r>
          </w:p>
        </w:tc>
        <w:tc>
          <w:tcPr>
            <w:tcW w:w="1493" w:type="pct"/>
            <w:tcBorders>
              <w:top w:val="single" w:sz="18" w:space="0" w:color="000000"/>
              <w:left w:val="single" w:sz="18" w:space="0" w:color="000000"/>
              <w:bottom w:val="single" w:sz="18" w:space="0" w:color="000000"/>
              <w:right w:val="single" w:sz="18" w:space="0" w:color="000000"/>
            </w:tcBorders>
            <w:shd w:val="clear" w:color="auto" w:fill="A8FFB1"/>
            <w:vAlign w:val="center"/>
          </w:tcPr>
          <w:p w14:paraId="21F436DF"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Value</w:t>
            </w:r>
          </w:p>
        </w:tc>
        <w:tc>
          <w:tcPr>
            <w:tcW w:w="1151" w:type="pct"/>
            <w:tcBorders>
              <w:top w:val="single" w:sz="18" w:space="0" w:color="000000"/>
              <w:left w:val="single" w:sz="18" w:space="0" w:color="000000"/>
              <w:bottom w:val="single" w:sz="18" w:space="0" w:color="000000"/>
              <w:right w:val="single" w:sz="18" w:space="0" w:color="000000"/>
            </w:tcBorders>
            <w:shd w:val="clear" w:color="auto" w:fill="A8FFB1"/>
          </w:tcPr>
          <w:p w14:paraId="30E9BCF0" w14:textId="77777777" w:rsidR="001268BC" w:rsidRPr="009445F0" w:rsidRDefault="001268BC" w:rsidP="009445F0">
            <w:pPr>
              <w:spacing w:line="276" w:lineRule="auto"/>
              <w:jc w:val="center"/>
              <w:rPr>
                <w:rFonts w:ascii="Arial" w:hAnsi="Arial" w:cs="Arial"/>
                <w:b/>
                <w:bCs/>
                <w:sz w:val="18"/>
                <w:szCs w:val="18"/>
              </w:rPr>
            </w:pPr>
            <w:r w:rsidRPr="009445F0">
              <w:rPr>
                <w:rFonts w:ascii="Arial" w:hAnsi="Arial" w:cs="Arial"/>
                <w:b/>
                <w:bCs/>
                <w:sz w:val="18"/>
                <w:szCs w:val="18"/>
              </w:rPr>
              <w:t>Unit</w:t>
            </w:r>
          </w:p>
        </w:tc>
      </w:tr>
      <w:tr w:rsidR="001268BC" w:rsidRPr="009445F0" w14:paraId="588C91E8" w14:textId="77777777" w:rsidTr="000E579C">
        <w:tc>
          <w:tcPr>
            <w:tcW w:w="2355" w:type="pct"/>
            <w:tcBorders>
              <w:top w:val="single" w:sz="18" w:space="0" w:color="000000"/>
              <w:left w:val="single" w:sz="18" w:space="0" w:color="000000"/>
              <w:right w:val="single" w:sz="18" w:space="0" w:color="000000"/>
            </w:tcBorders>
            <w:vAlign w:val="center"/>
          </w:tcPr>
          <w:p w14:paraId="756B4F5C"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Combustion </w:t>
            </w:r>
          </w:p>
        </w:tc>
        <w:tc>
          <w:tcPr>
            <w:tcW w:w="1493" w:type="pct"/>
            <w:tcBorders>
              <w:top w:val="single" w:sz="18" w:space="0" w:color="000000"/>
              <w:left w:val="single" w:sz="18" w:space="0" w:color="000000"/>
              <w:right w:val="single" w:sz="18" w:space="0" w:color="000000"/>
            </w:tcBorders>
            <w:vAlign w:val="center"/>
          </w:tcPr>
          <w:p w14:paraId="30D07342" w14:textId="44926F2F"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20.986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{"citationItems":[{"id":"ITEM-1","itemData":{"author":[{"dropping-particle":"","family":"Wirth","given":"Matthew","non-dropping-particle":"","parse-names":false,"suffix":""}],"container-title":"WCP","id":"ITEM-1","issued":{"date-parts":[["2014"]]},"title":"Steam Boilers – Accuracy Matters","type":"webpage"},"uris":["http://www.mendeley.com/documents/?uuid=6772e150-ad0a-43f2-85ba-96efee356f6a"]}],"mendeley":{"formattedCitation":"(Wirth, 2014)","plainTextFormattedCitation":"(Wirth, 2014)","previouslyFormattedCitation":"(Wirth, 2014)"},"properties":{"noteIndex":0},"schema":"https://github.com/citation-style-language/schema/raw/master/csl-citation.json"}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(Wirth, 2014)</w:t>
            </w:r>
            <w:r w:rsidRPr="009445F0">
              <w:rPr>
                <w:rFonts w:ascii="Arial" w:hAnsi="Arial" w:cs="Arial"/>
                <w:sz w:val="18"/>
                <w:szCs w:val="18"/>
              </w:rPr>
              <w:fldChar w:fldCharType="end"/>
            </w:r>
          </w:p>
        </w:tc>
        <w:tc>
          <w:tcPr>
            <w:tcW w:w="1151" w:type="pct"/>
            <w:tcBorders>
              <w:top w:val="single" w:sz="18" w:space="0" w:color="000000"/>
              <w:left w:val="single" w:sz="18" w:space="0" w:color="000000"/>
              <w:right w:val="single" w:sz="18" w:space="0" w:color="000000"/>
            </w:tcBorders>
          </w:tcPr>
          <w:p w14:paraId="47E2881D"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kg H</w:t>
            </w:r>
            <w:r w:rsidRPr="009445F0">
              <w:rPr>
                <w:rFonts w:ascii="Arial" w:hAnsi="Arial" w:cs="Arial"/>
                <w:sz w:val="18"/>
                <w:szCs w:val="18"/>
                <w:vertAlign w:val="subscript"/>
              </w:rPr>
              <w:t>2</w:t>
            </w:r>
            <w:r w:rsidRPr="009445F0">
              <w:rPr>
                <w:rFonts w:ascii="Arial" w:hAnsi="Arial" w:cs="Arial"/>
                <w:sz w:val="18"/>
                <w:szCs w:val="18"/>
              </w:rPr>
              <w:t>O/kWh</w:t>
            </w:r>
          </w:p>
        </w:tc>
      </w:tr>
      <w:tr w:rsidR="001268BC" w:rsidRPr="009445F0" w14:paraId="0C3BE661" w14:textId="77777777" w:rsidTr="000E579C">
        <w:tc>
          <w:tcPr>
            <w:tcW w:w="2355" w:type="pct"/>
            <w:tcBorders>
              <w:top w:val="single" w:sz="12" w:space="0" w:color="000000"/>
              <w:left w:val="single" w:sz="18" w:space="0" w:color="000000"/>
              <w:bottom w:val="single" w:sz="18" w:space="0" w:color="000000"/>
              <w:right w:val="single" w:sz="18" w:space="0" w:color="000000"/>
            </w:tcBorders>
            <w:vAlign w:val="center"/>
          </w:tcPr>
          <w:p w14:paraId="23C6552A"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Gasification</w:t>
            </w:r>
          </w:p>
        </w:tc>
        <w:tc>
          <w:tcPr>
            <w:tcW w:w="1493" w:type="pct"/>
            <w:tcBorders>
              <w:top w:val="single" w:sz="12" w:space="0" w:color="000000"/>
              <w:left w:val="single" w:sz="18" w:space="0" w:color="000000"/>
              <w:bottom w:val="single" w:sz="18" w:space="0" w:color="000000"/>
              <w:right w:val="single" w:sz="18" w:space="0" w:color="000000"/>
            </w:tcBorders>
            <w:vAlign w:val="center"/>
          </w:tcPr>
          <w:p w14:paraId="0ABDE49C" w14:textId="028D9A24"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 xml:space="preserve">0.5 </w:t>
            </w:r>
            <w:r w:rsidRPr="009445F0">
              <w:rPr>
                <w:rFonts w:ascii="Arial" w:hAnsi="Arial" w:cs="Arial"/>
                <w:sz w:val="18"/>
                <w:szCs w:val="18"/>
              </w:rPr>
              <w:fldChar w:fldCharType="begin" w:fldLock="1"/>
            </w:r>
            <w:r w:rsidR="00D27FDA">
              <w:rPr>
                <w:rFonts w:ascii="Arial" w:hAnsi="Arial" w:cs="Arial"/>
                <w:sz w:val="18"/>
                <w:szCs w:val="18"/>
              </w:rPr>
              <w:instrText>ADDIN CSL_CITATION {"citationItems":[{"id":"ITEM-1","itemData":{"DOI":"10.3390/en11030675","ISSN":"1996-1073","author":[{"dropping-particle":"","family":"Rajabi Hamedani","given":"Sara","non-dropping-particle":"","parse-names":false,"suffix":""},{"dropping-particle":"","family":"Villarini","given":"Mauro","non-dropping-particle":"","parse-names":false,"suffix":""},{"dropping-particle":"","family":"Colantoni","given":"Andrea","non-dropping-particle":"","parse-names":false,"suffix":""},{"dropping-particle":"","family":"Moretti","given":"Michele","non-dropping-particle":"","parse-names":false,"suffix":""},{"dropping-particle":"","family":"Bocci","given":"Enrico","non-dropping-particle":"","parse-names":false,"suffix":""}],"container-title":"Energies","id":"ITEM-1","issue":"3","issued":{"date-parts":[["2018","3"]]},"page":"675","title":"Life Cycle Performance of Hydrogen Production via Agro-Industrial Residue Gasification—A Small Scale Power Plant Study","type":"article-journal","volume":"11"},"uris":["http://www.mendeley.com/documents/?uuid=d9c9d2ab-15f4-41df-b952-c576065b70e5"]}],"mendeley":{"formattedCitation":"(Rajabi Hamedani et al., 2018)","manualFormatting":"(Rajabi, 2018)","plainTextFormattedCitation":"(Rajabi Hamedani et al., 2018)","previouslyFormattedCitation":"(Rajabi Hamedani et al., 2018)"},"properties":{"noteIndex":0},"schema":"https://github.com/citation-style-language/schema/raw/master/csl-citation.json"}</w:instrText>
            </w:r>
            <w:r w:rsidRPr="009445F0">
              <w:rPr>
                <w:rFonts w:ascii="Arial" w:hAnsi="Arial" w:cs="Arial"/>
                <w:sz w:val="18"/>
                <w:szCs w:val="18"/>
              </w:rPr>
              <w:fldChar w:fldCharType="separate"/>
            </w:r>
            <w:r w:rsidRPr="009445F0">
              <w:rPr>
                <w:rFonts w:ascii="Arial" w:hAnsi="Arial" w:cs="Arial"/>
                <w:noProof/>
                <w:sz w:val="18"/>
                <w:szCs w:val="18"/>
              </w:rPr>
              <w:t>(Rajabi, 2018)</w:t>
            </w:r>
            <w:r w:rsidRPr="009445F0">
              <w:rPr>
                <w:rFonts w:ascii="Arial" w:hAnsi="Arial" w:cs="Arial"/>
                <w:sz w:val="18"/>
                <w:szCs w:val="18"/>
              </w:rPr>
              <w:fldChar w:fldCharType="end"/>
            </w:r>
          </w:p>
        </w:tc>
        <w:tc>
          <w:tcPr>
            <w:tcW w:w="1151" w:type="pct"/>
            <w:tcBorders>
              <w:top w:val="single" w:sz="12" w:space="0" w:color="000000"/>
              <w:left w:val="single" w:sz="18" w:space="0" w:color="000000"/>
              <w:bottom w:val="single" w:sz="18" w:space="0" w:color="000000"/>
              <w:right w:val="single" w:sz="18" w:space="0" w:color="000000"/>
            </w:tcBorders>
          </w:tcPr>
          <w:p w14:paraId="31F7D890" w14:textId="77777777" w:rsidR="001268BC" w:rsidRPr="009445F0" w:rsidRDefault="001268BC" w:rsidP="009445F0">
            <w:pPr>
              <w:spacing w:line="276" w:lineRule="auto"/>
              <w:jc w:val="center"/>
              <w:rPr>
                <w:rFonts w:ascii="Arial" w:hAnsi="Arial" w:cs="Arial"/>
                <w:sz w:val="18"/>
                <w:szCs w:val="18"/>
              </w:rPr>
            </w:pPr>
            <w:r w:rsidRPr="009445F0">
              <w:rPr>
                <w:rFonts w:ascii="Arial" w:hAnsi="Arial" w:cs="Arial"/>
                <w:sz w:val="18"/>
                <w:szCs w:val="18"/>
              </w:rPr>
              <w:t>kg H</w:t>
            </w:r>
            <w:r w:rsidRPr="009445F0">
              <w:rPr>
                <w:rFonts w:ascii="Arial" w:hAnsi="Arial" w:cs="Arial"/>
                <w:sz w:val="18"/>
                <w:szCs w:val="18"/>
                <w:vertAlign w:val="subscript"/>
              </w:rPr>
              <w:t>2</w:t>
            </w:r>
            <w:r w:rsidRPr="009445F0">
              <w:rPr>
                <w:rFonts w:ascii="Arial" w:hAnsi="Arial" w:cs="Arial"/>
                <w:sz w:val="18"/>
                <w:szCs w:val="18"/>
              </w:rPr>
              <w:t>O/kg EFB</w:t>
            </w:r>
          </w:p>
        </w:tc>
      </w:tr>
    </w:tbl>
    <w:p w14:paraId="2D5F9BCD" w14:textId="41DF95E4" w:rsidR="001268BC" w:rsidRDefault="001268BC" w:rsidP="004D28A7">
      <w:pPr>
        <w:pStyle w:val="sectionhead"/>
        <w:spacing w:before="0" w:after="0"/>
        <w:rPr>
          <w:b w:val="0"/>
          <w:bCs/>
          <w:sz w:val="20"/>
          <w:szCs w:val="15"/>
        </w:rPr>
      </w:pPr>
    </w:p>
    <w:p w14:paraId="39862A9D" w14:textId="58B717C1" w:rsidR="00BF3D93" w:rsidRDefault="00BF3D93" w:rsidP="004D28A7">
      <w:pPr>
        <w:pStyle w:val="sectionhead"/>
        <w:spacing w:before="0" w:after="0"/>
        <w:rPr>
          <w:rFonts w:ascii="Arial" w:hAnsi="Arial" w:cs="Arial"/>
          <w:bCs/>
          <w:sz w:val="20"/>
          <w:szCs w:val="15"/>
        </w:rPr>
      </w:pPr>
      <w:r w:rsidRPr="00BF3D93">
        <w:rPr>
          <w:rFonts w:ascii="Arial" w:hAnsi="Arial" w:cs="Arial"/>
          <w:bCs/>
          <w:sz w:val="20"/>
          <w:szCs w:val="15"/>
        </w:rPr>
        <w:t xml:space="preserve">References </w:t>
      </w:r>
    </w:p>
    <w:p w14:paraId="03173A95" w14:textId="328BDDBB" w:rsidR="00BF3D93" w:rsidRDefault="00BF3D93" w:rsidP="004D28A7">
      <w:pPr>
        <w:pStyle w:val="sectionhead"/>
        <w:spacing w:before="0" w:after="0"/>
        <w:rPr>
          <w:rFonts w:ascii="Arial" w:hAnsi="Arial" w:cs="Arial"/>
          <w:bCs/>
          <w:sz w:val="20"/>
          <w:szCs w:val="15"/>
        </w:rPr>
      </w:pPr>
    </w:p>
    <w:p w14:paraId="2E6843D8" w14:textId="11D7DFB1"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Pr>
          <w:rFonts w:ascii="Arial" w:hAnsi="Arial" w:cs="Arial"/>
          <w:b/>
          <w:bCs/>
          <w:sz w:val="20"/>
          <w:szCs w:val="15"/>
        </w:rPr>
        <w:fldChar w:fldCharType="begin" w:fldLock="1"/>
      </w:r>
      <w:r>
        <w:rPr>
          <w:rFonts w:ascii="Arial" w:hAnsi="Arial" w:cs="Arial"/>
          <w:b/>
          <w:bCs/>
          <w:sz w:val="20"/>
          <w:szCs w:val="15"/>
        </w:rPr>
        <w:instrText xml:space="preserve">ADDIN Mendeley Bibliography CSL_BIBLIOGRAPHY </w:instrText>
      </w:r>
      <w:r>
        <w:rPr>
          <w:rFonts w:ascii="Arial" w:hAnsi="Arial" w:cs="Arial"/>
          <w:b/>
          <w:bCs/>
          <w:sz w:val="20"/>
          <w:szCs w:val="15"/>
        </w:rPr>
        <w:fldChar w:fldCharType="separate"/>
      </w:r>
      <w:r w:rsidRPr="00BF222E">
        <w:rPr>
          <w:rFonts w:ascii="Arial" w:hAnsi="Arial" w:cs="Arial"/>
          <w:noProof/>
          <w:sz w:val="20"/>
          <w:szCs w:val="24"/>
        </w:rPr>
        <w:t>Águas, H., Ram, S.K., Araújo, A., Gaspar, D., Vicente, A., Filonovich, S.A., Fortunato, E., Martins, R., Ferreira, I., 2011. Silicon thin film solar cells on commercial tiles. Energy Environ. Sci. 4, 4620–4632. https://doi.org/10.1039/c1ee02303a</w:t>
      </w:r>
    </w:p>
    <w:p w14:paraId="70FF8ABC"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Aiken, D.C., Curtis, T.P., Heidrich, E.S., 2019. Avenues to the financial viability of microbial electrolysis cells [MEC] for domestic wastewater treatment and hydrogen production. Int. J. Hydrogen Energy 44, 2426–2434. https://doi.org/10.1016/j.ijhydene.2018.12.029</w:t>
      </w:r>
    </w:p>
    <w:p w14:paraId="167A4343"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AirSelangor, 2022. WATER TARIFF [WWW Document].</w:t>
      </w:r>
    </w:p>
    <w:p w14:paraId="6B7329A5"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Ali, E.N., Tay, C.I., 2013. Characterization of Biodiesel Produced from Palm Oil via Base Catalyzed Transesterification. Procedia Eng. 53, 7–12. https://doi.org/10.1016/j.proeng.2013.02.002</w:t>
      </w:r>
    </w:p>
    <w:p w14:paraId="3C1183A5"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Andersson, J., Grönkvist, S., 2019. Large-scale storage of hydrogen. Int. J. Hydrogen Energy 44, 11901–11919. https://doi.org/10.1016/j.ijhydene.2019.03.063</w:t>
      </w:r>
    </w:p>
    <w:p w14:paraId="06F42F94"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Aziz, N.I.H.A., Hanafiah, M.M., 2018. Anaerobic digestion of palm oil mill effluent (POME) using bio-methane potential (BMP) test. p. 020026. https://doi.org/10.1063/1.5027941</w:t>
      </w:r>
    </w:p>
    <w:p w14:paraId="60D2040D"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 xml:space="preserve">Beegle, J.R., Borole, A.P., 2018. Energy production from waste: Evaluation of anaerobic digestion and </w:t>
      </w:r>
      <w:r w:rsidRPr="00BF222E">
        <w:rPr>
          <w:rFonts w:ascii="Arial" w:hAnsi="Arial" w:cs="Arial"/>
          <w:noProof/>
          <w:sz w:val="20"/>
          <w:szCs w:val="24"/>
        </w:rPr>
        <w:lastRenderedPageBreak/>
        <w:t>bioelectrochemical systems based on energy efficiency and economic factors. Renew. Sustain. Energy Rev. 96, 343–351. https://doi.org/10.1016/j.rser.2018.07.057</w:t>
      </w:r>
    </w:p>
    <w:p w14:paraId="73F244E8"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Bellini, E., 2021. Solar retains it LCOE edge in latest Lazard analysis. pv Mag.</w:t>
      </w:r>
    </w:p>
    <w:p w14:paraId="304A5E7C"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Benda, V., Černá, L., 2020. PV cells and modules – State of the art, limits and trends. Heliyon 6, e05666. https://doi.org/10.1016/j.heliyon.2020.e05666</w:t>
      </w:r>
    </w:p>
    <w:p w14:paraId="30178B99"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Benny Wang, 2012. AEM Water Electrolysis Equipment [WWW Document]. Weiqing Ind. Park.</w:t>
      </w:r>
    </w:p>
    <w:p w14:paraId="12532A2D"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Bogale, W., 2017. Preparation of Charcoal Using Flower Waste. J. Power Energy Eng. 05, 1–10. https://doi.org/10.4236/jpee.2017.52001</w:t>
      </w:r>
    </w:p>
    <w:p w14:paraId="1B85BFAA"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Breeze, P., 2016. Solar Towers. Sol. Power Gener. 35–40. https://doi.org/10.1016/B978-0-12-804004-1.00005-1</w:t>
      </w:r>
    </w:p>
    <w:p w14:paraId="7516A2E3"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Brown, T., 2020. Engie, Siemens, Ecuity, and STFC publish Feasibility of Ammonia-to-Hydrogen [WWW Document]. Ammon. Energy Assoc.</w:t>
      </w:r>
    </w:p>
    <w:p w14:paraId="0073DF45"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CDM, 2001. Energy efficiency improvement projects: boiler rehabilitation or replacement in industrial and district heating sectors.</w:t>
      </w:r>
    </w:p>
    <w:p w14:paraId="784916D5"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Daliah, R., 2021. TECHNOLOGY LANDSCAPE: KEY PLAYERS IN METHANE PYROLYSIS [WWW Document]. Lux Res.</w:t>
      </w:r>
    </w:p>
    <w:p w14:paraId="26FDCF22"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Daniel, 2020. Unlocking the Global Hydrogen Opportunity, by Charlie Clark, AP Ventures [WWW Document]. Hydrog. LOHC Technol. GmbH.</w:t>
      </w:r>
    </w:p>
    <w:p w14:paraId="720023FD"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Dias, V., Pochet, M., Contino, F., Jeanmart, H., 2020. Energy and Economic Costs of Chemical Storage. Front. Mech. Eng. 6. https://doi.org/10.3389/fmech.2020.00021</w:t>
      </w:r>
    </w:p>
    <w:p w14:paraId="0A719C8C"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Dimpl, E., 2011. Small-scale Electricity Generation from Biomass. Eschborn.</w:t>
      </w:r>
    </w:p>
    <w:p w14:paraId="438F4F3F"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EERE, 2013. Materials-Based Hydrogen Storage [WWW Document]. Off. Energy Effic. Renew. Energy.</w:t>
      </w:r>
    </w:p>
    <w:p w14:paraId="6BDFFA0D"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FEMP, 2016. Biomass For Electricity Generation [WWW Document]. U.S. Dep. Energy.</w:t>
      </w:r>
    </w:p>
    <w:p w14:paraId="0A88C095"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Frank, 2015. Gasification of Biomass/Waste [WWW Document]. Beltran Technol.</w:t>
      </w:r>
    </w:p>
    <w:p w14:paraId="3B50D159"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Ganesh, A., Banerjee, R., 2001. Biomass pyrolysis for power generation - A potential technology. Renew. Energy 22, 9–14. https://doi.org/10.1016/S0960-1481(00)00026-4</w:t>
      </w:r>
    </w:p>
    <w:p w14:paraId="267C062C"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Gardiner, M., 2009. Energy requirements for hydrogen gas compression and liquefaction as related to vehicle storage needs.</w:t>
      </w:r>
    </w:p>
    <w:p w14:paraId="7F057A5B"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Gielen, D., 2012. Concentrating Solar Power. Renew. ENERGY Technol. COST Anal. Ser. 1.</w:t>
      </w:r>
    </w:p>
    <w:p w14:paraId="1033F3FE"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Günther, M., 2015. No Title. Parabol. Trough Technol. 1–106.</w:t>
      </w:r>
    </w:p>
    <w:p w14:paraId="3423FF5C"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Haga, N., 2011. Combustion engine power plants. Finland.</w:t>
      </w:r>
    </w:p>
    <w:p w14:paraId="64084D14"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Hong, 2022. The next generation steamboilers [WWW Document]. HKB Boil. Solut.</w:t>
      </w:r>
    </w:p>
    <w:p w14:paraId="2D81DE3F"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James, B.D., DeSantis, D.A., Saur, G., 2016. Final Report: Hydrogen Production Pathways Cost Analysis (2013 – 2016). Golden, CO (United States). https://doi.org/10.2172/1346418</w:t>
      </w:r>
    </w:p>
    <w:p w14:paraId="6A37D287"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Jane, 1982. Production of electrical power, in: The Efficient Use of Energy. Elsevier, pp. 286–308. https://doi.org/10.1016/B978-0-408-01250-8.50022-2</w:t>
      </w:r>
    </w:p>
    <w:p w14:paraId="7A94755B"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Juliana, 2018. Economic Implications of Anaerobic Digestion for Bioenergy Production and Waste Management. Agric. Nat. Resour.</w:t>
      </w:r>
    </w:p>
    <w:p w14:paraId="2C672EFA"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Kadier, A., Simayi, Y., Abdeshahian, P., Azman, N.F., Chandrasekhar, K., Kalil, M.S., 2016. A comprehensive review of microbial electrolysis cells (MEC) reactor designs and configurations for sustainable hydrogen gas production. Alexandria Eng. J. 55, 427–443. https://doi.org/10.1016/j.aej.2015.10.008</w:t>
      </w:r>
    </w:p>
    <w:p w14:paraId="0D81FDAC"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Kennedy Smith, R., Hobbs, B.F., 2013. Biomass combustion for electric power: Allocation and plant siting using non-linear modeling and mixed integer optimization. J. Renew. Sustain. Energy 5. https://doi.org/10.1063/1.4819493</w:t>
      </w:r>
    </w:p>
    <w:p w14:paraId="4EED6296"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Kuckshinrichs, W., Ketelaer, T., Koj, J.C., 2017. Economic Analysis of Improved Alkaline Water Electrolysis. Front. Energy Res. 5. https://doi.org/10.3389/fenrg.2017.00001</w:t>
      </w:r>
    </w:p>
    <w:p w14:paraId="03EBE9B1"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Labanca, 2006. ECONOMIC ANALYSIS OF CO2 – FREE HYDROGENPRODUCTION FROM NATURAL GAS BY PLASMA PYROLYSIS. Rio Oil Gas Expo Conf. 1–8.</w:t>
      </w:r>
    </w:p>
    <w:p w14:paraId="0C70CC93"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Li, C., Baek, J.-B., 2021. The promise of hydrogen production from alkaline anion exchange membrane electrolyzers. Nano Energy 87, 106162. https://doi.org/10.1016/j.nanoen.2021.106162</w:t>
      </w:r>
    </w:p>
    <w:p w14:paraId="5E64C964"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Logan, C., 2015. Membrane gas separation: Fundamentals and applications Giuseppe BARBIERI Institute on Membrane Technology (ITM-CNR), National Research Council [WWW Document]. Natl. Res. Counc.</w:t>
      </w:r>
    </w:p>
    <w:p w14:paraId="5B8EDEB0"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Machhammer, O., Bode, A., Hormuth, W., 2016. Financial and Ecological Evaluation of Hydrogen Production Processes on Large Scale. Chem. Eng. Technol. 39, 1185–1193. https://doi.org/10.1002/ceat.201600023</w:t>
      </w:r>
    </w:p>
    <w:p w14:paraId="1301EC38"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MacKay, D., 2011. Biomass Pyrolysis. UK.</w:t>
      </w:r>
    </w:p>
    <w:p w14:paraId="4BCFD17F"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Mehmeti, A., Angelis-Dimakis, A., Arampatzis, G., McPhail, S.J., Ulgiati, S., 2018. Life cycle assessment and water footprint of hydrogen production methods: From conventional to emerging technologies. Environ. - MDPI 5, 1–19. https://doi.org/10.3390/environments5020024</w:t>
      </w:r>
    </w:p>
    <w:p w14:paraId="7EA4D4F7"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Mesrobian, C., 2021. Taking Methane Pyrolysis from Concept to Industrial Plant.</w:t>
      </w:r>
    </w:p>
    <w:p w14:paraId="148B1426"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lastRenderedPageBreak/>
        <w:t>Mohammed, M.A.A., Salmiaton, A., Wan Azlina, W.A.K.G., Mohammad Amran, M.S., Fakhru’L-Razi, A., 2011. Air gasification of empty fruit bunch for hydrogen-rich gas production in a fluidized-bed reactor. Energy Convers. Manag. 52, 1555–1561. https://doi.org/10.1016/j.enconman.2010.10.023</w:t>
      </w:r>
    </w:p>
    <w:p w14:paraId="3690B891"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Monnet, J., 2020. Find the right size for industrial pyrolysis unit [WWW Document]. Biogreen.</w:t>
      </w:r>
    </w:p>
    <w:p w14:paraId="69056672"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Montoya, J., Valdés, C., Chaquea, H., Pecha, M.B., Chejne, F., 2020. Surplus electricity production and LCOE estimation in Colombian palm oil mills using empty fresh bunches (EFB) as fuel. Energy 202, 117713. https://doi.org/10.1016/j.energy.2020.117713</w:t>
      </w:r>
    </w:p>
    <w:p w14:paraId="0F38001B"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Norouzi, N., 2021. An overview on the renewable hydrogen generation market. Int. J. ENERGY Stud. 6, 67–94.</w:t>
      </w:r>
    </w:p>
    <w:p w14:paraId="7268B35E"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Nyakuma, B.B., Johari, A., Ahmad, A., Tuan Abdullah, T.A., 2014. Thermogravimetric Analysis of the Fuel Properties of Empty Fruit Bunch Briquettes. J. Teknol. 67. https://doi.org/10.11113/jt.v67.2768</w:t>
      </w:r>
    </w:p>
    <w:p w14:paraId="35B619C1"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Parmar, A., 2020. Asian biodiesel resurgence limited by costs [WWW Document]. Arg. Media.</w:t>
      </w:r>
    </w:p>
    <w:p w14:paraId="2606DDA7"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Patonia, A., 2020. Ammonia as a storage solution for future decarbonized energy systems. Oxford Inst. Energy Stud. 1–35.</w:t>
      </w:r>
    </w:p>
    <w:p w14:paraId="70720FA7"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Perry, N., 2016. Best Practice Guidelines for PV Cost Calculation. UK.</w:t>
      </w:r>
    </w:p>
    <w:p w14:paraId="62CF7E84"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Pinsky, R., Sabharwall, P., Hartvigsen, J., O’Brien, J., 2020. Comparative review of hydrogen production technologies for nuclear hybrid energy systems. Prog. Nucl. Energy 123, 103317. https://doi.org/10.1016/j.pnucene.2020.103317</w:t>
      </w:r>
    </w:p>
    <w:p w14:paraId="4D3569BD"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Portal, 2021. Basic Hydrogen Properties [WWW Document]. Pacific Northwest Natl. Lab.</w:t>
      </w:r>
    </w:p>
    <w:p w14:paraId="1526650F"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Protásio, T.D.P., Bufalino, L., Tonoli, G.H.D., Guimarães Junior, M., Trugilho, P.F., Mendes, L.M., 2013. Brazilian Lignocellulosic Wastes for Bioenergy Production: Characterization and Comparison with Fossil Fuels. BioResources 8. https://doi.org/10.15376/biores.8.1.1166-1185</w:t>
      </w:r>
    </w:p>
    <w:p w14:paraId="7CFFAB6A"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Rajabi Hamedani, S., Villarini, M., Colantoni, A., Moretti, M., Bocci, E., 2018. Life Cycle Performance of Hydrogen Production via Agro-Industrial Residue Gasification—A Small Scale Power Plant Study. Energies 11, 675. https://doi.org/10.3390/en11030675</w:t>
      </w:r>
    </w:p>
    <w:p w14:paraId="775FFFD5"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Ralph, 2007. Bioenergy Project Development &amp; Biomass Supply. France.</w:t>
      </w:r>
    </w:p>
    <w:p w14:paraId="38E6982C"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Reeb, C.W., Hays, T., Venditti, R.A., Gonzalez, R., Kelley, S., 2014. Supply Chain Analysis, Delivered Cost, and Life Cycle Assessment of Oil Palm Empty Fruit Bunch Biomass for Green Chemical Production in Malaysia. BioResources 9, 5385–5416. https://doi.org/10.15376/biores.9.3.5385-5416</w:t>
      </w:r>
    </w:p>
    <w:p w14:paraId="0168AB53"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Roode</w:t>
      </w:r>
      <w:r w:rsidRPr="00BF222E">
        <w:rPr>
          <w:rFonts w:ascii="Cambria Math" w:hAnsi="Cambria Math" w:cs="Cambria Math"/>
          <w:noProof/>
          <w:sz w:val="20"/>
          <w:szCs w:val="24"/>
        </w:rPr>
        <w:t>‐</w:t>
      </w:r>
      <w:r w:rsidRPr="00BF222E">
        <w:rPr>
          <w:rFonts w:ascii="Arial" w:hAnsi="Arial" w:cs="Arial"/>
          <w:noProof/>
          <w:sz w:val="20"/>
          <w:szCs w:val="24"/>
        </w:rPr>
        <w:t>Gutzmer, Q.I., Kaiser, D., Bertau, M., 2019. Renewable Methanol Synthesis. ChemBioEng Rev. 6, 209–236. https://doi.org/10.1002/cben.201900012</w:t>
      </w:r>
    </w:p>
    <w:p w14:paraId="278152BD"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Schmidt, 2021. Enapter Makes Headway on AEM Electrolyzer Mass Production [WWW Document]. Enapter.</w:t>
      </w:r>
    </w:p>
    <w:p w14:paraId="274FF05C"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Shakib, N., Rashid, M., 2019. Biogas Production Optimization from POME by Using Anaerobic Digestion Process. J. Appl. Sci. Process Eng. 6, 369–377. https://doi.org/10.33736/jaspe.1711.2019</w:t>
      </w:r>
    </w:p>
    <w:p w14:paraId="40C4B447"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Sharma, M., Kaushik, A., 2017. Biohydrogen Economy: Challenges and Prospects for Commercialization, in: Biohydrogen Production: Sustainability of Current Technology and Future Perspective. Springer India, New Delhi, pp. 253–267. https://doi.org/10.1007/978-81-322-3577-4_12</w:t>
      </w:r>
    </w:p>
    <w:p w14:paraId="5544E87D"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Sharvelle, 2016. Anaerobic Digesters [WWW Document]. Explor. Energy Effic. Altern.</w:t>
      </w:r>
    </w:p>
    <w:p w14:paraId="4F97D9BA"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Sheffield, J.W., Martin, K.B., Folkson, R., 2014. Electricity and hydrogen as energy vectors for transportation vehicles, in: Alternative Fuels and Advanced Vehicle Technologies for Improved Environmental Performance. Elsevier, pp. 117–137. https://doi.org/10.1533/9780857097422.1.117</w:t>
      </w:r>
    </w:p>
    <w:p w14:paraId="0F889801"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Susanto, H., Suria, T., Pranolo, S.H., 2018. Economic analysis of biomass gasification for generating electricity in rural areas in Indonesia. IOP Conf. Ser. Mater. Sci. Eng. 334, 012012. https://doi.org/10.1088/1757-899X/334/1/012012</w:t>
      </w:r>
    </w:p>
    <w:p w14:paraId="063C1344"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Swanson, 2021. How Many Solar Panels Do You Need: Panel Size and Output Factors [WWW Document]. Sunpower.</w:t>
      </w:r>
    </w:p>
    <w:p w14:paraId="49BBD452"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Valev, N., 2022. Methane prices [WWW Document]. Glob. Pet. Price.</w:t>
      </w:r>
    </w:p>
    <w:p w14:paraId="45CD259B"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Vincent, I., Bessarabov, D., 2018. Low cost hydrogen production by anion exchange membrane electrolysis: A review. Renew. Sustain. Energy Rev. 81, 1690–1704. https://doi.org/10.1016/j.rser.2017.05.258</w:t>
      </w:r>
    </w:p>
    <w:p w14:paraId="6A2880A6"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Wang, H., Zhou, X., Ouyang, M., 2016. Efficiency analysis of novel Liquid Organic Hydrogen Carrier technology and comparison with high pressure storage pathway. Int. J. Hydrogen Energy 41, 18062–18071. https://doi.org/10.1016/j.ijhydene.2016.08.003</w:t>
      </w:r>
    </w:p>
    <w:p w14:paraId="2EDC5C3D"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Wirth, M., 2014. Steam Boilers – Accuracy Matters [WWW Document]. WCP.</w:t>
      </w:r>
    </w:p>
    <w:p w14:paraId="56CB5445"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szCs w:val="24"/>
        </w:rPr>
      </w:pPr>
      <w:r w:rsidRPr="00BF222E">
        <w:rPr>
          <w:rFonts w:ascii="Arial" w:hAnsi="Arial" w:cs="Arial"/>
          <w:noProof/>
          <w:sz w:val="20"/>
          <w:szCs w:val="24"/>
        </w:rPr>
        <w:t>Zajec, L., 2009. SLOW PYROLYSIS IN A ROTARY KILN REACTOR: OPTIMIZATION AND EXPERIMENTS. Iceland.</w:t>
      </w:r>
    </w:p>
    <w:p w14:paraId="516CB92D" w14:textId="77777777" w:rsidR="00BF222E" w:rsidRPr="00BF222E" w:rsidRDefault="00BF222E" w:rsidP="00BF222E">
      <w:pPr>
        <w:widowControl w:val="0"/>
        <w:autoSpaceDE w:val="0"/>
        <w:autoSpaceDN w:val="0"/>
        <w:adjustRightInd w:val="0"/>
        <w:spacing w:after="0" w:line="240" w:lineRule="auto"/>
        <w:ind w:left="480" w:hanging="480"/>
        <w:rPr>
          <w:rFonts w:ascii="Arial" w:hAnsi="Arial" w:cs="Arial"/>
          <w:noProof/>
          <w:sz w:val="20"/>
        </w:rPr>
      </w:pPr>
      <w:r w:rsidRPr="00BF222E">
        <w:rPr>
          <w:rFonts w:ascii="Arial" w:hAnsi="Arial" w:cs="Arial"/>
          <w:noProof/>
          <w:sz w:val="20"/>
          <w:szCs w:val="24"/>
        </w:rPr>
        <w:t>Zore, U.K., Yedire, S.G., Pandi, N., Manickam, S., Sonawane, S.H., 2021. A review on recent advances in hydrogen energy, fuel cell, biofuel and fuel refining via ultrasound process intensification. Ultrason. Sonochem. 73. https://doi.org/10.1016/j.ultsonch.2021.105536</w:t>
      </w:r>
    </w:p>
    <w:p w14:paraId="3AC61777" w14:textId="148372CD" w:rsidR="00BF3D93" w:rsidRPr="00BF3D93" w:rsidRDefault="00BF222E" w:rsidP="004D28A7">
      <w:pPr>
        <w:pStyle w:val="sectionhead"/>
        <w:spacing w:before="0" w:after="0"/>
        <w:rPr>
          <w:rFonts w:ascii="Arial" w:hAnsi="Arial" w:cs="Arial"/>
          <w:b w:val="0"/>
          <w:bCs/>
          <w:sz w:val="20"/>
          <w:szCs w:val="15"/>
        </w:rPr>
      </w:pPr>
      <w:r>
        <w:rPr>
          <w:rFonts w:ascii="Arial" w:hAnsi="Arial" w:cs="Arial"/>
          <w:b w:val="0"/>
          <w:bCs/>
          <w:sz w:val="20"/>
          <w:szCs w:val="15"/>
        </w:rPr>
        <w:fldChar w:fldCharType="end"/>
      </w:r>
    </w:p>
    <w:sectPr w:rsidR="00BF3D93" w:rsidRPr="00BF3D93" w:rsidSect="001D6377">
      <w:footerReference w:type="default" r:id="rId13"/>
      <w:pgSz w:w="11906" w:h="16838" w:code="9"/>
      <w:pgMar w:top="1418" w:right="907" w:bottom="2041" w:left="907" w:header="709" w:footer="709" w:gutter="0"/>
      <w:lnNumType w:countBy="1" w:restart="continuous"/>
      <w:cols w:space="227"/>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4E752" w16cex:dateUtc="2023-05-21T10:54:00Z"/>
  <w16cex:commentExtensible w16cex:durableId="2814E77C" w16cex:dateUtc="2023-05-21T10:54:00Z"/>
  <w16cex:commentExtensible w16cex:durableId="2814E7EC" w16cex:dateUtc="2023-05-21T10:56:00Z"/>
  <w16cex:commentExtensible w16cex:durableId="2814E859" w16cex:dateUtc="2023-05-21T10:58:00Z"/>
  <w16cex:commentExtensible w16cex:durableId="2814EB2A" w16cex:dateUtc="2023-05-21T11:10:00Z"/>
  <w16cex:commentExtensible w16cex:durableId="2814EBC5" w16cex:dateUtc="2023-05-21T11:13:00Z"/>
  <w16cex:commentExtensible w16cex:durableId="2814EA5A" w16cex:dateUtc="2023-05-21T11:07:00Z"/>
  <w16cex:commentExtensible w16cex:durableId="27B37D25" w16cex:dateUtc="2023-03-08T13:31:00Z"/>
  <w16cex:commentExtensible w16cex:durableId="27B37915" w16cex:dateUtc="2023-03-08T13:13:00Z"/>
  <w16cex:commentExtensible w16cex:durableId="27B378E6" w16cex:dateUtc="2023-03-08T13:13:00Z"/>
  <w16cex:commentExtensible w16cex:durableId="27B37B91" w16cex:dateUtc="2023-03-08T13:24:00Z"/>
  <w16cex:commentExtensible w16cex:durableId="25F08190" w16cex:dateUtc="2022-03-31T11:3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A221CD" w14:textId="77777777" w:rsidR="00BB3FA2" w:rsidRDefault="00BB3FA2" w:rsidP="00927301">
      <w:pPr>
        <w:spacing w:after="0" w:line="240" w:lineRule="auto"/>
      </w:pPr>
      <w:r>
        <w:separator/>
      </w:r>
    </w:p>
  </w:endnote>
  <w:endnote w:type="continuationSeparator" w:id="0">
    <w:p w14:paraId="6EC03C0B" w14:textId="77777777" w:rsidR="00BB3FA2" w:rsidRDefault="00BB3FA2" w:rsidP="00927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eiryo UI">
    <w:altName w:val="Meiryo UI"/>
    <w:charset w:val="80"/>
    <w:family w:val="swiss"/>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416301"/>
      <w:docPartObj>
        <w:docPartGallery w:val="Page Numbers (Bottom of Page)"/>
        <w:docPartUnique/>
      </w:docPartObj>
    </w:sdtPr>
    <w:sdtEndPr>
      <w:rPr>
        <w:noProof/>
      </w:rPr>
    </w:sdtEndPr>
    <w:sdtContent>
      <w:p w14:paraId="5FD9162B" w14:textId="48DAB0A5" w:rsidR="00E56008" w:rsidRDefault="00E56008">
        <w:pPr>
          <w:pStyle w:val="Footer"/>
          <w:jc w:val="center"/>
        </w:pPr>
        <w:r>
          <w:ptab w:relativeTo="margin" w:alignment="center" w:leader="none"/>
        </w:r>
        <w:r>
          <w:rPr>
            <w:noProof/>
            <w:sz w:val="14"/>
            <w:szCs w:val="14"/>
          </w:rPr>
          <w:ptab w:relativeTo="margin" w:alignment="right" w:leader="none"/>
        </w:r>
      </w:p>
    </w:sdtContent>
  </w:sdt>
  <w:p w14:paraId="2634524E" w14:textId="77777777" w:rsidR="00E56008" w:rsidRDefault="00E560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0D4C6B" w14:textId="77777777" w:rsidR="00BB3FA2" w:rsidRDefault="00BB3FA2" w:rsidP="00927301">
      <w:pPr>
        <w:spacing w:after="0" w:line="240" w:lineRule="auto"/>
      </w:pPr>
      <w:r>
        <w:separator/>
      </w:r>
    </w:p>
  </w:footnote>
  <w:footnote w:type="continuationSeparator" w:id="0">
    <w:p w14:paraId="519EE857" w14:textId="77777777" w:rsidR="00BB3FA2" w:rsidRDefault="00BB3FA2" w:rsidP="009273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D1F3D"/>
    <w:multiLevelType w:val="multilevel"/>
    <w:tmpl w:val="E3C249C0"/>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B4257F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5D63530"/>
    <w:multiLevelType w:val="hybridMultilevel"/>
    <w:tmpl w:val="3C529E10"/>
    <w:lvl w:ilvl="0" w:tplc="315E3810">
      <w:start w:val="1"/>
      <w:numFmt w:val="decimal"/>
      <w:pStyle w:val="Refs"/>
      <w:lvlText w:val="[%1]"/>
      <w:lvlJc w:val="left"/>
      <w:pPr>
        <w:tabs>
          <w:tab w:val="num" w:pos="284"/>
        </w:tabs>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D73B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D05725"/>
    <w:multiLevelType w:val="hybridMultilevel"/>
    <w:tmpl w:val="E0E41070"/>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5" w15:restartNumberingAfterBreak="0">
    <w:nsid w:val="3A1C7D9E"/>
    <w:multiLevelType w:val="multilevel"/>
    <w:tmpl w:val="0809001F"/>
    <w:lvl w:ilvl="0">
      <w:start w:val="1"/>
      <w:numFmt w:val="decimal"/>
      <w:lvlText w:val="%1."/>
      <w:lvlJc w:val="left"/>
      <w:pPr>
        <w:ind w:left="587" w:hanging="360"/>
      </w:pPr>
    </w:lvl>
    <w:lvl w:ilvl="1">
      <w:start w:val="1"/>
      <w:numFmt w:val="decimal"/>
      <w:lvlText w:val="%1.%2."/>
      <w:lvlJc w:val="left"/>
      <w:pPr>
        <w:ind w:left="1019" w:hanging="432"/>
      </w:pPr>
    </w:lvl>
    <w:lvl w:ilvl="2">
      <w:start w:val="1"/>
      <w:numFmt w:val="decimal"/>
      <w:lvlText w:val="%1.%2.%3."/>
      <w:lvlJc w:val="left"/>
      <w:pPr>
        <w:ind w:left="1451" w:hanging="504"/>
      </w:pPr>
    </w:lvl>
    <w:lvl w:ilvl="3">
      <w:start w:val="1"/>
      <w:numFmt w:val="decimal"/>
      <w:lvlText w:val="%1.%2.%3.%4."/>
      <w:lvlJc w:val="left"/>
      <w:pPr>
        <w:ind w:left="1955" w:hanging="648"/>
      </w:pPr>
    </w:lvl>
    <w:lvl w:ilvl="4">
      <w:start w:val="1"/>
      <w:numFmt w:val="decimal"/>
      <w:lvlText w:val="%1.%2.%3.%4.%5."/>
      <w:lvlJc w:val="left"/>
      <w:pPr>
        <w:ind w:left="2459" w:hanging="792"/>
      </w:pPr>
    </w:lvl>
    <w:lvl w:ilvl="5">
      <w:start w:val="1"/>
      <w:numFmt w:val="decimal"/>
      <w:lvlText w:val="%1.%2.%3.%4.%5.%6."/>
      <w:lvlJc w:val="left"/>
      <w:pPr>
        <w:ind w:left="2963" w:hanging="936"/>
      </w:pPr>
    </w:lvl>
    <w:lvl w:ilvl="6">
      <w:start w:val="1"/>
      <w:numFmt w:val="decimal"/>
      <w:lvlText w:val="%1.%2.%3.%4.%5.%6.%7."/>
      <w:lvlJc w:val="left"/>
      <w:pPr>
        <w:ind w:left="3467" w:hanging="1080"/>
      </w:pPr>
    </w:lvl>
    <w:lvl w:ilvl="7">
      <w:start w:val="1"/>
      <w:numFmt w:val="decimal"/>
      <w:lvlText w:val="%1.%2.%3.%4.%5.%6.%7.%8."/>
      <w:lvlJc w:val="left"/>
      <w:pPr>
        <w:ind w:left="3971" w:hanging="1224"/>
      </w:pPr>
    </w:lvl>
    <w:lvl w:ilvl="8">
      <w:start w:val="1"/>
      <w:numFmt w:val="decimal"/>
      <w:lvlText w:val="%1.%2.%3.%4.%5.%6.%7.%8.%9."/>
      <w:lvlJc w:val="left"/>
      <w:pPr>
        <w:ind w:left="4547" w:hanging="1440"/>
      </w:pPr>
    </w:lvl>
  </w:abstractNum>
  <w:abstractNum w:abstractNumId="6" w15:restartNumberingAfterBreak="0">
    <w:nsid w:val="3F8A573F"/>
    <w:multiLevelType w:val="multilevel"/>
    <w:tmpl w:val="4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406102CB"/>
    <w:multiLevelType w:val="multilevel"/>
    <w:tmpl w:val="9C4458F0"/>
    <w:lvl w:ilvl="0">
      <w:start w:val="1"/>
      <w:numFmt w:val="upp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8005E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D3537C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12D70A9"/>
    <w:multiLevelType w:val="multilevel"/>
    <w:tmpl w:val="9FFABC2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2455898"/>
    <w:multiLevelType w:val="hybridMultilevel"/>
    <w:tmpl w:val="69706EFA"/>
    <w:lvl w:ilvl="0" w:tplc="EDB617C0">
      <w:start w:val="1"/>
      <w:numFmt w:val="decimal"/>
      <w:lvlText w:val="%1."/>
      <w:lvlJc w:val="left"/>
      <w:pPr>
        <w:ind w:left="717" w:hanging="360"/>
      </w:pPr>
      <w:rPr>
        <w:rFonts w:hint="default"/>
        <w:color w:val="000000" w:themeColor="text1"/>
        <w:sz w:val="20"/>
        <w:szCs w:val="16"/>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2" w15:restartNumberingAfterBreak="0">
    <w:nsid w:val="5CBD0E1C"/>
    <w:multiLevelType w:val="multilevel"/>
    <w:tmpl w:val="1E78391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59253CF"/>
    <w:multiLevelType w:val="hybridMultilevel"/>
    <w:tmpl w:val="62A27A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850EB9"/>
    <w:multiLevelType w:val="hybridMultilevel"/>
    <w:tmpl w:val="33968AF4"/>
    <w:lvl w:ilvl="0" w:tplc="906AA7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A0139BA"/>
    <w:multiLevelType w:val="hybridMultilevel"/>
    <w:tmpl w:val="E4FAE5B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 w15:restartNumberingAfterBreak="0">
    <w:nsid w:val="7AE8608A"/>
    <w:multiLevelType w:val="hybridMultilevel"/>
    <w:tmpl w:val="8940E84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15:restartNumberingAfterBreak="0">
    <w:nsid w:val="7D421165"/>
    <w:multiLevelType w:val="hybridMultilevel"/>
    <w:tmpl w:val="7A2689D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 w15:restartNumberingAfterBreak="0">
    <w:nsid w:val="7DA0489E"/>
    <w:multiLevelType w:val="multilevel"/>
    <w:tmpl w:val="0809001F"/>
    <w:lvl w:ilvl="0">
      <w:start w:val="1"/>
      <w:numFmt w:val="decimal"/>
      <w:lvlText w:val="%1."/>
      <w:lvlJc w:val="left"/>
      <w:pPr>
        <w:ind w:left="587" w:hanging="360"/>
      </w:pPr>
    </w:lvl>
    <w:lvl w:ilvl="1">
      <w:start w:val="1"/>
      <w:numFmt w:val="decimal"/>
      <w:lvlText w:val="%1.%2."/>
      <w:lvlJc w:val="left"/>
      <w:pPr>
        <w:ind w:left="1019" w:hanging="432"/>
      </w:pPr>
    </w:lvl>
    <w:lvl w:ilvl="2">
      <w:start w:val="1"/>
      <w:numFmt w:val="decimal"/>
      <w:lvlText w:val="%1.%2.%3."/>
      <w:lvlJc w:val="left"/>
      <w:pPr>
        <w:ind w:left="1451" w:hanging="504"/>
      </w:pPr>
    </w:lvl>
    <w:lvl w:ilvl="3">
      <w:start w:val="1"/>
      <w:numFmt w:val="decimal"/>
      <w:lvlText w:val="%1.%2.%3.%4."/>
      <w:lvlJc w:val="left"/>
      <w:pPr>
        <w:ind w:left="1955" w:hanging="648"/>
      </w:pPr>
    </w:lvl>
    <w:lvl w:ilvl="4">
      <w:start w:val="1"/>
      <w:numFmt w:val="decimal"/>
      <w:lvlText w:val="%1.%2.%3.%4.%5."/>
      <w:lvlJc w:val="left"/>
      <w:pPr>
        <w:ind w:left="2459" w:hanging="792"/>
      </w:pPr>
    </w:lvl>
    <w:lvl w:ilvl="5">
      <w:start w:val="1"/>
      <w:numFmt w:val="decimal"/>
      <w:lvlText w:val="%1.%2.%3.%4.%5.%6."/>
      <w:lvlJc w:val="left"/>
      <w:pPr>
        <w:ind w:left="2963" w:hanging="936"/>
      </w:pPr>
    </w:lvl>
    <w:lvl w:ilvl="6">
      <w:start w:val="1"/>
      <w:numFmt w:val="decimal"/>
      <w:lvlText w:val="%1.%2.%3.%4.%5.%6.%7."/>
      <w:lvlJc w:val="left"/>
      <w:pPr>
        <w:ind w:left="3467" w:hanging="1080"/>
      </w:pPr>
    </w:lvl>
    <w:lvl w:ilvl="7">
      <w:start w:val="1"/>
      <w:numFmt w:val="decimal"/>
      <w:lvlText w:val="%1.%2.%3.%4.%5.%6.%7.%8."/>
      <w:lvlJc w:val="left"/>
      <w:pPr>
        <w:ind w:left="3971" w:hanging="1224"/>
      </w:pPr>
    </w:lvl>
    <w:lvl w:ilvl="8">
      <w:start w:val="1"/>
      <w:numFmt w:val="decimal"/>
      <w:lvlText w:val="%1.%2.%3.%4.%5.%6.%7.%8.%9."/>
      <w:lvlJc w:val="left"/>
      <w:pPr>
        <w:ind w:left="4547" w:hanging="1440"/>
      </w:pPr>
    </w:lvl>
  </w:abstractNum>
  <w:num w:numId="1">
    <w:abstractNumId w:val="2"/>
  </w:num>
  <w:num w:numId="2">
    <w:abstractNumId w:val="0"/>
  </w:num>
  <w:num w:numId="3">
    <w:abstractNumId w:val="4"/>
  </w:num>
  <w:num w:numId="4">
    <w:abstractNumId w:val="10"/>
  </w:num>
  <w:num w:numId="5">
    <w:abstractNumId w:val="8"/>
  </w:num>
  <w:num w:numId="6">
    <w:abstractNumId w:val="3"/>
  </w:num>
  <w:num w:numId="7">
    <w:abstractNumId w:val="5"/>
  </w:num>
  <w:num w:numId="8">
    <w:abstractNumId w:val="9"/>
  </w:num>
  <w:num w:numId="9">
    <w:abstractNumId w:val="1"/>
  </w:num>
  <w:num w:numId="10">
    <w:abstractNumId w:val="18"/>
  </w:num>
  <w:num w:numId="11">
    <w:abstractNumId w:val="4"/>
  </w:num>
  <w:num w:numId="12">
    <w:abstractNumId w:val="16"/>
  </w:num>
  <w:num w:numId="13">
    <w:abstractNumId w:val="17"/>
  </w:num>
  <w:num w:numId="14">
    <w:abstractNumId w:val="15"/>
  </w:num>
  <w:num w:numId="15">
    <w:abstractNumId w:val="12"/>
  </w:num>
  <w:num w:numId="16">
    <w:abstractNumId w:val="13"/>
  </w:num>
  <w:num w:numId="17">
    <w:abstractNumId w:val="7"/>
  </w:num>
  <w:num w:numId="18">
    <w:abstractNumId w:val="14"/>
  </w:num>
  <w:num w:numId="19">
    <w:abstractNumId w:val="11"/>
  </w:num>
  <w:num w:numId="2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72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QwN7EwNTA3MzQzNzBQ0lEKTi0uzszPAymwMKwFAPSgTHgtAAAA"/>
  </w:docVars>
  <w:rsids>
    <w:rsidRoot w:val="007919E1"/>
    <w:rsid w:val="00000531"/>
    <w:rsid w:val="00001C91"/>
    <w:rsid w:val="0000286E"/>
    <w:rsid w:val="00004142"/>
    <w:rsid w:val="00005725"/>
    <w:rsid w:val="00005904"/>
    <w:rsid w:val="0000643F"/>
    <w:rsid w:val="000073B5"/>
    <w:rsid w:val="000103C3"/>
    <w:rsid w:val="00011A64"/>
    <w:rsid w:val="000124A5"/>
    <w:rsid w:val="000138EC"/>
    <w:rsid w:val="0001597E"/>
    <w:rsid w:val="00015B44"/>
    <w:rsid w:val="00015F62"/>
    <w:rsid w:val="0001602C"/>
    <w:rsid w:val="000167D0"/>
    <w:rsid w:val="000168D7"/>
    <w:rsid w:val="0002040A"/>
    <w:rsid w:val="00020D57"/>
    <w:rsid w:val="00022952"/>
    <w:rsid w:val="00024B61"/>
    <w:rsid w:val="000258E3"/>
    <w:rsid w:val="00032E89"/>
    <w:rsid w:val="00033283"/>
    <w:rsid w:val="00033CA3"/>
    <w:rsid w:val="00036B87"/>
    <w:rsid w:val="00036B9A"/>
    <w:rsid w:val="0003759A"/>
    <w:rsid w:val="00041697"/>
    <w:rsid w:val="00042082"/>
    <w:rsid w:val="00042387"/>
    <w:rsid w:val="00042AC8"/>
    <w:rsid w:val="00043CC5"/>
    <w:rsid w:val="000458F9"/>
    <w:rsid w:val="00050A4A"/>
    <w:rsid w:val="00055E1B"/>
    <w:rsid w:val="00056EA9"/>
    <w:rsid w:val="00057757"/>
    <w:rsid w:val="00061AD6"/>
    <w:rsid w:val="00062154"/>
    <w:rsid w:val="00066B5E"/>
    <w:rsid w:val="00076E54"/>
    <w:rsid w:val="00080426"/>
    <w:rsid w:val="00081B3D"/>
    <w:rsid w:val="00081FCD"/>
    <w:rsid w:val="00085AAC"/>
    <w:rsid w:val="0009010E"/>
    <w:rsid w:val="00091A0C"/>
    <w:rsid w:val="00093C8B"/>
    <w:rsid w:val="00093F4B"/>
    <w:rsid w:val="00094F9A"/>
    <w:rsid w:val="00096EB2"/>
    <w:rsid w:val="000A0554"/>
    <w:rsid w:val="000A0CAA"/>
    <w:rsid w:val="000A0D3C"/>
    <w:rsid w:val="000A1331"/>
    <w:rsid w:val="000A2FBA"/>
    <w:rsid w:val="000A33FC"/>
    <w:rsid w:val="000A4C28"/>
    <w:rsid w:val="000A4C8D"/>
    <w:rsid w:val="000A4ED0"/>
    <w:rsid w:val="000A7283"/>
    <w:rsid w:val="000A737C"/>
    <w:rsid w:val="000B2569"/>
    <w:rsid w:val="000B39B2"/>
    <w:rsid w:val="000B6EF7"/>
    <w:rsid w:val="000C02CE"/>
    <w:rsid w:val="000C0D3E"/>
    <w:rsid w:val="000C2D2C"/>
    <w:rsid w:val="000C3EE2"/>
    <w:rsid w:val="000C4B0A"/>
    <w:rsid w:val="000C564E"/>
    <w:rsid w:val="000C574C"/>
    <w:rsid w:val="000C6AD1"/>
    <w:rsid w:val="000C6B29"/>
    <w:rsid w:val="000D067B"/>
    <w:rsid w:val="000D2181"/>
    <w:rsid w:val="000D32AA"/>
    <w:rsid w:val="000D3FA2"/>
    <w:rsid w:val="000D677F"/>
    <w:rsid w:val="000E0AF9"/>
    <w:rsid w:val="000E1E8C"/>
    <w:rsid w:val="000E23C0"/>
    <w:rsid w:val="000E2533"/>
    <w:rsid w:val="000E3090"/>
    <w:rsid w:val="000E385A"/>
    <w:rsid w:val="000E4D13"/>
    <w:rsid w:val="000E4E59"/>
    <w:rsid w:val="000E579C"/>
    <w:rsid w:val="000E7207"/>
    <w:rsid w:val="000F4F03"/>
    <w:rsid w:val="000F76B4"/>
    <w:rsid w:val="000F7969"/>
    <w:rsid w:val="00100138"/>
    <w:rsid w:val="001002FA"/>
    <w:rsid w:val="0010047F"/>
    <w:rsid w:val="00101006"/>
    <w:rsid w:val="001011FC"/>
    <w:rsid w:val="00102289"/>
    <w:rsid w:val="00103DFE"/>
    <w:rsid w:val="00105F17"/>
    <w:rsid w:val="00111078"/>
    <w:rsid w:val="00111D6B"/>
    <w:rsid w:val="001139EF"/>
    <w:rsid w:val="00114E24"/>
    <w:rsid w:val="00115101"/>
    <w:rsid w:val="00120368"/>
    <w:rsid w:val="001205BF"/>
    <w:rsid w:val="00121250"/>
    <w:rsid w:val="001214E5"/>
    <w:rsid w:val="00125496"/>
    <w:rsid w:val="0012641D"/>
    <w:rsid w:val="001268BC"/>
    <w:rsid w:val="0012700C"/>
    <w:rsid w:val="001311EF"/>
    <w:rsid w:val="00132835"/>
    <w:rsid w:val="00136DA4"/>
    <w:rsid w:val="001400CB"/>
    <w:rsid w:val="00143712"/>
    <w:rsid w:val="0014387A"/>
    <w:rsid w:val="00144822"/>
    <w:rsid w:val="00144B69"/>
    <w:rsid w:val="001462DF"/>
    <w:rsid w:val="0014790E"/>
    <w:rsid w:val="001509D4"/>
    <w:rsid w:val="00154784"/>
    <w:rsid w:val="00157BE1"/>
    <w:rsid w:val="0016068E"/>
    <w:rsid w:val="00160B64"/>
    <w:rsid w:val="00164D6C"/>
    <w:rsid w:val="00172583"/>
    <w:rsid w:val="00172C07"/>
    <w:rsid w:val="001733FF"/>
    <w:rsid w:val="0017430F"/>
    <w:rsid w:val="001757F1"/>
    <w:rsid w:val="001767A6"/>
    <w:rsid w:val="00180475"/>
    <w:rsid w:val="00181C29"/>
    <w:rsid w:val="001861F0"/>
    <w:rsid w:val="00192047"/>
    <w:rsid w:val="00194BE1"/>
    <w:rsid w:val="00196F9D"/>
    <w:rsid w:val="001A08A4"/>
    <w:rsid w:val="001A15A5"/>
    <w:rsid w:val="001A2B6A"/>
    <w:rsid w:val="001A523E"/>
    <w:rsid w:val="001A5B02"/>
    <w:rsid w:val="001A5E8F"/>
    <w:rsid w:val="001A6379"/>
    <w:rsid w:val="001B01A2"/>
    <w:rsid w:val="001B0DE8"/>
    <w:rsid w:val="001B2016"/>
    <w:rsid w:val="001B30B1"/>
    <w:rsid w:val="001B42E6"/>
    <w:rsid w:val="001B579F"/>
    <w:rsid w:val="001B6B6E"/>
    <w:rsid w:val="001C2DDA"/>
    <w:rsid w:val="001C3D8A"/>
    <w:rsid w:val="001C5722"/>
    <w:rsid w:val="001C678A"/>
    <w:rsid w:val="001C6FED"/>
    <w:rsid w:val="001D0568"/>
    <w:rsid w:val="001D0633"/>
    <w:rsid w:val="001D1A94"/>
    <w:rsid w:val="001D2239"/>
    <w:rsid w:val="001D3114"/>
    <w:rsid w:val="001D314B"/>
    <w:rsid w:val="001D418F"/>
    <w:rsid w:val="001D5DCA"/>
    <w:rsid w:val="001D6377"/>
    <w:rsid w:val="001D7F3E"/>
    <w:rsid w:val="001E055E"/>
    <w:rsid w:val="001E2A0D"/>
    <w:rsid w:val="001E2E21"/>
    <w:rsid w:val="001E3415"/>
    <w:rsid w:val="001E3771"/>
    <w:rsid w:val="001E37E3"/>
    <w:rsid w:val="001E3D22"/>
    <w:rsid w:val="001E4E72"/>
    <w:rsid w:val="001E5E00"/>
    <w:rsid w:val="001F02F6"/>
    <w:rsid w:val="001F266E"/>
    <w:rsid w:val="001F3120"/>
    <w:rsid w:val="0020093F"/>
    <w:rsid w:val="002012AA"/>
    <w:rsid w:val="002029C8"/>
    <w:rsid w:val="00202A16"/>
    <w:rsid w:val="002038E7"/>
    <w:rsid w:val="002058A6"/>
    <w:rsid w:val="00210F96"/>
    <w:rsid w:val="00214C93"/>
    <w:rsid w:val="00216484"/>
    <w:rsid w:val="00217B11"/>
    <w:rsid w:val="00220B5F"/>
    <w:rsid w:val="002231D8"/>
    <w:rsid w:val="002235EA"/>
    <w:rsid w:val="00223C44"/>
    <w:rsid w:val="0022788C"/>
    <w:rsid w:val="00227B57"/>
    <w:rsid w:val="002316BE"/>
    <w:rsid w:val="00233398"/>
    <w:rsid w:val="00233C13"/>
    <w:rsid w:val="00233DE7"/>
    <w:rsid w:val="002419AD"/>
    <w:rsid w:val="0024313B"/>
    <w:rsid w:val="002431FE"/>
    <w:rsid w:val="00243B6C"/>
    <w:rsid w:val="0024591D"/>
    <w:rsid w:val="0024694A"/>
    <w:rsid w:val="00246A49"/>
    <w:rsid w:val="00250D10"/>
    <w:rsid w:val="002516A4"/>
    <w:rsid w:val="002523C8"/>
    <w:rsid w:val="002538E3"/>
    <w:rsid w:val="00253F34"/>
    <w:rsid w:val="002545D8"/>
    <w:rsid w:val="002546B6"/>
    <w:rsid w:val="00254E78"/>
    <w:rsid w:val="002561A8"/>
    <w:rsid w:val="00256C22"/>
    <w:rsid w:val="002645EC"/>
    <w:rsid w:val="002666AA"/>
    <w:rsid w:val="0027539A"/>
    <w:rsid w:val="00276481"/>
    <w:rsid w:val="00277AAA"/>
    <w:rsid w:val="00281690"/>
    <w:rsid w:val="002857EA"/>
    <w:rsid w:val="002860A3"/>
    <w:rsid w:val="0029049F"/>
    <w:rsid w:val="002904A4"/>
    <w:rsid w:val="00290B37"/>
    <w:rsid w:val="00292F30"/>
    <w:rsid w:val="0029418F"/>
    <w:rsid w:val="0029482D"/>
    <w:rsid w:val="00296BA7"/>
    <w:rsid w:val="002A0377"/>
    <w:rsid w:val="002A03E8"/>
    <w:rsid w:val="002A2FFB"/>
    <w:rsid w:val="002A395F"/>
    <w:rsid w:val="002A3CED"/>
    <w:rsid w:val="002A492A"/>
    <w:rsid w:val="002A52B5"/>
    <w:rsid w:val="002A6B32"/>
    <w:rsid w:val="002B0808"/>
    <w:rsid w:val="002B0979"/>
    <w:rsid w:val="002B226D"/>
    <w:rsid w:val="002B4D9E"/>
    <w:rsid w:val="002B68DD"/>
    <w:rsid w:val="002B69AB"/>
    <w:rsid w:val="002C2800"/>
    <w:rsid w:val="002C38DD"/>
    <w:rsid w:val="002C44A8"/>
    <w:rsid w:val="002C5A31"/>
    <w:rsid w:val="002C64A7"/>
    <w:rsid w:val="002D1B80"/>
    <w:rsid w:val="002D2BC6"/>
    <w:rsid w:val="002D2FB2"/>
    <w:rsid w:val="002D300D"/>
    <w:rsid w:val="002D3CDF"/>
    <w:rsid w:val="002D4127"/>
    <w:rsid w:val="002D446E"/>
    <w:rsid w:val="002D4C79"/>
    <w:rsid w:val="002D4F25"/>
    <w:rsid w:val="002D6731"/>
    <w:rsid w:val="002E137D"/>
    <w:rsid w:val="002E3D85"/>
    <w:rsid w:val="002E42E0"/>
    <w:rsid w:val="002E5DFD"/>
    <w:rsid w:val="002E7EC1"/>
    <w:rsid w:val="002F0E5D"/>
    <w:rsid w:val="002F0E66"/>
    <w:rsid w:val="002F334A"/>
    <w:rsid w:val="002F46C7"/>
    <w:rsid w:val="002F4A5C"/>
    <w:rsid w:val="002F5A78"/>
    <w:rsid w:val="00300B67"/>
    <w:rsid w:val="00303AC9"/>
    <w:rsid w:val="00303CB6"/>
    <w:rsid w:val="00304BE5"/>
    <w:rsid w:val="00304F4B"/>
    <w:rsid w:val="00306570"/>
    <w:rsid w:val="0031233A"/>
    <w:rsid w:val="003130FD"/>
    <w:rsid w:val="0031338D"/>
    <w:rsid w:val="00320B95"/>
    <w:rsid w:val="003220EC"/>
    <w:rsid w:val="00322803"/>
    <w:rsid w:val="00324126"/>
    <w:rsid w:val="00325F6C"/>
    <w:rsid w:val="00326CE4"/>
    <w:rsid w:val="003302AC"/>
    <w:rsid w:val="0033036A"/>
    <w:rsid w:val="003314E9"/>
    <w:rsid w:val="0033213D"/>
    <w:rsid w:val="003326DC"/>
    <w:rsid w:val="00332CC8"/>
    <w:rsid w:val="00333215"/>
    <w:rsid w:val="00333A4A"/>
    <w:rsid w:val="00333B7E"/>
    <w:rsid w:val="00336DB7"/>
    <w:rsid w:val="00340F51"/>
    <w:rsid w:val="0034232E"/>
    <w:rsid w:val="00342ED3"/>
    <w:rsid w:val="00343F37"/>
    <w:rsid w:val="00345575"/>
    <w:rsid w:val="00346F59"/>
    <w:rsid w:val="00350796"/>
    <w:rsid w:val="00351CF5"/>
    <w:rsid w:val="0035326B"/>
    <w:rsid w:val="00355BF6"/>
    <w:rsid w:val="00357377"/>
    <w:rsid w:val="00357963"/>
    <w:rsid w:val="00360ADE"/>
    <w:rsid w:val="00361A9E"/>
    <w:rsid w:val="00364AAC"/>
    <w:rsid w:val="00364E4F"/>
    <w:rsid w:val="00372674"/>
    <w:rsid w:val="00373941"/>
    <w:rsid w:val="003745C5"/>
    <w:rsid w:val="00374E58"/>
    <w:rsid w:val="0037600E"/>
    <w:rsid w:val="0038075D"/>
    <w:rsid w:val="003822DE"/>
    <w:rsid w:val="003849BD"/>
    <w:rsid w:val="00384A54"/>
    <w:rsid w:val="003850EF"/>
    <w:rsid w:val="003867EF"/>
    <w:rsid w:val="00391345"/>
    <w:rsid w:val="00391AE1"/>
    <w:rsid w:val="00391C3C"/>
    <w:rsid w:val="003930B0"/>
    <w:rsid w:val="00394FD8"/>
    <w:rsid w:val="00395133"/>
    <w:rsid w:val="00395164"/>
    <w:rsid w:val="003955CA"/>
    <w:rsid w:val="0039570D"/>
    <w:rsid w:val="00396087"/>
    <w:rsid w:val="00396190"/>
    <w:rsid w:val="00396A20"/>
    <w:rsid w:val="00397242"/>
    <w:rsid w:val="003A0B91"/>
    <w:rsid w:val="003A37AB"/>
    <w:rsid w:val="003A5833"/>
    <w:rsid w:val="003A77EC"/>
    <w:rsid w:val="003A7E92"/>
    <w:rsid w:val="003B110D"/>
    <w:rsid w:val="003B1284"/>
    <w:rsid w:val="003B1BA2"/>
    <w:rsid w:val="003B4C5C"/>
    <w:rsid w:val="003C0E89"/>
    <w:rsid w:val="003C400E"/>
    <w:rsid w:val="003C46A3"/>
    <w:rsid w:val="003C495F"/>
    <w:rsid w:val="003D0362"/>
    <w:rsid w:val="003D06E9"/>
    <w:rsid w:val="003D091E"/>
    <w:rsid w:val="003D5A58"/>
    <w:rsid w:val="003D7951"/>
    <w:rsid w:val="003E163E"/>
    <w:rsid w:val="003E3C1A"/>
    <w:rsid w:val="003E4FE8"/>
    <w:rsid w:val="003E5E70"/>
    <w:rsid w:val="003F3DED"/>
    <w:rsid w:val="003F7AAF"/>
    <w:rsid w:val="004022FA"/>
    <w:rsid w:val="0040335E"/>
    <w:rsid w:val="00403600"/>
    <w:rsid w:val="00405193"/>
    <w:rsid w:val="00405E25"/>
    <w:rsid w:val="0041070F"/>
    <w:rsid w:val="00416C81"/>
    <w:rsid w:val="00417D6B"/>
    <w:rsid w:val="00422F7D"/>
    <w:rsid w:val="00422FFD"/>
    <w:rsid w:val="0042447C"/>
    <w:rsid w:val="00424AD4"/>
    <w:rsid w:val="0042534D"/>
    <w:rsid w:val="004278DD"/>
    <w:rsid w:val="00427A34"/>
    <w:rsid w:val="00427A7A"/>
    <w:rsid w:val="00434539"/>
    <w:rsid w:val="00434BC7"/>
    <w:rsid w:val="00441456"/>
    <w:rsid w:val="00442FFC"/>
    <w:rsid w:val="004454B2"/>
    <w:rsid w:val="00445547"/>
    <w:rsid w:val="00445FB9"/>
    <w:rsid w:val="00447098"/>
    <w:rsid w:val="00447336"/>
    <w:rsid w:val="004514F4"/>
    <w:rsid w:val="00451C08"/>
    <w:rsid w:val="00452037"/>
    <w:rsid w:val="004532BD"/>
    <w:rsid w:val="004540BE"/>
    <w:rsid w:val="00454A74"/>
    <w:rsid w:val="00456770"/>
    <w:rsid w:val="00460C29"/>
    <w:rsid w:val="00460CDD"/>
    <w:rsid w:val="00462804"/>
    <w:rsid w:val="0046462C"/>
    <w:rsid w:val="00465C09"/>
    <w:rsid w:val="00465CE3"/>
    <w:rsid w:val="0046764D"/>
    <w:rsid w:val="00467716"/>
    <w:rsid w:val="00470033"/>
    <w:rsid w:val="00472BF5"/>
    <w:rsid w:val="004730A6"/>
    <w:rsid w:val="0047571E"/>
    <w:rsid w:val="004816CD"/>
    <w:rsid w:val="00482FEF"/>
    <w:rsid w:val="00486CB6"/>
    <w:rsid w:val="00487939"/>
    <w:rsid w:val="00493B58"/>
    <w:rsid w:val="00496BB3"/>
    <w:rsid w:val="004970E7"/>
    <w:rsid w:val="004A17D2"/>
    <w:rsid w:val="004A2832"/>
    <w:rsid w:val="004A2A26"/>
    <w:rsid w:val="004A3097"/>
    <w:rsid w:val="004A3113"/>
    <w:rsid w:val="004A3755"/>
    <w:rsid w:val="004A441E"/>
    <w:rsid w:val="004A7295"/>
    <w:rsid w:val="004B027E"/>
    <w:rsid w:val="004B0E04"/>
    <w:rsid w:val="004B178B"/>
    <w:rsid w:val="004B2DD7"/>
    <w:rsid w:val="004B3EFD"/>
    <w:rsid w:val="004B4741"/>
    <w:rsid w:val="004B77E2"/>
    <w:rsid w:val="004C6C49"/>
    <w:rsid w:val="004D28A7"/>
    <w:rsid w:val="004D2C0F"/>
    <w:rsid w:val="004D2E4E"/>
    <w:rsid w:val="004D31DB"/>
    <w:rsid w:val="004D460C"/>
    <w:rsid w:val="004D795D"/>
    <w:rsid w:val="004E1BEB"/>
    <w:rsid w:val="004E21E1"/>
    <w:rsid w:val="004E25A7"/>
    <w:rsid w:val="004E3797"/>
    <w:rsid w:val="004E4BEA"/>
    <w:rsid w:val="004E6E98"/>
    <w:rsid w:val="004F1A65"/>
    <w:rsid w:val="005006C6"/>
    <w:rsid w:val="00506654"/>
    <w:rsid w:val="00510C2F"/>
    <w:rsid w:val="00512594"/>
    <w:rsid w:val="00512ABE"/>
    <w:rsid w:val="00514431"/>
    <w:rsid w:val="00515BF0"/>
    <w:rsid w:val="00516F97"/>
    <w:rsid w:val="00517099"/>
    <w:rsid w:val="0052142C"/>
    <w:rsid w:val="00521ABD"/>
    <w:rsid w:val="005223F4"/>
    <w:rsid w:val="00522ED8"/>
    <w:rsid w:val="00523506"/>
    <w:rsid w:val="0052502A"/>
    <w:rsid w:val="005264EC"/>
    <w:rsid w:val="00530EF2"/>
    <w:rsid w:val="005311F5"/>
    <w:rsid w:val="00532293"/>
    <w:rsid w:val="0053327A"/>
    <w:rsid w:val="00533A56"/>
    <w:rsid w:val="005351D4"/>
    <w:rsid w:val="00535EB6"/>
    <w:rsid w:val="005367A8"/>
    <w:rsid w:val="00540AF2"/>
    <w:rsid w:val="00542391"/>
    <w:rsid w:val="00546C9C"/>
    <w:rsid w:val="00546D45"/>
    <w:rsid w:val="00546DAC"/>
    <w:rsid w:val="00546F42"/>
    <w:rsid w:val="005474AD"/>
    <w:rsid w:val="00547C41"/>
    <w:rsid w:val="005524DE"/>
    <w:rsid w:val="0055274C"/>
    <w:rsid w:val="0055677E"/>
    <w:rsid w:val="00561A80"/>
    <w:rsid w:val="00564683"/>
    <w:rsid w:val="00564801"/>
    <w:rsid w:val="005665E7"/>
    <w:rsid w:val="0056683F"/>
    <w:rsid w:val="005712F6"/>
    <w:rsid w:val="00573D2D"/>
    <w:rsid w:val="00575166"/>
    <w:rsid w:val="00577261"/>
    <w:rsid w:val="00577BBD"/>
    <w:rsid w:val="00580057"/>
    <w:rsid w:val="005801F7"/>
    <w:rsid w:val="005852CD"/>
    <w:rsid w:val="00585576"/>
    <w:rsid w:val="00586780"/>
    <w:rsid w:val="00587871"/>
    <w:rsid w:val="00592475"/>
    <w:rsid w:val="00595562"/>
    <w:rsid w:val="00595E8F"/>
    <w:rsid w:val="005A15F9"/>
    <w:rsid w:val="005A187E"/>
    <w:rsid w:val="005A3409"/>
    <w:rsid w:val="005A6CAA"/>
    <w:rsid w:val="005B1138"/>
    <w:rsid w:val="005B3100"/>
    <w:rsid w:val="005B3B0B"/>
    <w:rsid w:val="005B44FC"/>
    <w:rsid w:val="005B7902"/>
    <w:rsid w:val="005C42BE"/>
    <w:rsid w:val="005D12DE"/>
    <w:rsid w:val="005D2DF1"/>
    <w:rsid w:val="005D47BF"/>
    <w:rsid w:val="005D4E18"/>
    <w:rsid w:val="005D7DE3"/>
    <w:rsid w:val="005E0C6F"/>
    <w:rsid w:val="005E262B"/>
    <w:rsid w:val="005E4F08"/>
    <w:rsid w:val="005E6FC3"/>
    <w:rsid w:val="005F0029"/>
    <w:rsid w:val="005F0FEF"/>
    <w:rsid w:val="005F19D4"/>
    <w:rsid w:val="005F21B6"/>
    <w:rsid w:val="005F3DE6"/>
    <w:rsid w:val="005F4625"/>
    <w:rsid w:val="005F4CCB"/>
    <w:rsid w:val="005F5304"/>
    <w:rsid w:val="005F7F01"/>
    <w:rsid w:val="006058CC"/>
    <w:rsid w:val="00606B49"/>
    <w:rsid w:val="00607E4D"/>
    <w:rsid w:val="006107DC"/>
    <w:rsid w:val="006113FD"/>
    <w:rsid w:val="00612D87"/>
    <w:rsid w:val="00613529"/>
    <w:rsid w:val="00613D4E"/>
    <w:rsid w:val="00613E8E"/>
    <w:rsid w:val="0061501F"/>
    <w:rsid w:val="00616C9F"/>
    <w:rsid w:val="00620F29"/>
    <w:rsid w:val="006227D3"/>
    <w:rsid w:val="006228A2"/>
    <w:rsid w:val="00622A8C"/>
    <w:rsid w:val="0062460C"/>
    <w:rsid w:val="00625A17"/>
    <w:rsid w:val="0062629E"/>
    <w:rsid w:val="006264AF"/>
    <w:rsid w:val="0062776E"/>
    <w:rsid w:val="00634070"/>
    <w:rsid w:val="00634B41"/>
    <w:rsid w:val="00635626"/>
    <w:rsid w:val="00636A0C"/>
    <w:rsid w:val="00643D6B"/>
    <w:rsid w:val="00645E31"/>
    <w:rsid w:val="006460CC"/>
    <w:rsid w:val="00646222"/>
    <w:rsid w:val="00647448"/>
    <w:rsid w:val="0064797F"/>
    <w:rsid w:val="006526F3"/>
    <w:rsid w:val="006529CD"/>
    <w:rsid w:val="00653816"/>
    <w:rsid w:val="00653B4B"/>
    <w:rsid w:val="00653FD5"/>
    <w:rsid w:val="00654D1E"/>
    <w:rsid w:val="00654FE1"/>
    <w:rsid w:val="0065707C"/>
    <w:rsid w:val="006576A9"/>
    <w:rsid w:val="00661473"/>
    <w:rsid w:val="00662A08"/>
    <w:rsid w:val="00667252"/>
    <w:rsid w:val="00667A82"/>
    <w:rsid w:val="00670266"/>
    <w:rsid w:val="00671350"/>
    <w:rsid w:val="006717AD"/>
    <w:rsid w:val="00675B8D"/>
    <w:rsid w:val="00676E4C"/>
    <w:rsid w:val="006774D4"/>
    <w:rsid w:val="00682293"/>
    <w:rsid w:val="00682533"/>
    <w:rsid w:val="00682DF5"/>
    <w:rsid w:val="00682E8F"/>
    <w:rsid w:val="00685217"/>
    <w:rsid w:val="00685724"/>
    <w:rsid w:val="00686015"/>
    <w:rsid w:val="006863D9"/>
    <w:rsid w:val="00691BC2"/>
    <w:rsid w:val="0069240A"/>
    <w:rsid w:val="00695B40"/>
    <w:rsid w:val="00696BA6"/>
    <w:rsid w:val="006973CA"/>
    <w:rsid w:val="006A0398"/>
    <w:rsid w:val="006A071C"/>
    <w:rsid w:val="006A278B"/>
    <w:rsid w:val="006A2ABD"/>
    <w:rsid w:val="006A30DC"/>
    <w:rsid w:val="006A51E0"/>
    <w:rsid w:val="006A747F"/>
    <w:rsid w:val="006B025B"/>
    <w:rsid w:val="006B5D2D"/>
    <w:rsid w:val="006B6035"/>
    <w:rsid w:val="006C109B"/>
    <w:rsid w:val="006C4531"/>
    <w:rsid w:val="006C66AA"/>
    <w:rsid w:val="006D0122"/>
    <w:rsid w:val="006D297A"/>
    <w:rsid w:val="006D4135"/>
    <w:rsid w:val="006D4434"/>
    <w:rsid w:val="006D5FB4"/>
    <w:rsid w:val="006D65F7"/>
    <w:rsid w:val="006E1A35"/>
    <w:rsid w:val="006E1EB3"/>
    <w:rsid w:val="006E39BB"/>
    <w:rsid w:val="006E463C"/>
    <w:rsid w:val="006E7AE2"/>
    <w:rsid w:val="006F207C"/>
    <w:rsid w:val="006F211B"/>
    <w:rsid w:val="006F2372"/>
    <w:rsid w:val="006F3613"/>
    <w:rsid w:val="006F4A33"/>
    <w:rsid w:val="00703FCA"/>
    <w:rsid w:val="007117CD"/>
    <w:rsid w:val="00713842"/>
    <w:rsid w:val="00717048"/>
    <w:rsid w:val="007204E2"/>
    <w:rsid w:val="00720616"/>
    <w:rsid w:val="00721371"/>
    <w:rsid w:val="0072472B"/>
    <w:rsid w:val="0072585E"/>
    <w:rsid w:val="00730787"/>
    <w:rsid w:val="00740E43"/>
    <w:rsid w:val="007426BD"/>
    <w:rsid w:val="00743CDD"/>
    <w:rsid w:val="00744355"/>
    <w:rsid w:val="007449F5"/>
    <w:rsid w:val="007458D2"/>
    <w:rsid w:val="00746DF7"/>
    <w:rsid w:val="0074722E"/>
    <w:rsid w:val="007509A1"/>
    <w:rsid w:val="0075233B"/>
    <w:rsid w:val="00753A3C"/>
    <w:rsid w:val="00754A63"/>
    <w:rsid w:val="007563DA"/>
    <w:rsid w:val="00761D87"/>
    <w:rsid w:val="0076539C"/>
    <w:rsid w:val="00770BF8"/>
    <w:rsid w:val="007717A0"/>
    <w:rsid w:val="00773E43"/>
    <w:rsid w:val="00774241"/>
    <w:rsid w:val="00775578"/>
    <w:rsid w:val="0077645F"/>
    <w:rsid w:val="0078208B"/>
    <w:rsid w:val="007862BE"/>
    <w:rsid w:val="0078665D"/>
    <w:rsid w:val="00787600"/>
    <w:rsid w:val="00787641"/>
    <w:rsid w:val="007919E1"/>
    <w:rsid w:val="00793704"/>
    <w:rsid w:val="00795EDD"/>
    <w:rsid w:val="00796D91"/>
    <w:rsid w:val="0079770A"/>
    <w:rsid w:val="00797834"/>
    <w:rsid w:val="007A3285"/>
    <w:rsid w:val="007A32A1"/>
    <w:rsid w:val="007A36A4"/>
    <w:rsid w:val="007A3CF4"/>
    <w:rsid w:val="007A465A"/>
    <w:rsid w:val="007A4700"/>
    <w:rsid w:val="007A68B2"/>
    <w:rsid w:val="007A71FB"/>
    <w:rsid w:val="007A7528"/>
    <w:rsid w:val="007A7545"/>
    <w:rsid w:val="007B04B2"/>
    <w:rsid w:val="007B6299"/>
    <w:rsid w:val="007C2692"/>
    <w:rsid w:val="007C2ADA"/>
    <w:rsid w:val="007C2F5F"/>
    <w:rsid w:val="007C4396"/>
    <w:rsid w:val="007C6661"/>
    <w:rsid w:val="007D14A0"/>
    <w:rsid w:val="007D1550"/>
    <w:rsid w:val="007D2CA2"/>
    <w:rsid w:val="007D3BBA"/>
    <w:rsid w:val="007D45E0"/>
    <w:rsid w:val="007D5336"/>
    <w:rsid w:val="007D5477"/>
    <w:rsid w:val="007D5B8A"/>
    <w:rsid w:val="007D5DD1"/>
    <w:rsid w:val="007D696B"/>
    <w:rsid w:val="007D72F7"/>
    <w:rsid w:val="007D7B78"/>
    <w:rsid w:val="007D7D98"/>
    <w:rsid w:val="007E2550"/>
    <w:rsid w:val="007E26F8"/>
    <w:rsid w:val="007E2A18"/>
    <w:rsid w:val="007E483D"/>
    <w:rsid w:val="007E5052"/>
    <w:rsid w:val="007F0345"/>
    <w:rsid w:val="007F0AEC"/>
    <w:rsid w:val="007F3936"/>
    <w:rsid w:val="007F4100"/>
    <w:rsid w:val="007F4D2F"/>
    <w:rsid w:val="007F51AD"/>
    <w:rsid w:val="00801E83"/>
    <w:rsid w:val="008032A4"/>
    <w:rsid w:val="008047F9"/>
    <w:rsid w:val="00805366"/>
    <w:rsid w:val="00806DA3"/>
    <w:rsid w:val="0080771A"/>
    <w:rsid w:val="00811B25"/>
    <w:rsid w:val="00812C9F"/>
    <w:rsid w:val="00813257"/>
    <w:rsid w:val="0081359A"/>
    <w:rsid w:val="00813729"/>
    <w:rsid w:val="0081495B"/>
    <w:rsid w:val="008156FD"/>
    <w:rsid w:val="00816362"/>
    <w:rsid w:val="00816FF8"/>
    <w:rsid w:val="00820CD7"/>
    <w:rsid w:val="0082178C"/>
    <w:rsid w:val="00821AC6"/>
    <w:rsid w:val="00823C54"/>
    <w:rsid w:val="00823E38"/>
    <w:rsid w:val="0082599F"/>
    <w:rsid w:val="00827151"/>
    <w:rsid w:val="00827F8A"/>
    <w:rsid w:val="00832B8B"/>
    <w:rsid w:val="00835CEF"/>
    <w:rsid w:val="00836C6B"/>
    <w:rsid w:val="00837242"/>
    <w:rsid w:val="00837E52"/>
    <w:rsid w:val="008405B8"/>
    <w:rsid w:val="00840E08"/>
    <w:rsid w:val="008423EC"/>
    <w:rsid w:val="00842F63"/>
    <w:rsid w:val="00844927"/>
    <w:rsid w:val="00844A45"/>
    <w:rsid w:val="008504FF"/>
    <w:rsid w:val="0085109B"/>
    <w:rsid w:val="00851F31"/>
    <w:rsid w:val="00852C34"/>
    <w:rsid w:val="008536C8"/>
    <w:rsid w:val="008547FE"/>
    <w:rsid w:val="00854C6A"/>
    <w:rsid w:val="00860E3F"/>
    <w:rsid w:val="00870D5E"/>
    <w:rsid w:val="0087550C"/>
    <w:rsid w:val="00875DD1"/>
    <w:rsid w:val="0088063C"/>
    <w:rsid w:val="00880CF0"/>
    <w:rsid w:val="00882C15"/>
    <w:rsid w:val="008846A6"/>
    <w:rsid w:val="00885DCE"/>
    <w:rsid w:val="0088659A"/>
    <w:rsid w:val="0089099C"/>
    <w:rsid w:val="008911E6"/>
    <w:rsid w:val="008922C9"/>
    <w:rsid w:val="008931FE"/>
    <w:rsid w:val="00893471"/>
    <w:rsid w:val="0089448D"/>
    <w:rsid w:val="00894860"/>
    <w:rsid w:val="008A0858"/>
    <w:rsid w:val="008A09E8"/>
    <w:rsid w:val="008A1683"/>
    <w:rsid w:val="008A1713"/>
    <w:rsid w:val="008A1EB0"/>
    <w:rsid w:val="008A3569"/>
    <w:rsid w:val="008A3AB4"/>
    <w:rsid w:val="008A5E31"/>
    <w:rsid w:val="008A65B7"/>
    <w:rsid w:val="008A7CD6"/>
    <w:rsid w:val="008B0482"/>
    <w:rsid w:val="008B2571"/>
    <w:rsid w:val="008B2E0F"/>
    <w:rsid w:val="008B3AFB"/>
    <w:rsid w:val="008B60D9"/>
    <w:rsid w:val="008B70AE"/>
    <w:rsid w:val="008B76F7"/>
    <w:rsid w:val="008C0C6B"/>
    <w:rsid w:val="008C163B"/>
    <w:rsid w:val="008C3F0E"/>
    <w:rsid w:val="008C56FC"/>
    <w:rsid w:val="008C60DA"/>
    <w:rsid w:val="008D0018"/>
    <w:rsid w:val="008D1078"/>
    <w:rsid w:val="008D1DEA"/>
    <w:rsid w:val="008D59E9"/>
    <w:rsid w:val="008E0463"/>
    <w:rsid w:val="008E0F32"/>
    <w:rsid w:val="008E4A6A"/>
    <w:rsid w:val="008E763D"/>
    <w:rsid w:val="008F162D"/>
    <w:rsid w:val="008F1F32"/>
    <w:rsid w:val="008F2B1E"/>
    <w:rsid w:val="008F3DAF"/>
    <w:rsid w:val="008F4903"/>
    <w:rsid w:val="008F59D4"/>
    <w:rsid w:val="008F681F"/>
    <w:rsid w:val="008F6824"/>
    <w:rsid w:val="008F6E66"/>
    <w:rsid w:val="0090176C"/>
    <w:rsid w:val="00903B09"/>
    <w:rsid w:val="00904A85"/>
    <w:rsid w:val="0090779C"/>
    <w:rsid w:val="00907891"/>
    <w:rsid w:val="00907E4C"/>
    <w:rsid w:val="00910641"/>
    <w:rsid w:val="009108B6"/>
    <w:rsid w:val="00910F06"/>
    <w:rsid w:val="009110EA"/>
    <w:rsid w:val="0091126F"/>
    <w:rsid w:val="009114C6"/>
    <w:rsid w:val="00911F04"/>
    <w:rsid w:val="00912100"/>
    <w:rsid w:val="009122F7"/>
    <w:rsid w:val="00917B6C"/>
    <w:rsid w:val="00924B74"/>
    <w:rsid w:val="00924BDF"/>
    <w:rsid w:val="00926310"/>
    <w:rsid w:val="00926F80"/>
    <w:rsid w:val="00927301"/>
    <w:rsid w:val="00934355"/>
    <w:rsid w:val="00935362"/>
    <w:rsid w:val="0093693B"/>
    <w:rsid w:val="00937BF1"/>
    <w:rsid w:val="0094048B"/>
    <w:rsid w:val="00942814"/>
    <w:rsid w:val="00943EA9"/>
    <w:rsid w:val="0094440A"/>
    <w:rsid w:val="009445F0"/>
    <w:rsid w:val="00945575"/>
    <w:rsid w:val="0094592A"/>
    <w:rsid w:val="009522C9"/>
    <w:rsid w:val="009536C0"/>
    <w:rsid w:val="009545C0"/>
    <w:rsid w:val="00957102"/>
    <w:rsid w:val="00960AB6"/>
    <w:rsid w:val="00961559"/>
    <w:rsid w:val="009617B7"/>
    <w:rsid w:val="009625C1"/>
    <w:rsid w:val="00964DC9"/>
    <w:rsid w:val="009650FD"/>
    <w:rsid w:val="0096739C"/>
    <w:rsid w:val="00967C0D"/>
    <w:rsid w:val="00971A36"/>
    <w:rsid w:val="0097262B"/>
    <w:rsid w:val="009734B6"/>
    <w:rsid w:val="00974EC3"/>
    <w:rsid w:val="009769E3"/>
    <w:rsid w:val="0097761E"/>
    <w:rsid w:val="00984D19"/>
    <w:rsid w:val="0098675E"/>
    <w:rsid w:val="009878D4"/>
    <w:rsid w:val="009879C7"/>
    <w:rsid w:val="0099071F"/>
    <w:rsid w:val="0099241A"/>
    <w:rsid w:val="0099711D"/>
    <w:rsid w:val="00997465"/>
    <w:rsid w:val="009A0DF3"/>
    <w:rsid w:val="009A36CF"/>
    <w:rsid w:val="009A46B3"/>
    <w:rsid w:val="009A5392"/>
    <w:rsid w:val="009A6C66"/>
    <w:rsid w:val="009B34ED"/>
    <w:rsid w:val="009B7880"/>
    <w:rsid w:val="009B7CF3"/>
    <w:rsid w:val="009C22F3"/>
    <w:rsid w:val="009C4586"/>
    <w:rsid w:val="009C59E4"/>
    <w:rsid w:val="009C7C04"/>
    <w:rsid w:val="009D031D"/>
    <w:rsid w:val="009D0F2E"/>
    <w:rsid w:val="009D0FF1"/>
    <w:rsid w:val="009D4325"/>
    <w:rsid w:val="009D621F"/>
    <w:rsid w:val="009E2EB7"/>
    <w:rsid w:val="009E3644"/>
    <w:rsid w:val="009E4580"/>
    <w:rsid w:val="009E755A"/>
    <w:rsid w:val="009E77BF"/>
    <w:rsid w:val="009F154D"/>
    <w:rsid w:val="009F1BBA"/>
    <w:rsid w:val="009F2BAC"/>
    <w:rsid w:val="009F5C9C"/>
    <w:rsid w:val="00A00611"/>
    <w:rsid w:val="00A0091F"/>
    <w:rsid w:val="00A02671"/>
    <w:rsid w:val="00A03EF5"/>
    <w:rsid w:val="00A06BC3"/>
    <w:rsid w:val="00A07188"/>
    <w:rsid w:val="00A11587"/>
    <w:rsid w:val="00A116FF"/>
    <w:rsid w:val="00A15139"/>
    <w:rsid w:val="00A1518E"/>
    <w:rsid w:val="00A17642"/>
    <w:rsid w:val="00A179E7"/>
    <w:rsid w:val="00A17DD6"/>
    <w:rsid w:val="00A2000E"/>
    <w:rsid w:val="00A21CD3"/>
    <w:rsid w:val="00A220D1"/>
    <w:rsid w:val="00A2474F"/>
    <w:rsid w:val="00A25B8B"/>
    <w:rsid w:val="00A25DFF"/>
    <w:rsid w:val="00A2647E"/>
    <w:rsid w:val="00A26EAE"/>
    <w:rsid w:val="00A27DA4"/>
    <w:rsid w:val="00A33C93"/>
    <w:rsid w:val="00A3458C"/>
    <w:rsid w:val="00A3576F"/>
    <w:rsid w:val="00A36589"/>
    <w:rsid w:val="00A373AE"/>
    <w:rsid w:val="00A40AFB"/>
    <w:rsid w:val="00A42ADA"/>
    <w:rsid w:val="00A43AF7"/>
    <w:rsid w:val="00A45EE4"/>
    <w:rsid w:val="00A46B96"/>
    <w:rsid w:val="00A47126"/>
    <w:rsid w:val="00A47643"/>
    <w:rsid w:val="00A51002"/>
    <w:rsid w:val="00A511B4"/>
    <w:rsid w:val="00A5416C"/>
    <w:rsid w:val="00A609ED"/>
    <w:rsid w:val="00A61815"/>
    <w:rsid w:val="00A62D1A"/>
    <w:rsid w:val="00A62DE1"/>
    <w:rsid w:val="00A63986"/>
    <w:rsid w:val="00A642C3"/>
    <w:rsid w:val="00A65480"/>
    <w:rsid w:val="00A70155"/>
    <w:rsid w:val="00A70861"/>
    <w:rsid w:val="00A802ED"/>
    <w:rsid w:val="00A82614"/>
    <w:rsid w:val="00A8313E"/>
    <w:rsid w:val="00A85589"/>
    <w:rsid w:val="00A87E54"/>
    <w:rsid w:val="00A908B4"/>
    <w:rsid w:val="00A95983"/>
    <w:rsid w:val="00A959E0"/>
    <w:rsid w:val="00AA0448"/>
    <w:rsid w:val="00AA3906"/>
    <w:rsid w:val="00AA4523"/>
    <w:rsid w:val="00AA45A8"/>
    <w:rsid w:val="00AA4F3A"/>
    <w:rsid w:val="00AA4F5F"/>
    <w:rsid w:val="00AA5AFF"/>
    <w:rsid w:val="00AA6A0A"/>
    <w:rsid w:val="00AB12C5"/>
    <w:rsid w:val="00AB1382"/>
    <w:rsid w:val="00AB184E"/>
    <w:rsid w:val="00AB1BFB"/>
    <w:rsid w:val="00AB1CDF"/>
    <w:rsid w:val="00AB3F37"/>
    <w:rsid w:val="00AC32CE"/>
    <w:rsid w:val="00AC3863"/>
    <w:rsid w:val="00AC4CEC"/>
    <w:rsid w:val="00AC4D45"/>
    <w:rsid w:val="00AD08F3"/>
    <w:rsid w:val="00AD14C2"/>
    <w:rsid w:val="00AD192C"/>
    <w:rsid w:val="00AD47F4"/>
    <w:rsid w:val="00AD50A8"/>
    <w:rsid w:val="00AD6CC9"/>
    <w:rsid w:val="00AE0045"/>
    <w:rsid w:val="00AE01C7"/>
    <w:rsid w:val="00AE0C21"/>
    <w:rsid w:val="00AE0C4E"/>
    <w:rsid w:val="00AE10FB"/>
    <w:rsid w:val="00AE11C2"/>
    <w:rsid w:val="00AE2CA5"/>
    <w:rsid w:val="00AE3B98"/>
    <w:rsid w:val="00AE4190"/>
    <w:rsid w:val="00AE6E5C"/>
    <w:rsid w:val="00AE7911"/>
    <w:rsid w:val="00AF048D"/>
    <w:rsid w:val="00AF4C8B"/>
    <w:rsid w:val="00AF78CC"/>
    <w:rsid w:val="00B03717"/>
    <w:rsid w:val="00B050EB"/>
    <w:rsid w:val="00B0529A"/>
    <w:rsid w:val="00B068C0"/>
    <w:rsid w:val="00B07F29"/>
    <w:rsid w:val="00B110BE"/>
    <w:rsid w:val="00B125B4"/>
    <w:rsid w:val="00B14EEC"/>
    <w:rsid w:val="00B20392"/>
    <w:rsid w:val="00B30000"/>
    <w:rsid w:val="00B31D49"/>
    <w:rsid w:val="00B31F51"/>
    <w:rsid w:val="00B31F56"/>
    <w:rsid w:val="00B32144"/>
    <w:rsid w:val="00B335E2"/>
    <w:rsid w:val="00B34C24"/>
    <w:rsid w:val="00B3723B"/>
    <w:rsid w:val="00B40417"/>
    <w:rsid w:val="00B40A4D"/>
    <w:rsid w:val="00B41BB1"/>
    <w:rsid w:val="00B425DB"/>
    <w:rsid w:val="00B46257"/>
    <w:rsid w:val="00B466A5"/>
    <w:rsid w:val="00B469BE"/>
    <w:rsid w:val="00B50465"/>
    <w:rsid w:val="00B52218"/>
    <w:rsid w:val="00B5328E"/>
    <w:rsid w:val="00B56D1F"/>
    <w:rsid w:val="00B56FA3"/>
    <w:rsid w:val="00B5720A"/>
    <w:rsid w:val="00B57216"/>
    <w:rsid w:val="00B61EFF"/>
    <w:rsid w:val="00B627A9"/>
    <w:rsid w:val="00B660C0"/>
    <w:rsid w:val="00B6674E"/>
    <w:rsid w:val="00B66BF5"/>
    <w:rsid w:val="00B70612"/>
    <w:rsid w:val="00B73184"/>
    <w:rsid w:val="00B73B65"/>
    <w:rsid w:val="00B7586C"/>
    <w:rsid w:val="00B76B5F"/>
    <w:rsid w:val="00B770E8"/>
    <w:rsid w:val="00B82E48"/>
    <w:rsid w:val="00B83C1D"/>
    <w:rsid w:val="00B85F96"/>
    <w:rsid w:val="00B86263"/>
    <w:rsid w:val="00B86D29"/>
    <w:rsid w:val="00B87038"/>
    <w:rsid w:val="00B91006"/>
    <w:rsid w:val="00B92CF6"/>
    <w:rsid w:val="00B95F81"/>
    <w:rsid w:val="00B95FFD"/>
    <w:rsid w:val="00B96702"/>
    <w:rsid w:val="00B968EA"/>
    <w:rsid w:val="00B96AC0"/>
    <w:rsid w:val="00BA1B6F"/>
    <w:rsid w:val="00BA3002"/>
    <w:rsid w:val="00BA369F"/>
    <w:rsid w:val="00BA3E26"/>
    <w:rsid w:val="00BA4996"/>
    <w:rsid w:val="00BA4B78"/>
    <w:rsid w:val="00BB268B"/>
    <w:rsid w:val="00BB2777"/>
    <w:rsid w:val="00BB2A40"/>
    <w:rsid w:val="00BB3342"/>
    <w:rsid w:val="00BB3FA2"/>
    <w:rsid w:val="00BB74DC"/>
    <w:rsid w:val="00BC01FC"/>
    <w:rsid w:val="00BC02FF"/>
    <w:rsid w:val="00BC0ADD"/>
    <w:rsid w:val="00BC0DEF"/>
    <w:rsid w:val="00BC0E5B"/>
    <w:rsid w:val="00BC0EDB"/>
    <w:rsid w:val="00BC1606"/>
    <w:rsid w:val="00BC186C"/>
    <w:rsid w:val="00BC4AD9"/>
    <w:rsid w:val="00BC4BC7"/>
    <w:rsid w:val="00BC4BE2"/>
    <w:rsid w:val="00BC5902"/>
    <w:rsid w:val="00BC67D4"/>
    <w:rsid w:val="00BD046B"/>
    <w:rsid w:val="00BD3F39"/>
    <w:rsid w:val="00BD4428"/>
    <w:rsid w:val="00BD58E4"/>
    <w:rsid w:val="00BE2B5B"/>
    <w:rsid w:val="00BE54EA"/>
    <w:rsid w:val="00BE6240"/>
    <w:rsid w:val="00BE765A"/>
    <w:rsid w:val="00BE7FBA"/>
    <w:rsid w:val="00BF0050"/>
    <w:rsid w:val="00BF124D"/>
    <w:rsid w:val="00BF222E"/>
    <w:rsid w:val="00BF266C"/>
    <w:rsid w:val="00BF3D93"/>
    <w:rsid w:val="00BF4385"/>
    <w:rsid w:val="00BF5CD2"/>
    <w:rsid w:val="00BF6F4F"/>
    <w:rsid w:val="00BF7FF5"/>
    <w:rsid w:val="00C00E6F"/>
    <w:rsid w:val="00C01BB8"/>
    <w:rsid w:val="00C03A72"/>
    <w:rsid w:val="00C04FFE"/>
    <w:rsid w:val="00C06AB0"/>
    <w:rsid w:val="00C077C1"/>
    <w:rsid w:val="00C10007"/>
    <w:rsid w:val="00C10103"/>
    <w:rsid w:val="00C10A11"/>
    <w:rsid w:val="00C1175A"/>
    <w:rsid w:val="00C11CEB"/>
    <w:rsid w:val="00C24003"/>
    <w:rsid w:val="00C24521"/>
    <w:rsid w:val="00C27135"/>
    <w:rsid w:val="00C35DC6"/>
    <w:rsid w:val="00C41B52"/>
    <w:rsid w:val="00C467E5"/>
    <w:rsid w:val="00C52AD2"/>
    <w:rsid w:val="00C54054"/>
    <w:rsid w:val="00C5438F"/>
    <w:rsid w:val="00C5658F"/>
    <w:rsid w:val="00C579CB"/>
    <w:rsid w:val="00C70B75"/>
    <w:rsid w:val="00C716F8"/>
    <w:rsid w:val="00C71EB6"/>
    <w:rsid w:val="00C722C5"/>
    <w:rsid w:val="00C73CB5"/>
    <w:rsid w:val="00C77ACF"/>
    <w:rsid w:val="00C8002F"/>
    <w:rsid w:val="00C83A95"/>
    <w:rsid w:val="00C86679"/>
    <w:rsid w:val="00C90319"/>
    <w:rsid w:val="00C90780"/>
    <w:rsid w:val="00C90C45"/>
    <w:rsid w:val="00C9110A"/>
    <w:rsid w:val="00C9253A"/>
    <w:rsid w:val="00C96529"/>
    <w:rsid w:val="00C96799"/>
    <w:rsid w:val="00C97602"/>
    <w:rsid w:val="00C976F6"/>
    <w:rsid w:val="00CA20BA"/>
    <w:rsid w:val="00CA276E"/>
    <w:rsid w:val="00CA3693"/>
    <w:rsid w:val="00CA67F8"/>
    <w:rsid w:val="00CB1DAA"/>
    <w:rsid w:val="00CB25E3"/>
    <w:rsid w:val="00CB436C"/>
    <w:rsid w:val="00CB57AC"/>
    <w:rsid w:val="00CB680B"/>
    <w:rsid w:val="00CC284B"/>
    <w:rsid w:val="00CC3AB6"/>
    <w:rsid w:val="00CC411B"/>
    <w:rsid w:val="00CC7D61"/>
    <w:rsid w:val="00CD046D"/>
    <w:rsid w:val="00CD1ACF"/>
    <w:rsid w:val="00CD2490"/>
    <w:rsid w:val="00CD2F1A"/>
    <w:rsid w:val="00CD5037"/>
    <w:rsid w:val="00CD542D"/>
    <w:rsid w:val="00CD75DE"/>
    <w:rsid w:val="00CE0CC7"/>
    <w:rsid w:val="00CE14F4"/>
    <w:rsid w:val="00CE1B90"/>
    <w:rsid w:val="00CE46B2"/>
    <w:rsid w:val="00CE539E"/>
    <w:rsid w:val="00CE5FC1"/>
    <w:rsid w:val="00CE7308"/>
    <w:rsid w:val="00CF5123"/>
    <w:rsid w:val="00CF759A"/>
    <w:rsid w:val="00CF7DE6"/>
    <w:rsid w:val="00D031F5"/>
    <w:rsid w:val="00D047DF"/>
    <w:rsid w:val="00D04AAD"/>
    <w:rsid w:val="00D0615E"/>
    <w:rsid w:val="00D1102F"/>
    <w:rsid w:val="00D11A7C"/>
    <w:rsid w:val="00D12461"/>
    <w:rsid w:val="00D1550E"/>
    <w:rsid w:val="00D172F6"/>
    <w:rsid w:val="00D21551"/>
    <w:rsid w:val="00D21756"/>
    <w:rsid w:val="00D26E05"/>
    <w:rsid w:val="00D27FDA"/>
    <w:rsid w:val="00D32102"/>
    <w:rsid w:val="00D32D3B"/>
    <w:rsid w:val="00D33BE4"/>
    <w:rsid w:val="00D360E6"/>
    <w:rsid w:val="00D36F75"/>
    <w:rsid w:val="00D37525"/>
    <w:rsid w:val="00D4180F"/>
    <w:rsid w:val="00D41AA3"/>
    <w:rsid w:val="00D42403"/>
    <w:rsid w:val="00D43152"/>
    <w:rsid w:val="00D43895"/>
    <w:rsid w:val="00D4391F"/>
    <w:rsid w:val="00D43FC3"/>
    <w:rsid w:val="00D4405A"/>
    <w:rsid w:val="00D44E27"/>
    <w:rsid w:val="00D44FA6"/>
    <w:rsid w:val="00D45260"/>
    <w:rsid w:val="00D508E9"/>
    <w:rsid w:val="00D55195"/>
    <w:rsid w:val="00D55631"/>
    <w:rsid w:val="00D574CC"/>
    <w:rsid w:val="00D600E8"/>
    <w:rsid w:val="00D60683"/>
    <w:rsid w:val="00D61D1E"/>
    <w:rsid w:val="00D626B0"/>
    <w:rsid w:val="00D6298E"/>
    <w:rsid w:val="00D63F5D"/>
    <w:rsid w:val="00D6668D"/>
    <w:rsid w:val="00D70F94"/>
    <w:rsid w:val="00D71882"/>
    <w:rsid w:val="00D73BA7"/>
    <w:rsid w:val="00D74B07"/>
    <w:rsid w:val="00D74F70"/>
    <w:rsid w:val="00D75103"/>
    <w:rsid w:val="00D763A2"/>
    <w:rsid w:val="00D7688F"/>
    <w:rsid w:val="00D813B0"/>
    <w:rsid w:val="00D837E3"/>
    <w:rsid w:val="00D8387A"/>
    <w:rsid w:val="00D83BDE"/>
    <w:rsid w:val="00D84D46"/>
    <w:rsid w:val="00D87AFD"/>
    <w:rsid w:val="00D91F94"/>
    <w:rsid w:val="00D9358E"/>
    <w:rsid w:val="00DA0396"/>
    <w:rsid w:val="00DA16A4"/>
    <w:rsid w:val="00DA2182"/>
    <w:rsid w:val="00DA34DF"/>
    <w:rsid w:val="00DA51F8"/>
    <w:rsid w:val="00DA6B08"/>
    <w:rsid w:val="00DA6C5B"/>
    <w:rsid w:val="00DA7287"/>
    <w:rsid w:val="00DB05E4"/>
    <w:rsid w:val="00DB419D"/>
    <w:rsid w:val="00DB483F"/>
    <w:rsid w:val="00DB4CF8"/>
    <w:rsid w:val="00DB4DA9"/>
    <w:rsid w:val="00DB4FB9"/>
    <w:rsid w:val="00DB7640"/>
    <w:rsid w:val="00DC0A78"/>
    <w:rsid w:val="00DC1FF0"/>
    <w:rsid w:val="00DC24A6"/>
    <w:rsid w:val="00DC2EC1"/>
    <w:rsid w:val="00DC6B5B"/>
    <w:rsid w:val="00DC7296"/>
    <w:rsid w:val="00DD155A"/>
    <w:rsid w:val="00DD1AF8"/>
    <w:rsid w:val="00DD39A9"/>
    <w:rsid w:val="00DD6F83"/>
    <w:rsid w:val="00DE2370"/>
    <w:rsid w:val="00DE23D6"/>
    <w:rsid w:val="00DE2BAA"/>
    <w:rsid w:val="00DE506A"/>
    <w:rsid w:val="00DF0AAB"/>
    <w:rsid w:val="00DF1D7B"/>
    <w:rsid w:val="00DF25AA"/>
    <w:rsid w:val="00DF41FE"/>
    <w:rsid w:val="00DF6C0E"/>
    <w:rsid w:val="00DF7360"/>
    <w:rsid w:val="00DF75AF"/>
    <w:rsid w:val="00DF776B"/>
    <w:rsid w:val="00E00C12"/>
    <w:rsid w:val="00E01EE2"/>
    <w:rsid w:val="00E04F89"/>
    <w:rsid w:val="00E0581F"/>
    <w:rsid w:val="00E13C88"/>
    <w:rsid w:val="00E14DC8"/>
    <w:rsid w:val="00E17741"/>
    <w:rsid w:val="00E1776D"/>
    <w:rsid w:val="00E20803"/>
    <w:rsid w:val="00E2244B"/>
    <w:rsid w:val="00E25946"/>
    <w:rsid w:val="00E26EEB"/>
    <w:rsid w:val="00E31123"/>
    <w:rsid w:val="00E319CA"/>
    <w:rsid w:val="00E3249A"/>
    <w:rsid w:val="00E32839"/>
    <w:rsid w:val="00E3308C"/>
    <w:rsid w:val="00E35E8E"/>
    <w:rsid w:val="00E36745"/>
    <w:rsid w:val="00E47745"/>
    <w:rsid w:val="00E5050F"/>
    <w:rsid w:val="00E56008"/>
    <w:rsid w:val="00E578B8"/>
    <w:rsid w:val="00E646D3"/>
    <w:rsid w:val="00E65897"/>
    <w:rsid w:val="00E7213A"/>
    <w:rsid w:val="00E72282"/>
    <w:rsid w:val="00E74F38"/>
    <w:rsid w:val="00E853A2"/>
    <w:rsid w:val="00E86050"/>
    <w:rsid w:val="00E87CB8"/>
    <w:rsid w:val="00E91AD5"/>
    <w:rsid w:val="00E9222E"/>
    <w:rsid w:val="00E94D57"/>
    <w:rsid w:val="00E9783F"/>
    <w:rsid w:val="00EA0068"/>
    <w:rsid w:val="00EA1BFA"/>
    <w:rsid w:val="00EA46B6"/>
    <w:rsid w:val="00EA6EFF"/>
    <w:rsid w:val="00EA6F4B"/>
    <w:rsid w:val="00EA6F72"/>
    <w:rsid w:val="00EA768B"/>
    <w:rsid w:val="00EA7ECC"/>
    <w:rsid w:val="00EB0B9D"/>
    <w:rsid w:val="00EB2768"/>
    <w:rsid w:val="00EB3D0A"/>
    <w:rsid w:val="00EB453A"/>
    <w:rsid w:val="00EB4CB3"/>
    <w:rsid w:val="00EC0561"/>
    <w:rsid w:val="00EC0E35"/>
    <w:rsid w:val="00EC1E83"/>
    <w:rsid w:val="00EC3E5B"/>
    <w:rsid w:val="00EC4261"/>
    <w:rsid w:val="00EC5CE6"/>
    <w:rsid w:val="00EC68B8"/>
    <w:rsid w:val="00ED1BA8"/>
    <w:rsid w:val="00ED34E3"/>
    <w:rsid w:val="00ED6730"/>
    <w:rsid w:val="00EE16EF"/>
    <w:rsid w:val="00EE1736"/>
    <w:rsid w:val="00EE3D4A"/>
    <w:rsid w:val="00EE4FFC"/>
    <w:rsid w:val="00EE5DF1"/>
    <w:rsid w:val="00EE6104"/>
    <w:rsid w:val="00EF12BE"/>
    <w:rsid w:val="00EF282F"/>
    <w:rsid w:val="00EF2AA2"/>
    <w:rsid w:val="00EF3CA7"/>
    <w:rsid w:val="00EF4DAA"/>
    <w:rsid w:val="00EF576D"/>
    <w:rsid w:val="00EF5CC3"/>
    <w:rsid w:val="00EF654B"/>
    <w:rsid w:val="00EF7E09"/>
    <w:rsid w:val="00F00804"/>
    <w:rsid w:val="00F00E4D"/>
    <w:rsid w:val="00F066CC"/>
    <w:rsid w:val="00F06B33"/>
    <w:rsid w:val="00F07E77"/>
    <w:rsid w:val="00F1020E"/>
    <w:rsid w:val="00F10E9C"/>
    <w:rsid w:val="00F1197A"/>
    <w:rsid w:val="00F119B5"/>
    <w:rsid w:val="00F12AA7"/>
    <w:rsid w:val="00F137D0"/>
    <w:rsid w:val="00F14881"/>
    <w:rsid w:val="00F21EFD"/>
    <w:rsid w:val="00F2570C"/>
    <w:rsid w:val="00F266C4"/>
    <w:rsid w:val="00F27101"/>
    <w:rsid w:val="00F30956"/>
    <w:rsid w:val="00F3138E"/>
    <w:rsid w:val="00F32881"/>
    <w:rsid w:val="00F34132"/>
    <w:rsid w:val="00F35065"/>
    <w:rsid w:val="00F35758"/>
    <w:rsid w:val="00F3581C"/>
    <w:rsid w:val="00F3705F"/>
    <w:rsid w:val="00F3788A"/>
    <w:rsid w:val="00F37C70"/>
    <w:rsid w:val="00F41B0F"/>
    <w:rsid w:val="00F4433C"/>
    <w:rsid w:val="00F44B0C"/>
    <w:rsid w:val="00F44E6A"/>
    <w:rsid w:val="00F5154C"/>
    <w:rsid w:val="00F51624"/>
    <w:rsid w:val="00F52506"/>
    <w:rsid w:val="00F52ECF"/>
    <w:rsid w:val="00F56748"/>
    <w:rsid w:val="00F60339"/>
    <w:rsid w:val="00F63805"/>
    <w:rsid w:val="00F64451"/>
    <w:rsid w:val="00F653B5"/>
    <w:rsid w:val="00F664C4"/>
    <w:rsid w:val="00F67F96"/>
    <w:rsid w:val="00F71BB8"/>
    <w:rsid w:val="00F72257"/>
    <w:rsid w:val="00F72453"/>
    <w:rsid w:val="00F730A8"/>
    <w:rsid w:val="00F74254"/>
    <w:rsid w:val="00F749CC"/>
    <w:rsid w:val="00F7622D"/>
    <w:rsid w:val="00F76491"/>
    <w:rsid w:val="00F76904"/>
    <w:rsid w:val="00F7699E"/>
    <w:rsid w:val="00F818E1"/>
    <w:rsid w:val="00F828C4"/>
    <w:rsid w:val="00F83B0B"/>
    <w:rsid w:val="00F84129"/>
    <w:rsid w:val="00F849D5"/>
    <w:rsid w:val="00F86488"/>
    <w:rsid w:val="00F91CAF"/>
    <w:rsid w:val="00F93CE5"/>
    <w:rsid w:val="00F93DAF"/>
    <w:rsid w:val="00F94542"/>
    <w:rsid w:val="00F94885"/>
    <w:rsid w:val="00FA03AE"/>
    <w:rsid w:val="00FA0484"/>
    <w:rsid w:val="00FA0BE9"/>
    <w:rsid w:val="00FA240F"/>
    <w:rsid w:val="00FA4777"/>
    <w:rsid w:val="00FA5F4E"/>
    <w:rsid w:val="00FB0522"/>
    <w:rsid w:val="00FB0FE2"/>
    <w:rsid w:val="00FB26DF"/>
    <w:rsid w:val="00FB5CD0"/>
    <w:rsid w:val="00FC05EA"/>
    <w:rsid w:val="00FC35AD"/>
    <w:rsid w:val="00FC3788"/>
    <w:rsid w:val="00FC397E"/>
    <w:rsid w:val="00FC4060"/>
    <w:rsid w:val="00FC4A0B"/>
    <w:rsid w:val="00FC59A5"/>
    <w:rsid w:val="00FC5C70"/>
    <w:rsid w:val="00FC6541"/>
    <w:rsid w:val="00FC665D"/>
    <w:rsid w:val="00FD3D74"/>
    <w:rsid w:val="00FD43FB"/>
    <w:rsid w:val="00FD4CFE"/>
    <w:rsid w:val="00FE03F6"/>
    <w:rsid w:val="00FE3B0C"/>
    <w:rsid w:val="00FF0D1E"/>
    <w:rsid w:val="00FF3B6E"/>
    <w:rsid w:val="00FF45E2"/>
    <w:rsid w:val="00FF58C2"/>
    <w:rsid w:val="00FF650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07CA6FF"/>
  <w15:chartTrackingRefBased/>
  <w15:docId w15:val="{EE3E4604-AC99-40A2-A3C5-79F66E505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D067B"/>
  </w:style>
  <w:style w:type="paragraph" w:styleId="Heading1">
    <w:name w:val="heading 1"/>
    <w:basedOn w:val="Normal"/>
    <w:next w:val="Normal"/>
    <w:link w:val="Heading1Char"/>
    <w:uiPriority w:val="9"/>
    <w:qFormat/>
    <w:rsid w:val="00DE2370"/>
    <w:pPr>
      <w:keepNext/>
      <w:keepLines/>
      <w:numPr>
        <w:numId w:val="20"/>
      </w:numPr>
      <w:spacing w:before="240" w:after="0"/>
      <w:jc w:val="both"/>
      <w:outlineLvl w:val="0"/>
    </w:pPr>
    <w:rPr>
      <w:rFonts w:ascii="Arial" w:eastAsiaTheme="majorEastAsia" w:hAnsi="Arial" w:cstheme="majorBidi"/>
      <w:b/>
      <w:szCs w:val="32"/>
      <w:lang w:eastAsia="zh-CN"/>
    </w:rPr>
  </w:style>
  <w:style w:type="paragraph" w:styleId="Heading2">
    <w:name w:val="heading 2"/>
    <w:basedOn w:val="Normal"/>
    <w:next w:val="Normal"/>
    <w:link w:val="Heading2Char"/>
    <w:uiPriority w:val="9"/>
    <w:unhideWhenUsed/>
    <w:qFormat/>
    <w:rsid w:val="00D4180F"/>
    <w:pPr>
      <w:keepNext/>
      <w:keepLines/>
      <w:numPr>
        <w:ilvl w:val="1"/>
        <w:numId w:val="20"/>
      </w:numPr>
      <w:spacing w:before="40" w:after="0"/>
      <w:jc w:val="both"/>
      <w:outlineLvl w:val="1"/>
    </w:pPr>
    <w:rPr>
      <w:rFonts w:ascii="Arial" w:eastAsiaTheme="majorEastAsia" w:hAnsi="Arial" w:cstheme="majorBidi"/>
      <w:b/>
      <w:i/>
      <w:color w:val="000000" w:themeColor="text1"/>
      <w:szCs w:val="26"/>
      <w:lang w:eastAsia="zh-CN"/>
    </w:rPr>
  </w:style>
  <w:style w:type="paragraph" w:styleId="Heading3">
    <w:name w:val="heading 3"/>
    <w:basedOn w:val="Normal"/>
    <w:next w:val="Normal"/>
    <w:link w:val="Heading3Char"/>
    <w:uiPriority w:val="9"/>
    <w:semiHidden/>
    <w:unhideWhenUsed/>
    <w:qFormat/>
    <w:rsid w:val="00D4180F"/>
    <w:pPr>
      <w:keepNext/>
      <w:keepLines/>
      <w:numPr>
        <w:ilvl w:val="2"/>
        <w:numId w:val="20"/>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4180F"/>
    <w:pPr>
      <w:keepNext/>
      <w:keepLines/>
      <w:numPr>
        <w:ilvl w:val="3"/>
        <w:numId w:val="20"/>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4180F"/>
    <w:pPr>
      <w:keepNext/>
      <w:keepLines/>
      <w:numPr>
        <w:ilvl w:val="4"/>
        <w:numId w:val="20"/>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4180F"/>
    <w:pPr>
      <w:keepNext/>
      <w:keepLines/>
      <w:numPr>
        <w:ilvl w:val="5"/>
        <w:numId w:val="20"/>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4180F"/>
    <w:pPr>
      <w:keepNext/>
      <w:keepLines/>
      <w:numPr>
        <w:ilvl w:val="6"/>
        <w:numId w:val="20"/>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4180F"/>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4180F"/>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3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7301"/>
  </w:style>
  <w:style w:type="paragraph" w:styleId="Footer">
    <w:name w:val="footer"/>
    <w:basedOn w:val="Normal"/>
    <w:link w:val="FooterChar"/>
    <w:uiPriority w:val="99"/>
    <w:unhideWhenUsed/>
    <w:rsid w:val="009273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301"/>
  </w:style>
  <w:style w:type="paragraph" w:customStyle="1" w:styleId="PaperHeader">
    <w:name w:val="Paper Header"/>
    <w:basedOn w:val="Header"/>
    <w:link w:val="PaperHeaderChar"/>
    <w:rsid w:val="00654D1E"/>
    <w:pPr>
      <w:pBdr>
        <w:bottom w:val="single" w:sz="4" w:space="1" w:color="auto"/>
      </w:pBdr>
    </w:pPr>
  </w:style>
  <w:style w:type="paragraph" w:customStyle="1" w:styleId="PaperTitle">
    <w:name w:val="Paper Title"/>
    <w:basedOn w:val="Normal"/>
    <w:link w:val="PaperTitleChar"/>
    <w:rsid w:val="00D43152"/>
    <w:pPr>
      <w:spacing w:after="520"/>
    </w:pPr>
    <w:rPr>
      <w:b/>
      <w:sz w:val="48"/>
      <w:szCs w:val="48"/>
    </w:rPr>
  </w:style>
  <w:style w:type="character" w:customStyle="1" w:styleId="PaperHeaderChar">
    <w:name w:val="Paper Header Char"/>
    <w:basedOn w:val="HeaderChar"/>
    <w:link w:val="PaperHeader"/>
    <w:rsid w:val="00654D1E"/>
  </w:style>
  <w:style w:type="paragraph" w:customStyle="1" w:styleId="AuthorName">
    <w:name w:val="Author Name"/>
    <w:basedOn w:val="Normal"/>
    <w:link w:val="AuthorNameChar"/>
    <w:rsid w:val="00D74B07"/>
    <w:pPr>
      <w:spacing w:after="200"/>
      <w:ind w:right="2552"/>
    </w:pPr>
    <w:rPr>
      <w:b/>
    </w:rPr>
  </w:style>
  <w:style w:type="character" w:customStyle="1" w:styleId="PaperTitleChar">
    <w:name w:val="Paper Title Char"/>
    <w:basedOn w:val="DefaultParagraphFont"/>
    <w:link w:val="PaperTitle"/>
    <w:rsid w:val="00D43152"/>
    <w:rPr>
      <w:b/>
      <w:sz w:val="48"/>
      <w:szCs w:val="48"/>
    </w:rPr>
  </w:style>
  <w:style w:type="paragraph" w:customStyle="1" w:styleId="Affiliation">
    <w:name w:val="Affiliation"/>
    <w:basedOn w:val="AuthorName"/>
    <w:link w:val="AffiliationChar"/>
    <w:rsid w:val="006E39BB"/>
    <w:pPr>
      <w:spacing w:after="0"/>
    </w:pPr>
    <w:rPr>
      <w:rFonts w:cstheme="minorHAnsi"/>
      <w:b w:val="0"/>
      <w:sz w:val="18"/>
      <w:szCs w:val="18"/>
    </w:rPr>
  </w:style>
  <w:style w:type="character" w:customStyle="1" w:styleId="AuthorNameChar">
    <w:name w:val="Author Name Char"/>
    <w:basedOn w:val="DefaultParagraphFont"/>
    <w:link w:val="AuthorName"/>
    <w:rsid w:val="00D74B07"/>
    <w:rPr>
      <w:b/>
    </w:rPr>
  </w:style>
  <w:style w:type="paragraph" w:customStyle="1" w:styleId="sectionhead">
    <w:name w:val="section head"/>
    <w:basedOn w:val="Affiliation"/>
    <w:link w:val="sectionheadChar"/>
    <w:qFormat/>
    <w:rsid w:val="0087550C"/>
    <w:pPr>
      <w:spacing w:before="200" w:after="120"/>
      <w:ind w:right="0"/>
    </w:pPr>
    <w:rPr>
      <w:b/>
      <w:sz w:val="22"/>
    </w:rPr>
  </w:style>
  <w:style w:type="character" w:customStyle="1" w:styleId="AffiliationChar">
    <w:name w:val="Affiliation Char"/>
    <w:basedOn w:val="AuthorNameChar"/>
    <w:link w:val="Affiliation"/>
    <w:rsid w:val="006E39BB"/>
    <w:rPr>
      <w:rFonts w:cstheme="minorHAnsi"/>
      <w:b w:val="0"/>
      <w:sz w:val="18"/>
      <w:szCs w:val="18"/>
    </w:rPr>
  </w:style>
  <w:style w:type="paragraph" w:customStyle="1" w:styleId="AbsText">
    <w:name w:val="AbsText"/>
    <w:basedOn w:val="Normal"/>
    <w:link w:val="AbsTextChar"/>
    <w:rsid w:val="006E39BB"/>
    <w:pPr>
      <w:spacing w:after="0"/>
      <w:ind w:right="2552"/>
    </w:pPr>
    <w:rPr>
      <w:rFonts w:cstheme="minorHAnsi"/>
      <w:noProof/>
      <w:sz w:val="20"/>
    </w:rPr>
  </w:style>
  <w:style w:type="character" w:customStyle="1" w:styleId="sectionheadChar">
    <w:name w:val="section head Char"/>
    <w:basedOn w:val="AffiliationChar"/>
    <w:link w:val="sectionhead"/>
    <w:rsid w:val="0087550C"/>
    <w:rPr>
      <w:rFonts w:ascii="Times New Roman" w:hAnsi="Times New Roman" w:cs="Times New Roman"/>
      <w:b/>
      <w:sz w:val="18"/>
      <w:szCs w:val="18"/>
    </w:rPr>
  </w:style>
  <w:style w:type="paragraph" w:customStyle="1" w:styleId="Keywords">
    <w:name w:val="Keywords"/>
    <w:basedOn w:val="AbsText"/>
    <w:link w:val="KeywordsChar"/>
    <w:rsid w:val="005223F4"/>
    <w:pPr>
      <w:pBdr>
        <w:bottom w:val="single" w:sz="4" w:space="1" w:color="auto"/>
      </w:pBdr>
      <w:spacing w:before="240" w:after="240"/>
      <w:ind w:right="0"/>
    </w:pPr>
  </w:style>
  <w:style w:type="character" w:customStyle="1" w:styleId="AbsTextChar">
    <w:name w:val="AbsText Char"/>
    <w:basedOn w:val="DefaultParagraphFont"/>
    <w:link w:val="AbsText"/>
    <w:rsid w:val="006E39BB"/>
    <w:rPr>
      <w:rFonts w:cstheme="minorHAnsi"/>
      <w:noProof/>
      <w:sz w:val="20"/>
    </w:rPr>
  </w:style>
  <w:style w:type="paragraph" w:customStyle="1" w:styleId="BodyText1">
    <w:name w:val="Body Text1"/>
    <w:basedOn w:val="AbsText"/>
    <w:link w:val="BodytextChar"/>
    <w:qFormat/>
    <w:rsid w:val="001D6377"/>
    <w:pPr>
      <w:spacing w:line="360" w:lineRule="auto"/>
      <w:ind w:right="0" w:firstLine="227"/>
      <w:jc w:val="both"/>
    </w:pPr>
    <w:rPr>
      <w:rFonts w:ascii="Arial" w:hAnsi="Arial"/>
    </w:rPr>
  </w:style>
  <w:style w:type="character" w:customStyle="1" w:styleId="KeywordsChar">
    <w:name w:val="Keywords Char"/>
    <w:basedOn w:val="AbsTextChar"/>
    <w:link w:val="Keywords"/>
    <w:rsid w:val="005223F4"/>
    <w:rPr>
      <w:rFonts w:ascii="Times New Roman" w:hAnsi="Times New Roman" w:cstheme="minorHAnsi"/>
      <w:noProof/>
      <w:sz w:val="20"/>
    </w:rPr>
  </w:style>
  <w:style w:type="character" w:customStyle="1" w:styleId="BodytextChar">
    <w:name w:val="Body text Char"/>
    <w:basedOn w:val="AbsTextChar"/>
    <w:link w:val="BodyText1"/>
    <w:rsid w:val="001D6377"/>
    <w:rPr>
      <w:rFonts w:ascii="Arial" w:hAnsi="Arial" w:cstheme="minorHAnsi"/>
      <w:noProof/>
      <w:sz w:val="20"/>
    </w:rPr>
  </w:style>
  <w:style w:type="paragraph" w:customStyle="1" w:styleId="Subsechead">
    <w:name w:val="Subsec head"/>
    <w:basedOn w:val="sectionhead"/>
    <w:link w:val="SubsecheadChar"/>
    <w:qFormat/>
    <w:rsid w:val="0087550C"/>
    <w:rPr>
      <w:b w:val="0"/>
      <w:i/>
    </w:rPr>
  </w:style>
  <w:style w:type="paragraph" w:customStyle="1" w:styleId="Subsubsechead">
    <w:name w:val="Subsubsec head"/>
    <w:basedOn w:val="Subsechead"/>
    <w:link w:val="SubsubsecheadChar"/>
    <w:qFormat/>
    <w:rsid w:val="008D59E9"/>
    <w:pPr>
      <w:spacing w:after="0"/>
    </w:pPr>
  </w:style>
  <w:style w:type="character" w:customStyle="1" w:styleId="SubsecheadChar">
    <w:name w:val="Subsec head Char"/>
    <w:basedOn w:val="sectionheadChar"/>
    <w:link w:val="Subsechead"/>
    <w:rsid w:val="0087550C"/>
    <w:rPr>
      <w:rFonts w:ascii="Times New Roman" w:hAnsi="Times New Roman" w:cs="Times New Roman"/>
      <w:b w:val="0"/>
      <w:i/>
      <w:sz w:val="18"/>
      <w:szCs w:val="18"/>
    </w:rPr>
  </w:style>
  <w:style w:type="paragraph" w:customStyle="1" w:styleId="IOPrefs">
    <w:name w:val="IOPrefs"/>
    <w:link w:val="IOPrefsChar"/>
    <w:rsid w:val="00E86050"/>
    <w:pPr>
      <w:spacing w:after="0"/>
      <w:ind w:left="284" w:hanging="284"/>
    </w:pPr>
    <w:rPr>
      <w:rFonts w:ascii="Times New Roman" w:hAnsi="Times New Roman"/>
      <w:noProof/>
      <w:sz w:val="18"/>
    </w:rPr>
  </w:style>
  <w:style w:type="character" w:customStyle="1" w:styleId="SubsubsecheadChar">
    <w:name w:val="Subsubsec head Char"/>
    <w:basedOn w:val="SubsecheadChar"/>
    <w:link w:val="Subsubsechead"/>
    <w:rsid w:val="008D59E9"/>
    <w:rPr>
      <w:rFonts w:ascii="Times New Roman" w:hAnsi="Times New Roman" w:cs="Times New Roman"/>
      <w:b w:val="0"/>
      <w:i/>
      <w:sz w:val="18"/>
      <w:szCs w:val="18"/>
    </w:rPr>
  </w:style>
  <w:style w:type="paragraph" w:customStyle="1" w:styleId="Refs">
    <w:name w:val="Refs"/>
    <w:basedOn w:val="IOPrefs"/>
    <w:link w:val="RefsChar"/>
    <w:qFormat/>
    <w:rsid w:val="006E39BB"/>
    <w:pPr>
      <w:numPr>
        <w:numId w:val="1"/>
      </w:numPr>
    </w:pPr>
    <w:rPr>
      <w:rFonts w:asciiTheme="minorHAnsi" w:hAnsiTheme="minorHAnsi" w:cstheme="minorHAnsi"/>
    </w:rPr>
  </w:style>
  <w:style w:type="character" w:customStyle="1" w:styleId="IOPrefsChar">
    <w:name w:val="IOPrefs Char"/>
    <w:basedOn w:val="DefaultParagraphFont"/>
    <w:link w:val="IOPrefs"/>
    <w:rsid w:val="00E86050"/>
    <w:rPr>
      <w:rFonts w:ascii="Times New Roman" w:hAnsi="Times New Roman"/>
      <w:noProof/>
      <w:sz w:val="18"/>
    </w:rPr>
  </w:style>
  <w:style w:type="character" w:customStyle="1" w:styleId="RefsChar">
    <w:name w:val="Refs Char"/>
    <w:basedOn w:val="IOPrefsChar"/>
    <w:link w:val="Refs"/>
    <w:rsid w:val="006E39BB"/>
    <w:rPr>
      <w:rFonts w:ascii="Times New Roman" w:hAnsi="Times New Roman" w:cstheme="minorHAnsi"/>
      <w:noProof/>
      <w:sz w:val="18"/>
    </w:rPr>
  </w:style>
  <w:style w:type="character" w:styleId="CommentReference">
    <w:name w:val="annotation reference"/>
    <w:basedOn w:val="DefaultParagraphFont"/>
    <w:uiPriority w:val="99"/>
    <w:semiHidden/>
    <w:unhideWhenUsed/>
    <w:rsid w:val="00DE2370"/>
    <w:rPr>
      <w:sz w:val="16"/>
      <w:szCs w:val="16"/>
    </w:rPr>
  </w:style>
  <w:style w:type="paragraph" w:styleId="CommentText">
    <w:name w:val="annotation text"/>
    <w:basedOn w:val="Normal"/>
    <w:link w:val="CommentTextChar"/>
    <w:uiPriority w:val="99"/>
    <w:unhideWhenUsed/>
    <w:rsid w:val="00DE2370"/>
    <w:pPr>
      <w:spacing w:line="240" w:lineRule="auto"/>
      <w:jc w:val="both"/>
    </w:pPr>
    <w:rPr>
      <w:rFonts w:ascii="Arial" w:eastAsiaTheme="minorEastAsia" w:hAnsi="Arial"/>
      <w:sz w:val="20"/>
      <w:szCs w:val="20"/>
      <w:lang w:eastAsia="zh-CN"/>
    </w:rPr>
  </w:style>
  <w:style w:type="character" w:customStyle="1" w:styleId="CommentTextChar">
    <w:name w:val="Comment Text Char"/>
    <w:basedOn w:val="DefaultParagraphFont"/>
    <w:link w:val="CommentText"/>
    <w:uiPriority w:val="99"/>
    <w:rsid w:val="00DE2370"/>
    <w:rPr>
      <w:rFonts w:ascii="Arial" w:eastAsiaTheme="minorEastAsia" w:hAnsi="Arial"/>
      <w:sz w:val="20"/>
      <w:szCs w:val="20"/>
      <w:lang w:eastAsia="zh-CN"/>
    </w:rPr>
  </w:style>
  <w:style w:type="character" w:customStyle="1" w:styleId="Heading1Char">
    <w:name w:val="Heading 1 Char"/>
    <w:basedOn w:val="DefaultParagraphFont"/>
    <w:link w:val="Heading1"/>
    <w:uiPriority w:val="9"/>
    <w:rsid w:val="00DE2370"/>
    <w:rPr>
      <w:rFonts w:ascii="Arial" w:eastAsiaTheme="majorEastAsia" w:hAnsi="Arial" w:cstheme="majorBidi"/>
      <w:b/>
      <w:szCs w:val="32"/>
      <w:lang w:eastAsia="zh-CN"/>
    </w:rPr>
  </w:style>
  <w:style w:type="character" w:customStyle="1" w:styleId="Heading2Char">
    <w:name w:val="Heading 2 Char"/>
    <w:basedOn w:val="DefaultParagraphFont"/>
    <w:link w:val="Heading2"/>
    <w:uiPriority w:val="9"/>
    <w:rsid w:val="00D4180F"/>
    <w:rPr>
      <w:rFonts w:ascii="Arial" w:eastAsiaTheme="majorEastAsia" w:hAnsi="Arial" w:cstheme="majorBidi"/>
      <w:b/>
      <w:i/>
      <w:color w:val="000000" w:themeColor="text1"/>
      <w:szCs w:val="26"/>
      <w:lang w:eastAsia="zh-CN"/>
    </w:rPr>
  </w:style>
  <w:style w:type="paragraph" w:styleId="NoSpacing">
    <w:name w:val="No Spacing"/>
    <w:uiPriority w:val="1"/>
    <w:qFormat/>
    <w:rsid w:val="00DE2370"/>
    <w:pPr>
      <w:spacing w:after="0" w:line="240" w:lineRule="auto"/>
    </w:pPr>
    <w:rPr>
      <w:rFonts w:eastAsiaTheme="minorEastAsia"/>
      <w:lang w:eastAsia="zh-CN"/>
    </w:rPr>
  </w:style>
  <w:style w:type="paragraph" w:styleId="Caption">
    <w:name w:val="caption"/>
    <w:basedOn w:val="Normal"/>
    <w:next w:val="Normal"/>
    <w:uiPriority w:val="35"/>
    <w:unhideWhenUsed/>
    <w:qFormat/>
    <w:rsid w:val="001E37E3"/>
    <w:pPr>
      <w:spacing w:after="200" w:line="360" w:lineRule="auto"/>
      <w:jc w:val="center"/>
    </w:pPr>
    <w:rPr>
      <w:rFonts w:ascii="Calibri" w:eastAsia="Calibri" w:hAnsi="Calibri"/>
      <w:i/>
      <w:iCs/>
      <w:sz w:val="18"/>
      <w:szCs w:val="18"/>
      <w:lang w:val="en-MY" w:eastAsia="zh-CN"/>
    </w:rPr>
  </w:style>
  <w:style w:type="table" w:styleId="TableGrid">
    <w:name w:val="Table Grid"/>
    <w:basedOn w:val="TableNormal"/>
    <w:uiPriority w:val="39"/>
    <w:rsid w:val="00DE2370"/>
    <w:pPr>
      <w:spacing w:after="0" w:line="240" w:lineRule="auto"/>
    </w:pPr>
    <w:rPr>
      <w:rFonts w:eastAsiaTheme="minorEastAsia"/>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2370"/>
    <w:pPr>
      <w:spacing w:after="0" w:line="240" w:lineRule="auto"/>
      <w:jc w:val="both"/>
    </w:pPr>
    <w:rPr>
      <w:rFonts w:ascii="Meiryo UI" w:eastAsia="Meiryo UI" w:hAnsi="Arial"/>
      <w:sz w:val="18"/>
      <w:szCs w:val="18"/>
      <w:lang w:eastAsia="zh-CN"/>
    </w:rPr>
  </w:style>
  <w:style w:type="character" w:customStyle="1" w:styleId="BalloonTextChar">
    <w:name w:val="Balloon Text Char"/>
    <w:basedOn w:val="DefaultParagraphFont"/>
    <w:link w:val="BalloonText"/>
    <w:uiPriority w:val="99"/>
    <w:semiHidden/>
    <w:rsid w:val="00DE2370"/>
    <w:rPr>
      <w:rFonts w:ascii="Meiryo UI" w:eastAsia="Meiryo UI" w:hAnsi="Arial"/>
      <w:sz w:val="18"/>
      <w:szCs w:val="18"/>
      <w:lang w:eastAsia="zh-CN"/>
    </w:rPr>
  </w:style>
  <w:style w:type="paragraph" w:styleId="ListParagraph">
    <w:name w:val="List Paragraph"/>
    <w:basedOn w:val="Normal"/>
    <w:uiPriority w:val="34"/>
    <w:qFormat/>
    <w:rsid w:val="00DE2370"/>
    <w:pPr>
      <w:ind w:left="720"/>
      <w:contextualSpacing/>
      <w:jc w:val="both"/>
    </w:pPr>
    <w:rPr>
      <w:rFonts w:ascii="Arial" w:eastAsiaTheme="minorEastAsia" w:hAnsi="Arial"/>
      <w:lang w:eastAsia="zh-CN"/>
    </w:rPr>
  </w:style>
  <w:style w:type="paragraph" w:styleId="CommentSubject">
    <w:name w:val="annotation subject"/>
    <w:basedOn w:val="CommentText"/>
    <w:next w:val="CommentText"/>
    <w:link w:val="CommentSubjectChar"/>
    <w:uiPriority w:val="99"/>
    <w:semiHidden/>
    <w:unhideWhenUsed/>
    <w:rsid w:val="00DE2370"/>
    <w:rPr>
      <w:b/>
      <w:bCs/>
    </w:rPr>
  </w:style>
  <w:style w:type="character" w:customStyle="1" w:styleId="CommentSubjectChar">
    <w:name w:val="Comment Subject Char"/>
    <w:basedOn w:val="CommentTextChar"/>
    <w:link w:val="CommentSubject"/>
    <w:uiPriority w:val="99"/>
    <w:semiHidden/>
    <w:rsid w:val="00DE2370"/>
    <w:rPr>
      <w:rFonts w:ascii="Arial" w:eastAsiaTheme="minorEastAsia" w:hAnsi="Arial"/>
      <w:b/>
      <w:bCs/>
      <w:sz w:val="20"/>
      <w:szCs w:val="20"/>
      <w:lang w:eastAsia="zh-CN"/>
    </w:rPr>
  </w:style>
  <w:style w:type="paragraph" w:styleId="Revision">
    <w:name w:val="Revision"/>
    <w:hidden/>
    <w:uiPriority w:val="99"/>
    <w:semiHidden/>
    <w:rsid w:val="00DE2370"/>
    <w:pPr>
      <w:spacing w:after="0" w:line="240" w:lineRule="auto"/>
    </w:pPr>
    <w:rPr>
      <w:rFonts w:eastAsiaTheme="minorEastAsia"/>
      <w:lang w:eastAsia="zh-CN"/>
    </w:rPr>
  </w:style>
  <w:style w:type="character" w:styleId="PlaceholderText">
    <w:name w:val="Placeholder Text"/>
    <w:basedOn w:val="DefaultParagraphFont"/>
    <w:uiPriority w:val="99"/>
    <w:semiHidden/>
    <w:rsid w:val="00DE2370"/>
    <w:rPr>
      <w:color w:val="808080"/>
    </w:rPr>
  </w:style>
  <w:style w:type="character" w:customStyle="1" w:styleId="MTEquationSection">
    <w:name w:val="MTEquationSection"/>
    <w:basedOn w:val="DefaultParagraphFont"/>
    <w:rsid w:val="00DE2370"/>
    <w:rPr>
      <w:rFonts w:cs="Times New Roman"/>
      <w:vanish/>
      <w:color w:val="FF0000"/>
    </w:rPr>
  </w:style>
  <w:style w:type="paragraph" w:customStyle="1" w:styleId="MTDisplayEquation">
    <w:name w:val="MTDisplayEquation"/>
    <w:basedOn w:val="Normal"/>
    <w:next w:val="Normal"/>
    <w:link w:val="MTDisplayEquation0"/>
    <w:rsid w:val="00DE2370"/>
    <w:pPr>
      <w:tabs>
        <w:tab w:val="center" w:pos="4520"/>
        <w:tab w:val="right" w:pos="9020"/>
      </w:tabs>
      <w:jc w:val="both"/>
    </w:pPr>
    <w:rPr>
      <w:rFonts w:ascii="Arial" w:eastAsiaTheme="minorEastAsia" w:hAnsi="Arial"/>
      <w:lang w:eastAsia="zh-CN"/>
    </w:rPr>
  </w:style>
  <w:style w:type="character" w:customStyle="1" w:styleId="MTDisplayEquation0">
    <w:name w:val="MTDisplayEquation (文字)"/>
    <w:basedOn w:val="DefaultParagraphFont"/>
    <w:link w:val="MTDisplayEquation"/>
    <w:rsid w:val="00DE2370"/>
    <w:rPr>
      <w:rFonts w:ascii="Arial" w:eastAsiaTheme="minorEastAsia" w:hAnsi="Arial"/>
      <w:lang w:eastAsia="zh-CN"/>
    </w:rPr>
  </w:style>
  <w:style w:type="paragraph" w:customStyle="1" w:styleId="CETAuthors">
    <w:name w:val="CET Authors"/>
    <w:basedOn w:val="Normal"/>
    <w:link w:val="CETAuthorsCarattere"/>
    <w:rsid w:val="006576A9"/>
    <w:pPr>
      <w:keepNext/>
      <w:tabs>
        <w:tab w:val="right" w:pos="7100"/>
      </w:tabs>
      <w:suppressAutoHyphens/>
      <w:spacing w:after="120" w:line="264" w:lineRule="auto"/>
      <w:jc w:val="both"/>
    </w:pPr>
    <w:rPr>
      <w:rFonts w:ascii="Arial" w:eastAsia="Times New Roman" w:hAnsi="Arial" w:cs="Times New Roman"/>
      <w:noProof/>
      <w:sz w:val="24"/>
      <w:szCs w:val="20"/>
    </w:rPr>
  </w:style>
  <w:style w:type="character" w:customStyle="1" w:styleId="CETAuthorsCarattere">
    <w:name w:val="CET Authors Carattere"/>
    <w:link w:val="CETAuthors"/>
    <w:rsid w:val="006576A9"/>
    <w:rPr>
      <w:rFonts w:ascii="Arial" w:eastAsia="Times New Roman" w:hAnsi="Arial" w:cs="Times New Roman"/>
      <w:noProof/>
      <w:sz w:val="24"/>
      <w:szCs w:val="20"/>
    </w:rPr>
  </w:style>
  <w:style w:type="paragraph" w:customStyle="1" w:styleId="CETBodytext">
    <w:name w:val="CET Body text"/>
    <w:link w:val="CETBodytextCarattere"/>
    <w:rsid w:val="006576A9"/>
    <w:pPr>
      <w:tabs>
        <w:tab w:val="right" w:pos="7100"/>
      </w:tabs>
      <w:spacing w:after="0" w:line="264" w:lineRule="auto"/>
      <w:jc w:val="both"/>
    </w:pPr>
    <w:rPr>
      <w:rFonts w:ascii="Arial" w:eastAsia="Times New Roman" w:hAnsi="Arial" w:cs="Times New Roman"/>
      <w:sz w:val="18"/>
      <w:szCs w:val="20"/>
      <w:lang w:val="en-US"/>
    </w:rPr>
  </w:style>
  <w:style w:type="character" w:customStyle="1" w:styleId="CETBodytextCarattere">
    <w:name w:val="CET Body text Carattere"/>
    <w:link w:val="CETBodytext"/>
    <w:rsid w:val="006576A9"/>
    <w:rPr>
      <w:rFonts w:ascii="Arial" w:eastAsia="Times New Roman" w:hAnsi="Arial" w:cs="Times New Roman"/>
      <w:sz w:val="18"/>
      <w:szCs w:val="20"/>
      <w:lang w:val="en-US"/>
    </w:rPr>
  </w:style>
  <w:style w:type="paragraph" w:customStyle="1" w:styleId="CETCaption">
    <w:name w:val="CET Caption"/>
    <w:link w:val="CETCaptionCarattere"/>
    <w:rsid w:val="00F137D0"/>
    <w:pPr>
      <w:spacing w:before="240" w:after="240" w:line="264" w:lineRule="auto"/>
      <w:jc w:val="both"/>
    </w:pPr>
    <w:rPr>
      <w:rFonts w:ascii="Arial" w:eastAsia="Times New Roman" w:hAnsi="Arial" w:cs="Times New Roman"/>
      <w:i/>
      <w:sz w:val="18"/>
      <w:szCs w:val="20"/>
    </w:rPr>
  </w:style>
  <w:style w:type="character" w:customStyle="1" w:styleId="CETCaptionCarattere">
    <w:name w:val="CET Caption Carattere"/>
    <w:link w:val="CETCaption"/>
    <w:rsid w:val="00F137D0"/>
    <w:rPr>
      <w:rFonts w:ascii="Arial" w:eastAsia="Times New Roman" w:hAnsi="Arial" w:cs="Times New Roman"/>
      <w:i/>
      <w:sz w:val="18"/>
      <w:szCs w:val="20"/>
    </w:rPr>
  </w:style>
  <w:style w:type="paragraph" w:customStyle="1" w:styleId="CETTabletitle">
    <w:name w:val="CET Table title"/>
    <w:rsid w:val="00F137D0"/>
    <w:pPr>
      <w:keepNext/>
      <w:spacing w:before="240" w:after="80" w:line="240" w:lineRule="exact"/>
    </w:pPr>
    <w:rPr>
      <w:rFonts w:ascii="Arial" w:eastAsia="Times New Roman" w:hAnsi="Arial" w:cs="Times New Roman"/>
      <w:i/>
      <w:sz w:val="18"/>
      <w:szCs w:val="20"/>
    </w:rPr>
  </w:style>
  <w:style w:type="paragraph" w:customStyle="1" w:styleId="CETEquation">
    <w:name w:val="CET Equation"/>
    <w:basedOn w:val="CETBodytext"/>
    <w:next w:val="CETBodytext"/>
    <w:rsid w:val="00F137D0"/>
    <w:pPr>
      <w:spacing w:before="120" w:after="120"/>
      <w:jc w:val="left"/>
    </w:pPr>
    <w:rPr>
      <w:lang w:val="en-GB"/>
    </w:rPr>
  </w:style>
  <w:style w:type="paragraph" w:styleId="NormalWeb">
    <w:name w:val="Normal (Web)"/>
    <w:basedOn w:val="Normal"/>
    <w:uiPriority w:val="99"/>
    <w:semiHidden/>
    <w:unhideWhenUsed/>
    <w:rsid w:val="00671350"/>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Hyperlink">
    <w:name w:val="Hyperlink"/>
    <w:basedOn w:val="DefaultParagraphFont"/>
    <w:uiPriority w:val="99"/>
    <w:unhideWhenUsed/>
    <w:rsid w:val="00BC5902"/>
    <w:rPr>
      <w:color w:val="0563C1" w:themeColor="hyperlink"/>
      <w:u w:val="single"/>
    </w:rPr>
  </w:style>
  <w:style w:type="character" w:styleId="UnresolvedMention">
    <w:name w:val="Unresolved Mention"/>
    <w:basedOn w:val="DefaultParagraphFont"/>
    <w:uiPriority w:val="99"/>
    <w:semiHidden/>
    <w:unhideWhenUsed/>
    <w:rsid w:val="00BC5902"/>
    <w:rPr>
      <w:color w:val="605E5C"/>
      <w:shd w:val="clear" w:color="auto" w:fill="E1DFDD"/>
    </w:rPr>
  </w:style>
  <w:style w:type="paragraph" w:styleId="TableofFigures">
    <w:name w:val="table of figures"/>
    <w:basedOn w:val="Normal"/>
    <w:next w:val="Normal"/>
    <w:uiPriority w:val="99"/>
    <w:unhideWhenUsed/>
    <w:rsid w:val="001D0568"/>
    <w:pPr>
      <w:spacing w:after="0"/>
    </w:pPr>
  </w:style>
  <w:style w:type="paragraph" w:styleId="TOC1">
    <w:name w:val="toc 1"/>
    <w:basedOn w:val="Normal"/>
    <w:next w:val="Normal"/>
    <w:autoRedefine/>
    <w:uiPriority w:val="39"/>
    <w:semiHidden/>
    <w:unhideWhenUsed/>
    <w:rsid w:val="001D0568"/>
    <w:pPr>
      <w:spacing w:after="100"/>
    </w:pPr>
  </w:style>
  <w:style w:type="character" w:styleId="LineNumber">
    <w:name w:val="line number"/>
    <w:basedOn w:val="DefaultParagraphFont"/>
    <w:uiPriority w:val="99"/>
    <w:semiHidden/>
    <w:unhideWhenUsed/>
    <w:rsid w:val="007A68B2"/>
  </w:style>
  <w:style w:type="character" w:customStyle="1" w:styleId="Heading3Char">
    <w:name w:val="Heading 3 Char"/>
    <w:basedOn w:val="DefaultParagraphFont"/>
    <w:link w:val="Heading3"/>
    <w:uiPriority w:val="9"/>
    <w:semiHidden/>
    <w:rsid w:val="00D4180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D4180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D4180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D4180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D4180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D4180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4180F"/>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306522">
      <w:bodyDiv w:val="1"/>
      <w:marLeft w:val="0"/>
      <w:marRight w:val="0"/>
      <w:marTop w:val="0"/>
      <w:marBottom w:val="0"/>
      <w:divBdr>
        <w:top w:val="none" w:sz="0" w:space="0" w:color="auto"/>
        <w:left w:val="none" w:sz="0" w:space="0" w:color="auto"/>
        <w:bottom w:val="none" w:sz="0" w:space="0" w:color="auto"/>
        <w:right w:val="none" w:sz="0" w:space="0" w:color="auto"/>
      </w:divBdr>
    </w:div>
    <w:div w:id="471405070">
      <w:bodyDiv w:val="1"/>
      <w:marLeft w:val="0"/>
      <w:marRight w:val="0"/>
      <w:marTop w:val="0"/>
      <w:marBottom w:val="0"/>
      <w:divBdr>
        <w:top w:val="none" w:sz="0" w:space="0" w:color="auto"/>
        <w:left w:val="none" w:sz="0" w:space="0" w:color="auto"/>
        <w:bottom w:val="none" w:sz="0" w:space="0" w:color="auto"/>
        <w:right w:val="none" w:sz="0" w:space="0" w:color="auto"/>
      </w:divBdr>
    </w:div>
    <w:div w:id="645284801">
      <w:bodyDiv w:val="1"/>
      <w:marLeft w:val="0"/>
      <w:marRight w:val="0"/>
      <w:marTop w:val="0"/>
      <w:marBottom w:val="0"/>
      <w:divBdr>
        <w:top w:val="none" w:sz="0" w:space="0" w:color="auto"/>
        <w:left w:val="none" w:sz="0" w:space="0" w:color="auto"/>
        <w:bottom w:val="none" w:sz="0" w:space="0" w:color="auto"/>
        <w:right w:val="none" w:sz="0" w:space="0" w:color="auto"/>
      </w:divBdr>
    </w:div>
    <w:div w:id="711152966">
      <w:bodyDiv w:val="1"/>
      <w:marLeft w:val="0"/>
      <w:marRight w:val="0"/>
      <w:marTop w:val="0"/>
      <w:marBottom w:val="0"/>
      <w:divBdr>
        <w:top w:val="none" w:sz="0" w:space="0" w:color="auto"/>
        <w:left w:val="none" w:sz="0" w:space="0" w:color="auto"/>
        <w:bottom w:val="none" w:sz="0" w:space="0" w:color="auto"/>
        <w:right w:val="none" w:sz="0" w:space="0" w:color="auto"/>
      </w:divBdr>
    </w:div>
    <w:div w:id="717631761">
      <w:bodyDiv w:val="1"/>
      <w:marLeft w:val="0"/>
      <w:marRight w:val="0"/>
      <w:marTop w:val="0"/>
      <w:marBottom w:val="0"/>
      <w:divBdr>
        <w:top w:val="none" w:sz="0" w:space="0" w:color="auto"/>
        <w:left w:val="none" w:sz="0" w:space="0" w:color="auto"/>
        <w:bottom w:val="none" w:sz="0" w:space="0" w:color="auto"/>
        <w:right w:val="none" w:sz="0" w:space="0" w:color="auto"/>
      </w:divBdr>
    </w:div>
    <w:div w:id="1699546039">
      <w:bodyDiv w:val="1"/>
      <w:marLeft w:val="0"/>
      <w:marRight w:val="0"/>
      <w:marTop w:val="0"/>
      <w:marBottom w:val="0"/>
      <w:divBdr>
        <w:top w:val="none" w:sz="0" w:space="0" w:color="auto"/>
        <w:left w:val="none" w:sz="0" w:space="0" w:color="auto"/>
        <w:bottom w:val="none" w:sz="0" w:space="0" w:color="auto"/>
        <w:right w:val="none" w:sz="0" w:space="0" w:color="auto"/>
      </w:divBdr>
    </w:div>
    <w:div w:id="196152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murugappan@swinburne.edu.my" TargetMode="External"/><Relationship Id="rId79"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ujie\Desktop\B41FC%20paper%20template%20single%20column(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AB68785-2AA5-441F-887D-B7D3F79D0CB6}">
  <we:reference id="wa104381909" version="2.4.0.0" store="en-US" storeType="OMEX"/>
  <we:alternateReferences>
    <we:reference id="wa104381909" version="2.4.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44A31AA27F3544A1A875C5ADE3D0F7" ma:contentTypeVersion="13" ma:contentTypeDescription="Create a new document." ma:contentTypeScope="" ma:versionID="a745fb5634e27379f91a8094f60e09af">
  <xsd:schema xmlns:xsd="http://www.w3.org/2001/XMLSchema" xmlns:xs="http://www.w3.org/2001/XMLSchema" xmlns:p="http://schemas.microsoft.com/office/2006/metadata/properties" xmlns:ns3="85ab327a-1ac4-4ff3-8808-80f3695971ac" xmlns:ns4="a7c667d8-b623-4581-943c-c04b2a6442a2" targetNamespace="http://schemas.microsoft.com/office/2006/metadata/properties" ma:root="true" ma:fieldsID="4f18bf72dae4979097d78dfa98c7c3c9" ns3:_="" ns4:_="">
    <xsd:import namespace="85ab327a-1ac4-4ff3-8808-80f3695971ac"/>
    <xsd:import namespace="a7c667d8-b623-4581-943c-c04b2a6442a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b327a-1ac4-4ff3-8808-80f3695971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c667d8-b623-4581-943c-c04b2a6442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94601-2327-4461-8D4E-3744E3B7C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ab327a-1ac4-4ff3-8808-80f3695971ac"/>
    <ds:schemaRef ds:uri="a7c667d8-b623-4581-943c-c04b2a6442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D41ED1-89D5-4098-905E-C1278622A2A7}">
  <ds:schemaRefs>
    <ds:schemaRef ds:uri="85ab327a-1ac4-4ff3-8808-80f3695971ac"/>
    <ds:schemaRef ds:uri="http://schemas.openxmlformats.org/package/2006/metadata/core-properties"/>
    <ds:schemaRef ds:uri="http://purl.org/dc/dcmitype/"/>
    <ds:schemaRef ds:uri="a7c667d8-b623-4581-943c-c04b2a6442a2"/>
    <ds:schemaRef ds:uri="http://purl.org/dc/term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4C5A2CE-35E4-4D37-B14B-858BCD6DCDA2}">
  <ds:schemaRefs>
    <ds:schemaRef ds:uri="http://schemas.microsoft.com/sharepoint/v3/contenttype/forms"/>
  </ds:schemaRefs>
</ds:datastoreItem>
</file>

<file path=customXml/itemProps4.xml><?xml version="1.0" encoding="utf-8"?>
<ds:datastoreItem xmlns:ds="http://schemas.openxmlformats.org/officeDocument/2006/customXml" ds:itemID="{211726AA-49BF-4632-89BE-23C971EDA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B41FC paper template single column(1).dotx</Template>
  <TotalTime>3</TotalTime>
  <Pages>10</Pages>
  <Words>25783</Words>
  <Characters>146967</Characters>
  <Application>Microsoft Office Word</Application>
  <DocSecurity>0</DocSecurity>
  <Lines>1224</Lines>
  <Paragraphs>344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172406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Jie Ooi</dc:creator>
  <cp:keywords/>
  <dc:description/>
  <cp:lastModifiedBy>Viknesh Andiappan Murugappan</cp:lastModifiedBy>
  <cp:revision>9</cp:revision>
  <cp:lastPrinted>2021-04-08T04:13:00Z</cp:lastPrinted>
  <dcterms:created xsi:type="dcterms:W3CDTF">2023-07-18T02:55:00Z</dcterms:created>
  <dcterms:modified xsi:type="dcterms:W3CDTF">2024-05-20T01:53:00Z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WinEqns">
    <vt:bool>true</vt:bool>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 6th edition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http://www.zotero.org/styles/harvard-cite-them-right</vt:lpwstr>
  </property>
  <property fmtid="{D5CDD505-2E9C-101B-9397-08002B2CF9AE}" pid="11" name="Mendeley Recent Style Name 3_1">
    <vt:lpwstr>Cite Them Right 12th edition - Harvard</vt:lpwstr>
  </property>
  <property fmtid="{D5CDD505-2E9C-101B-9397-08002B2CF9AE}" pid="12" name="Mendeley Recent Style Id 4_1">
    <vt:lpwstr>http://www.zotero.org/styles/elsevier-harvard</vt:lpwstr>
  </property>
  <property fmtid="{D5CDD505-2E9C-101B-9397-08002B2CF9AE}" pid="13" name="Mendeley Recent Style Name 4_1">
    <vt:lpwstr>Elsevier - Harvard (with titles)</vt:lpwstr>
  </property>
  <property fmtid="{D5CDD505-2E9C-101B-9397-08002B2CF9AE}" pid="14" name="Mendeley Recent Style Id 5_1">
    <vt:lpwstr>http://www.zotero.org/styles/energy</vt:lpwstr>
  </property>
  <property fmtid="{D5CDD505-2E9C-101B-9397-08002B2CF9AE}" pid="15" name="Mendeley Recent Style Name 5_1">
    <vt:lpwstr>Energy</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c060d888-c12f-398a-bd1a-a449eb8da4e1</vt:lpwstr>
  </property>
  <property fmtid="{D5CDD505-2E9C-101B-9397-08002B2CF9AE}" pid="26" name="Mendeley Citation Style_1">
    <vt:lpwstr>http://www.zotero.org/styles/elsevier-harvard</vt:lpwstr>
  </property>
  <property fmtid="{D5CDD505-2E9C-101B-9397-08002B2CF9AE}" pid="27" name="MTEquationNumber2">
    <vt:lpwstr>(#E1)</vt:lpwstr>
  </property>
  <property fmtid="{D5CDD505-2E9C-101B-9397-08002B2CF9AE}" pid="28" name="MTEqnNumsOnRight">
    <vt:bool>true</vt:bool>
  </property>
  <property fmtid="{D5CDD505-2E9C-101B-9397-08002B2CF9AE}" pid="29" name="MTUseMTPrefs">
    <vt:lpwstr>1</vt:lpwstr>
  </property>
  <property fmtid="{D5CDD505-2E9C-101B-9397-08002B2CF9AE}" pid="30" name="MTPreferences">
    <vt:lpwstr>[Styles]_x000d_
Text=Calibri_x000d_
Function=Calibri_x000d_
Variable=Calibri,I_x000d_
LCGreek=Symbol,I_x000d_
UCGreek=Symbol_x000d_
Symbol=Symbol_x000d_
Vector=Calibri,B_x000d_
Number=Calibri_x000d_
User1=Courier New_x000d_
User2=Calibri_x000d_
MTExtra=MT Extra_x000d_
_x000d_
[Sizes]_x000d_
Full=11 pt_x000d_
Script=58 %_x000d_
ScriptScript=42 %_x000d_
Sym</vt:lpwstr>
  </property>
  <property fmtid="{D5CDD505-2E9C-101B-9397-08002B2CF9AE}" pid="31" name="MTPreferences 1">
    <vt:lpwstr>bol=150 %_x000d_
SubSymbol=100 %_x000d_
User1=75 %_x000d_
User2=150 %_x000d_
SmallLargeIncr=1 pt_x000d_
_x000d_
[Spacing]_x000d_
LineSpacing=150 %_x000d_
MatrixRowSpacing=150 %_x000d_
MatrixColSpacing=100 %_x000d_
SuperscriptHeight=45 %_x000d_
SubscriptDepth=25 %_x000d_
SubSupGap=8 %_x000d_
LimHeight=25 %_x000d_
LimDepth=100 %_x000d_
LimLineSp</vt:lpwstr>
  </property>
  <property fmtid="{D5CDD505-2E9C-101B-9397-08002B2CF9AE}" pid="32" name="MTPreferences 2">
    <vt:lpwstr>acing=100 %_x000d_
NumerHeight=35 %_x000d_
DenomDepth=100 %_x000d_
FractBarOver=8 %_x000d_
FractBarThick=5 %_x000d_
SubFractBarThick=2.5 %_x000d_
FractGap=8 %_x000d_
FenceOver=8 %_x000d_
OperSpacing=100 %_x000d_
NonOperSpacing=100 %_x000d_
CharWidth=0 %_x000d_
MinGap=8 %_x000d_
VertRadGap=17 %_x000d_
HorizRadGap=8 %_x000d_
RadWidth=100 %</vt:lpwstr>
  </property>
  <property fmtid="{D5CDD505-2E9C-101B-9397-08002B2CF9AE}" pid="33" name="MTPreferences 3">
    <vt:lpwstr>_x000d_
EmbellGap=12.5 %_x000d_
PrimeHeight=45 %_x000d_
BoxStrokeThick=5 %_x000d_
StikeThruThick=5 %_x000d_
MatrixLineThick=5 %_x000d_
RadStrokeThick=5 %_x000d_
HorizFenceGap=10 %_x000d_
_x000d_
</vt:lpwstr>
  </property>
  <property fmtid="{D5CDD505-2E9C-101B-9397-08002B2CF9AE}" pid="34" name="MTPreferenceSource">
    <vt:lpwstr>Calibri+Symbol 11.eqp</vt:lpwstr>
  </property>
  <property fmtid="{D5CDD505-2E9C-101B-9397-08002B2CF9AE}" pid="35" name="ContentTypeId">
    <vt:lpwstr>0x0101003C44A31AA27F3544A1A875C5ADE3D0F7</vt:lpwstr>
  </property>
  <property fmtid="{D5CDD505-2E9C-101B-9397-08002B2CF9AE}" pid="36" name="MSIP_Label_b63ccca9-c1ef-42e5-8b5f-ba262db88ee1_Enabled">
    <vt:lpwstr>true</vt:lpwstr>
  </property>
  <property fmtid="{D5CDD505-2E9C-101B-9397-08002B2CF9AE}" pid="37" name="MSIP_Label_b63ccca9-c1ef-42e5-8b5f-ba262db88ee1_SetDate">
    <vt:lpwstr>2023-05-22T03:33:32Z</vt:lpwstr>
  </property>
  <property fmtid="{D5CDD505-2E9C-101B-9397-08002B2CF9AE}" pid="38" name="MSIP_Label_b63ccca9-c1ef-42e5-8b5f-ba262db88ee1_Method">
    <vt:lpwstr>Standard</vt:lpwstr>
  </property>
  <property fmtid="{D5CDD505-2E9C-101B-9397-08002B2CF9AE}" pid="39" name="MSIP_Label_b63ccca9-c1ef-42e5-8b5f-ba262db88ee1_Name">
    <vt:lpwstr>Public</vt:lpwstr>
  </property>
  <property fmtid="{D5CDD505-2E9C-101B-9397-08002B2CF9AE}" pid="40" name="MSIP_Label_b63ccca9-c1ef-42e5-8b5f-ba262db88ee1_SiteId">
    <vt:lpwstr>3f639a9b-27c8-4403-82b1-ebfb88052d15</vt:lpwstr>
  </property>
  <property fmtid="{D5CDD505-2E9C-101B-9397-08002B2CF9AE}" pid="41" name="MSIP_Label_b63ccca9-c1ef-42e5-8b5f-ba262db88ee1_ActionId">
    <vt:lpwstr>bdf9df37-4a75-4afd-ab3b-8fe35edc7629</vt:lpwstr>
  </property>
  <property fmtid="{D5CDD505-2E9C-101B-9397-08002B2CF9AE}" pid="42" name="MSIP_Label_b63ccca9-c1ef-42e5-8b5f-ba262db88ee1_ContentBits">
    <vt:lpwstr>0</vt:lpwstr>
  </property>
</Properties>
</file>