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DFC46" w14:textId="77777777" w:rsidR="00137A2D" w:rsidRPr="001A37E2" w:rsidRDefault="00137A2D" w:rsidP="00137A2D">
      <w:pPr>
        <w:jc w:val="center"/>
        <w:rPr>
          <w:rFonts w:ascii="Times New Roman" w:hAnsi="Times New Roman" w:cs="Times New Roman"/>
          <w:sz w:val="28"/>
          <w:szCs w:val="28"/>
        </w:rPr>
      </w:pPr>
      <w:r w:rsidRPr="001A37E2">
        <w:rPr>
          <w:rFonts w:ascii="Times New Roman" w:hAnsi="Times New Roman" w:cs="Times New Roman"/>
          <w:sz w:val="28"/>
          <w:szCs w:val="28"/>
        </w:rPr>
        <w:t>S</w:t>
      </w:r>
      <w:r>
        <w:rPr>
          <w:rFonts w:ascii="Times New Roman" w:hAnsi="Times New Roman" w:cs="Times New Roman" w:hint="eastAsia"/>
          <w:sz w:val="28"/>
          <w:szCs w:val="28"/>
        </w:rPr>
        <w:t>upporting Information</w:t>
      </w:r>
      <w:r w:rsidRPr="001A37E2">
        <w:rPr>
          <w:rFonts w:ascii="Times New Roman" w:hAnsi="Times New Roman" w:cs="Times New Roman"/>
          <w:sz w:val="28"/>
          <w:szCs w:val="28"/>
        </w:rPr>
        <w:t xml:space="preserve"> for</w:t>
      </w:r>
    </w:p>
    <w:p w14:paraId="2E23CC7E" w14:textId="313E5126" w:rsidR="00137A2D" w:rsidRPr="001A37E2" w:rsidRDefault="00D04608" w:rsidP="00137A2D">
      <w:pPr>
        <w:jc w:val="center"/>
        <w:rPr>
          <w:rFonts w:ascii="Times New Roman" w:hAnsi="Times New Roman" w:cs="Times New Roman"/>
          <w:b/>
          <w:bCs/>
          <w:sz w:val="28"/>
          <w:szCs w:val="28"/>
        </w:rPr>
      </w:pPr>
      <w:bookmarkStart w:id="0" w:name="_Hlk220775842"/>
      <w:r w:rsidRPr="00D04608">
        <w:rPr>
          <w:rFonts w:ascii="Times New Roman" w:hAnsi="Times New Roman" w:cs="Times New Roman" w:hint="eastAsia"/>
          <w:b/>
          <w:bCs/>
          <w:sz w:val="28"/>
          <w:szCs w:val="28"/>
        </w:rPr>
        <w:t>Peltier-Based Temperature Control Enables High-Bandwidth and Low-Noise Measurements with Solid-State Nanopores</w:t>
      </w:r>
    </w:p>
    <w:bookmarkEnd w:id="0"/>
    <w:p w14:paraId="2E68C70E" w14:textId="77777777" w:rsidR="00137A2D" w:rsidRPr="001A37E2" w:rsidRDefault="00137A2D" w:rsidP="00137A2D">
      <w:pPr>
        <w:rPr>
          <w:rFonts w:ascii="Times New Roman" w:hAnsi="Times New Roman" w:cs="Times New Roman"/>
        </w:rPr>
      </w:pPr>
    </w:p>
    <w:p w14:paraId="49BB647D" w14:textId="67782DD5" w:rsidR="00264817" w:rsidRDefault="00264817" w:rsidP="00137A2D">
      <w:pPr>
        <w:jc w:val="center"/>
        <w:rPr>
          <w:rFonts w:ascii="Times New Roman" w:hAnsi="Times New Roman" w:cs="Times New Roman"/>
        </w:rPr>
      </w:pPr>
      <w:r w:rsidRPr="00264817">
        <w:rPr>
          <w:rFonts w:ascii="Times New Roman" w:hAnsi="Times New Roman" w:cs="Times New Roman" w:hint="eastAsia"/>
        </w:rPr>
        <w:t>Yunxuan Li, Gerardo Patino Guillen, Filip Boskovic, Thieme</w:t>
      </w:r>
      <w:r w:rsidR="0038487C">
        <w:rPr>
          <w:rFonts w:ascii="Times New Roman" w:hAnsi="Times New Roman" w:cs="Times New Roman" w:hint="eastAsia"/>
        </w:rPr>
        <w:t xml:space="preserve"> T.</w:t>
      </w:r>
      <w:r w:rsidRPr="00264817">
        <w:rPr>
          <w:rFonts w:ascii="Times New Roman" w:hAnsi="Times New Roman" w:cs="Times New Roman" w:hint="eastAsia"/>
        </w:rPr>
        <w:t xml:space="preserve"> Schmidt, </w:t>
      </w:r>
    </w:p>
    <w:p w14:paraId="69AE564E" w14:textId="2602852A" w:rsidR="00137A2D" w:rsidRPr="00C84347" w:rsidRDefault="00264817" w:rsidP="00137A2D">
      <w:pPr>
        <w:jc w:val="center"/>
        <w:rPr>
          <w:rFonts w:ascii="Times New Roman" w:hAnsi="Times New Roman" w:cs="Times New Roman"/>
        </w:rPr>
      </w:pPr>
      <w:r w:rsidRPr="00264817">
        <w:rPr>
          <w:rFonts w:ascii="Times New Roman" w:hAnsi="Times New Roman" w:cs="Times New Roman" w:hint="eastAsia"/>
        </w:rPr>
        <w:t>Simon Brauburger, Raluca-Elena Alexii, Ulrich F. Keyser</w:t>
      </w:r>
      <w:r w:rsidRPr="00264817">
        <w:rPr>
          <w:rFonts w:ascii="Times New Roman" w:hAnsi="Times New Roman" w:cs="Times New Roman" w:hint="eastAsia"/>
          <w:vertAlign w:val="superscript"/>
        </w:rPr>
        <w:t>#</w:t>
      </w:r>
    </w:p>
    <w:p w14:paraId="6C685548" w14:textId="77777777" w:rsidR="00137A2D" w:rsidRDefault="00137A2D">
      <w:pPr>
        <w:widowControl/>
        <w:jc w:val="left"/>
        <w:rPr>
          <w:rFonts w:ascii="Times New Roman" w:hAnsi="Times New Roman" w:cs="Times New Roman"/>
        </w:rPr>
      </w:pPr>
      <w:r>
        <w:rPr>
          <w:rFonts w:ascii="Times New Roman" w:hAnsi="Times New Roman" w:cs="Times New Roman"/>
        </w:rPr>
        <w:br w:type="page"/>
      </w:r>
    </w:p>
    <w:p w14:paraId="6CCD0B2D" w14:textId="7E434ECD" w:rsidR="008A063B" w:rsidRPr="008A063B" w:rsidRDefault="008A063B" w:rsidP="008A063B">
      <w:pPr>
        <w:rPr>
          <w:rFonts w:ascii="Times New Roman" w:hAnsi="Times New Roman" w:cs="Times New Roman"/>
          <w:b/>
          <w:bCs/>
          <w:sz w:val="28"/>
          <w:szCs w:val="32"/>
        </w:rPr>
      </w:pPr>
      <w:r w:rsidRPr="008A063B">
        <w:rPr>
          <w:rFonts w:ascii="Times New Roman" w:hAnsi="Times New Roman" w:cs="Times New Roman" w:hint="eastAsia"/>
          <w:b/>
          <w:bCs/>
          <w:sz w:val="28"/>
          <w:szCs w:val="32"/>
        </w:rPr>
        <w:lastRenderedPageBreak/>
        <w:t>Supplementary Note</w:t>
      </w:r>
    </w:p>
    <w:p w14:paraId="3F5825A5" w14:textId="0FDEAE2F" w:rsidR="008A063B" w:rsidRPr="002C37B1" w:rsidRDefault="008A063B" w:rsidP="008A063B">
      <w:pPr>
        <w:rPr>
          <w:rFonts w:ascii="Times New Roman" w:hAnsi="Times New Roman" w:cs="Times New Roman"/>
          <w:b/>
          <w:bCs/>
        </w:rPr>
      </w:pPr>
      <w:r>
        <w:rPr>
          <w:rFonts w:ascii="Times New Roman" w:hAnsi="Times New Roman" w:cs="Times New Roman" w:hint="eastAsia"/>
          <w:b/>
          <w:bCs/>
        </w:rPr>
        <w:t>P</w:t>
      </w:r>
      <w:r w:rsidRPr="002C37B1">
        <w:rPr>
          <w:rFonts w:ascii="Times New Roman" w:hAnsi="Times New Roman" w:cs="Times New Roman"/>
          <w:b/>
          <w:bCs/>
        </w:rPr>
        <w:t>rinciple of Peltier temperature control</w:t>
      </w:r>
    </w:p>
    <w:p w14:paraId="33A8F8CB" w14:textId="560E9143" w:rsidR="008A063B" w:rsidRPr="002C37B1" w:rsidRDefault="008A063B" w:rsidP="008A063B">
      <w:pPr>
        <w:rPr>
          <w:rFonts w:ascii="Times New Roman" w:hAnsi="Times New Roman" w:cs="Times New Roman"/>
        </w:rPr>
      </w:pPr>
      <w:r w:rsidRPr="002C37B1">
        <w:rPr>
          <w:rFonts w:ascii="Times New Roman" w:hAnsi="Times New Roman" w:cs="Times New Roman"/>
        </w:rPr>
        <w:t>In a Peltier module</w:t>
      </w:r>
      <w:r w:rsidR="00604C89">
        <w:rPr>
          <w:rFonts w:ascii="Times New Roman" w:hAnsi="Times New Roman" w:cs="Times New Roman" w:hint="eastAsia"/>
        </w:rPr>
        <w:t xml:space="preserve"> (Fig. 2f)</w:t>
      </w:r>
      <w:r w:rsidRPr="002C37B1">
        <w:rPr>
          <w:rFonts w:ascii="Times New Roman" w:hAnsi="Times New Roman" w:cs="Times New Roman"/>
        </w:rPr>
        <w:t xml:space="preserve"> composed of multiple p-type and n-type semiconductor junctions connected electrically in series and thermally in parallel, the direction of heat flow is determined by the direction of the applied current</w:t>
      </w:r>
      <w:r w:rsidR="00EB7DA4">
        <w:rPr>
          <w:rFonts w:ascii="Times New Roman" w:hAnsi="Times New Roman" w:cs="Times New Roman" w:hint="eastAsia"/>
        </w:rPr>
        <w:t xml:space="preserve"> (Supplementary </w:t>
      </w:r>
      <w:r w:rsidR="009F2925">
        <w:rPr>
          <w:rFonts w:ascii="Times New Roman" w:hAnsi="Times New Roman" w:cs="Times New Roman" w:hint="eastAsia"/>
        </w:rPr>
        <w:t>Fig.</w:t>
      </w:r>
      <w:r w:rsidR="00EB7DA4">
        <w:rPr>
          <w:rFonts w:ascii="Times New Roman" w:hAnsi="Times New Roman" w:cs="Times New Roman" w:hint="eastAsia"/>
        </w:rPr>
        <w:t xml:space="preserve"> 1)</w:t>
      </w:r>
      <w:r w:rsidRPr="002C37B1">
        <w:rPr>
          <w:rFonts w:ascii="Times New Roman" w:hAnsi="Times New Roman" w:cs="Times New Roman"/>
        </w:rPr>
        <w:t>.</w:t>
      </w:r>
      <w:r w:rsidR="00BB0E73">
        <w:rPr>
          <w:rFonts w:ascii="Times New Roman" w:hAnsi="Times New Roman" w:cs="Times New Roman"/>
        </w:rPr>
        <w:fldChar w:fldCharType="begin"/>
      </w:r>
      <w:r w:rsidR="00E944FE">
        <w:rPr>
          <w:rFonts w:ascii="Times New Roman" w:hAnsi="Times New Roman" w:cs="Times New Roman"/>
        </w:rPr>
        <w:instrText xml:space="preserve"> ADDIN EN.CITE &lt;EndNote&gt;&lt;Cite&gt;&lt;Author&gt;Scherrer&lt;/Author&gt;&lt;Year&gt;2018&lt;/Year&gt;&lt;RecNum&gt;292&lt;/RecNum&gt;&lt;DisplayText&gt;[1]&lt;/DisplayText&gt;&lt;record&gt;&lt;rec-number&gt;292&lt;/rec-number&gt;&lt;foreign-keys&gt;&lt;key app="EN" db-id="s9ffpevwbseve6e2wzpv0t2yx0f002eee522" timestamp="1770658575" guid="5645186c-566a-4d71-b162-cca7cd35dcf9"&gt;292&lt;/key&gt;&lt;/foreign-keys&gt;&lt;ref-type name="Journal Article"&gt;17&lt;/ref-type&gt;&lt;contributors&gt;&lt;authors&gt;&lt;author&gt;Scherrer, Hubert&lt;/author&gt;&lt;author&gt;Rowe, DM&lt;/author&gt;&lt;author&gt;Kajikawa, Takenobu&lt;/author&gt;&lt;author&gt;Matsubara, Kakuei&lt;/author&gt;&lt;author&gt;Issi, Jean-Paul&lt;/author&gt;&lt;author&gt;Goldsmid, H Julian&lt;/author&gt;&lt;author&gt;Bhandari, Chandra Mohan&lt;/author&gt;&lt;author&gt;Burkov, Alexander T&lt;/author&gt;&lt;author&gt;Zaitsev, Vladimir K&lt;/author&gt;&lt;author&gt;Fedorov, Mikhail I&lt;/author&gt;&lt;/authors&gt;&lt;/contributors&gt;&lt;titles&gt;&lt;title&gt;Thermoelectrics Handbook: Macro to Nano&lt;/title&gt;&lt;/titles&gt;&lt;dates&gt;&lt;year&gt;2018&lt;/year&gt;&lt;/dates&gt;&lt;isbn&gt;1315220393&lt;/isbn&gt;&lt;urls&gt;&lt;/urls&gt;&lt;/record&gt;&lt;/Cite&gt;&lt;/EndNote&gt;</w:instrText>
      </w:r>
      <w:r w:rsidR="00BB0E73">
        <w:rPr>
          <w:rFonts w:ascii="Times New Roman" w:hAnsi="Times New Roman" w:cs="Times New Roman"/>
        </w:rPr>
        <w:fldChar w:fldCharType="separate"/>
      </w:r>
      <w:r w:rsidR="00E944FE">
        <w:rPr>
          <w:rFonts w:ascii="Times New Roman" w:hAnsi="Times New Roman" w:cs="Times New Roman"/>
          <w:noProof/>
        </w:rPr>
        <w:t>[1]</w:t>
      </w:r>
      <w:r w:rsidR="00BB0E73">
        <w:rPr>
          <w:rFonts w:ascii="Times New Roman" w:hAnsi="Times New Roman" w:cs="Times New Roman"/>
        </w:rPr>
        <w:fldChar w:fldCharType="end"/>
      </w:r>
      <w:r>
        <w:rPr>
          <w:rFonts w:ascii="Times New Roman" w:hAnsi="Times New Roman" w:cs="Times New Roman" w:hint="eastAsia"/>
        </w:rPr>
        <w:t xml:space="preserve"> R</w:t>
      </w:r>
      <w:r w:rsidRPr="002C37B1">
        <w:rPr>
          <w:rFonts w:ascii="Times New Roman" w:hAnsi="Times New Roman" w:cs="Times New Roman"/>
        </w:rPr>
        <w:t>eversal of the current direction results in an exchange of the hot and cold sides of the module, allowing a single device to perform both heating and cooling functions.</w:t>
      </w:r>
      <w:r w:rsidR="00BB0E73">
        <w:rPr>
          <w:rFonts w:ascii="Times New Roman" w:hAnsi="Times New Roman" w:cs="Times New Roman"/>
        </w:rPr>
        <w:fldChar w:fldCharType="begin"/>
      </w:r>
      <w:r w:rsidR="00E944FE">
        <w:rPr>
          <w:rFonts w:ascii="Times New Roman" w:hAnsi="Times New Roman" w:cs="Times New Roman"/>
        </w:rPr>
        <w:instrText xml:space="preserve"> ADDIN EN.CITE &lt;EndNote&gt;&lt;Cite&gt;&lt;Author&gt;Scherrer&lt;/Author&gt;&lt;Year&gt;2018&lt;/Year&gt;&lt;RecNum&gt;292&lt;/RecNum&gt;&lt;DisplayText&gt;[1]&lt;/DisplayText&gt;&lt;record&gt;&lt;rec-number&gt;292&lt;/rec-number&gt;&lt;foreign-keys&gt;&lt;key app="EN" db-id="s9ffpevwbseve6e2wzpv0t2yx0f002eee522" timestamp="1770658575" guid="5645186c-566a-4d71-b162-cca7cd35dcf9"&gt;292&lt;/key&gt;&lt;/foreign-keys&gt;&lt;ref-type name="Journal Article"&gt;17&lt;/ref-type&gt;&lt;contributors&gt;&lt;authors&gt;&lt;author&gt;Scherrer, Hubert&lt;/author&gt;&lt;author&gt;Rowe, DM&lt;/author&gt;&lt;author&gt;Kajikawa, Takenobu&lt;/author&gt;&lt;author&gt;Matsubara, Kakuei&lt;/author&gt;&lt;author&gt;Issi, Jean-Paul&lt;/author&gt;&lt;author&gt;Goldsmid, H Julian&lt;/author&gt;&lt;author&gt;Bhandari, Chandra Mohan&lt;/author&gt;&lt;author&gt;Burkov, Alexander T&lt;/author&gt;&lt;author&gt;Zaitsev, Vladimir K&lt;/author&gt;&lt;author&gt;Fedorov, Mikhail I&lt;/author&gt;&lt;/authors&gt;&lt;/contributors&gt;&lt;titles&gt;&lt;title&gt;Thermoelectrics Handbook: Macro to Nano&lt;/title&gt;&lt;/titles&gt;&lt;dates&gt;&lt;year&gt;2018&lt;/year&gt;&lt;/dates&gt;&lt;isbn&gt;1315220393&lt;/isbn&gt;&lt;urls&gt;&lt;/urls&gt;&lt;/record&gt;&lt;/Cite&gt;&lt;/EndNote&gt;</w:instrText>
      </w:r>
      <w:r w:rsidR="00BB0E73">
        <w:rPr>
          <w:rFonts w:ascii="Times New Roman" w:hAnsi="Times New Roman" w:cs="Times New Roman"/>
        </w:rPr>
        <w:fldChar w:fldCharType="separate"/>
      </w:r>
      <w:r w:rsidR="00E944FE">
        <w:rPr>
          <w:rFonts w:ascii="Times New Roman" w:hAnsi="Times New Roman" w:cs="Times New Roman"/>
          <w:noProof/>
        </w:rPr>
        <w:t>[1]</w:t>
      </w:r>
      <w:r w:rsidR="00BB0E73">
        <w:rPr>
          <w:rFonts w:ascii="Times New Roman" w:hAnsi="Times New Roman" w:cs="Times New Roman"/>
        </w:rPr>
        <w:fldChar w:fldCharType="end"/>
      </w:r>
      <w:r w:rsidRPr="002C37B1">
        <w:rPr>
          <w:rFonts w:ascii="Times New Roman" w:hAnsi="Times New Roman" w:cs="Times New Roman"/>
        </w:rPr>
        <w:t xml:space="preserve"> The magnitude of the heat flux is controlled by the applied current, enabling continuous and bidirectional temperature regulation.</w:t>
      </w:r>
    </w:p>
    <w:p w14:paraId="745D5304" w14:textId="5815757B" w:rsidR="008A063B" w:rsidRDefault="008A063B" w:rsidP="008A063B">
      <w:pPr>
        <w:rPr>
          <w:rFonts w:ascii="Times New Roman" w:hAnsi="Times New Roman" w:cs="Times New Roman"/>
        </w:rPr>
      </w:pPr>
      <w:r w:rsidRPr="002C37B1">
        <w:rPr>
          <w:rFonts w:ascii="Times New Roman" w:hAnsi="Times New Roman" w:cs="Times New Roman"/>
        </w:rPr>
        <w:t>The heat absorbed at the cold side of the Peltier module can be expressed as:</w:t>
      </w:r>
      <w:r>
        <w:rPr>
          <w:rFonts w:ascii="Times New Roman" w:hAnsi="Times New Roman" w:cs="Times New Roman"/>
        </w:rPr>
        <w:fldChar w:fldCharType="begin"/>
      </w:r>
      <w:r w:rsidR="00E944FE">
        <w:rPr>
          <w:rFonts w:ascii="Times New Roman" w:hAnsi="Times New Roman" w:cs="Times New Roman"/>
        </w:rPr>
        <w:instrText xml:space="preserve"> ADDIN EN.CITE &lt;EndNote&gt;&lt;Cite&gt;&lt;Author&gt;Jugsujinda&lt;/Author&gt;&lt;Year&gt;2011&lt;/Year&gt;&lt;RecNum&gt;244&lt;/RecNum&gt;&lt;DisplayText&gt;[2, 3]&lt;/DisplayText&gt;&lt;record&gt;&lt;rec-number&gt;244&lt;/rec-number&gt;&lt;foreign-keys&gt;&lt;key app="EN" db-id="s9ffpevwbseve6e2wzpv0t2yx0f002eee522" timestamp="1767365833" guid="2dbab117-b0ba-4542-bd4b-468b30667720"&gt;244&lt;/key&gt;&lt;/foreign-keys&gt;&lt;ref-type name="Journal Article"&gt;17&lt;/ref-type&gt;&lt;contributors&gt;&lt;authors&gt;&lt;author&gt;Jugsujinda, Suwit&lt;/author&gt;&lt;author&gt;Vora-ud, Athorn&lt;/author&gt;&lt;author&gt;Seetawan, Tosawat&lt;/author&gt;&lt;/authors&gt;&lt;/contributors&gt;&lt;titles&gt;&lt;title&gt;Analyzing of thermoelectric refrigerator performance&lt;/title&gt;&lt;secondary-title&gt;Procedia Eng.&lt;/secondary-title&gt;&lt;/titles&gt;&lt;periodical&gt;&lt;full-title&gt;Procedia Eng.&lt;/full-title&gt;&lt;/periodical&gt;&lt;pages&gt;154-159&lt;/pages&gt;&lt;volume&gt;8&lt;/volume&gt;&lt;dates&gt;&lt;year&gt;2011&lt;/year&gt;&lt;/dates&gt;&lt;isbn&gt;1877-7058&lt;/isbn&gt;&lt;urls&gt;&lt;/urls&gt;&lt;/record&gt;&lt;/Cite&gt;&lt;Cite&gt;&lt;Author&gt;Goldsmid&lt;/Author&gt;&lt;Year&gt;2016&lt;/Year&gt;&lt;RecNum&gt;245&lt;/RecNum&gt;&lt;record&gt;&lt;rec-number&gt;245&lt;/rec-number&gt;&lt;foreign-keys&gt;&lt;key app="EN" db-id="s9ffpevwbseve6e2wzpv0t2yx0f002eee522" timestamp="1767365993" guid="3def1c65-2a36-4608-b6db-8bc8cd0a6b45"&gt;245&lt;/key&gt;&lt;/foreign-keys&gt;&lt;ref-type name="Book Section"&gt;5&lt;/ref-type&gt;&lt;contributors&gt;&lt;authors&gt;&lt;author&gt;Goldsmid, H Julian&lt;/author&gt;&lt;/authors&gt;&lt;/contributors&gt;&lt;titles&gt;&lt;title&gt;Theory of thermoelectric refrigeration and generation&lt;/title&gt;&lt;secondary-title&gt;Introduction to Thermoelectricity&lt;/secondary-title&gt;&lt;/titles&gt;&lt;pages&gt;9-24&lt;/pages&gt;&lt;dates&gt;&lt;year&gt;2016&lt;/year&gt;&lt;/dates&gt;&lt;publisher&gt;Springer&lt;/publisher&gt;&lt;urls&gt;&lt;/urls&gt;&lt;/record&gt;&lt;/Cite&gt;&lt;/EndNote&gt;</w:instrText>
      </w:r>
      <w:r>
        <w:rPr>
          <w:rFonts w:ascii="Times New Roman" w:hAnsi="Times New Roman" w:cs="Times New Roman"/>
        </w:rPr>
        <w:fldChar w:fldCharType="separate"/>
      </w:r>
      <w:r w:rsidR="00E944FE">
        <w:rPr>
          <w:rFonts w:ascii="Times New Roman" w:hAnsi="Times New Roman" w:cs="Times New Roman"/>
          <w:noProof/>
        </w:rPr>
        <w:t>[2, 3]</w:t>
      </w:r>
      <w:r>
        <w:rPr>
          <w:rFonts w:ascii="Times New Roman" w:hAnsi="Times New Roman" w:cs="Times New Roman"/>
        </w:rPr>
        <w:fldChar w:fldCharType="end"/>
      </w:r>
    </w:p>
    <w:p w14:paraId="3B46C766" w14:textId="77777777" w:rsidR="008A063B" w:rsidRDefault="00000000" w:rsidP="008A063B">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m:t>
              </m:r>
            </m:sub>
          </m:sSub>
          <m:r>
            <w:rPr>
              <w:rFonts w:ascii="Cambria Math" w:hAnsi="Cambria Math" w:cs="Times New Roman"/>
            </w:rPr>
            <m:t>=α</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m:t>
              </m:r>
            </m:sub>
          </m:sSub>
          <m:r>
            <w:rPr>
              <w:rFonts w:ascii="Cambria Math" w:hAnsi="Cambria Math" w:cs="Times New Roman"/>
            </w:rPr>
            <m:t>I-</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r>
            <w:rPr>
              <w:rFonts w:ascii="Cambria Math" w:hAnsi="Cambria Math" w:cs="Times New Roman"/>
            </w:rPr>
            <m:t>R-κ(</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m:t>
              </m:r>
            </m:sub>
          </m:sSub>
          <m:r>
            <w:rPr>
              <w:rFonts w:ascii="Cambria Math" w:hAnsi="Cambria Math" w:cs="Times New Roman"/>
            </w:rPr>
            <m:t>)</m:t>
          </m:r>
        </m:oMath>
      </m:oMathPara>
    </w:p>
    <w:p w14:paraId="255C7324" w14:textId="796D51F1" w:rsidR="008A063B" w:rsidRDefault="008A063B" w:rsidP="008A063B">
      <w:pPr>
        <w:rPr>
          <w:rFonts w:ascii="Times New Roman" w:hAnsi="Times New Roman" w:cs="Times New Roman"/>
        </w:rPr>
      </w:pPr>
      <w:r>
        <w:rPr>
          <w:rFonts w:ascii="Times New Roman" w:hAnsi="Times New Roman" w:cs="Times New Roman" w:hint="eastAsia"/>
        </w:rPr>
        <w:t>w</w:t>
      </w:r>
      <w:r w:rsidRPr="002C37B1">
        <w:rPr>
          <w:rFonts w:ascii="Times New Roman" w:hAnsi="Times New Roman" w:cs="Times New Roman"/>
        </w:rPr>
        <w:t>here</w:t>
      </w:r>
      <w:r>
        <w:rPr>
          <w:rFonts w:ascii="Times New Roman" w:hAnsi="Times New Roman" w:cs="Times New Roman" w:hint="eastAsia"/>
        </w:rPr>
        <w:t xml:space="preserve">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m:t>
            </m:r>
          </m:sub>
        </m:sSub>
      </m:oMath>
      <w:r>
        <w:rPr>
          <w:rFonts w:ascii="Times New Roman" w:hAnsi="Times New Roman" w:cs="Times New Roman" w:hint="eastAsia"/>
        </w:rPr>
        <w:t xml:space="preserve"> </w:t>
      </w:r>
      <w:r w:rsidRPr="002C37B1">
        <w:rPr>
          <w:rFonts w:ascii="Times New Roman" w:hAnsi="Times New Roman" w:cs="Times New Roman"/>
        </w:rPr>
        <w:t xml:space="preserve">is the cooling power at the cold side, </w:t>
      </w:r>
      <m:oMath>
        <m:r>
          <w:rPr>
            <w:rFonts w:ascii="Cambria Math" w:hAnsi="Cambria Math" w:cs="Times New Roman"/>
          </w:rPr>
          <m:t>α</m:t>
        </m:r>
      </m:oMath>
      <w:r>
        <w:rPr>
          <w:rFonts w:ascii="Times New Roman" w:hAnsi="Times New Roman" w:cs="Times New Roman" w:hint="eastAsia"/>
        </w:rPr>
        <w:t xml:space="preserve"> </w:t>
      </w:r>
      <w:r w:rsidRPr="002C37B1">
        <w:rPr>
          <w:rFonts w:ascii="Times New Roman" w:hAnsi="Times New Roman" w:cs="Times New Roman"/>
        </w:rPr>
        <w:t xml:space="preserve">is the effective </w:t>
      </w:r>
      <w:proofErr w:type="spellStart"/>
      <w:r w:rsidRPr="002C37B1">
        <w:rPr>
          <w:rFonts w:ascii="Times New Roman" w:hAnsi="Times New Roman" w:cs="Times New Roman"/>
        </w:rPr>
        <w:t>Seebeck</w:t>
      </w:r>
      <w:proofErr w:type="spellEnd"/>
      <w:r w:rsidRPr="002C37B1">
        <w:rPr>
          <w:rFonts w:ascii="Times New Roman" w:hAnsi="Times New Roman" w:cs="Times New Roman"/>
        </w:rPr>
        <w:t xml:space="preserve"> coefficient,</w:t>
      </w:r>
      <w:r>
        <w:rPr>
          <w:rFonts w:ascii="Times New Roman" w:hAnsi="Times New Roman" w:cs="Times New Roman"/>
        </w:rPr>
        <w:fldChar w:fldCharType="begin"/>
      </w:r>
      <w:r w:rsidR="00E944FE">
        <w:rPr>
          <w:rFonts w:ascii="Times New Roman" w:hAnsi="Times New Roman" w:cs="Times New Roman"/>
        </w:rPr>
        <w:instrText xml:space="preserve"> ADDIN EN.CITE &lt;EndNote&gt;&lt;Cite&gt;&lt;Author&gt;Blundell&lt;/Author&gt;&lt;Year&gt;2010&lt;/Year&gt;&lt;RecNum&gt;248&lt;/RecNum&gt;&lt;DisplayText&gt;[4]&lt;/DisplayText&gt;&lt;record&gt;&lt;rec-number&gt;248&lt;/rec-number&gt;&lt;foreign-keys&gt;&lt;key app="EN" db-id="s9ffpevwbseve6e2wzpv0t2yx0f002eee522" timestamp="1767366823" guid="37e1f108-087c-459a-b3dc-6cf7e2554b74"&gt;248&lt;/key&gt;&lt;/foreign-keys&gt;&lt;ref-type name="Book"&gt;6&lt;/ref-type&gt;&lt;contributors&gt;&lt;authors&gt;&lt;author&gt;Blundell, Stephen J&lt;/author&gt;&lt;author&gt;Blundell, Katherine M&lt;/author&gt;&lt;/authors&gt;&lt;/contributors&gt;&lt;titles&gt;&lt;title&gt;Concepts in thermal physics&lt;/title&gt;&lt;/titles&gt;&lt;dates&gt;&lt;year&gt;2010&lt;/year&gt;&lt;/dates&gt;&lt;publisher&gt;Oup Oxford&lt;/publisher&gt;&lt;isbn&gt;0199562091&lt;/isbn&gt;&lt;urls&gt;&lt;/urls&gt;&lt;/record&gt;&lt;/Cite&gt;&lt;/EndNote&gt;</w:instrText>
      </w:r>
      <w:r>
        <w:rPr>
          <w:rFonts w:ascii="Times New Roman" w:hAnsi="Times New Roman" w:cs="Times New Roman"/>
        </w:rPr>
        <w:fldChar w:fldCharType="separate"/>
      </w:r>
      <w:r w:rsidR="00E944FE">
        <w:rPr>
          <w:rFonts w:ascii="Times New Roman" w:hAnsi="Times New Roman" w:cs="Times New Roman"/>
          <w:noProof/>
        </w:rPr>
        <w:t>[4]</w:t>
      </w:r>
      <w:r>
        <w:rPr>
          <w:rFonts w:ascii="Times New Roman" w:hAnsi="Times New Roman" w:cs="Times New Roman"/>
        </w:rPr>
        <w:fldChar w:fldCharType="end"/>
      </w:r>
      <w:r w:rsidRPr="002C37B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m:t>
            </m:r>
          </m:sub>
        </m:sSub>
      </m:oMath>
      <w:r>
        <w:rPr>
          <w:rFonts w:ascii="Times New Roman" w:hAnsi="Times New Roman" w:cs="Times New Roman" w:hint="eastAsia"/>
        </w:rPr>
        <w:t xml:space="preserve"> </w:t>
      </w:r>
      <w:r w:rsidRPr="002C37B1">
        <w:rPr>
          <w:rFonts w:ascii="Times New Roman" w:hAnsi="Times New Roman" w:cs="Times New Roman"/>
        </w:rPr>
        <w:t xml:space="preserve">and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h</m:t>
            </m:r>
          </m:sub>
        </m:sSub>
      </m:oMath>
      <w:r>
        <w:rPr>
          <w:rFonts w:ascii="Times New Roman" w:hAnsi="Times New Roman" w:cs="Times New Roman" w:hint="eastAsia"/>
        </w:rPr>
        <w:t xml:space="preserve"> </w:t>
      </w:r>
      <w:r w:rsidRPr="002C37B1">
        <w:rPr>
          <w:rFonts w:ascii="Times New Roman" w:hAnsi="Times New Roman" w:cs="Times New Roman"/>
        </w:rPr>
        <w:t xml:space="preserve">are the cold- and hot-side temperatures, </w:t>
      </w:r>
      <m:oMath>
        <m:r>
          <w:rPr>
            <w:rFonts w:ascii="Cambria Math" w:hAnsi="Cambria Math" w:cs="Times New Roman"/>
          </w:rPr>
          <m:t>I</m:t>
        </m:r>
      </m:oMath>
      <w:r>
        <w:rPr>
          <w:rFonts w:ascii="Times New Roman" w:hAnsi="Times New Roman" w:cs="Times New Roman" w:hint="eastAsia"/>
        </w:rPr>
        <w:t xml:space="preserve"> </w:t>
      </w:r>
      <w:r w:rsidRPr="002C37B1">
        <w:rPr>
          <w:rFonts w:ascii="Times New Roman" w:hAnsi="Times New Roman" w:cs="Times New Roman"/>
        </w:rPr>
        <w:t xml:space="preserve">is the drive current, </w:t>
      </w:r>
      <m:oMath>
        <m:r>
          <w:rPr>
            <w:rFonts w:ascii="Cambria Math" w:hAnsi="Cambria Math" w:cs="Times New Roman"/>
          </w:rPr>
          <m:t>R</m:t>
        </m:r>
      </m:oMath>
      <w:r>
        <w:rPr>
          <w:rFonts w:ascii="Times New Roman" w:hAnsi="Times New Roman" w:cs="Times New Roman" w:hint="eastAsia"/>
        </w:rPr>
        <w:t xml:space="preserve"> </w:t>
      </w:r>
      <w:r w:rsidRPr="002C37B1">
        <w:rPr>
          <w:rFonts w:ascii="Times New Roman" w:hAnsi="Times New Roman" w:cs="Times New Roman"/>
        </w:rPr>
        <w:t xml:space="preserve">is the electrical resistance of the module, and </w:t>
      </w:r>
      <m:oMath>
        <m:r>
          <w:rPr>
            <w:rFonts w:ascii="Cambria Math" w:hAnsi="Cambria Math" w:cs="Times New Roman"/>
          </w:rPr>
          <m:t>κ</m:t>
        </m:r>
      </m:oMath>
      <w:r w:rsidRPr="002C37B1">
        <w:rPr>
          <w:rFonts w:ascii="Times New Roman" w:hAnsi="Times New Roman" w:cs="Times New Roman"/>
        </w:rPr>
        <w:t xml:space="preserve"> represents parasitic thermal conduction between the two sides. This relationship highlights the trade-off between fast thermal response, Joule heating, and heat dissipation, emphasizing the importance of efficient thermal management at the hot side.</w:t>
      </w:r>
    </w:p>
    <w:p w14:paraId="66B9F2CF" w14:textId="77777777" w:rsidR="008A063B" w:rsidRDefault="008A063B" w:rsidP="008A063B">
      <w:pPr>
        <w:rPr>
          <w:rFonts w:ascii="Times New Roman" w:hAnsi="Times New Roman" w:cs="Times New Roman"/>
        </w:rPr>
      </w:pPr>
      <w:r w:rsidRPr="00423D5A">
        <w:rPr>
          <w:rFonts w:ascii="Times New Roman" w:hAnsi="Times New Roman" w:cs="Times New Roman"/>
        </w:rPr>
        <w:t>Accordingly, the heat released at the hot side of the thermoelectric module is given by</w:t>
      </w:r>
      <w:r>
        <w:rPr>
          <w:rFonts w:ascii="Times New Roman" w:hAnsi="Times New Roman" w:cs="Times New Roman" w:hint="eastAsia"/>
        </w:rPr>
        <w:t>:</w:t>
      </w:r>
    </w:p>
    <w:p w14:paraId="06A4DB06" w14:textId="77777777" w:rsidR="008A063B" w:rsidRDefault="00000000" w:rsidP="008A063B">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m:t>
              </m:r>
            </m:sub>
          </m:sSub>
          <m:r>
            <w:rPr>
              <w:rFonts w:ascii="Cambria Math" w:hAnsi="Cambria Math" w:cs="Times New Roman"/>
            </w:rPr>
            <m:t>=α</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h</m:t>
              </m:r>
            </m:sub>
          </m:sSub>
          <m:r>
            <w:rPr>
              <w:rFonts w:ascii="Cambria Math" w:hAnsi="Cambria Math" w:cs="Times New Roman"/>
            </w:rPr>
            <m:t>I+</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r>
            <w:rPr>
              <w:rFonts w:ascii="Cambria Math" w:hAnsi="Cambria Math" w:cs="Times New Roman"/>
            </w:rPr>
            <m:t>R-κ(</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m:t>
              </m:r>
            </m:sub>
          </m:sSub>
          <m:r>
            <w:rPr>
              <w:rFonts w:ascii="Cambria Math" w:hAnsi="Cambria Math" w:cs="Times New Roman"/>
            </w:rPr>
            <m:t>)</m:t>
          </m:r>
        </m:oMath>
      </m:oMathPara>
    </w:p>
    <w:p w14:paraId="7D733743" w14:textId="77777777" w:rsidR="008A063B" w:rsidRDefault="008A063B" w:rsidP="008A063B">
      <w:pPr>
        <w:rPr>
          <w:rFonts w:ascii="Times New Roman" w:hAnsi="Times New Roman" w:cs="Times New Roman"/>
        </w:rPr>
      </w:pPr>
      <w:r w:rsidRPr="00423D5A">
        <w:rPr>
          <w:rFonts w:ascii="Times New Roman" w:hAnsi="Times New Roman" w:cs="Times New Roman"/>
        </w:rPr>
        <w:t>This model highlights three key engineering constraints in the design of temperature control systems. First, achieving larger temperature differentials or faster thermal response requires higher drive currents, but the associated Joule heating term (</w:t>
      </w:r>
      <m:oMath>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r>
          <w:rPr>
            <w:rFonts w:ascii="Cambria Math" w:hAnsi="Cambria Math" w:cs="Times New Roman"/>
          </w:rPr>
          <m:t>R</m:t>
        </m:r>
      </m:oMath>
      <w:r w:rsidRPr="00423D5A">
        <w:rPr>
          <w:rFonts w:ascii="Times New Roman" w:hAnsi="Times New Roman" w:cs="Times New Roman"/>
        </w:rPr>
        <w:t xml:space="preserve">) significantly increases the thermal load that must be dissipated at the hot side. Second, efficient heat removal at the hot side is essential to maintain effective cooling performance of the TEC, as an increase in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h</m:t>
            </m:r>
          </m:sub>
        </m:sSub>
      </m:oMath>
      <w:r w:rsidRPr="00423D5A">
        <w:rPr>
          <w:rFonts w:ascii="Times New Roman" w:hAnsi="Times New Roman" w:cs="Times New Roman"/>
        </w:rPr>
        <w:t xml:space="preserve"> directly reduces the net cooling power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m:t>
            </m:r>
          </m:sub>
        </m:sSub>
      </m:oMath>
      <w:r w:rsidRPr="00423D5A">
        <w:rPr>
          <w:rFonts w:ascii="Times New Roman" w:hAnsi="Times New Roman" w:cs="Times New Roman"/>
        </w:rPr>
        <w:t xml:space="preserve">​. Third, minimizing parasitic heat backflow and interfacial thermal resistance is critical to ensure that the extracted heat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m:t>
            </m:r>
          </m:sub>
        </m:sSub>
      </m:oMath>
      <w:r w:rsidRPr="00423D5A">
        <w:rPr>
          <w:rFonts w:ascii="Times New Roman" w:hAnsi="Times New Roman" w:cs="Times New Roman"/>
        </w:rPr>
        <w:t>​ is effectively used to regulate the sample temperature rather than being short-circuited within the device structure.</w:t>
      </w:r>
    </w:p>
    <w:p w14:paraId="046BDDA9" w14:textId="77777777" w:rsidR="008A063B" w:rsidRPr="008A063B" w:rsidRDefault="008A063B" w:rsidP="008A063B">
      <w:pPr>
        <w:rPr>
          <w:rFonts w:ascii="Times New Roman" w:hAnsi="Times New Roman" w:cs="Times New Roman"/>
        </w:rPr>
      </w:pPr>
    </w:p>
    <w:p w14:paraId="16048A9D" w14:textId="35CE10A3" w:rsidR="001601BD" w:rsidRPr="002B1A0F" w:rsidRDefault="009F2925" w:rsidP="001601BD">
      <w:pPr>
        <w:jc w:val="center"/>
        <w:rPr>
          <w:rFonts w:ascii="Times New Roman" w:hAnsi="Times New Roman" w:cs="Times New Roman"/>
        </w:rPr>
      </w:pPr>
      <w:r>
        <w:rPr>
          <w:rFonts w:ascii="Times New Roman" w:hAnsi="Times New Roman" w:cs="Times New Roman"/>
          <w:noProof/>
        </w:rPr>
        <w:drawing>
          <wp:inline distT="0" distB="0" distL="0" distR="0" wp14:anchorId="3D61024D" wp14:editId="7A0CD6B4">
            <wp:extent cx="3541776" cy="1999488"/>
            <wp:effectExtent l="0" t="0" r="1905" b="1270"/>
            <wp:docPr id="1561523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23256" name="图片 1561523256"/>
                    <pic:cNvPicPr/>
                  </pic:nvPicPr>
                  <pic:blipFill>
                    <a:blip r:embed="rId6">
                      <a:extLst>
                        <a:ext uri="{28A0092B-C50C-407E-A947-70E740481C1C}">
                          <a14:useLocalDpi xmlns:a14="http://schemas.microsoft.com/office/drawing/2010/main" val="0"/>
                        </a:ext>
                      </a:extLst>
                    </a:blip>
                    <a:stretch>
                      <a:fillRect/>
                    </a:stretch>
                  </pic:blipFill>
                  <pic:spPr>
                    <a:xfrm>
                      <a:off x="0" y="0"/>
                      <a:ext cx="3541776" cy="1999488"/>
                    </a:xfrm>
                    <a:prstGeom prst="rect">
                      <a:avLst/>
                    </a:prstGeom>
                  </pic:spPr>
                </pic:pic>
              </a:graphicData>
            </a:graphic>
          </wp:inline>
        </w:drawing>
      </w:r>
    </w:p>
    <w:p w14:paraId="47466966" w14:textId="01E17D93" w:rsidR="001601BD" w:rsidRPr="007860B8" w:rsidRDefault="001601BD" w:rsidP="001601BD">
      <w:pPr>
        <w:rPr>
          <w:rFonts w:ascii="Times New Roman" w:hAnsi="Times New Roman" w:cs="Times New Roman"/>
        </w:rPr>
      </w:pPr>
      <w:r>
        <w:rPr>
          <w:rFonts w:ascii="Times New Roman" w:hAnsi="Times New Roman" w:cs="Times New Roman" w:hint="eastAsia"/>
          <w:b/>
          <w:bCs/>
        </w:rPr>
        <w:t xml:space="preserve">Supplementary </w:t>
      </w:r>
      <w:r w:rsidR="009F2925">
        <w:rPr>
          <w:rFonts w:ascii="Times New Roman" w:hAnsi="Times New Roman" w:cs="Times New Roman" w:hint="eastAsia"/>
          <w:b/>
          <w:bCs/>
        </w:rPr>
        <w:t>Fig.</w:t>
      </w:r>
      <w:r w:rsidRPr="007860B8">
        <w:rPr>
          <w:rFonts w:ascii="Times New Roman" w:hAnsi="Times New Roman" w:cs="Times New Roman" w:hint="eastAsia"/>
          <w:b/>
          <w:bCs/>
        </w:rPr>
        <w:t xml:space="preserve"> </w:t>
      </w:r>
      <w:r w:rsidR="008A063B">
        <w:rPr>
          <w:rFonts w:ascii="Times New Roman" w:hAnsi="Times New Roman" w:cs="Times New Roman" w:hint="eastAsia"/>
          <w:b/>
          <w:bCs/>
        </w:rPr>
        <w:t>1</w:t>
      </w:r>
      <w:r w:rsidRPr="007860B8">
        <w:rPr>
          <w:rFonts w:ascii="Times New Roman" w:hAnsi="Times New Roman" w:cs="Times New Roman" w:hint="eastAsia"/>
          <w:b/>
          <w:bCs/>
        </w:rPr>
        <w:t xml:space="preserve"> </w:t>
      </w:r>
      <w:r w:rsidRPr="009F2925">
        <w:rPr>
          <w:rFonts w:ascii="Times New Roman" w:hAnsi="Times New Roman" w:cs="Times New Roman" w:hint="eastAsia"/>
        </w:rPr>
        <w:t xml:space="preserve">Principle of Peltier-based bidirectional temperature control for the nanopore platform. </w:t>
      </w:r>
      <w:r w:rsidRPr="007860B8">
        <w:rPr>
          <w:rFonts w:ascii="Times New Roman" w:hAnsi="Times New Roman" w:cs="Times New Roman" w:hint="eastAsia"/>
        </w:rPr>
        <w:t xml:space="preserve">Reversal of the drive current through the n- and p-type </w:t>
      </w:r>
      <w:r w:rsidRPr="007860B8">
        <w:rPr>
          <w:rFonts w:ascii="Times New Roman" w:hAnsi="Times New Roman" w:cs="Times New Roman" w:hint="eastAsia"/>
          <w:lang w:val="en-GB"/>
        </w:rPr>
        <w:t xml:space="preserve">semiconductor thermoelectric elements </w:t>
      </w:r>
      <w:r w:rsidRPr="007860B8">
        <w:rPr>
          <w:rFonts w:ascii="Times New Roman" w:hAnsi="Times New Roman" w:cs="Times New Roman" w:hint="eastAsia"/>
        </w:rPr>
        <w:t>reverses the direction of charge-carrier transport, causing heat to be absorbed at one junction and released at the opposite junction. This inversion of heat pumping enables either heating or cooling of the nanopore chip depending on the current polarity. Heat exchange between the thermoelectric module and the nanopore chip is mediated by a Cu heat spreader to ensure uniform temperature distribution, while excess heat on the hot side is dissipated through a finned heat sink assisted by active cooling fans, stabilizing the thermal boundary conditions and enabling efficient, reversible temperature control</w:t>
      </w:r>
    </w:p>
    <w:p w14:paraId="584D1721" w14:textId="77777777" w:rsidR="008A063B" w:rsidRDefault="008A063B">
      <w:pPr>
        <w:rPr>
          <w:rFonts w:ascii="Times New Roman" w:hAnsi="Times New Roman" w:cs="Times New Roman"/>
        </w:rPr>
      </w:pPr>
    </w:p>
    <w:p w14:paraId="1F232D9E" w14:textId="77777777" w:rsidR="008A063B" w:rsidRDefault="008A063B">
      <w:pPr>
        <w:widowControl/>
        <w:jc w:val="left"/>
        <w:rPr>
          <w:rFonts w:ascii="Times New Roman" w:hAnsi="Times New Roman" w:cs="Times New Roman"/>
        </w:rPr>
      </w:pPr>
      <w:r>
        <w:rPr>
          <w:rFonts w:ascii="Times New Roman" w:hAnsi="Times New Roman" w:cs="Times New Roman"/>
        </w:rPr>
        <w:br w:type="page"/>
      </w:r>
    </w:p>
    <w:p w14:paraId="7AC72B9C" w14:textId="43DB643B" w:rsidR="008A063B" w:rsidRPr="008A063B" w:rsidRDefault="008A063B" w:rsidP="008A063B">
      <w:pPr>
        <w:rPr>
          <w:rFonts w:ascii="Times New Roman" w:hAnsi="Times New Roman" w:cs="Times New Roman"/>
          <w:b/>
          <w:bCs/>
          <w:sz w:val="28"/>
          <w:szCs w:val="32"/>
        </w:rPr>
      </w:pPr>
      <w:r w:rsidRPr="008A063B">
        <w:rPr>
          <w:rFonts w:ascii="Times New Roman" w:hAnsi="Times New Roman" w:cs="Times New Roman" w:hint="eastAsia"/>
          <w:b/>
          <w:bCs/>
          <w:sz w:val="28"/>
          <w:szCs w:val="32"/>
        </w:rPr>
        <w:lastRenderedPageBreak/>
        <w:t xml:space="preserve">Supplementary </w:t>
      </w:r>
      <w:r w:rsidR="009F2925">
        <w:rPr>
          <w:rFonts w:ascii="Times New Roman" w:hAnsi="Times New Roman" w:cs="Times New Roman" w:hint="eastAsia"/>
          <w:b/>
          <w:bCs/>
          <w:sz w:val="28"/>
          <w:szCs w:val="32"/>
        </w:rPr>
        <w:t>Fig</w:t>
      </w:r>
      <w:r w:rsidR="00582E55">
        <w:rPr>
          <w:rFonts w:ascii="Times New Roman" w:hAnsi="Times New Roman" w:cs="Times New Roman" w:hint="eastAsia"/>
          <w:b/>
          <w:bCs/>
          <w:sz w:val="28"/>
          <w:szCs w:val="32"/>
        </w:rPr>
        <w:t>ure</w:t>
      </w:r>
      <w:r>
        <w:rPr>
          <w:rFonts w:ascii="Times New Roman" w:hAnsi="Times New Roman" w:cs="Times New Roman" w:hint="eastAsia"/>
          <w:b/>
          <w:bCs/>
          <w:sz w:val="28"/>
          <w:szCs w:val="32"/>
        </w:rPr>
        <w:t>s</w:t>
      </w:r>
    </w:p>
    <w:p w14:paraId="4768FEF6" w14:textId="77330156" w:rsidR="008A063B" w:rsidRDefault="008A063B" w:rsidP="008A063B">
      <w:pPr>
        <w:jc w:val="center"/>
        <w:rPr>
          <w:rFonts w:ascii="Times New Roman" w:hAnsi="Times New Roman" w:cs="Times New Roman"/>
        </w:rPr>
      </w:pPr>
      <w:r w:rsidRPr="00137A2D">
        <w:rPr>
          <w:rFonts w:ascii="Times New Roman" w:hAnsi="Times New Roman" w:cs="Times New Roman"/>
          <w:noProof/>
        </w:rPr>
        <w:drawing>
          <wp:inline distT="0" distB="0" distL="0" distR="0" wp14:anchorId="75F5B865" wp14:editId="6EAFF1FA">
            <wp:extent cx="6480000" cy="4271376"/>
            <wp:effectExtent l="0" t="0" r="0" b="0"/>
            <wp:docPr id="18178492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49212" name="图片 18178492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0000" cy="4271376"/>
                    </a:xfrm>
                    <a:prstGeom prst="rect">
                      <a:avLst/>
                    </a:prstGeom>
                  </pic:spPr>
                </pic:pic>
              </a:graphicData>
            </a:graphic>
          </wp:inline>
        </w:drawing>
      </w:r>
    </w:p>
    <w:p w14:paraId="220A0886" w14:textId="2E18E0CC" w:rsidR="008A063B" w:rsidRDefault="008A063B" w:rsidP="008A063B">
      <w:pPr>
        <w:rPr>
          <w:rFonts w:ascii="Times New Roman" w:hAnsi="Times New Roman" w:cs="Times New Roman"/>
        </w:rPr>
      </w:pPr>
      <w:r>
        <w:rPr>
          <w:rFonts w:ascii="Times New Roman" w:hAnsi="Times New Roman" w:cs="Times New Roman" w:hint="eastAsia"/>
          <w:b/>
          <w:bCs/>
        </w:rPr>
        <w:t xml:space="preserve">Supplementary </w:t>
      </w:r>
      <w:r w:rsidR="009F2925">
        <w:rPr>
          <w:rFonts w:ascii="Times New Roman" w:hAnsi="Times New Roman" w:cs="Times New Roman"/>
          <w:b/>
          <w:bCs/>
        </w:rPr>
        <w:t>Fig.</w:t>
      </w:r>
      <w:r w:rsidRPr="00137A2D">
        <w:rPr>
          <w:rFonts w:ascii="Times New Roman" w:hAnsi="Times New Roman" w:cs="Times New Roman"/>
          <w:b/>
          <w:bCs/>
        </w:rPr>
        <w:t xml:space="preserve"> </w:t>
      </w:r>
      <w:r>
        <w:rPr>
          <w:rFonts w:ascii="Times New Roman" w:hAnsi="Times New Roman" w:cs="Times New Roman" w:hint="eastAsia"/>
          <w:b/>
          <w:bCs/>
        </w:rPr>
        <w:t>2</w:t>
      </w:r>
      <w:r w:rsidRPr="00137A2D">
        <w:rPr>
          <w:rFonts w:ascii="Times New Roman" w:hAnsi="Times New Roman" w:cs="Times New Roman"/>
          <w:b/>
          <w:bCs/>
        </w:rPr>
        <w:t xml:space="preserve"> </w:t>
      </w:r>
      <w:r w:rsidRPr="009F2925">
        <w:rPr>
          <w:rFonts w:ascii="Times New Roman" w:hAnsi="Times New Roman" w:cs="Times New Roman"/>
        </w:rPr>
        <w:t>Schematic of the Peltier-based temperature control electronics for the glass nanopore sensing platform.</w:t>
      </w:r>
      <w:r>
        <w:rPr>
          <w:rFonts w:ascii="Times New Roman" w:hAnsi="Times New Roman" w:cs="Times New Roman" w:hint="eastAsia"/>
          <w:b/>
          <w:bCs/>
        </w:rPr>
        <w:t xml:space="preserve"> </w:t>
      </w:r>
      <w:r w:rsidRPr="00137A2D">
        <w:rPr>
          <w:rFonts w:ascii="Times New Roman" w:hAnsi="Times New Roman" w:cs="Times New Roman"/>
        </w:rPr>
        <w:t>The circuit implements a low-noise, bidirectional thermoelectric control system based on a linear driver architecture. A microcontroller-controlled DAC provides an analogue control voltage that is filtered and buffered before being amplified by a power operational amplifier and a complementary push</w:t>
      </w:r>
      <w:r>
        <w:rPr>
          <w:rFonts w:ascii="Times New Roman" w:hAnsi="Times New Roman" w:cs="Times New Roman" w:hint="eastAsia"/>
        </w:rPr>
        <w:t>-</w:t>
      </w:r>
      <w:r w:rsidRPr="00137A2D">
        <w:rPr>
          <w:rFonts w:ascii="Times New Roman" w:hAnsi="Times New Roman" w:cs="Times New Roman"/>
        </w:rPr>
        <w:t xml:space="preserve">pull transistor stage, enabling reversible heating and cooling of a two-stage TEC. The TEC is powered from symmetric </w:t>
      </w:r>
      <m:oMath>
        <m:r>
          <w:rPr>
            <w:rFonts w:ascii="Cambria Math" w:hAnsi="Cambria Math" w:cs="Times New Roman"/>
          </w:rPr>
          <m:t>±</m:t>
        </m:r>
      </m:oMath>
      <w:r w:rsidRPr="00137A2D">
        <w:rPr>
          <w:rFonts w:ascii="Times New Roman" w:hAnsi="Times New Roman" w:cs="Times New Roman"/>
        </w:rPr>
        <w:t xml:space="preserve">15 V supply rails to allow bipolar operation. Multiple PT100 resistance temperature detectors located at the heat sink, Cu heat spreader, and </w:t>
      </w:r>
      <w:r>
        <w:rPr>
          <w:rFonts w:ascii="Times New Roman" w:hAnsi="Times New Roman" w:cs="Times New Roman" w:hint="eastAsia"/>
        </w:rPr>
        <w:t>test slide</w:t>
      </w:r>
      <w:r w:rsidRPr="00137A2D">
        <w:rPr>
          <w:rFonts w:ascii="Times New Roman" w:hAnsi="Times New Roman" w:cs="Times New Roman"/>
        </w:rPr>
        <w:t xml:space="preserve"> are digitized using MAX31865 RTD-to-digital converters and read out via an SPI interface for temperature monitoring and feedback control. The system is designed to minimize electrical noise coupling into the nanopore current measurement while providing stable, high-resolution temperature regulation</w:t>
      </w:r>
    </w:p>
    <w:p w14:paraId="7BBD6AE4" w14:textId="77777777" w:rsidR="008A063B" w:rsidRDefault="008A063B">
      <w:pPr>
        <w:rPr>
          <w:rFonts w:ascii="Times New Roman" w:hAnsi="Times New Roman" w:cs="Times New Roman"/>
        </w:rPr>
      </w:pPr>
    </w:p>
    <w:p w14:paraId="11CDFF31" w14:textId="77777777" w:rsidR="008E333B" w:rsidRDefault="008E333B">
      <w:pPr>
        <w:widowControl/>
        <w:jc w:val="left"/>
        <w:rPr>
          <w:rFonts w:ascii="Times New Roman" w:hAnsi="Times New Roman" w:cs="Times New Roman"/>
        </w:rPr>
      </w:pPr>
      <w:r>
        <w:rPr>
          <w:rFonts w:ascii="Times New Roman" w:hAnsi="Times New Roman" w:cs="Times New Roman"/>
        </w:rPr>
        <w:br w:type="page"/>
      </w:r>
    </w:p>
    <w:p w14:paraId="7C8D8ECA" w14:textId="5C3EDC4D" w:rsidR="008E333B" w:rsidRDefault="00B15298" w:rsidP="008E333B">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72965880" wp14:editId="088161EE">
            <wp:extent cx="2590800" cy="1725168"/>
            <wp:effectExtent l="0" t="0" r="0" b="8890"/>
            <wp:docPr id="6677162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16201" name="图片 667716201"/>
                    <pic:cNvPicPr/>
                  </pic:nvPicPr>
                  <pic:blipFill>
                    <a:blip r:embed="rId8">
                      <a:extLst>
                        <a:ext uri="{28A0092B-C50C-407E-A947-70E740481C1C}">
                          <a14:useLocalDpi xmlns:a14="http://schemas.microsoft.com/office/drawing/2010/main" val="0"/>
                        </a:ext>
                      </a:extLst>
                    </a:blip>
                    <a:stretch>
                      <a:fillRect/>
                    </a:stretch>
                  </pic:blipFill>
                  <pic:spPr>
                    <a:xfrm>
                      <a:off x="0" y="0"/>
                      <a:ext cx="2590800" cy="1725168"/>
                    </a:xfrm>
                    <a:prstGeom prst="rect">
                      <a:avLst/>
                    </a:prstGeom>
                  </pic:spPr>
                </pic:pic>
              </a:graphicData>
            </a:graphic>
          </wp:inline>
        </w:drawing>
      </w:r>
    </w:p>
    <w:p w14:paraId="231FB1BE" w14:textId="53800EA3" w:rsidR="008E333B" w:rsidRPr="008A063B" w:rsidRDefault="008E333B">
      <w:pPr>
        <w:rPr>
          <w:rFonts w:ascii="Times New Roman" w:hAnsi="Times New Roman" w:cs="Times New Roman"/>
        </w:rPr>
      </w:pPr>
      <w:r>
        <w:rPr>
          <w:rFonts w:ascii="Times New Roman" w:hAnsi="Times New Roman" w:cs="Times New Roman" w:hint="eastAsia"/>
          <w:b/>
          <w:bCs/>
        </w:rPr>
        <w:t xml:space="preserve">Supplementary </w:t>
      </w:r>
      <w:r w:rsidR="009F2925">
        <w:rPr>
          <w:rFonts w:ascii="Times New Roman" w:hAnsi="Times New Roman" w:cs="Times New Roman"/>
          <w:b/>
          <w:bCs/>
        </w:rPr>
        <w:t>Fig.</w:t>
      </w:r>
      <w:r w:rsidRPr="00137A2D">
        <w:rPr>
          <w:rFonts w:ascii="Times New Roman" w:hAnsi="Times New Roman" w:cs="Times New Roman"/>
          <w:b/>
          <w:bCs/>
        </w:rPr>
        <w:t xml:space="preserve"> </w:t>
      </w:r>
      <w:r w:rsidR="000A62C8">
        <w:rPr>
          <w:rFonts w:ascii="Times New Roman" w:hAnsi="Times New Roman" w:cs="Times New Roman" w:hint="eastAsia"/>
          <w:b/>
          <w:bCs/>
        </w:rPr>
        <w:t>3</w:t>
      </w:r>
      <w:r>
        <w:rPr>
          <w:rFonts w:ascii="Times New Roman" w:hAnsi="Times New Roman" w:cs="Times New Roman" w:hint="eastAsia"/>
          <w:b/>
          <w:bCs/>
        </w:rPr>
        <w:t xml:space="preserve"> </w:t>
      </w:r>
      <w:r w:rsidRPr="009F2925">
        <w:rPr>
          <w:rFonts w:ascii="Times New Roman" w:hAnsi="Times New Roman" w:cs="Times New Roman" w:hint="eastAsia"/>
        </w:rPr>
        <w:t>Total and linear translocation event numbers of M13mp18 DNA carriers through a glass nanopore</w:t>
      </w:r>
      <w:r w:rsidRPr="009F2925">
        <w:rPr>
          <w:rFonts w:ascii="Times New Roman" w:hAnsi="Times New Roman" w:cs="Times New Roman"/>
        </w:rPr>
        <w:t xml:space="preserve"> of approximately </w:t>
      </w:r>
      <w:r w:rsidRPr="009F2925">
        <w:rPr>
          <w:rFonts w:ascii="Times New Roman" w:hAnsi="Times New Roman" w:cs="Times New Roman" w:hint="eastAsia"/>
        </w:rPr>
        <w:t>8.5</w:t>
      </w:r>
      <w:r w:rsidRPr="009F2925">
        <w:rPr>
          <w:rFonts w:ascii="Times New Roman" w:hAnsi="Times New Roman" w:cs="Times New Roman"/>
        </w:rPr>
        <w:t xml:space="preserve"> nm</w:t>
      </w:r>
      <w:r w:rsidR="000A62C8" w:rsidRPr="009F2925">
        <w:rPr>
          <w:rFonts w:ascii="Times New Roman" w:hAnsi="Times New Roman" w:cs="Times New Roman" w:hint="eastAsia"/>
        </w:rPr>
        <w:t>.</w:t>
      </w:r>
      <w:r w:rsidR="00D7309D" w:rsidRPr="009F2925">
        <w:rPr>
          <w:rFonts w:ascii="Times New Roman" w:hAnsi="Times New Roman" w:cs="Times New Roman" w:hint="eastAsia"/>
        </w:rPr>
        <w:t xml:space="preserve"> </w:t>
      </w:r>
      <w:r w:rsidR="00D7309D" w:rsidRPr="00A717F1">
        <w:rPr>
          <w:rFonts w:ascii="Times New Roman" w:hAnsi="Times New Roman" w:cs="Times New Roman" w:hint="eastAsia"/>
        </w:rPr>
        <w:t xml:space="preserve">Measurements were performed at a DNA concentration of 1.5 </w:t>
      </w:r>
      <w:proofErr w:type="spellStart"/>
      <w:r w:rsidR="00D7309D" w:rsidRPr="00A717F1">
        <w:rPr>
          <w:rFonts w:ascii="Times New Roman" w:hAnsi="Times New Roman" w:cs="Times New Roman" w:hint="eastAsia"/>
        </w:rPr>
        <w:t>nM</w:t>
      </w:r>
      <w:proofErr w:type="spellEnd"/>
      <w:r w:rsidR="00D7309D" w:rsidRPr="00A717F1">
        <w:rPr>
          <w:rFonts w:ascii="Times New Roman" w:hAnsi="Times New Roman" w:cs="Times New Roman" w:hint="eastAsia"/>
        </w:rPr>
        <w:t xml:space="preserve"> with a recording duration of 10 min at each temperature</w:t>
      </w:r>
    </w:p>
    <w:p w14:paraId="49C94907" w14:textId="77777777" w:rsidR="008A063B" w:rsidRDefault="008A063B">
      <w:pPr>
        <w:rPr>
          <w:rFonts w:ascii="Times New Roman" w:hAnsi="Times New Roman" w:cs="Times New Roman"/>
        </w:rPr>
      </w:pPr>
    </w:p>
    <w:p w14:paraId="64CF9F5F" w14:textId="77777777" w:rsidR="000A62C8" w:rsidRDefault="000A62C8">
      <w:pPr>
        <w:widowControl/>
        <w:jc w:val="left"/>
        <w:rPr>
          <w:rFonts w:ascii="Times New Roman" w:hAnsi="Times New Roman" w:cs="Times New Roman"/>
        </w:rPr>
      </w:pPr>
      <w:r>
        <w:rPr>
          <w:rFonts w:ascii="Times New Roman" w:hAnsi="Times New Roman" w:cs="Times New Roman"/>
        </w:rPr>
        <w:br w:type="page"/>
      </w:r>
    </w:p>
    <w:p w14:paraId="3CDE2AAC" w14:textId="54CD798C" w:rsidR="000A62C8" w:rsidRDefault="00B11604" w:rsidP="000A62C8">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9BCC1C1" wp14:editId="2960CE9B">
            <wp:extent cx="5077968" cy="5492496"/>
            <wp:effectExtent l="0" t="0" r="8890" b="0"/>
            <wp:docPr id="14967369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36905" name="图片 1496736905"/>
                    <pic:cNvPicPr/>
                  </pic:nvPicPr>
                  <pic:blipFill>
                    <a:blip r:embed="rId9">
                      <a:extLst>
                        <a:ext uri="{28A0092B-C50C-407E-A947-70E740481C1C}">
                          <a14:useLocalDpi xmlns:a14="http://schemas.microsoft.com/office/drawing/2010/main" val="0"/>
                        </a:ext>
                      </a:extLst>
                    </a:blip>
                    <a:stretch>
                      <a:fillRect/>
                    </a:stretch>
                  </pic:blipFill>
                  <pic:spPr>
                    <a:xfrm>
                      <a:off x="0" y="0"/>
                      <a:ext cx="5077968" cy="5492496"/>
                    </a:xfrm>
                    <a:prstGeom prst="rect">
                      <a:avLst/>
                    </a:prstGeom>
                  </pic:spPr>
                </pic:pic>
              </a:graphicData>
            </a:graphic>
          </wp:inline>
        </w:drawing>
      </w:r>
    </w:p>
    <w:p w14:paraId="7F1E21CF" w14:textId="697CD8C4" w:rsidR="009C67B6" w:rsidRPr="009C67B6" w:rsidRDefault="000A62C8" w:rsidP="009C67B6">
      <w:pPr>
        <w:rPr>
          <w:rFonts w:ascii="Times New Roman" w:hAnsi="Times New Roman" w:cs="Times New Roman"/>
        </w:rPr>
      </w:pPr>
      <w:r>
        <w:rPr>
          <w:rFonts w:ascii="Times New Roman" w:hAnsi="Times New Roman" w:cs="Times New Roman" w:hint="eastAsia"/>
          <w:b/>
          <w:bCs/>
        </w:rPr>
        <w:t xml:space="preserve">Supplementary </w:t>
      </w:r>
      <w:r w:rsidR="009F2925">
        <w:rPr>
          <w:rFonts w:ascii="Times New Roman" w:hAnsi="Times New Roman" w:cs="Times New Roman"/>
          <w:b/>
          <w:bCs/>
        </w:rPr>
        <w:t>Fig.</w:t>
      </w:r>
      <w:r w:rsidRPr="00137A2D">
        <w:rPr>
          <w:rFonts w:ascii="Times New Roman" w:hAnsi="Times New Roman" w:cs="Times New Roman"/>
          <w:b/>
          <w:bCs/>
        </w:rPr>
        <w:t xml:space="preserve"> </w:t>
      </w:r>
      <w:r>
        <w:rPr>
          <w:rFonts w:ascii="Times New Roman" w:hAnsi="Times New Roman" w:cs="Times New Roman" w:hint="eastAsia"/>
          <w:b/>
          <w:bCs/>
        </w:rPr>
        <w:t xml:space="preserve">4 </w:t>
      </w:r>
      <w:r w:rsidR="009C67B6" w:rsidRPr="00AF49DB">
        <w:rPr>
          <w:rFonts w:ascii="Times New Roman" w:hAnsi="Times New Roman" w:cs="Times New Roman"/>
        </w:rPr>
        <w:t>Temperature-dependent translocation characteristics of structured DNA carriers.</w:t>
      </w:r>
      <w:r w:rsidR="009C67B6" w:rsidRPr="00AF49DB">
        <w:rPr>
          <w:rFonts w:ascii="Times New Roman" w:hAnsi="Times New Roman" w:cs="Times New Roman" w:hint="eastAsia"/>
        </w:rPr>
        <w:t xml:space="preserve"> </w:t>
      </w:r>
      <w:r w:rsidR="009C67B6" w:rsidRPr="009C67B6">
        <w:rPr>
          <w:rFonts w:ascii="Times New Roman" w:hAnsi="Times New Roman" w:cs="Times New Roman"/>
        </w:rPr>
        <w:t xml:space="preserve">Temperature-dependent translocation measurements were performed using structured DNA carriers with the same design as shown in </w:t>
      </w:r>
      <w:r w:rsidR="009F2925">
        <w:rPr>
          <w:rFonts w:ascii="Times New Roman" w:hAnsi="Times New Roman" w:cs="Times New Roman"/>
        </w:rPr>
        <w:t>Fig.</w:t>
      </w:r>
      <w:r w:rsidR="009C67B6" w:rsidRPr="009C67B6">
        <w:rPr>
          <w:rFonts w:ascii="Times New Roman" w:hAnsi="Times New Roman" w:cs="Times New Roman"/>
        </w:rPr>
        <w:t xml:space="preserve"> 6, translocating through a glass nanopore with an effective diameter of approximately 8 nm. A total of 33, 58, 74, 92, 109, 125, and 160 translocation events were recorded at −10, 0, 10, 20, 30, 40, and 50 </w:t>
      </w:r>
      <w:r w:rsidR="00B11604" w:rsidRPr="002C1320">
        <w:rPr>
          <w:rFonts w:ascii="Times New Roman" w:hAnsi="Times New Roman" w:cs="Times New Roman"/>
        </w:rPr>
        <w:t>°C</w:t>
      </w:r>
      <w:r w:rsidR="009C67B6" w:rsidRPr="009C67B6">
        <w:rPr>
          <w:rFonts w:ascii="Times New Roman" w:hAnsi="Times New Roman" w:cs="Times New Roman"/>
        </w:rPr>
        <w:t>, respectively.</w:t>
      </w:r>
      <w:r w:rsidRPr="009C67B6">
        <w:rPr>
          <w:rFonts w:ascii="Times New Roman" w:hAnsi="Times New Roman" w:cs="Times New Roman"/>
        </w:rPr>
        <w:t xml:space="preserve"> </w:t>
      </w:r>
      <w:r w:rsidR="009C67B6" w:rsidRPr="009C67B6">
        <w:rPr>
          <w:rFonts w:ascii="Times New Roman" w:hAnsi="Times New Roman" w:cs="Times New Roman"/>
        </w:rPr>
        <w:t>Box plots indicate the interquartile range (25</w:t>
      </w:r>
      <w:r w:rsidR="009C67B6" w:rsidRPr="008B069B">
        <w:rPr>
          <w:rFonts w:ascii="Times New Roman" w:hAnsi="Times New Roman" w:cs="Times New Roman"/>
        </w:rPr>
        <w:t>th</w:t>
      </w:r>
      <w:r w:rsidR="009C67B6">
        <w:rPr>
          <w:rFonts w:ascii="Times New Roman" w:hAnsi="Times New Roman" w:cs="Times New Roman" w:hint="eastAsia"/>
        </w:rPr>
        <w:t>-</w:t>
      </w:r>
      <w:r w:rsidR="009C67B6" w:rsidRPr="009C67B6">
        <w:rPr>
          <w:rFonts w:ascii="Times New Roman" w:hAnsi="Times New Roman" w:cs="Times New Roman"/>
        </w:rPr>
        <w:t>75th percentiles), the central marker</w:t>
      </w:r>
      <w:r w:rsidR="009C67B6">
        <w:rPr>
          <w:rFonts w:ascii="Times New Roman" w:hAnsi="Times New Roman" w:cs="Times New Roman" w:hint="eastAsia"/>
        </w:rPr>
        <w:t>s</w:t>
      </w:r>
      <w:r w:rsidR="009C67B6" w:rsidRPr="009C67B6">
        <w:rPr>
          <w:rFonts w:ascii="Times New Roman" w:hAnsi="Times New Roman" w:cs="Times New Roman"/>
        </w:rPr>
        <w:t xml:space="preserve"> denote the median, and the whiskers extend to values within 1.5× the interquartile range.</w:t>
      </w:r>
      <w:r w:rsidR="009C67B6">
        <w:rPr>
          <w:rFonts w:ascii="Times New Roman" w:hAnsi="Times New Roman" w:cs="Times New Roman" w:hint="eastAsia"/>
        </w:rPr>
        <w:t xml:space="preserve"> </w:t>
      </w:r>
      <w:proofErr w:type="spellStart"/>
      <w:proofErr w:type="gramStart"/>
      <w:r w:rsidR="009C67B6" w:rsidRPr="00AF49DB">
        <w:rPr>
          <w:rFonts w:ascii="Times New Roman" w:hAnsi="Times New Roman" w:cs="Times New Roman"/>
          <w:b/>
          <w:bCs/>
        </w:rPr>
        <w:t>a</w:t>
      </w:r>
      <w:r w:rsidR="009C67B6" w:rsidRPr="00AF49DB">
        <w:rPr>
          <w:rFonts w:ascii="Times New Roman" w:hAnsi="Times New Roman" w:cs="Times New Roman"/>
        </w:rPr>
        <w:t>,</w:t>
      </w:r>
      <w:r w:rsidR="009C67B6" w:rsidRPr="00AF49DB">
        <w:rPr>
          <w:rFonts w:ascii="Times New Roman" w:hAnsi="Times New Roman" w:cs="Times New Roman"/>
          <w:b/>
          <w:bCs/>
        </w:rPr>
        <w:t>b</w:t>
      </w:r>
      <w:proofErr w:type="spellEnd"/>
      <w:proofErr w:type="gramEnd"/>
      <w:r w:rsidR="009C67B6" w:rsidRPr="009C67B6">
        <w:rPr>
          <w:rFonts w:ascii="Times New Roman" w:hAnsi="Times New Roman" w:cs="Times New Roman"/>
        </w:rPr>
        <w:t xml:space="preserve"> </w:t>
      </w:r>
      <w:r w:rsidR="009C67B6">
        <w:rPr>
          <w:rFonts w:ascii="Times New Roman" w:hAnsi="Times New Roman" w:cs="Times New Roman" w:hint="eastAsia"/>
        </w:rPr>
        <w:t>D</w:t>
      </w:r>
      <w:r w:rsidR="009C67B6" w:rsidRPr="009C67B6">
        <w:rPr>
          <w:rFonts w:ascii="Times New Roman" w:hAnsi="Times New Roman" w:cs="Times New Roman"/>
        </w:rPr>
        <w:t>well times t1 and t2​</w:t>
      </w:r>
      <w:r w:rsidR="009C67B6">
        <w:rPr>
          <w:rFonts w:ascii="Times New Roman" w:hAnsi="Times New Roman" w:cs="Times New Roman" w:hint="eastAsia"/>
        </w:rPr>
        <w:t xml:space="preserve">, </w:t>
      </w:r>
      <w:r w:rsidR="009C67B6" w:rsidRPr="00AF49DB">
        <w:rPr>
          <w:rFonts w:ascii="Times New Roman" w:hAnsi="Times New Roman" w:cs="Times New Roman"/>
          <w:b/>
          <w:bCs/>
        </w:rPr>
        <w:t>c</w:t>
      </w:r>
      <w:r w:rsidR="009C67B6" w:rsidRPr="009C67B6">
        <w:rPr>
          <w:rFonts w:ascii="Times New Roman" w:hAnsi="Times New Roman" w:cs="Times New Roman"/>
        </w:rPr>
        <w:t xml:space="preserve"> </w:t>
      </w:r>
      <w:r w:rsidR="009C67B6">
        <w:rPr>
          <w:rFonts w:ascii="Times New Roman" w:hAnsi="Times New Roman" w:cs="Times New Roman" w:hint="eastAsia"/>
        </w:rPr>
        <w:t>o</w:t>
      </w:r>
      <w:r w:rsidR="009C67B6" w:rsidRPr="009C67B6">
        <w:rPr>
          <w:rFonts w:ascii="Times New Roman" w:hAnsi="Times New Roman" w:cs="Times New Roman"/>
        </w:rPr>
        <w:t>pen-pore current</w:t>
      </w:r>
      <w:r w:rsidR="009C67B6">
        <w:rPr>
          <w:rFonts w:ascii="Times New Roman" w:hAnsi="Times New Roman" w:cs="Times New Roman" w:hint="eastAsia"/>
        </w:rPr>
        <w:t>,</w:t>
      </w:r>
      <w:r w:rsidR="009C67B6" w:rsidRPr="009C67B6">
        <w:rPr>
          <w:rFonts w:ascii="Times New Roman" w:hAnsi="Times New Roman" w:cs="Times New Roman"/>
        </w:rPr>
        <w:t xml:space="preserve"> </w:t>
      </w:r>
      <w:r w:rsidR="009C67B6" w:rsidRPr="00AF49DB">
        <w:rPr>
          <w:rFonts w:ascii="Times New Roman" w:hAnsi="Times New Roman" w:cs="Times New Roman"/>
          <w:b/>
          <w:bCs/>
        </w:rPr>
        <w:t>d</w:t>
      </w:r>
      <w:r w:rsidR="009C67B6" w:rsidRPr="009C67B6">
        <w:rPr>
          <w:rFonts w:ascii="Times New Roman" w:hAnsi="Times New Roman" w:cs="Times New Roman"/>
        </w:rPr>
        <w:t xml:space="preserve"> RMS current noise</w:t>
      </w:r>
      <w:r w:rsidR="009C67B6">
        <w:rPr>
          <w:rFonts w:ascii="Times New Roman" w:hAnsi="Times New Roman" w:cs="Times New Roman" w:hint="eastAsia"/>
        </w:rPr>
        <w:t>,</w:t>
      </w:r>
      <w:r w:rsidR="009C67B6" w:rsidRPr="00AF49DB">
        <w:rPr>
          <w:rFonts w:ascii="Times New Roman" w:hAnsi="Times New Roman" w:cs="Times New Roman" w:hint="eastAsia"/>
          <w:b/>
          <w:bCs/>
        </w:rPr>
        <w:t xml:space="preserve"> </w:t>
      </w:r>
      <w:r w:rsidR="009C67B6" w:rsidRPr="00AF49DB">
        <w:rPr>
          <w:rFonts w:ascii="Times New Roman" w:hAnsi="Times New Roman" w:cs="Times New Roman"/>
          <w:b/>
          <w:bCs/>
        </w:rPr>
        <w:t>e</w:t>
      </w:r>
      <w:r w:rsidR="009C67B6" w:rsidRPr="009C67B6">
        <w:rPr>
          <w:rFonts w:ascii="Times New Roman" w:hAnsi="Times New Roman" w:cs="Times New Roman"/>
        </w:rPr>
        <w:t xml:space="preserve"> </w:t>
      </w:r>
      <w:r w:rsidR="009C67B6">
        <w:rPr>
          <w:rFonts w:ascii="Times New Roman" w:hAnsi="Times New Roman" w:cs="Times New Roman" w:hint="eastAsia"/>
        </w:rPr>
        <w:t>c</w:t>
      </w:r>
      <w:r w:rsidR="009C67B6" w:rsidRPr="009C67B6">
        <w:rPr>
          <w:rFonts w:ascii="Times New Roman" w:hAnsi="Times New Roman" w:cs="Times New Roman"/>
        </w:rPr>
        <w:t>arrier signal amplitude</w:t>
      </w:r>
      <w:r w:rsidR="009C67B6">
        <w:rPr>
          <w:rFonts w:ascii="Times New Roman" w:hAnsi="Times New Roman" w:cs="Times New Roman" w:hint="eastAsia"/>
        </w:rPr>
        <w:t xml:space="preserve">, and </w:t>
      </w:r>
      <w:r w:rsidR="009C67B6" w:rsidRPr="00AF49DB">
        <w:rPr>
          <w:rFonts w:ascii="Times New Roman" w:hAnsi="Times New Roman" w:cs="Times New Roman"/>
          <w:b/>
          <w:bCs/>
        </w:rPr>
        <w:t>f</w:t>
      </w:r>
      <w:r w:rsidR="009C67B6" w:rsidRPr="009C67B6">
        <w:rPr>
          <w:rFonts w:ascii="Times New Roman" w:hAnsi="Times New Roman" w:cs="Times New Roman"/>
        </w:rPr>
        <w:t xml:space="preserve"> </w:t>
      </w:r>
      <w:r w:rsidR="009C67B6">
        <w:rPr>
          <w:rFonts w:ascii="Times New Roman" w:hAnsi="Times New Roman" w:cs="Times New Roman" w:hint="eastAsia"/>
        </w:rPr>
        <w:t>s</w:t>
      </w:r>
      <w:r w:rsidR="009C67B6" w:rsidRPr="009C67B6">
        <w:rPr>
          <w:rFonts w:ascii="Times New Roman" w:hAnsi="Times New Roman" w:cs="Times New Roman"/>
        </w:rPr>
        <w:t>tructure signal amplitude</w:t>
      </w:r>
      <w:r w:rsidR="009C67B6">
        <w:rPr>
          <w:rFonts w:ascii="Times New Roman" w:hAnsi="Times New Roman" w:cs="Times New Roman" w:hint="eastAsia"/>
        </w:rPr>
        <w:t xml:space="preserve"> </w:t>
      </w:r>
      <w:r w:rsidR="009C67B6" w:rsidRPr="009C67B6">
        <w:rPr>
          <w:rFonts w:ascii="Times New Roman" w:hAnsi="Times New Roman" w:cs="Times New Roman"/>
        </w:rPr>
        <w:t>as a function of temperature</w:t>
      </w:r>
    </w:p>
    <w:p w14:paraId="58584713" w14:textId="4204076C" w:rsidR="000A62C8" w:rsidRDefault="000A62C8">
      <w:pPr>
        <w:rPr>
          <w:rFonts w:ascii="Times New Roman" w:hAnsi="Times New Roman" w:cs="Times New Roman"/>
        </w:rPr>
      </w:pPr>
    </w:p>
    <w:p w14:paraId="04589797" w14:textId="77777777" w:rsidR="00D01C3E" w:rsidRDefault="00D01C3E">
      <w:pPr>
        <w:widowControl/>
        <w:jc w:val="left"/>
        <w:rPr>
          <w:rFonts w:ascii="Times New Roman" w:hAnsi="Times New Roman" w:cs="Times New Roman"/>
          <w:b/>
          <w:bCs/>
          <w:sz w:val="28"/>
          <w:szCs w:val="32"/>
        </w:rPr>
      </w:pPr>
      <w:r>
        <w:rPr>
          <w:rFonts w:ascii="Times New Roman" w:hAnsi="Times New Roman" w:cs="Times New Roman"/>
          <w:b/>
          <w:bCs/>
          <w:sz w:val="28"/>
          <w:szCs w:val="32"/>
        </w:rPr>
        <w:br w:type="page"/>
      </w:r>
    </w:p>
    <w:p w14:paraId="10A02C66" w14:textId="65302DC4" w:rsidR="00D01C3E" w:rsidRPr="008A063B" w:rsidRDefault="00D01C3E" w:rsidP="00D01C3E">
      <w:pPr>
        <w:rPr>
          <w:rFonts w:ascii="Times New Roman" w:hAnsi="Times New Roman" w:cs="Times New Roman"/>
          <w:b/>
          <w:bCs/>
          <w:sz w:val="28"/>
          <w:szCs w:val="32"/>
        </w:rPr>
      </w:pPr>
      <w:r w:rsidRPr="008A063B">
        <w:rPr>
          <w:rFonts w:ascii="Times New Roman" w:hAnsi="Times New Roman" w:cs="Times New Roman" w:hint="eastAsia"/>
          <w:b/>
          <w:bCs/>
          <w:sz w:val="28"/>
          <w:szCs w:val="32"/>
        </w:rPr>
        <w:lastRenderedPageBreak/>
        <w:t xml:space="preserve">Supplementary </w:t>
      </w:r>
      <w:r>
        <w:rPr>
          <w:rFonts w:ascii="Times New Roman" w:hAnsi="Times New Roman" w:cs="Times New Roman" w:hint="eastAsia"/>
          <w:b/>
          <w:bCs/>
          <w:sz w:val="28"/>
          <w:szCs w:val="32"/>
        </w:rPr>
        <w:t>Table</w:t>
      </w:r>
    </w:p>
    <w:p w14:paraId="6BD41021" w14:textId="77777777" w:rsidR="00D01C3E" w:rsidRDefault="00D01C3E" w:rsidP="00D01C3E">
      <w:pPr>
        <w:rPr>
          <w:rFonts w:ascii="Times New Roman" w:hAnsi="Times New Roman" w:cs="Times New Roman"/>
        </w:rPr>
      </w:pPr>
      <w:r>
        <w:rPr>
          <w:rFonts w:ascii="Times New Roman" w:hAnsi="Times New Roman" w:cs="Times New Roman" w:hint="eastAsia"/>
          <w:b/>
          <w:bCs/>
        </w:rPr>
        <w:t xml:space="preserve">Supplementary Table 1 </w:t>
      </w:r>
      <w:r w:rsidRPr="00622BD5">
        <w:rPr>
          <w:rFonts w:ascii="Times New Roman" w:hAnsi="Times New Roman" w:cs="Times New Roman" w:hint="eastAsia"/>
        </w:rPr>
        <w:t>Comparison of temperature-controlled solid-state nanopore platforms reported in the literature.</w:t>
      </w:r>
    </w:p>
    <w:tbl>
      <w:tblPr>
        <w:tblW w:w="0" w:type="auto"/>
        <w:jc w:val="center"/>
        <w:tblBorders>
          <w:top w:val="single" w:sz="4" w:space="0" w:color="454545"/>
          <w:left w:val="single" w:sz="4" w:space="0" w:color="454545"/>
          <w:bottom w:val="single" w:sz="4" w:space="0" w:color="454545"/>
          <w:right w:val="single" w:sz="4" w:space="0" w:color="454545"/>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1701"/>
        <w:gridCol w:w="1474"/>
        <w:gridCol w:w="1247"/>
        <w:gridCol w:w="1474"/>
        <w:gridCol w:w="1134"/>
        <w:gridCol w:w="1134"/>
        <w:gridCol w:w="1944"/>
      </w:tblGrid>
      <w:tr w:rsidR="00D01C3E" w:rsidRPr="00622BD5" w14:paraId="6CB8546C" w14:textId="77777777" w:rsidTr="00FC01C4">
        <w:trPr>
          <w:tblHeader/>
          <w:jc w:val="center"/>
        </w:trPr>
        <w:tc>
          <w:tcPr>
            <w:tcW w:w="1701"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17BC257" w14:textId="77777777" w:rsidR="00D01C3E" w:rsidRPr="00622BD5" w:rsidRDefault="00D01C3E" w:rsidP="00FC01C4">
            <w:pPr>
              <w:jc w:val="center"/>
              <w:rPr>
                <w:rFonts w:ascii="Times New Roman" w:hAnsi="Times New Roman" w:cs="Times New Roman"/>
                <w:b/>
                <w:bCs/>
                <w:sz w:val="20"/>
                <w:szCs w:val="20"/>
              </w:rPr>
            </w:pPr>
            <w:r w:rsidRPr="00622BD5">
              <w:rPr>
                <w:rFonts w:ascii="Times New Roman" w:hAnsi="Times New Roman" w:cs="Times New Roman"/>
                <w:b/>
                <w:bCs/>
                <w:sz w:val="20"/>
                <w:szCs w:val="20"/>
              </w:rPr>
              <w:t>Platform</w:t>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3DB634A" w14:textId="77777777" w:rsidR="00D01C3E" w:rsidRPr="00622BD5" w:rsidRDefault="00D01C3E" w:rsidP="00FC01C4">
            <w:pPr>
              <w:jc w:val="center"/>
              <w:rPr>
                <w:rFonts w:ascii="Times New Roman" w:hAnsi="Times New Roman" w:cs="Times New Roman"/>
                <w:b/>
                <w:bCs/>
                <w:sz w:val="20"/>
                <w:szCs w:val="20"/>
              </w:rPr>
            </w:pPr>
            <w:r w:rsidRPr="00622BD5">
              <w:rPr>
                <w:rFonts w:ascii="Times New Roman" w:hAnsi="Times New Roman" w:cs="Times New Roman"/>
                <w:b/>
                <w:bCs/>
                <w:sz w:val="20"/>
                <w:szCs w:val="20"/>
              </w:rPr>
              <w:t>Nanopore type</w:t>
            </w:r>
          </w:p>
        </w:tc>
        <w:tc>
          <w:tcPr>
            <w:tcW w:w="1247"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527CE5FF" w14:textId="77777777" w:rsidR="00D01C3E" w:rsidRPr="00622BD5" w:rsidRDefault="00D01C3E" w:rsidP="00FC01C4">
            <w:pPr>
              <w:jc w:val="center"/>
              <w:rPr>
                <w:rFonts w:ascii="Times New Roman" w:hAnsi="Times New Roman" w:cs="Times New Roman"/>
                <w:b/>
                <w:bCs/>
                <w:sz w:val="20"/>
                <w:szCs w:val="20"/>
              </w:rPr>
            </w:pPr>
            <w:r w:rsidRPr="00622BD5">
              <w:rPr>
                <w:rFonts w:ascii="Times New Roman" w:hAnsi="Times New Roman" w:cs="Times New Roman"/>
                <w:b/>
                <w:bCs/>
                <w:sz w:val="20"/>
                <w:szCs w:val="20"/>
              </w:rPr>
              <w:t>Temp. range</w:t>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1C9058DB" w14:textId="77777777" w:rsidR="00D01C3E" w:rsidRPr="00622BD5" w:rsidRDefault="00D01C3E" w:rsidP="00FC01C4">
            <w:pPr>
              <w:jc w:val="center"/>
              <w:rPr>
                <w:rFonts w:ascii="Times New Roman" w:hAnsi="Times New Roman" w:cs="Times New Roman"/>
                <w:b/>
                <w:bCs/>
                <w:sz w:val="20"/>
                <w:szCs w:val="20"/>
              </w:rPr>
            </w:pPr>
            <w:r w:rsidRPr="00622BD5">
              <w:rPr>
                <w:rFonts w:ascii="Times New Roman" w:hAnsi="Times New Roman" w:cs="Times New Roman"/>
                <w:b/>
                <w:bCs/>
                <w:sz w:val="20"/>
                <w:szCs w:val="20"/>
              </w:rPr>
              <w:t>Response time</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68AD8EA4" w14:textId="77777777" w:rsidR="00D01C3E" w:rsidRPr="00622BD5" w:rsidRDefault="00D01C3E" w:rsidP="00FC01C4">
            <w:pPr>
              <w:jc w:val="center"/>
              <w:rPr>
                <w:rFonts w:ascii="Times New Roman" w:hAnsi="Times New Roman" w:cs="Times New Roman"/>
                <w:b/>
                <w:bCs/>
                <w:sz w:val="20"/>
                <w:szCs w:val="20"/>
              </w:rPr>
            </w:pPr>
            <w:r w:rsidRPr="00622BD5">
              <w:rPr>
                <w:rFonts w:ascii="Times New Roman" w:hAnsi="Times New Roman" w:cs="Times New Roman"/>
                <w:b/>
                <w:bCs/>
                <w:sz w:val="20"/>
                <w:szCs w:val="20"/>
              </w:rPr>
              <w:t>Bandwidth</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6546158C" w14:textId="77777777" w:rsidR="00D01C3E" w:rsidRPr="00622BD5" w:rsidRDefault="00D01C3E" w:rsidP="00FC01C4">
            <w:pPr>
              <w:jc w:val="center"/>
              <w:rPr>
                <w:rFonts w:ascii="Times New Roman" w:hAnsi="Times New Roman" w:cs="Times New Roman"/>
                <w:b/>
                <w:bCs/>
                <w:sz w:val="20"/>
                <w:szCs w:val="20"/>
              </w:rPr>
            </w:pPr>
            <w:r w:rsidRPr="00622BD5">
              <w:rPr>
                <w:rFonts w:ascii="Times New Roman" w:hAnsi="Times New Roman" w:cs="Times New Roman"/>
                <w:b/>
                <w:bCs/>
                <w:sz w:val="20"/>
                <w:szCs w:val="20"/>
              </w:rPr>
              <w:t>RMS noise</w:t>
            </w:r>
          </w:p>
        </w:tc>
        <w:tc>
          <w:tcPr>
            <w:tcW w:w="0" w:type="auto"/>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CB5923F" w14:textId="77777777" w:rsidR="00D01C3E" w:rsidRPr="00622BD5" w:rsidRDefault="00D01C3E" w:rsidP="00FC01C4">
            <w:pPr>
              <w:jc w:val="center"/>
              <w:rPr>
                <w:rFonts w:ascii="Times New Roman" w:hAnsi="Times New Roman" w:cs="Times New Roman"/>
                <w:b/>
                <w:bCs/>
                <w:sz w:val="20"/>
                <w:szCs w:val="20"/>
              </w:rPr>
            </w:pPr>
            <w:r w:rsidRPr="00622BD5">
              <w:rPr>
                <w:rFonts w:ascii="Times New Roman" w:hAnsi="Times New Roman" w:cs="Times New Roman"/>
                <w:b/>
                <w:bCs/>
                <w:sz w:val="20"/>
                <w:szCs w:val="20"/>
              </w:rPr>
              <w:t>Temp. control method</w:t>
            </w:r>
          </w:p>
        </w:tc>
      </w:tr>
      <w:tr w:rsidR="00D01C3E" w:rsidRPr="00622BD5" w14:paraId="33D3C9E8" w14:textId="77777777" w:rsidTr="00FC01C4">
        <w:trPr>
          <w:jc w:val="center"/>
        </w:trPr>
        <w:tc>
          <w:tcPr>
            <w:tcW w:w="1701"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768BB5C2" w14:textId="48B70DC1"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 xml:space="preserve">Verschueren et al. (2015)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&lt;EndNote&gt;&lt;Cite&gt;&lt;Author&gt;Verschueren&lt;/Author&gt;&lt;Year&gt;2015&lt;/Year&gt;&lt;RecNum&gt;231&lt;/RecNum&gt;&lt;DisplayText&gt;[5]&lt;/DisplayText&gt;&lt;record&gt;&lt;rec-number&gt;231&lt;/rec-number&gt;&lt;foreign-keys&gt;&lt;key app="EN" db-id="s9ffpevwbseve6e2wzpv0t2yx0f002eee522" timestamp="1767285375" guid="1e3cebfc-814f-4e3b-883e-b891fca16fa7"&gt;231&lt;/key&gt;&lt;/foreign-keys&gt;&lt;ref-type name="Journal Article"&gt;17&lt;/ref-type&gt;&lt;contributors&gt;&lt;authors&gt;&lt;author&gt;Verschueren, Daniel V&lt;/author&gt;&lt;author&gt;Jonsson, Magnus P&lt;/author&gt;&lt;author&gt;Dekker, Cees&lt;/author&gt;&lt;/authors&gt;&lt;/contributors&gt;&lt;titles&gt;&lt;title&gt;Temperature dependence of DNA translocations through solid-state nanopores&lt;/title&gt;&lt;secondary-title&gt;Nanotechnology&lt;/secondary-title&gt;&lt;/titles&gt;&lt;periodical&gt;&lt;full-title&gt;Nanotechnology&lt;/full-title&gt;&lt;/periodical&gt;&lt;pages&gt;234004&lt;/pages&gt;&lt;volume&gt;26&lt;/volume&gt;&lt;number&gt;23&lt;/number&gt;&lt;dates&gt;&lt;year&gt;2015&lt;/year&gt;&lt;/dates&gt;&lt;isbn&gt;0957-4484&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[5]</w:t>
            </w:r>
            <w:r>
              <w:rPr>
                <w:rFonts w:ascii="Times New Roman" w:hAnsi="Times New Roman" w:cs="Times New Roman"/>
                <w:sz w:val="20"/>
                <w:szCs w:val="20"/>
              </w:rPr>
              <w:fldChar w:fldCharType="end"/>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68C8BD7F" w14:textId="77777777" w:rsidR="00D01C3E" w:rsidRPr="00622BD5" w:rsidRDefault="00D01C3E" w:rsidP="00FC01C4">
            <w:pPr>
              <w:jc w:val="center"/>
              <w:rPr>
                <w:rFonts w:ascii="Times New Roman" w:hAnsi="Times New Roman" w:cs="Times New Roman"/>
                <w:sz w:val="20"/>
                <w:szCs w:val="20"/>
              </w:rPr>
            </w:pPr>
            <w:proofErr w:type="spellStart"/>
            <w:r w:rsidRPr="00622BD5">
              <w:rPr>
                <w:rFonts w:ascii="Times New Roman" w:hAnsi="Times New Roman" w:cs="Times New Roman"/>
                <w:sz w:val="20"/>
                <w:szCs w:val="20"/>
              </w:rPr>
              <w:t>SiN</w:t>
            </w:r>
            <w:proofErr w:type="spellEnd"/>
            <w:r w:rsidRPr="00622BD5">
              <w:rPr>
                <w:rFonts w:ascii="Times New Roman" w:hAnsi="Times New Roman" w:cs="Times New Roman"/>
                <w:sz w:val="20"/>
                <w:szCs w:val="20"/>
              </w:rPr>
              <w:t xml:space="preserve"> membrane</w:t>
            </w:r>
          </w:p>
        </w:tc>
        <w:tc>
          <w:tcPr>
            <w:tcW w:w="1247"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781AB23C"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0–4</w:t>
            </w:r>
            <w:r w:rsidRPr="00622BD5">
              <w:rPr>
                <w:rFonts w:ascii="Times New Roman" w:hAnsi="Times New Roman" w:cs="Times New Roman" w:hint="eastAsia"/>
                <w:sz w:val="20"/>
                <w:szCs w:val="20"/>
              </w:rPr>
              <w:t>0</w:t>
            </w:r>
            <w:r w:rsidRPr="00622BD5">
              <w:rPr>
                <w:rFonts w:ascii="Times New Roman" w:hAnsi="Times New Roman" w:cs="Times New Roman"/>
                <w:sz w:val="20"/>
                <w:szCs w:val="20"/>
              </w:rPr>
              <w:t xml:space="preserve"> °C</w:t>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3334A6BA"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~20 min equilibration</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05ECFC06"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Not reported</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6F8D2C79"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Not reported</w:t>
            </w:r>
          </w:p>
        </w:tc>
        <w:tc>
          <w:tcPr>
            <w:tcW w:w="0" w:type="auto"/>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15F003F0"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Peltier, bulk</w:t>
            </w:r>
          </w:p>
        </w:tc>
      </w:tr>
      <w:tr w:rsidR="00D01C3E" w:rsidRPr="00622BD5" w14:paraId="13A3BE1A" w14:textId="77777777" w:rsidTr="00FC01C4">
        <w:trPr>
          <w:jc w:val="center"/>
        </w:trPr>
        <w:tc>
          <w:tcPr>
            <w:tcW w:w="1701"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5EF59A34" w14:textId="6E312BA9"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 xml:space="preserve">Zhang et al. (2015)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&lt;EndNote&gt;&lt;Cite&gt;&lt;Author&gt;Zhang&lt;/Author&gt;&lt;Year&gt;2015&lt;/Year&gt;&lt;RecNum&gt;232&lt;/RecNum&gt;&lt;DisplayText&gt;[6]&lt;/DisplayText&gt;&lt;record&gt;&lt;rec-number&gt;232&lt;/rec-number&gt;&lt;foreign-keys&gt;&lt;key app="EN" db-id="s9ffpevwbseve6e2wzpv0t2yx0f002eee522" timestamp="1767285424" guid="1e0ec865-5073-4fe5-b4e4-f50cb953bbd1"&gt;232&lt;/key&gt;&lt;/foreign-keys&gt;&lt;ref-type name="Journal Article"&gt;17&lt;/ref-type&gt;&lt;contributors&gt;&lt;authors&gt;&lt;author&gt;Zhang, Yin&lt;/author&gt;&lt;author&gt;Wu, GenSheng&lt;/author&gt;&lt;author&gt;Ma, Jian&lt;/author&gt;&lt;author&gt;Yuan, ZhiShan&lt;/author&gt;&lt;author&gt;Si, Wei&lt;/author&gt;&lt;author&gt;Liu, Lei&lt;/author&gt;&lt;author&gt;Sha, JingJie&lt;/author&gt;&lt;author&gt;Chen, YunFei&lt;/author&gt;&lt;/authors&gt;&lt;/contributors&gt;&lt;titles&gt;&lt;title&gt;Temperature effect on translocation speed and capture rate of nanopore-based DNA detection&lt;/title&gt;&lt;secondary-title&gt;Sci. China Technol. Sc.&lt;/secondary-title&gt;&lt;/titles&gt;&lt;periodical&gt;&lt;full-title&gt;Sci. China Technol. Sc.&lt;/full-title&gt;&lt;/periodical&gt;&lt;pages&gt;519-525&lt;/pages&gt;&lt;volume&gt;58&lt;/volume&gt;&lt;number&gt;3&lt;/number&gt;&lt;dates&gt;&lt;year&gt;2015&lt;/year&gt;&lt;/dates&gt;&lt;isbn&gt;1674-7321&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[6]</w:t>
            </w:r>
            <w:r>
              <w:rPr>
                <w:rFonts w:ascii="Times New Roman" w:hAnsi="Times New Roman" w:cs="Times New Roman"/>
                <w:sz w:val="20"/>
                <w:szCs w:val="20"/>
              </w:rPr>
              <w:fldChar w:fldCharType="end"/>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0F299D54" w14:textId="77777777" w:rsidR="00D01C3E" w:rsidRPr="00622BD5" w:rsidRDefault="00D01C3E" w:rsidP="00FC01C4">
            <w:pPr>
              <w:jc w:val="center"/>
              <w:rPr>
                <w:rFonts w:ascii="Times New Roman" w:hAnsi="Times New Roman" w:cs="Times New Roman"/>
                <w:sz w:val="20"/>
                <w:szCs w:val="20"/>
              </w:rPr>
            </w:pPr>
            <w:proofErr w:type="spellStart"/>
            <w:r w:rsidRPr="00622BD5">
              <w:rPr>
                <w:rFonts w:ascii="Times New Roman" w:hAnsi="Times New Roman" w:cs="Times New Roman"/>
                <w:sz w:val="20"/>
                <w:szCs w:val="20"/>
              </w:rPr>
              <w:t>SiN</w:t>
            </w:r>
            <w:proofErr w:type="spellEnd"/>
            <w:r w:rsidRPr="00622BD5">
              <w:rPr>
                <w:rFonts w:ascii="Times New Roman" w:hAnsi="Times New Roman" w:cs="Times New Roman"/>
                <w:sz w:val="20"/>
                <w:szCs w:val="20"/>
              </w:rPr>
              <w:t xml:space="preserve"> membrane</w:t>
            </w:r>
          </w:p>
        </w:tc>
        <w:tc>
          <w:tcPr>
            <w:tcW w:w="1247"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A854A39"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2–</w:t>
            </w:r>
            <w:r w:rsidRPr="00622BD5">
              <w:rPr>
                <w:rFonts w:ascii="Times New Roman" w:hAnsi="Times New Roman" w:cs="Times New Roman" w:hint="eastAsia"/>
                <w:sz w:val="20"/>
                <w:szCs w:val="20"/>
              </w:rPr>
              <w:t>38</w:t>
            </w:r>
            <w:r w:rsidRPr="00622BD5">
              <w:rPr>
                <w:rFonts w:ascii="Times New Roman" w:hAnsi="Times New Roman" w:cs="Times New Roman"/>
                <w:sz w:val="20"/>
                <w:szCs w:val="20"/>
              </w:rPr>
              <w:t xml:space="preserve"> °C</w:t>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767D5B13"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Not reported</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21BD719"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Not reported</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117A2D6"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Not reported</w:t>
            </w:r>
          </w:p>
        </w:tc>
        <w:tc>
          <w:tcPr>
            <w:tcW w:w="0" w:type="auto"/>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2CED3E5"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Fluidic heat exchange</w:t>
            </w:r>
          </w:p>
        </w:tc>
      </w:tr>
      <w:tr w:rsidR="00D01C3E" w:rsidRPr="00622BD5" w14:paraId="3ACB83F9" w14:textId="77777777" w:rsidTr="00FC01C4">
        <w:trPr>
          <w:jc w:val="center"/>
        </w:trPr>
        <w:tc>
          <w:tcPr>
            <w:tcW w:w="1701"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0BC0B0FB" w14:textId="56279FBD"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 xml:space="preserve">Lomovtsev et al. (2025)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&lt;EndNote&gt;&lt;Cite&gt;&lt;Author&gt;Lomovtsev&lt;/Author&gt;&lt;Year&gt;2025&lt;/Year&gt;&lt;RecNum&gt;213&lt;/RecNum&gt;&lt;DisplayText&gt;[7]&lt;/DisplayText&gt;&lt;record&gt;&lt;rec-number&gt;213&lt;/rec-number&gt;&lt;foreign-keys&gt;&lt;key app="EN" db-id="s9ffpevwbseve6e2wzpv0t2yx0f002eee522" timestamp="1767280556" guid="378539c6-727b-49d3-a3d9-d708d9f65902"&gt;213&lt;/key&gt;&lt;/foreign-keys&gt;&lt;ref-type name="Journal Article"&gt;17&lt;/ref-type&gt;&lt;contributors&gt;&lt;authors&gt;&lt;author&gt;Lomovtsev, D.&lt;/author&gt;&lt;author&gt;He, L.&lt;/author&gt;&lt;author&gt;Waugh, M.&lt;/author&gt;&lt;author&gt;St-Gelais, R.&lt;/author&gt;&lt;author&gt;Tabard-Cossa, V.&lt;/author&gt;&lt;/authors&gt;&lt;/contributors&gt;&lt;auth-address&gt;Department of Physics, University of Ottawa, Ottawa, Ontario K1N 6N5, Canada.&amp;#xD;Department of Mechanical Engineering, University of Ottawa, Ottawa, Ontario K1N 6N5, Canada.&lt;/auth-address&gt;&lt;titles&gt;&lt;title&gt;A platform for high-bandwidth nanopore sensing with thermal control and low electrical noise&lt;/title&gt;&lt;secondary-title&gt;Rev. Sci. Instrum.&lt;/secondary-title&gt;&lt;/titles&gt;&lt;periodical&gt;&lt;full-title&gt;Rev. Sci. Instrum.&lt;/full-title&gt;&lt;/periodical&gt;&lt;volume&gt;96&lt;/volume&gt;&lt;number&gt;8&lt;/number&gt;&lt;dates&gt;&lt;year&gt;2025&lt;/year&gt;&lt;pub-dates&gt;&lt;date&gt;Aug 1&lt;/date&gt;&lt;/pub-dates&gt;&lt;/dates&gt;&lt;isbn&gt;1089-7623 (Electronic)&amp;#xD;0034-6748 (Linking)&lt;/isbn&gt;&lt;accession-num&gt;40748223&lt;/accession-num&gt;&lt;urls&gt;&lt;related-urls&gt;&lt;url&gt;https://www.ncbi.nlm.nih.gov/pubmed/40748223&lt;/url&gt;&lt;/related-urls&gt;&lt;/urls&gt;&lt;electronic-resource-num&gt;10.1063/5.0252569&lt;/electronic-resource-num&gt;&lt;remote-database-name&gt;PubMed-not-MEDLINE&lt;/remote-database-name&gt;&lt;remote-database-provider&gt;NLM&lt;/remote-database-provider&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[7]</w:t>
            </w:r>
            <w:r>
              <w:rPr>
                <w:rFonts w:ascii="Times New Roman" w:hAnsi="Times New Roman" w:cs="Times New Roman"/>
                <w:sz w:val="20"/>
                <w:szCs w:val="20"/>
              </w:rPr>
              <w:fldChar w:fldCharType="end"/>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7A52563C" w14:textId="77777777" w:rsidR="00D01C3E" w:rsidRPr="00622BD5" w:rsidRDefault="00D01C3E" w:rsidP="00FC01C4">
            <w:pPr>
              <w:jc w:val="center"/>
              <w:rPr>
                <w:rFonts w:ascii="Times New Roman" w:hAnsi="Times New Roman" w:cs="Times New Roman"/>
                <w:sz w:val="20"/>
                <w:szCs w:val="20"/>
              </w:rPr>
            </w:pPr>
            <w:proofErr w:type="spellStart"/>
            <w:r w:rsidRPr="00622BD5">
              <w:rPr>
                <w:rFonts w:ascii="Times New Roman" w:hAnsi="Times New Roman" w:cs="Times New Roman"/>
                <w:sz w:val="20"/>
                <w:szCs w:val="20"/>
              </w:rPr>
              <w:t>SiN</w:t>
            </w:r>
            <w:proofErr w:type="spellEnd"/>
            <w:r w:rsidRPr="00622BD5">
              <w:rPr>
                <w:rFonts w:ascii="Times New Roman" w:hAnsi="Times New Roman" w:cs="Times New Roman"/>
                <w:sz w:val="20"/>
                <w:szCs w:val="20"/>
              </w:rPr>
              <w:t xml:space="preserve"> membrane</w:t>
            </w:r>
          </w:p>
        </w:tc>
        <w:tc>
          <w:tcPr>
            <w:tcW w:w="1247"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43C33FD2"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hint="eastAsia"/>
                <w:sz w:val="20"/>
                <w:szCs w:val="20"/>
              </w:rPr>
              <w:t>Ambient</w:t>
            </w:r>
            <w:r w:rsidRPr="00622BD5">
              <w:rPr>
                <w:rFonts w:ascii="Times New Roman" w:hAnsi="Times New Roman" w:cs="Times New Roman"/>
                <w:sz w:val="20"/>
                <w:szCs w:val="20"/>
              </w:rPr>
              <w:t>–95 °C</w:t>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3474373A"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τ ≈</w:t>
            </w:r>
            <w:r w:rsidRPr="00622BD5">
              <w:rPr>
                <w:rFonts w:ascii="Times New Roman" w:hAnsi="Times New Roman" w:cs="Times New Roman" w:hint="eastAsia"/>
                <w:sz w:val="20"/>
                <w:szCs w:val="20"/>
              </w:rPr>
              <w:t xml:space="preserve"> 53.2 </w:t>
            </w:r>
            <w:r w:rsidRPr="00622BD5">
              <w:rPr>
                <w:rFonts w:ascii="Times New Roman" w:hAnsi="Times New Roman" w:cs="Times New Roman"/>
                <w:sz w:val="20"/>
                <w:szCs w:val="20"/>
              </w:rPr>
              <w:t>s</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69778109"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1 MHz</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289E35B9"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hint="eastAsia"/>
                <w:sz w:val="20"/>
                <w:szCs w:val="20"/>
              </w:rPr>
              <w:t xml:space="preserve">&lt; 300 </w:t>
            </w:r>
            <w:proofErr w:type="spellStart"/>
            <w:proofErr w:type="gramStart"/>
            <w:r w:rsidRPr="00622BD5">
              <w:rPr>
                <w:rFonts w:ascii="Times New Roman" w:hAnsi="Times New Roman" w:cs="Times New Roman" w:hint="eastAsia"/>
                <w:sz w:val="20"/>
                <w:szCs w:val="20"/>
              </w:rPr>
              <w:t>pA</w:t>
            </w:r>
            <w:proofErr w:type="spellEnd"/>
            <w:proofErr w:type="gramEnd"/>
          </w:p>
        </w:tc>
        <w:tc>
          <w:tcPr>
            <w:tcW w:w="0" w:type="auto"/>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587FD2EC"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Fluidic heat exchange</w:t>
            </w:r>
          </w:p>
        </w:tc>
      </w:tr>
      <w:tr w:rsidR="00D01C3E" w:rsidRPr="00622BD5" w14:paraId="02130368" w14:textId="77777777" w:rsidTr="00FC01C4">
        <w:trPr>
          <w:jc w:val="center"/>
        </w:trPr>
        <w:tc>
          <w:tcPr>
            <w:tcW w:w="1701"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2C92B1F0"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This work</w:t>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12C10CCC"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Glass nanopore</w:t>
            </w:r>
          </w:p>
        </w:tc>
        <w:tc>
          <w:tcPr>
            <w:tcW w:w="1247"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1314A1F6"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hint="eastAsia"/>
                <w:sz w:val="20"/>
                <w:szCs w:val="20"/>
              </w:rPr>
              <w:t>-</w:t>
            </w:r>
            <w:r w:rsidRPr="00622BD5">
              <w:rPr>
                <w:rFonts w:ascii="Times New Roman" w:hAnsi="Times New Roman" w:cs="Times New Roman"/>
                <w:sz w:val="20"/>
                <w:szCs w:val="20"/>
              </w:rPr>
              <w:t>10–50 °C</w:t>
            </w:r>
          </w:p>
        </w:tc>
        <w:tc>
          <w:tcPr>
            <w:tcW w:w="147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19962885"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τ ≈ 35</w:t>
            </w:r>
            <w:r w:rsidRPr="00622BD5">
              <w:rPr>
                <w:rFonts w:ascii="Times New Roman" w:hAnsi="Times New Roman" w:cs="Times New Roman" w:hint="eastAsia"/>
                <w:sz w:val="20"/>
                <w:szCs w:val="20"/>
              </w:rPr>
              <w:t>-</w:t>
            </w:r>
            <w:r w:rsidRPr="00622BD5">
              <w:rPr>
                <w:rFonts w:ascii="Times New Roman" w:hAnsi="Times New Roman" w:cs="Times New Roman"/>
                <w:sz w:val="20"/>
                <w:szCs w:val="20"/>
              </w:rPr>
              <w:t>45 s</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309D3B1A"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50 kHz</w:t>
            </w:r>
          </w:p>
        </w:tc>
        <w:tc>
          <w:tcPr>
            <w:tcW w:w="1134" w:type="dxa"/>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1AF1248C"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 xml:space="preserve">4.5−6.1 </w:t>
            </w:r>
            <w:proofErr w:type="spellStart"/>
            <w:r w:rsidRPr="00622BD5">
              <w:rPr>
                <w:rFonts w:ascii="Times New Roman" w:hAnsi="Times New Roman" w:cs="Times New Roman"/>
                <w:sz w:val="20"/>
                <w:szCs w:val="20"/>
              </w:rPr>
              <w:t>pA</w:t>
            </w:r>
            <w:proofErr w:type="spellEnd"/>
          </w:p>
        </w:tc>
        <w:tc>
          <w:tcPr>
            <w:tcW w:w="0" w:type="auto"/>
            <w:tcBorders>
              <w:top w:val="single" w:sz="4" w:space="0" w:color="454545"/>
              <w:left w:val="single" w:sz="4" w:space="0" w:color="454545"/>
              <w:bottom w:val="single" w:sz="4" w:space="0" w:color="454545"/>
              <w:right w:val="single" w:sz="4" w:space="0" w:color="454545"/>
            </w:tcBorders>
            <w:shd w:val="clear" w:color="auto" w:fill="FFFFFF" w:themeFill="background1"/>
            <w:tcMar>
              <w:top w:w="30" w:type="dxa"/>
              <w:left w:w="30" w:type="dxa"/>
              <w:bottom w:w="30" w:type="dxa"/>
              <w:right w:w="30" w:type="dxa"/>
            </w:tcMar>
            <w:vAlign w:val="center"/>
            <w:hideMark/>
          </w:tcPr>
          <w:p w14:paraId="3013C901" w14:textId="77777777" w:rsidR="00D01C3E" w:rsidRPr="00622BD5" w:rsidRDefault="00D01C3E" w:rsidP="00FC01C4">
            <w:pPr>
              <w:jc w:val="center"/>
              <w:rPr>
                <w:rFonts w:ascii="Times New Roman" w:hAnsi="Times New Roman" w:cs="Times New Roman"/>
                <w:sz w:val="20"/>
                <w:szCs w:val="20"/>
              </w:rPr>
            </w:pPr>
            <w:r w:rsidRPr="00622BD5">
              <w:rPr>
                <w:rFonts w:ascii="Times New Roman" w:hAnsi="Times New Roman" w:cs="Times New Roman"/>
                <w:sz w:val="20"/>
                <w:szCs w:val="20"/>
              </w:rPr>
              <w:t>Peltier</w:t>
            </w:r>
            <w:r w:rsidRPr="00622BD5">
              <w:rPr>
                <w:rFonts w:ascii="Times New Roman" w:hAnsi="Times New Roman" w:cs="Times New Roman" w:hint="eastAsia"/>
                <w:sz w:val="20"/>
                <w:szCs w:val="20"/>
              </w:rPr>
              <w:t>, c</w:t>
            </w:r>
            <w:r w:rsidRPr="00622BD5">
              <w:rPr>
                <w:rFonts w:ascii="Times New Roman" w:hAnsi="Times New Roman" w:cs="Times New Roman"/>
                <w:sz w:val="20"/>
                <w:szCs w:val="20"/>
              </w:rPr>
              <w:t>hip-level</w:t>
            </w:r>
          </w:p>
        </w:tc>
      </w:tr>
    </w:tbl>
    <w:p w14:paraId="29C4F1AE" w14:textId="77777777" w:rsidR="00D01C3E" w:rsidRPr="009C67B6" w:rsidRDefault="00D01C3E">
      <w:pPr>
        <w:rPr>
          <w:rFonts w:ascii="Times New Roman" w:hAnsi="Times New Roman" w:cs="Times New Roman"/>
        </w:rPr>
      </w:pPr>
    </w:p>
    <w:p w14:paraId="36EB0A3C" w14:textId="77777777" w:rsidR="008A063B" w:rsidRDefault="008A063B">
      <w:pPr>
        <w:widowControl/>
        <w:jc w:val="left"/>
        <w:rPr>
          <w:rFonts w:ascii="Times New Roman" w:hAnsi="Times New Roman" w:cs="Times New Roman"/>
          <w:b/>
          <w:bCs/>
        </w:rPr>
      </w:pPr>
      <w:r>
        <w:rPr>
          <w:rFonts w:ascii="Times New Roman" w:hAnsi="Times New Roman" w:cs="Times New Roman"/>
          <w:b/>
          <w:bCs/>
        </w:rPr>
        <w:br w:type="page"/>
      </w:r>
    </w:p>
    <w:p w14:paraId="7DC5DC98" w14:textId="6AC8DD9F" w:rsidR="008A063B" w:rsidRPr="008A063B" w:rsidRDefault="008A063B">
      <w:pPr>
        <w:rPr>
          <w:rFonts w:ascii="Times New Roman" w:hAnsi="Times New Roman" w:cs="Times New Roman"/>
          <w:b/>
          <w:bCs/>
        </w:rPr>
      </w:pPr>
      <w:r w:rsidRPr="008A063B">
        <w:rPr>
          <w:rFonts w:ascii="Times New Roman" w:hAnsi="Times New Roman" w:cs="Times New Roman" w:hint="eastAsia"/>
          <w:b/>
          <w:bCs/>
        </w:rPr>
        <w:lastRenderedPageBreak/>
        <w:t>References</w:t>
      </w:r>
    </w:p>
    <w:p w14:paraId="6AE15782" w14:textId="3F7E72BE" w:rsidR="00D01C3E" w:rsidRPr="00D01C3E" w:rsidRDefault="00E944FE" w:rsidP="00D01C3E">
      <w:pPr>
        <w:rPr>
          <w:rFonts w:hint="eastAsia"/>
        </w:rPr>
      </w:pPr>
      <w:r w:rsidRPr="00777475">
        <w:rPr>
          <w:rFonts w:ascii="Times New Roman" w:hAnsi="Times New Roman" w:cs="Times New Roman"/>
          <w:noProof/>
        </w:rPr>
        <w:fldChar w:fldCharType="begin"/>
      </w:r>
      <w:r w:rsidRPr="00777475">
        <w:rPr>
          <w:rFonts w:ascii="Times New Roman" w:hAnsi="Times New Roman" w:cs="Times New Roman"/>
        </w:rPr>
        <w:instrText xml:space="preserve"> ADDIN EN.REFLIST </w:instrText>
      </w:r>
      <w:r w:rsidRPr="00777475">
        <w:rPr>
          <w:rFonts w:ascii="Times New Roman" w:hAnsi="Times New Roman" w:cs="Times New Roman"/>
          <w:noProof/>
        </w:rPr>
        <w:fldChar w:fldCharType="separate"/>
      </w:r>
      <w:r w:rsidR="00D01C3E" w:rsidRPr="00777475">
        <w:rPr>
          <w:rFonts w:ascii="Times New Roman" w:eastAsia="等线" w:hAnsi="Times New Roman" w:cs="Times New Roman"/>
          <w:noProof/>
          <w:sz w:val="20"/>
        </w:rPr>
        <w:fldChar w:fldCharType="begin"/>
      </w:r>
      <w:r w:rsidR="00D01C3E" w:rsidRPr="00777475">
        <w:rPr>
          <w:rFonts w:ascii="Times New Roman" w:hAnsi="Times New Roman" w:cs="Times New Roman"/>
        </w:rPr>
        <w:instrText xml:space="preserve"> ADDIN EN.REFLIST </w:instrText>
      </w:r>
      <w:r w:rsidR="00D01C3E" w:rsidRPr="00777475">
        <w:rPr>
          <w:rFonts w:ascii="Times New Roman" w:eastAsia="等线" w:hAnsi="Times New Roman" w:cs="Times New Roman"/>
          <w:noProof/>
          <w:sz w:val="20"/>
        </w:rPr>
        <w:fldChar w:fldCharType="separate"/>
      </w:r>
      <w:r w:rsidR="00D01C3E" w:rsidRPr="00777475">
        <w:rPr>
          <w:rFonts w:ascii="Times New Roman" w:hAnsi="Times New Roman" w:cs="Times New Roman"/>
        </w:rPr>
        <w:t>1.</w:t>
      </w:r>
      <w:r w:rsidR="00D01C3E" w:rsidRPr="00777475">
        <w:rPr>
          <w:rFonts w:ascii="Times New Roman" w:hAnsi="Times New Roman" w:cs="Times New Roman"/>
        </w:rPr>
        <w:tab/>
        <w:t>Scherrer H, Rowe D, Kajikawa T, Matsubara K, Issi J-P, Goldsmid HJ, et al. Thermoelectrics Handbook: Macro to Nano. 2018.</w:t>
      </w:r>
    </w:p>
    <w:p w14:paraId="61E70EA2" w14:textId="77777777" w:rsidR="00D01C3E" w:rsidRPr="00777475" w:rsidRDefault="00D01C3E" w:rsidP="00D01C3E">
      <w:pPr>
        <w:pStyle w:val="EndNoteBibliography"/>
        <w:rPr>
          <w:rFonts w:ascii="Times New Roman" w:hAnsi="Times New Roman" w:cs="Times New Roman"/>
        </w:rPr>
      </w:pPr>
      <w:r w:rsidRPr="00777475">
        <w:rPr>
          <w:rFonts w:ascii="Times New Roman" w:hAnsi="Times New Roman" w:cs="Times New Roman"/>
        </w:rPr>
        <w:t>2.</w:t>
      </w:r>
      <w:r w:rsidRPr="00777475">
        <w:rPr>
          <w:rFonts w:ascii="Times New Roman" w:hAnsi="Times New Roman" w:cs="Times New Roman"/>
        </w:rPr>
        <w:tab/>
        <w:t>Jugsujinda S, Vora-ud A, Seetawan T. Analyzing of thermoelectric refrigerator performance. Procedia Eng. 2011;8:154-9.</w:t>
      </w:r>
    </w:p>
    <w:p w14:paraId="78295928" w14:textId="77777777" w:rsidR="00D01C3E" w:rsidRPr="00777475" w:rsidRDefault="00D01C3E" w:rsidP="00D01C3E">
      <w:pPr>
        <w:pStyle w:val="EndNoteBibliography"/>
        <w:rPr>
          <w:rFonts w:ascii="Times New Roman" w:hAnsi="Times New Roman" w:cs="Times New Roman"/>
        </w:rPr>
      </w:pPr>
      <w:r w:rsidRPr="00777475">
        <w:rPr>
          <w:rFonts w:ascii="Times New Roman" w:hAnsi="Times New Roman" w:cs="Times New Roman"/>
        </w:rPr>
        <w:t>3.</w:t>
      </w:r>
      <w:r w:rsidRPr="00777475">
        <w:rPr>
          <w:rFonts w:ascii="Times New Roman" w:hAnsi="Times New Roman" w:cs="Times New Roman"/>
        </w:rPr>
        <w:tab/>
        <w:t xml:space="preserve">Goldsmid HJ. Theory of thermoelectric refrigeration and generation. Introduction to Thermoelectricity: Springer; 2016. </w:t>
      </w:r>
    </w:p>
    <w:p w14:paraId="654E3A7B" w14:textId="77777777" w:rsidR="00D01C3E" w:rsidRDefault="00D01C3E" w:rsidP="00D01C3E">
      <w:pPr>
        <w:pStyle w:val="EndNoteBibliography"/>
        <w:rPr>
          <w:rFonts w:ascii="Times New Roman" w:hAnsi="Times New Roman" w:cs="Times New Roman"/>
        </w:rPr>
      </w:pPr>
      <w:r w:rsidRPr="00777475">
        <w:rPr>
          <w:rFonts w:ascii="Times New Roman" w:hAnsi="Times New Roman" w:cs="Times New Roman"/>
        </w:rPr>
        <w:t>4.</w:t>
      </w:r>
      <w:r w:rsidRPr="00777475">
        <w:rPr>
          <w:rFonts w:ascii="Times New Roman" w:hAnsi="Times New Roman" w:cs="Times New Roman"/>
        </w:rPr>
        <w:tab/>
        <w:t>Blundell SJ, Blundell KM. Concepts in thermal physics: Oup Oxford; 2010.</w:t>
      </w:r>
    </w:p>
    <w:p w14:paraId="69695BC9" w14:textId="77777777" w:rsidR="00D01C3E" w:rsidRDefault="00D01C3E" w:rsidP="00D01C3E">
      <w:pPr>
        <w:pStyle w:val="EndNoteBibliography"/>
        <w:rPr>
          <w:rFonts w:ascii="Times New Roman" w:hAnsi="Times New Roman" w:cs="Times New Roman"/>
        </w:rPr>
      </w:pPr>
      <w:bookmarkStart w:id="1" w:name="_Hlk225277407"/>
      <w:r w:rsidRPr="00D01C3E">
        <w:rPr>
          <w:rFonts w:ascii="Times New Roman" w:hAnsi="Times New Roman" w:cs="Times New Roman"/>
        </w:rPr>
        <w:t>5.</w:t>
      </w:r>
      <w:r w:rsidRPr="00D01C3E">
        <w:rPr>
          <w:rFonts w:ascii="Times New Roman" w:hAnsi="Times New Roman" w:cs="Times New Roman"/>
        </w:rPr>
        <w:tab/>
        <w:t>Verschueren DV, Jonsson MP, Dekker C. Temperature dependence of DNA translocations through solid-state nanopores. Nanotechnology. 2015;26(23):234004.</w:t>
      </w:r>
    </w:p>
    <w:p w14:paraId="606D95B0" w14:textId="484D645D" w:rsidR="00D01C3E" w:rsidRPr="00D01C3E" w:rsidRDefault="00D01C3E" w:rsidP="00D01C3E">
      <w:pPr>
        <w:pStyle w:val="EndNoteBibliography"/>
        <w:rPr>
          <w:rFonts w:ascii="Times New Roman" w:hAnsi="Times New Roman" w:cs="Times New Roman"/>
        </w:rPr>
      </w:pPr>
      <w:r w:rsidRPr="00D01C3E">
        <w:rPr>
          <w:rFonts w:ascii="Times New Roman" w:hAnsi="Times New Roman" w:cs="Times New Roman" w:hint="eastAsia"/>
        </w:rPr>
        <w:t>6.</w:t>
      </w:r>
      <w:r w:rsidRPr="00D01C3E">
        <w:rPr>
          <w:rFonts w:ascii="Times New Roman" w:hAnsi="Times New Roman" w:cs="Times New Roman" w:hint="eastAsia"/>
        </w:rPr>
        <w:tab/>
        <w:t>Zhang Y, Wu G, Ma J, Yuan Z, Si W, Liu L, et al. Temperature effect on translocation speed and capture rate of nanoporebased DNA detection. Sci China Technol Sc. 2015;58(3):519-25.</w:t>
      </w:r>
    </w:p>
    <w:p w14:paraId="48CA5D13" w14:textId="33B83215" w:rsidR="00D01C3E" w:rsidRPr="00D01C3E" w:rsidRDefault="00D01C3E" w:rsidP="00D01C3E">
      <w:pPr>
        <w:pStyle w:val="EndNoteBibliography"/>
        <w:rPr>
          <w:rFonts w:ascii="Times New Roman" w:hAnsi="Times New Roman" w:cs="Times New Roman"/>
        </w:rPr>
      </w:pPr>
      <w:r w:rsidRPr="00D01C3E">
        <w:rPr>
          <w:rFonts w:ascii="Times New Roman" w:hAnsi="Times New Roman" w:cs="Times New Roman" w:hint="eastAsia"/>
        </w:rPr>
        <w:t>7.</w:t>
      </w:r>
      <w:r w:rsidRPr="00D01C3E">
        <w:rPr>
          <w:rFonts w:ascii="Times New Roman" w:hAnsi="Times New Roman" w:cs="Times New Roman" w:hint="eastAsia"/>
        </w:rPr>
        <w:tab/>
        <w:t>Lomovtsev D, He L, Waugh M, St-Gelais R, Tabard-Cossa V. A platform for high-bandwidth nanopore sensing with thermal control and low electrical noise. Rev Sci Instrum. 2025;96(8).</w:t>
      </w:r>
      <w:bookmarkEnd w:id="1"/>
      <w:r w:rsidRPr="00777475">
        <w:rPr>
          <w:rFonts w:ascii="Times New Roman" w:hAnsi="Times New Roman" w:cs="Times New Roman"/>
        </w:rPr>
        <w:fldChar w:fldCharType="end"/>
      </w:r>
    </w:p>
    <w:p w14:paraId="57D4B3DA" w14:textId="45B4EBE4" w:rsidR="001601BD" w:rsidRPr="001601BD" w:rsidRDefault="00E944FE" w:rsidP="00E944FE">
      <w:pPr>
        <w:rPr>
          <w:rFonts w:ascii="Times New Roman" w:hAnsi="Times New Roman" w:cs="Times New Roman"/>
        </w:rPr>
      </w:pPr>
      <w:r w:rsidRPr="00777475">
        <w:rPr>
          <w:rFonts w:ascii="Times New Roman" w:hAnsi="Times New Roman" w:cs="Times New Roman"/>
        </w:rPr>
        <w:fldChar w:fldCharType="end"/>
      </w:r>
    </w:p>
    <w:sectPr w:rsidR="001601BD" w:rsidRPr="001601BD" w:rsidSect="00137A2D">
      <w:pgSz w:w="11906" w:h="16838"/>
      <w:pgMar w:top="851" w:right="851" w:bottom="851" w:left="85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EAFE" w14:textId="77777777" w:rsidR="0098299A" w:rsidRDefault="0098299A" w:rsidP="000668E3">
      <w:pPr>
        <w:rPr>
          <w:rFonts w:hint="eastAsia"/>
        </w:rPr>
      </w:pPr>
      <w:r>
        <w:separator/>
      </w:r>
    </w:p>
  </w:endnote>
  <w:endnote w:type="continuationSeparator" w:id="0">
    <w:p w14:paraId="7487CC2B" w14:textId="77777777" w:rsidR="0098299A" w:rsidRDefault="0098299A" w:rsidP="000668E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756E7" w14:textId="77777777" w:rsidR="0098299A" w:rsidRDefault="0098299A" w:rsidP="000668E3">
      <w:pPr>
        <w:rPr>
          <w:rFonts w:hint="eastAsia"/>
        </w:rPr>
      </w:pPr>
      <w:r>
        <w:separator/>
      </w:r>
    </w:p>
  </w:footnote>
  <w:footnote w:type="continuationSeparator" w:id="0">
    <w:p w14:paraId="3971D7E7" w14:textId="77777777" w:rsidR="0098299A" w:rsidRDefault="0098299A" w:rsidP="000668E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ffpevwbseve6e2wzpv0t2yx0f002eee522&quot;&gt;DNA nanopore review&lt;record-ids&gt;&lt;item&gt;213&lt;/item&gt;&lt;item&gt;231&lt;/item&gt;&lt;item&gt;232&lt;/item&gt;&lt;item&gt;244&lt;/item&gt;&lt;item&gt;245&lt;/item&gt;&lt;item&gt;248&lt;/item&gt;&lt;item&gt;292&lt;/item&gt;&lt;/record-ids&gt;&lt;/item&gt;&lt;/Libraries&gt;"/>
  </w:docVars>
  <w:rsids>
    <w:rsidRoot w:val="00C56AF7"/>
    <w:rsid w:val="00035BB4"/>
    <w:rsid w:val="000668E3"/>
    <w:rsid w:val="000A62C8"/>
    <w:rsid w:val="000D04DF"/>
    <w:rsid w:val="00137A2D"/>
    <w:rsid w:val="00152875"/>
    <w:rsid w:val="001601BD"/>
    <w:rsid w:val="001F023D"/>
    <w:rsid w:val="00264817"/>
    <w:rsid w:val="00276F08"/>
    <w:rsid w:val="002C2041"/>
    <w:rsid w:val="002F75CC"/>
    <w:rsid w:val="0038487C"/>
    <w:rsid w:val="003D7D01"/>
    <w:rsid w:val="003E159E"/>
    <w:rsid w:val="003F1F5C"/>
    <w:rsid w:val="00464C07"/>
    <w:rsid w:val="004B6E28"/>
    <w:rsid w:val="005542D2"/>
    <w:rsid w:val="00582E55"/>
    <w:rsid w:val="005B39F9"/>
    <w:rsid w:val="00604C89"/>
    <w:rsid w:val="00647295"/>
    <w:rsid w:val="00732D36"/>
    <w:rsid w:val="00777475"/>
    <w:rsid w:val="008A063B"/>
    <w:rsid w:val="008A4ECD"/>
    <w:rsid w:val="008B069B"/>
    <w:rsid w:val="008C210B"/>
    <w:rsid w:val="008D7B26"/>
    <w:rsid w:val="008E333B"/>
    <w:rsid w:val="00950DBD"/>
    <w:rsid w:val="0098299A"/>
    <w:rsid w:val="0098564A"/>
    <w:rsid w:val="00990724"/>
    <w:rsid w:val="009C2B74"/>
    <w:rsid w:val="009C67B6"/>
    <w:rsid w:val="009D620C"/>
    <w:rsid w:val="009E02F6"/>
    <w:rsid w:val="009F2925"/>
    <w:rsid w:val="00A37F99"/>
    <w:rsid w:val="00A93CC2"/>
    <w:rsid w:val="00AF49DB"/>
    <w:rsid w:val="00B0063D"/>
    <w:rsid w:val="00B11604"/>
    <w:rsid w:val="00B151F3"/>
    <w:rsid w:val="00B15298"/>
    <w:rsid w:val="00B75493"/>
    <w:rsid w:val="00BB0E73"/>
    <w:rsid w:val="00C56AF7"/>
    <w:rsid w:val="00D01C3E"/>
    <w:rsid w:val="00D04608"/>
    <w:rsid w:val="00D7309D"/>
    <w:rsid w:val="00DA6694"/>
    <w:rsid w:val="00DD1955"/>
    <w:rsid w:val="00E1452C"/>
    <w:rsid w:val="00E944FE"/>
    <w:rsid w:val="00EB7DA4"/>
    <w:rsid w:val="00F17D44"/>
    <w:rsid w:val="00F879AF"/>
    <w:rsid w:val="00F95974"/>
    <w:rsid w:val="00FC0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6A6F3"/>
  <w15:chartTrackingRefBased/>
  <w15:docId w15:val="{AAE259D3-29CC-48DB-870F-9106114A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63B"/>
    <w:pPr>
      <w:widowControl w:val="0"/>
      <w:jc w:val="both"/>
    </w:pPr>
  </w:style>
  <w:style w:type="paragraph" w:styleId="1">
    <w:name w:val="heading 1"/>
    <w:basedOn w:val="a"/>
    <w:next w:val="a"/>
    <w:link w:val="10"/>
    <w:uiPriority w:val="9"/>
    <w:qFormat/>
    <w:rsid w:val="00C56AF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56AF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56AF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56AF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56AF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56AF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56AF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56AF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56AF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56AF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56AF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56AF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56AF7"/>
    <w:rPr>
      <w:rFonts w:cstheme="majorBidi"/>
      <w:color w:val="0F4761" w:themeColor="accent1" w:themeShade="BF"/>
      <w:sz w:val="28"/>
      <w:szCs w:val="28"/>
    </w:rPr>
  </w:style>
  <w:style w:type="character" w:customStyle="1" w:styleId="50">
    <w:name w:val="标题 5 字符"/>
    <w:basedOn w:val="a0"/>
    <w:link w:val="5"/>
    <w:uiPriority w:val="9"/>
    <w:semiHidden/>
    <w:rsid w:val="00C56AF7"/>
    <w:rPr>
      <w:rFonts w:cstheme="majorBidi"/>
      <w:color w:val="0F4761" w:themeColor="accent1" w:themeShade="BF"/>
      <w:sz w:val="24"/>
      <w:szCs w:val="24"/>
    </w:rPr>
  </w:style>
  <w:style w:type="character" w:customStyle="1" w:styleId="60">
    <w:name w:val="标题 6 字符"/>
    <w:basedOn w:val="a0"/>
    <w:link w:val="6"/>
    <w:uiPriority w:val="9"/>
    <w:semiHidden/>
    <w:rsid w:val="00C56AF7"/>
    <w:rPr>
      <w:rFonts w:cstheme="majorBidi"/>
      <w:b/>
      <w:bCs/>
      <w:color w:val="0F4761" w:themeColor="accent1" w:themeShade="BF"/>
    </w:rPr>
  </w:style>
  <w:style w:type="character" w:customStyle="1" w:styleId="70">
    <w:name w:val="标题 7 字符"/>
    <w:basedOn w:val="a0"/>
    <w:link w:val="7"/>
    <w:uiPriority w:val="9"/>
    <w:semiHidden/>
    <w:rsid w:val="00C56AF7"/>
    <w:rPr>
      <w:rFonts w:cstheme="majorBidi"/>
      <w:b/>
      <w:bCs/>
      <w:color w:val="595959" w:themeColor="text1" w:themeTint="A6"/>
    </w:rPr>
  </w:style>
  <w:style w:type="character" w:customStyle="1" w:styleId="80">
    <w:name w:val="标题 8 字符"/>
    <w:basedOn w:val="a0"/>
    <w:link w:val="8"/>
    <w:uiPriority w:val="9"/>
    <w:semiHidden/>
    <w:rsid w:val="00C56AF7"/>
    <w:rPr>
      <w:rFonts w:cstheme="majorBidi"/>
      <w:color w:val="595959" w:themeColor="text1" w:themeTint="A6"/>
    </w:rPr>
  </w:style>
  <w:style w:type="character" w:customStyle="1" w:styleId="90">
    <w:name w:val="标题 9 字符"/>
    <w:basedOn w:val="a0"/>
    <w:link w:val="9"/>
    <w:uiPriority w:val="9"/>
    <w:semiHidden/>
    <w:rsid w:val="00C56AF7"/>
    <w:rPr>
      <w:rFonts w:eastAsiaTheme="majorEastAsia" w:cstheme="majorBidi"/>
      <w:color w:val="595959" w:themeColor="text1" w:themeTint="A6"/>
    </w:rPr>
  </w:style>
  <w:style w:type="paragraph" w:styleId="a3">
    <w:name w:val="Title"/>
    <w:basedOn w:val="a"/>
    <w:next w:val="a"/>
    <w:link w:val="a4"/>
    <w:uiPriority w:val="10"/>
    <w:qFormat/>
    <w:rsid w:val="00C56A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56A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6A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56A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6AF7"/>
    <w:pPr>
      <w:spacing w:before="160" w:after="160"/>
      <w:jc w:val="center"/>
    </w:pPr>
    <w:rPr>
      <w:i/>
      <w:iCs/>
      <w:color w:val="404040" w:themeColor="text1" w:themeTint="BF"/>
    </w:rPr>
  </w:style>
  <w:style w:type="character" w:customStyle="1" w:styleId="a8">
    <w:name w:val="引用 字符"/>
    <w:basedOn w:val="a0"/>
    <w:link w:val="a7"/>
    <w:uiPriority w:val="29"/>
    <w:rsid w:val="00C56AF7"/>
    <w:rPr>
      <w:i/>
      <w:iCs/>
      <w:color w:val="404040" w:themeColor="text1" w:themeTint="BF"/>
    </w:rPr>
  </w:style>
  <w:style w:type="paragraph" w:styleId="a9">
    <w:name w:val="List Paragraph"/>
    <w:basedOn w:val="a"/>
    <w:uiPriority w:val="34"/>
    <w:qFormat/>
    <w:rsid w:val="00C56AF7"/>
    <w:pPr>
      <w:ind w:left="720"/>
      <w:contextualSpacing/>
    </w:pPr>
  </w:style>
  <w:style w:type="character" w:styleId="aa">
    <w:name w:val="Intense Emphasis"/>
    <w:basedOn w:val="a0"/>
    <w:uiPriority w:val="21"/>
    <w:qFormat/>
    <w:rsid w:val="00C56AF7"/>
    <w:rPr>
      <w:i/>
      <w:iCs/>
      <w:color w:val="0F4761" w:themeColor="accent1" w:themeShade="BF"/>
    </w:rPr>
  </w:style>
  <w:style w:type="paragraph" w:styleId="ab">
    <w:name w:val="Intense Quote"/>
    <w:basedOn w:val="a"/>
    <w:next w:val="a"/>
    <w:link w:val="ac"/>
    <w:uiPriority w:val="30"/>
    <w:qFormat/>
    <w:rsid w:val="00C56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56AF7"/>
    <w:rPr>
      <w:i/>
      <w:iCs/>
      <w:color w:val="0F4761" w:themeColor="accent1" w:themeShade="BF"/>
    </w:rPr>
  </w:style>
  <w:style w:type="character" w:styleId="ad">
    <w:name w:val="Intense Reference"/>
    <w:basedOn w:val="a0"/>
    <w:uiPriority w:val="32"/>
    <w:qFormat/>
    <w:rsid w:val="00C56AF7"/>
    <w:rPr>
      <w:b/>
      <w:bCs/>
      <w:smallCaps/>
      <w:color w:val="0F4761" w:themeColor="accent1" w:themeShade="BF"/>
      <w:spacing w:val="5"/>
    </w:rPr>
  </w:style>
  <w:style w:type="paragraph" w:styleId="ae">
    <w:name w:val="header"/>
    <w:basedOn w:val="a"/>
    <w:link w:val="af"/>
    <w:uiPriority w:val="99"/>
    <w:unhideWhenUsed/>
    <w:rsid w:val="000668E3"/>
    <w:pPr>
      <w:tabs>
        <w:tab w:val="center" w:pos="4153"/>
        <w:tab w:val="right" w:pos="8306"/>
      </w:tabs>
      <w:snapToGrid w:val="0"/>
      <w:jc w:val="center"/>
    </w:pPr>
    <w:rPr>
      <w:sz w:val="18"/>
      <w:szCs w:val="18"/>
    </w:rPr>
  </w:style>
  <w:style w:type="character" w:customStyle="1" w:styleId="af">
    <w:name w:val="页眉 字符"/>
    <w:basedOn w:val="a0"/>
    <w:link w:val="ae"/>
    <w:uiPriority w:val="99"/>
    <w:rsid w:val="000668E3"/>
    <w:rPr>
      <w:sz w:val="18"/>
      <w:szCs w:val="18"/>
    </w:rPr>
  </w:style>
  <w:style w:type="paragraph" w:styleId="af0">
    <w:name w:val="footer"/>
    <w:basedOn w:val="a"/>
    <w:link w:val="af1"/>
    <w:uiPriority w:val="99"/>
    <w:unhideWhenUsed/>
    <w:rsid w:val="000668E3"/>
    <w:pPr>
      <w:tabs>
        <w:tab w:val="center" w:pos="4153"/>
        <w:tab w:val="right" w:pos="8306"/>
      </w:tabs>
      <w:snapToGrid w:val="0"/>
      <w:jc w:val="left"/>
    </w:pPr>
    <w:rPr>
      <w:sz w:val="18"/>
      <w:szCs w:val="18"/>
    </w:rPr>
  </w:style>
  <w:style w:type="character" w:customStyle="1" w:styleId="af1">
    <w:name w:val="页脚 字符"/>
    <w:basedOn w:val="a0"/>
    <w:link w:val="af0"/>
    <w:uiPriority w:val="99"/>
    <w:rsid w:val="000668E3"/>
    <w:rPr>
      <w:sz w:val="18"/>
      <w:szCs w:val="18"/>
    </w:rPr>
  </w:style>
  <w:style w:type="paragraph" w:customStyle="1" w:styleId="EndNoteBibliographyTitle">
    <w:name w:val="EndNote Bibliography Title"/>
    <w:basedOn w:val="a"/>
    <w:link w:val="EndNoteBibliographyTitle0"/>
    <w:rsid w:val="008A063B"/>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8A063B"/>
    <w:rPr>
      <w:rFonts w:ascii="等线" w:eastAsia="等线" w:hAnsi="等线"/>
      <w:noProof/>
      <w:sz w:val="20"/>
    </w:rPr>
  </w:style>
  <w:style w:type="paragraph" w:customStyle="1" w:styleId="EndNoteBibliography">
    <w:name w:val="EndNote Bibliography"/>
    <w:basedOn w:val="a"/>
    <w:link w:val="EndNoteBibliography0"/>
    <w:rsid w:val="008A063B"/>
    <w:rPr>
      <w:rFonts w:ascii="等线" w:eastAsia="等线" w:hAnsi="等线"/>
      <w:noProof/>
      <w:sz w:val="20"/>
    </w:rPr>
  </w:style>
  <w:style w:type="character" w:customStyle="1" w:styleId="EndNoteBibliography0">
    <w:name w:val="EndNote Bibliography 字符"/>
    <w:basedOn w:val="a0"/>
    <w:link w:val="EndNoteBibliography"/>
    <w:rsid w:val="008A063B"/>
    <w:rPr>
      <w:rFonts w:ascii="等线" w:eastAsia="等线" w:hAnsi="等线"/>
      <w:noProof/>
      <w:sz w:val="20"/>
    </w:rPr>
  </w:style>
  <w:style w:type="character" w:styleId="af2">
    <w:name w:val="Hyperlink"/>
    <w:basedOn w:val="a0"/>
    <w:uiPriority w:val="99"/>
    <w:unhideWhenUsed/>
    <w:rsid w:val="008E333B"/>
    <w:rPr>
      <w:color w:val="467886" w:themeColor="hyperlink"/>
      <w:u w:val="single"/>
    </w:rPr>
  </w:style>
  <w:style w:type="character" w:styleId="af3">
    <w:name w:val="Unresolved Mention"/>
    <w:basedOn w:val="a0"/>
    <w:uiPriority w:val="99"/>
    <w:semiHidden/>
    <w:unhideWhenUsed/>
    <w:rsid w:val="008E333B"/>
    <w:rPr>
      <w:color w:val="605E5C"/>
      <w:shd w:val="clear" w:color="auto" w:fill="E1DFDD"/>
    </w:rPr>
  </w:style>
  <w:style w:type="paragraph" w:styleId="af4">
    <w:name w:val="Normal (Web)"/>
    <w:basedOn w:val="a"/>
    <w:uiPriority w:val="99"/>
    <w:semiHidden/>
    <w:unhideWhenUsed/>
    <w:rsid w:val="009C67B6"/>
    <w:rPr>
      <w:rFonts w:ascii="Times New Roman" w:hAnsi="Times New Roman" w:cs="Times New Roman"/>
      <w:sz w:val="24"/>
      <w:szCs w:val="24"/>
    </w:rPr>
  </w:style>
  <w:style w:type="paragraph" w:styleId="af5">
    <w:name w:val="Revision"/>
    <w:hidden/>
    <w:uiPriority w:val="99"/>
    <w:semiHidden/>
    <w:rsid w:val="00D01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2125</Words>
  <Characters>12369</Characters>
  <Application>Microsoft Office Word</Application>
  <DocSecurity>0</DocSecurity>
  <Lines>274</Lines>
  <Paragraphs>155</Paragraphs>
  <ScaleCrop>false</ScaleCrop>
  <Company/>
  <LinksUpToDate>false</LinksUpToDate>
  <CharactersWithSpaces>14339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Yunxuan Li</dc:creator>
  <cp:keywords/>
  <dc:description/>
  <cp:lastModifiedBy>Yunxuan Li</cp:lastModifiedBy>
  <cp:revision>2</cp:revision>
  <dcterms:created xsi:type="dcterms:W3CDTF">2026-03-30T19:02:00Z</dcterms:created>
  <dcterms:modified xsi:type="dcterms:W3CDTF">2026-03-30T19:02:00Z</dcterms:modified>
</cp:coreProperties>
</file>