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F7560" w14:textId="43E387F2" w:rsidR="0074334E" w:rsidRPr="003347A6" w:rsidRDefault="00E06072" w:rsidP="0074334E">
      <w:pPr>
        <w:pStyle w:val="Heading1notincontents"/>
      </w:pPr>
      <w:r w:rsidRPr="003347A6">
        <w:t>The Role of Real- World Evidence in UK Reimbursement: Case Study of Lenalidomide in Myelodysplastic Syndrome Deletion 5q</w:t>
      </w:r>
    </w:p>
    <w:p w14:paraId="0AE33352" w14:textId="3ECBD945" w:rsidR="00E06072" w:rsidRPr="003347A6" w:rsidRDefault="00E06072" w:rsidP="00E06072">
      <w:pPr>
        <w:rPr>
          <w:b/>
          <w:i/>
          <w:lang w:bidi="en-US"/>
        </w:rPr>
      </w:pPr>
      <w:r w:rsidRPr="003347A6">
        <w:rPr>
          <w:b/>
          <w:i/>
          <w:lang w:bidi="en-US"/>
        </w:rPr>
        <w:t xml:space="preserve">Journal: </w:t>
      </w:r>
      <w:proofErr w:type="spellStart"/>
      <w:r w:rsidR="002C7825" w:rsidRPr="003347A6">
        <w:rPr>
          <w:b/>
          <w:i/>
          <w:lang w:bidi="en-US"/>
        </w:rPr>
        <w:t>Pharmaco</w:t>
      </w:r>
      <w:r w:rsidR="00F94B7C" w:rsidRPr="003347A6">
        <w:rPr>
          <w:b/>
          <w:i/>
          <w:lang w:bidi="en-US"/>
        </w:rPr>
        <w:t>E</w:t>
      </w:r>
      <w:r w:rsidR="002C7825" w:rsidRPr="003347A6">
        <w:rPr>
          <w:b/>
          <w:i/>
          <w:lang w:bidi="en-US"/>
        </w:rPr>
        <w:t>conomics</w:t>
      </w:r>
      <w:proofErr w:type="spellEnd"/>
      <w:r w:rsidR="002C7825" w:rsidRPr="003347A6">
        <w:rPr>
          <w:b/>
          <w:i/>
          <w:lang w:bidi="en-US"/>
        </w:rPr>
        <w:t xml:space="preserve"> Open</w:t>
      </w:r>
    </w:p>
    <w:p w14:paraId="34D1A147" w14:textId="0D6298BA" w:rsidR="00E06072" w:rsidRPr="003347A6" w:rsidRDefault="00E06072" w:rsidP="00E06072">
      <w:pPr>
        <w:rPr>
          <w:lang w:bidi="en-US"/>
        </w:rPr>
      </w:pPr>
      <w:r w:rsidRPr="003347A6">
        <w:rPr>
          <w:lang w:bidi="en-US"/>
        </w:rPr>
        <w:t>Dawn Lee</w:t>
      </w:r>
      <w:r w:rsidRPr="003347A6">
        <w:rPr>
          <w:vertAlign w:val="superscript"/>
          <w:lang w:bidi="en-US"/>
        </w:rPr>
        <w:t>1</w:t>
      </w:r>
      <w:r w:rsidRPr="003347A6">
        <w:rPr>
          <w:lang w:bidi="en-US"/>
        </w:rPr>
        <w:t>*, Nic Brereton</w:t>
      </w:r>
      <w:r w:rsidRPr="003347A6">
        <w:rPr>
          <w:vertAlign w:val="superscript"/>
          <w:lang w:bidi="en-US"/>
        </w:rPr>
        <w:t>1</w:t>
      </w:r>
      <w:r w:rsidRPr="003347A6">
        <w:rPr>
          <w:lang w:bidi="en-US"/>
        </w:rPr>
        <w:t>, Sujith Dhanasiri</w:t>
      </w:r>
      <w:r w:rsidRPr="003347A6">
        <w:rPr>
          <w:vertAlign w:val="superscript"/>
          <w:lang w:bidi="en-US"/>
        </w:rPr>
        <w:t>2</w:t>
      </w:r>
      <w:r w:rsidRPr="003347A6">
        <w:rPr>
          <w:lang w:bidi="en-US"/>
        </w:rPr>
        <w:t>, Austin Kulasekararaj</w:t>
      </w:r>
      <w:r w:rsidRPr="003347A6">
        <w:rPr>
          <w:vertAlign w:val="superscript"/>
          <w:lang w:bidi="en-US"/>
        </w:rPr>
        <w:t>3</w:t>
      </w:r>
    </w:p>
    <w:p w14:paraId="69250173" w14:textId="77777777" w:rsidR="00E06072" w:rsidRPr="003347A6" w:rsidRDefault="00E06072" w:rsidP="00E06072">
      <w:pPr>
        <w:rPr>
          <w:lang w:bidi="en-US"/>
        </w:rPr>
      </w:pPr>
      <w:r w:rsidRPr="003347A6">
        <w:rPr>
          <w:vertAlign w:val="superscript"/>
          <w:lang w:bidi="en-US"/>
        </w:rPr>
        <w:t>1</w:t>
      </w:r>
      <w:r w:rsidRPr="003347A6">
        <w:rPr>
          <w:lang w:bidi="en-US"/>
        </w:rPr>
        <w:t xml:space="preserve"> </w:t>
      </w:r>
      <w:proofErr w:type="spellStart"/>
      <w:r w:rsidRPr="003347A6">
        <w:rPr>
          <w:lang w:bidi="en-US"/>
        </w:rPr>
        <w:t>BresMed</w:t>
      </w:r>
      <w:proofErr w:type="spellEnd"/>
      <w:r w:rsidRPr="003347A6">
        <w:rPr>
          <w:lang w:bidi="en-US"/>
        </w:rPr>
        <w:t>, Sheffield, United Kingdom</w:t>
      </w:r>
    </w:p>
    <w:p w14:paraId="4BB57EC1" w14:textId="77777777" w:rsidR="00E06072" w:rsidRPr="003347A6" w:rsidRDefault="00E06072" w:rsidP="00E06072">
      <w:pPr>
        <w:rPr>
          <w:lang w:bidi="en-US"/>
        </w:rPr>
      </w:pPr>
      <w:r w:rsidRPr="003347A6">
        <w:rPr>
          <w:vertAlign w:val="superscript"/>
          <w:lang w:bidi="en-US"/>
        </w:rPr>
        <w:t>2</w:t>
      </w:r>
      <w:r w:rsidRPr="003347A6">
        <w:rPr>
          <w:lang w:bidi="en-US"/>
        </w:rPr>
        <w:t xml:space="preserve"> Celgene International, </w:t>
      </w:r>
      <w:proofErr w:type="spellStart"/>
      <w:r w:rsidRPr="003347A6">
        <w:rPr>
          <w:lang w:bidi="en-US"/>
        </w:rPr>
        <w:t>Boudry</w:t>
      </w:r>
      <w:proofErr w:type="spellEnd"/>
      <w:r w:rsidRPr="003347A6">
        <w:rPr>
          <w:lang w:bidi="en-US"/>
        </w:rPr>
        <w:t xml:space="preserve">, Switzerland </w:t>
      </w:r>
    </w:p>
    <w:p w14:paraId="0CCC941F" w14:textId="77777777" w:rsidR="00E06072" w:rsidRPr="003347A6" w:rsidRDefault="00E06072" w:rsidP="00E06072">
      <w:pPr>
        <w:rPr>
          <w:lang w:bidi="en-US"/>
        </w:rPr>
      </w:pPr>
      <w:r w:rsidRPr="003347A6">
        <w:rPr>
          <w:vertAlign w:val="superscript"/>
          <w:lang w:bidi="en-US"/>
        </w:rPr>
        <w:t>3</w:t>
      </w:r>
      <w:r w:rsidRPr="003347A6">
        <w:rPr>
          <w:lang w:bidi="en-US"/>
        </w:rPr>
        <w:t xml:space="preserve"> King’s College Hospital National Health Service Foundation Trust, London, United Kingdom</w:t>
      </w:r>
    </w:p>
    <w:p w14:paraId="1F5B3338" w14:textId="77777777" w:rsidR="00E06072" w:rsidRPr="003347A6" w:rsidRDefault="00E06072" w:rsidP="00E06072">
      <w:pPr>
        <w:rPr>
          <w:lang w:bidi="en-US"/>
        </w:rPr>
      </w:pPr>
    </w:p>
    <w:p w14:paraId="08C8A98A" w14:textId="77777777" w:rsidR="00E06072" w:rsidRPr="003347A6" w:rsidRDefault="00E06072" w:rsidP="00E06072">
      <w:pPr>
        <w:rPr>
          <w:lang w:bidi="en-US"/>
        </w:rPr>
      </w:pPr>
      <w:r w:rsidRPr="003347A6">
        <w:rPr>
          <w:lang w:bidi="en-US"/>
        </w:rPr>
        <w:t>* Corresponding author</w:t>
      </w:r>
    </w:p>
    <w:p w14:paraId="151CBD78" w14:textId="77777777" w:rsidR="00E06072" w:rsidRPr="003347A6" w:rsidRDefault="00E06072" w:rsidP="00E06072">
      <w:pPr>
        <w:rPr>
          <w:lang w:bidi="en-US"/>
        </w:rPr>
      </w:pPr>
      <w:r w:rsidRPr="003347A6">
        <w:rPr>
          <w:lang w:bidi="en-US"/>
        </w:rPr>
        <w:t>Address: North Church House</w:t>
      </w:r>
    </w:p>
    <w:p w14:paraId="0A9D7020" w14:textId="77777777" w:rsidR="00E06072" w:rsidRPr="003347A6" w:rsidRDefault="00E06072" w:rsidP="00E06072">
      <w:pPr>
        <w:rPr>
          <w:lang w:bidi="en-US"/>
        </w:rPr>
      </w:pPr>
      <w:r w:rsidRPr="003347A6">
        <w:rPr>
          <w:lang w:bidi="en-US"/>
        </w:rPr>
        <w:t>84 Queen Street</w:t>
      </w:r>
    </w:p>
    <w:p w14:paraId="54E332B2" w14:textId="77777777" w:rsidR="00E06072" w:rsidRPr="003347A6" w:rsidRDefault="00E06072" w:rsidP="00E06072">
      <w:pPr>
        <w:rPr>
          <w:lang w:bidi="en-US"/>
        </w:rPr>
      </w:pPr>
      <w:r w:rsidRPr="003347A6">
        <w:rPr>
          <w:lang w:bidi="en-US"/>
        </w:rPr>
        <w:t>Sheffield, S1 2DW</w:t>
      </w:r>
    </w:p>
    <w:p w14:paraId="2B1CC3E9" w14:textId="77777777" w:rsidR="00E06072" w:rsidRPr="003347A6" w:rsidRDefault="00E06072" w:rsidP="00E06072">
      <w:pPr>
        <w:rPr>
          <w:lang w:bidi="en-US"/>
        </w:rPr>
      </w:pPr>
      <w:r w:rsidRPr="003347A6">
        <w:rPr>
          <w:lang w:bidi="en-US"/>
        </w:rPr>
        <w:t>United Kingdom</w:t>
      </w:r>
    </w:p>
    <w:p w14:paraId="0994950B" w14:textId="77777777" w:rsidR="00E06072" w:rsidRPr="003347A6" w:rsidRDefault="00E06072" w:rsidP="00E06072">
      <w:pPr>
        <w:rPr>
          <w:lang w:val="fr-FR" w:bidi="en-US"/>
        </w:rPr>
      </w:pPr>
      <w:proofErr w:type="gramStart"/>
      <w:r w:rsidRPr="003347A6">
        <w:rPr>
          <w:lang w:val="fr-FR" w:bidi="en-US"/>
        </w:rPr>
        <w:t>Phone:</w:t>
      </w:r>
      <w:proofErr w:type="gramEnd"/>
      <w:r w:rsidRPr="003347A6">
        <w:rPr>
          <w:lang w:val="fr-FR" w:bidi="en-US"/>
        </w:rPr>
        <w:t xml:space="preserve"> +44 (0)114 309 4372</w:t>
      </w:r>
    </w:p>
    <w:p w14:paraId="2F4C35C3" w14:textId="242680D8" w:rsidR="00E06072" w:rsidRPr="003347A6" w:rsidRDefault="00E06072" w:rsidP="00E06072">
      <w:pPr>
        <w:rPr>
          <w:lang w:val="fr-FR" w:bidi="en-US"/>
        </w:rPr>
      </w:pPr>
      <w:proofErr w:type="gramStart"/>
      <w:r w:rsidRPr="003347A6">
        <w:rPr>
          <w:lang w:val="fr-FR" w:bidi="en-US"/>
        </w:rPr>
        <w:t>E-mail:</w:t>
      </w:r>
      <w:proofErr w:type="gramEnd"/>
      <w:r w:rsidRPr="003347A6">
        <w:rPr>
          <w:lang w:val="fr-FR" w:bidi="en-US"/>
        </w:rPr>
        <w:t xml:space="preserve"> dlee@bresmed.com (DL)</w:t>
      </w:r>
    </w:p>
    <w:p w14:paraId="3BB3A253" w14:textId="77777777" w:rsidR="00B77056" w:rsidRPr="003347A6" w:rsidRDefault="00B77056" w:rsidP="00E06072">
      <w:pPr>
        <w:rPr>
          <w:lang w:val="fr-FR" w:bidi="en-US"/>
        </w:rPr>
      </w:pPr>
    </w:p>
    <w:p w14:paraId="2EBEEA07" w14:textId="0AFFF24F" w:rsidR="00BB3DEB" w:rsidRPr="003347A6" w:rsidRDefault="003819DD" w:rsidP="009114DE">
      <w:pPr>
        <w:pStyle w:val="Heading1"/>
        <w:numPr>
          <w:ilvl w:val="0"/>
          <w:numId w:val="44"/>
        </w:numPr>
      </w:pPr>
      <w:r w:rsidRPr="003347A6">
        <w:lastRenderedPageBreak/>
        <w:t>Supplementary m</w:t>
      </w:r>
      <w:r w:rsidR="00C5115F" w:rsidRPr="003347A6">
        <w:t>odel information</w:t>
      </w:r>
    </w:p>
    <w:p w14:paraId="7D750647" w14:textId="1AFD5648" w:rsidR="00D652E9" w:rsidRPr="003347A6" w:rsidRDefault="00D652E9" w:rsidP="009114DE">
      <w:pPr>
        <w:pStyle w:val="Heading2"/>
        <w:numPr>
          <w:ilvl w:val="1"/>
          <w:numId w:val="44"/>
        </w:numPr>
      </w:pPr>
      <w:r w:rsidRPr="003347A6">
        <w:t>Treatments considered within the model</w:t>
      </w:r>
    </w:p>
    <w:p w14:paraId="0D7ECAA8" w14:textId="6528370C" w:rsidR="00FD40D2" w:rsidRPr="003347A6" w:rsidRDefault="00FD40D2" w:rsidP="003874B9">
      <w:r w:rsidRPr="003347A6">
        <w:t>Lenalidomide (</w:t>
      </w:r>
      <w:proofErr w:type="spellStart"/>
      <w:r w:rsidRPr="003347A6">
        <w:t>Revlimid</w:t>
      </w:r>
      <w:proofErr w:type="spellEnd"/>
      <w:r w:rsidRPr="003347A6">
        <w:rPr>
          <w:vertAlign w:val="superscript"/>
        </w:rPr>
        <w:t>®</w:t>
      </w:r>
      <w:r w:rsidR="0068782A" w:rsidRPr="003347A6">
        <w:t>, a registered trademark of Celgene Corporation</w:t>
      </w:r>
      <w:r w:rsidRPr="003347A6">
        <w:t>) is an oral therapy that modifies the natural course of</w:t>
      </w:r>
      <w:r w:rsidR="00F12EEA" w:rsidRPr="003347A6">
        <w:t xml:space="preserve"> myelodysplastic syndrome</w:t>
      </w:r>
      <w:r w:rsidRPr="003347A6">
        <w:t xml:space="preserve"> </w:t>
      </w:r>
      <w:r w:rsidR="00F12EEA" w:rsidRPr="003347A6">
        <w:t>(</w:t>
      </w:r>
      <w:r w:rsidRPr="003347A6">
        <w:t>MDS</w:t>
      </w:r>
      <w:r w:rsidR="00F12EEA" w:rsidRPr="003347A6">
        <w:t>)</w:t>
      </w:r>
      <w:r w:rsidRPr="003347A6">
        <w:t xml:space="preserve"> through clonal suppression, which </w:t>
      </w:r>
      <w:r w:rsidR="0068782A" w:rsidRPr="003347A6">
        <w:t>delays</w:t>
      </w:r>
      <w:r w:rsidRPr="003347A6">
        <w:t xml:space="preserve"> disease progression. Marketing authorisation was granted in Europe on 14 June 2007 for the treatment of patients with transfusion-dependent anaemia due to </w:t>
      </w:r>
      <w:r w:rsidR="00F94B7C" w:rsidRPr="003347A6">
        <w:t>L</w:t>
      </w:r>
      <w:r w:rsidRPr="003347A6">
        <w:t xml:space="preserve">ow- or </w:t>
      </w:r>
      <w:r w:rsidR="00F94B7C" w:rsidRPr="003347A6">
        <w:t>I</w:t>
      </w:r>
      <w:r w:rsidRPr="003347A6">
        <w:t xml:space="preserve">ntermediate-1-risk MDS associated with an isolated </w:t>
      </w:r>
      <w:r w:rsidR="0068782A" w:rsidRPr="003347A6">
        <w:t>5q deletion</w:t>
      </w:r>
      <w:r w:rsidRPr="003347A6">
        <w:t xml:space="preserve"> </w:t>
      </w:r>
      <w:r w:rsidR="00F94B7C" w:rsidRPr="003347A6">
        <w:t>[</w:t>
      </w:r>
      <w:r w:rsidR="00F12EEA" w:rsidRPr="003347A6">
        <w:t>MDS del(5q)</w:t>
      </w:r>
      <w:r w:rsidR="00F94B7C" w:rsidRPr="003347A6">
        <w:t>]</w:t>
      </w:r>
      <w:r w:rsidR="00F12EEA" w:rsidRPr="003347A6">
        <w:t xml:space="preserve"> </w:t>
      </w:r>
      <w:r w:rsidRPr="003347A6">
        <w:t>when other therapeutic options are insufficient or inadequate</w:t>
      </w:r>
      <w:r w:rsidR="00EA24B1" w:rsidRPr="003347A6">
        <w:t xml:space="preserve"> </w:t>
      </w:r>
      <w:r w:rsidR="009114DE" w:rsidRPr="003347A6">
        <w:rPr>
          <w:noProof/>
        </w:rPr>
        <w:t>[</w:t>
      </w:r>
      <w:r w:rsidR="005039B8" w:rsidRPr="003347A6">
        <w:rPr>
          <w:noProof/>
        </w:rPr>
        <w:t>1</w:t>
      </w:r>
      <w:r w:rsidR="009114DE" w:rsidRPr="003347A6">
        <w:rPr>
          <w:noProof/>
        </w:rPr>
        <w:t>]</w:t>
      </w:r>
      <w:r w:rsidR="00775139" w:rsidRPr="003347A6">
        <w:t>.</w:t>
      </w:r>
      <w:r w:rsidRPr="003347A6">
        <w:t xml:space="preserve"> By maintaining patients independent</w:t>
      </w:r>
      <w:r w:rsidR="0068782A" w:rsidRPr="003347A6">
        <w:t>ly</w:t>
      </w:r>
      <w:r w:rsidRPr="003347A6">
        <w:t xml:space="preserve"> </w:t>
      </w:r>
      <w:r w:rsidR="00B22674" w:rsidRPr="003347A6">
        <w:t xml:space="preserve">of </w:t>
      </w:r>
      <w:r w:rsidRPr="003347A6">
        <w:t>blood transfusions, lenalidomide could prevent the accelerating morbidity, mortality and quality of life impairment associated with MDS disease progression.</w:t>
      </w:r>
    </w:p>
    <w:p w14:paraId="5431420E" w14:textId="591A696E" w:rsidR="00D652E9" w:rsidRPr="003347A6" w:rsidRDefault="00D652E9" w:rsidP="003874B9">
      <w:r w:rsidRPr="003347A6">
        <w:t xml:space="preserve">The mainstay of treatment for </w:t>
      </w:r>
      <w:r w:rsidR="00F94B7C" w:rsidRPr="003347A6">
        <w:t>L</w:t>
      </w:r>
      <w:r w:rsidRPr="003347A6">
        <w:t>ow</w:t>
      </w:r>
      <w:r w:rsidR="00BD0420" w:rsidRPr="003347A6">
        <w:t>-</w:t>
      </w:r>
      <w:r w:rsidRPr="003347A6">
        <w:t xml:space="preserve"> and </w:t>
      </w:r>
      <w:r w:rsidR="00F94B7C" w:rsidRPr="003347A6">
        <w:t>I</w:t>
      </w:r>
      <w:r w:rsidRPr="003347A6">
        <w:t>ntermediate-</w:t>
      </w:r>
      <w:r w:rsidR="00BD0420" w:rsidRPr="003347A6">
        <w:t>1-</w:t>
      </w:r>
      <w:r w:rsidRPr="003347A6">
        <w:t xml:space="preserve">risk </w:t>
      </w:r>
      <w:r w:rsidR="003B34E0" w:rsidRPr="003347A6">
        <w:t>MDS del(5q) within the UK at the time of analysis was</w:t>
      </w:r>
      <w:r w:rsidRPr="003347A6">
        <w:t xml:space="preserve"> best supportive care (</w:t>
      </w:r>
      <w:r w:rsidR="00FD40D2" w:rsidRPr="003347A6">
        <w:t xml:space="preserve">BSC; </w:t>
      </w:r>
      <w:r w:rsidRPr="003347A6">
        <w:t>blood transfusions, growth factors and antibiotics) to control the symptoms of bone marrow failure</w:t>
      </w:r>
      <w:r w:rsidR="00B22674" w:rsidRPr="003347A6">
        <w:t>,</w:t>
      </w:r>
      <w:r w:rsidRPr="003347A6">
        <w:t xml:space="preserve"> and most patients quickly become red blood cell transfusion dependent (RBC</w:t>
      </w:r>
      <w:r w:rsidR="00F94B7C" w:rsidRPr="003347A6">
        <w:t>-</w:t>
      </w:r>
      <w:r w:rsidRPr="003347A6">
        <w:t>TD)</w:t>
      </w:r>
      <w:r w:rsidR="00EA24B1" w:rsidRPr="003347A6">
        <w:t xml:space="preserve"> </w:t>
      </w:r>
      <w:r w:rsidR="009114DE" w:rsidRPr="003347A6">
        <w:rPr>
          <w:noProof/>
        </w:rPr>
        <w:t>[</w:t>
      </w:r>
      <w:r w:rsidR="005039B8" w:rsidRPr="003347A6">
        <w:rPr>
          <w:noProof/>
        </w:rPr>
        <w:t>2</w:t>
      </w:r>
      <w:r w:rsidR="009114DE" w:rsidRPr="003347A6">
        <w:rPr>
          <w:noProof/>
        </w:rPr>
        <w:t>]</w:t>
      </w:r>
      <w:r w:rsidR="00775139" w:rsidRPr="003347A6">
        <w:t>.</w:t>
      </w:r>
      <w:r w:rsidRPr="003347A6">
        <w:t xml:space="preserve"> Erythropoiesis-stimulating agents (ESA</w:t>
      </w:r>
      <w:r w:rsidR="008D364D" w:rsidRPr="003347A6">
        <w:t>s</w:t>
      </w:r>
      <w:r w:rsidRPr="003347A6">
        <w:t xml:space="preserve">) and granulocyte colony-stimulating factor (G-CSF) </w:t>
      </w:r>
      <w:r w:rsidR="003B34E0" w:rsidRPr="003347A6">
        <w:t>were</w:t>
      </w:r>
      <w:r w:rsidRPr="003347A6">
        <w:t xml:space="preserve"> sometimes used successfully, but data show that the response to these treatments could be lower in MDS del(5q) than in other low-risk MDS patients</w:t>
      </w:r>
      <w:r w:rsidR="00EA24B1" w:rsidRPr="003347A6">
        <w:t xml:space="preserve"> </w:t>
      </w:r>
      <w:r w:rsidR="009114DE" w:rsidRPr="003347A6">
        <w:rPr>
          <w:noProof/>
        </w:rPr>
        <w:t>[</w:t>
      </w:r>
      <w:r w:rsidR="005039B8" w:rsidRPr="003347A6">
        <w:rPr>
          <w:noProof/>
        </w:rPr>
        <w:t>3</w:t>
      </w:r>
      <w:r w:rsidR="009114DE" w:rsidRPr="003347A6">
        <w:rPr>
          <w:noProof/>
        </w:rPr>
        <w:t>]</w:t>
      </w:r>
      <w:r w:rsidR="00775139" w:rsidRPr="003347A6">
        <w:t>.</w:t>
      </w:r>
      <w:r w:rsidRPr="003347A6">
        <w:t xml:space="preserve"> </w:t>
      </w:r>
      <w:r w:rsidR="00FD40D2" w:rsidRPr="003347A6">
        <w:t xml:space="preserve">In the model base </w:t>
      </w:r>
      <w:r w:rsidR="00B22674" w:rsidRPr="003347A6">
        <w:t>case,</w:t>
      </w:r>
      <w:r w:rsidR="00FD40D2" w:rsidRPr="003347A6">
        <w:t xml:space="preserve"> it was assumed </w:t>
      </w:r>
      <w:r w:rsidR="00B22674" w:rsidRPr="003347A6">
        <w:t xml:space="preserve">that </w:t>
      </w:r>
      <w:r w:rsidR="00FD40D2" w:rsidRPr="003347A6">
        <w:t xml:space="preserve">28% of </w:t>
      </w:r>
      <w:r w:rsidR="00B22674" w:rsidRPr="003347A6">
        <w:t xml:space="preserve">patients </w:t>
      </w:r>
      <w:r w:rsidR="00FD40D2" w:rsidRPr="003347A6">
        <w:t>would receive ESA</w:t>
      </w:r>
      <w:r w:rsidR="008D364D" w:rsidRPr="003347A6">
        <w:t>s</w:t>
      </w:r>
      <w:r w:rsidR="00B22674" w:rsidRPr="003347A6">
        <w:t>,</w:t>
      </w:r>
      <w:r w:rsidR="00FD40D2" w:rsidRPr="003347A6">
        <w:t xml:space="preserve"> and </w:t>
      </w:r>
      <w:r w:rsidR="00AF7BC8" w:rsidRPr="003347A6">
        <w:t xml:space="preserve">72% would receive </w:t>
      </w:r>
      <w:r w:rsidR="00FD40D2" w:rsidRPr="003347A6">
        <w:t>BSC</w:t>
      </w:r>
      <w:r w:rsidR="00B22674" w:rsidRPr="003347A6">
        <w:t>,</w:t>
      </w:r>
      <w:r w:rsidR="00FD40D2" w:rsidRPr="003347A6">
        <w:t xml:space="preserve"> based upon prior ESA use in the MM-004 trial.</w:t>
      </w:r>
      <w:r w:rsidR="005C532F" w:rsidRPr="003347A6">
        <w:t xml:space="preserve"> Comparison</w:t>
      </w:r>
      <w:r w:rsidR="00B22674" w:rsidRPr="003347A6">
        <w:t>s</w:t>
      </w:r>
      <w:r w:rsidR="005C532F" w:rsidRPr="003347A6">
        <w:t xml:space="preserve"> </w:t>
      </w:r>
      <w:r w:rsidR="00F94B7C" w:rsidRPr="003347A6">
        <w:t>of</w:t>
      </w:r>
      <w:r w:rsidR="005C532F" w:rsidRPr="003347A6">
        <w:t xml:space="preserve"> all patients using ESA</w:t>
      </w:r>
      <w:r w:rsidR="008D364D" w:rsidRPr="003347A6">
        <w:t>s</w:t>
      </w:r>
      <w:r w:rsidR="005C532F" w:rsidRPr="003347A6">
        <w:t xml:space="preserve"> and </w:t>
      </w:r>
      <w:r w:rsidR="0076571B" w:rsidRPr="003347A6">
        <w:t>those</w:t>
      </w:r>
      <w:r w:rsidR="005C532F" w:rsidRPr="003347A6">
        <w:t xml:space="preserve"> receiving only transfusions as required are provided as sensitivity analysis</w:t>
      </w:r>
      <w:r w:rsidR="00B22674" w:rsidRPr="003347A6">
        <w:t xml:space="preserve"> results</w:t>
      </w:r>
      <w:r w:rsidR="005C532F" w:rsidRPr="003347A6">
        <w:t>.</w:t>
      </w:r>
    </w:p>
    <w:p w14:paraId="00C007AE" w14:textId="77777777" w:rsidR="00772236" w:rsidRPr="003347A6" w:rsidRDefault="00772236" w:rsidP="009114DE">
      <w:pPr>
        <w:pStyle w:val="Heading2"/>
        <w:numPr>
          <w:ilvl w:val="1"/>
          <w:numId w:val="44"/>
        </w:numPr>
      </w:pPr>
      <w:r w:rsidRPr="003347A6">
        <w:t>Source of effectiveness data</w:t>
      </w:r>
    </w:p>
    <w:p w14:paraId="61F34399" w14:textId="64C90E79" w:rsidR="00FD40D2" w:rsidRPr="003347A6" w:rsidRDefault="00A11BF0" w:rsidP="003874B9">
      <w:r w:rsidRPr="003347A6">
        <w:t xml:space="preserve">The model was </w:t>
      </w:r>
      <w:r w:rsidR="00D652E9" w:rsidRPr="003347A6">
        <w:t>parametrised using data from the</w:t>
      </w:r>
      <w:r w:rsidR="00A2307E" w:rsidRPr="003347A6">
        <w:t xml:space="preserve"> </w:t>
      </w:r>
      <w:r w:rsidR="0076571B" w:rsidRPr="003347A6">
        <w:t>intention</w:t>
      </w:r>
      <w:r w:rsidR="00F94B7C" w:rsidRPr="003347A6">
        <w:t>-</w:t>
      </w:r>
      <w:r w:rsidR="0076571B" w:rsidRPr="003347A6">
        <w:t>to</w:t>
      </w:r>
      <w:r w:rsidR="00F94B7C" w:rsidRPr="003347A6">
        <w:t>-</w:t>
      </w:r>
      <w:r w:rsidR="0076571B" w:rsidRPr="003347A6">
        <w:t>treat (</w:t>
      </w:r>
      <w:r w:rsidR="00A2307E" w:rsidRPr="003347A6">
        <w:t>ITT</w:t>
      </w:r>
      <w:r w:rsidR="0076571B" w:rsidRPr="003347A6">
        <w:t>)</w:t>
      </w:r>
      <w:r w:rsidR="00A2307E" w:rsidRPr="003347A6">
        <w:t xml:space="preserve"> population of the </w:t>
      </w:r>
      <w:r w:rsidRPr="003347A6">
        <w:t xml:space="preserve">MDS-004 </w:t>
      </w:r>
      <w:r w:rsidR="00D652E9" w:rsidRPr="003347A6">
        <w:t>trial for lenalidomide at the licensed dose (10</w:t>
      </w:r>
      <w:r w:rsidR="00640C4B" w:rsidRPr="003347A6">
        <w:t xml:space="preserve"> </w:t>
      </w:r>
      <w:r w:rsidR="00D652E9" w:rsidRPr="003347A6">
        <w:t>mg)</w:t>
      </w:r>
      <w:r w:rsidRPr="003347A6">
        <w:t xml:space="preserve"> </w:t>
      </w:r>
      <w:r w:rsidR="00D652E9" w:rsidRPr="003347A6">
        <w:t>and placebo (</w:t>
      </w:r>
      <w:r w:rsidR="00FD40D2" w:rsidRPr="003347A6">
        <w:t>BSC</w:t>
      </w:r>
      <w:r w:rsidR="00D652E9" w:rsidRPr="003347A6">
        <w:t>)</w:t>
      </w:r>
      <w:r w:rsidRPr="003347A6">
        <w:t xml:space="preserve">. </w:t>
      </w:r>
      <w:r w:rsidR="00A2307E" w:rsidRPr="003347A6">
        <w:t>This population include</w:t>
      </w:r>
      <w:r w:rsidR="00DC1864" w:rsidRPr="003347A6">
        <w:t>d</w:t>
      </w:r>
      <w:r w:rsidR="00A2307E" w:rsidRPr="003347A6">
        <w:t xml:space="preserve"> a small number of patients falling outside of the licensed population who either had unconfirmed MDS at randomisation, had additional cytogenetic abnormalities or </w:t>
      </w:r>
      <w:r w:rsidR="00A2307E" w:rsidRPr="003347A6">
        <w:lastRenderedPageBreak/>
        <w:t xml:space="preserve">had potentially not satisfied the criteria that other therapeutic options </w:t>
      </w:r>
      <w:r w:rsidR="00640C4B" w:rsidRPr="003347A6">
        <w:t>we</w:t>
      </w:r>
      <w:r w:rsidR="00A2307E" w:rsidRPr="003347A6">
        <w:t xml:space="preserve">re insufficient or inadequate. </w:t>
      </w:r>
      <w:r w:rsidR="00C95528" w:rsidRPr="003347A6">
        <w:t xml:space="preserve">However, the </w:t>
      </w:r>
      <w:r w:rsidR="00A2307E" w:rsidRPr="003347A6">
        <w:t>MDS-004 trial was not powered to show differences in the sub-group selected for marketing authorisation; the majority of patients enrolled in the trial had received previous treatment with ESA</w:t>
      </w:r>
      <w:r w:rsidR="008D364D" w:rsidRPr="003347A6">
        <w:t>s</w:t>
      </w:r>
      <w:r w:rsidR="00A2307E" w:rsidRPr="003347A6">
        <w:t xml:space="preserve"> or had a baseline EPO level &gt;500</w:t>
      </w:r>
      <w:r w:rsidR="00640C4B" w:rsidRPr="003347A6">
        <w:t xml:space="preserve"> </w:t>
      </w:r>
      <w:proofErr w:type="spellStart"/>
      <w:r w:rsidR="00A2307E" w:rsidRPr="003347A6">
        <w:t>mlU</w:t>
      </w:r>
      <w:proofErr w:type="spellEnd"/>
      <w:r w:rsidR="00A2307E" w:rsidRPr="003347A6">
        <w:t>/ml (77.6%)</w:t>
      </w:r>
      <w:r w:rsidR="00B22674" w:rsidRPr="003347A6">
        <w:t>,</w:t>
      </w:r>
      <w:r w:rsidR="00A2307E" w:rsidRPr="003347A6">
        <w:t xml:space="preserve"> and most patients in the ITT population had isolated del(5q) (n=135 in the isolated del(5q) subgroup compared to n=205 for the ITT population).</w:t>
      </w:r>
      <w:r w:rsidR="00533367" w:rsidRPr="003347A6">
        <w:t xml:space="preserve"> None of the factors used to define the licensed subgroup of patients were prognostically significant within the MDS-004 trial.</w:t>
      </w:r>
    </w:p>
    <w:p w14:paraId="4C7536EC" w14:textId="103D3085" w:rsidR="00DA00F6" w:rsidRPr="003347A6" w:rsidRDefault="00DA00F6" w:rsidP="003874B9">
      <w:r w:rsidRPr="003347A6">
        <w:t xml:space="preserve">The major goal of treatment of patients </w:t>
      </w:r>
      <w:r w:rsidR="00640C4B" w:rsidRPr="003347A6">
        <w:t xml:space="preserve">with MDS </w:t>
      </w:r>
      <w:r w:rsidRPr="003347A6">
        <w:t>is the achievement of transfusion independe</w:t>
      </w:r>
      <w:r w:rsidR="00B22674" w:rsidRPr="003347A6">
        <w:t>n</w:t>
      </w:r>
      <w:r w:rsidRPr="003347A6">
        <w:t>ce</w:t>
      </w:r>
      <w:r w:rsidR="008930F8" w:rsidRPr="003347A6">
        <w:t xml:space="preserve"> (TI)</w:t>
      </w:r>
      <w:r w:rsidR="00775139" w:rsidRPr="003347A6" w:rsidDel="00775139">
        <w:t xml:space="preserve"> </w:t>
      </w:r>
      <w:r w:rsidR="009114DE" w:rsidRPr="003347A6">
        <w:rPr>
          <w:noProof/>
        </w:rPr>
        <w:t>[</w:t>
      </w:r>
      <w:r w:rsidR="005039B8" w:rsidRPr="003347A6">
        <w:rPr>
          <w:noProof/>
        </w:rPr>
        <w:t>4</w:t>
      </w:r>
      <w:r w:rsidR="009114DE" w:rsidRPr="003347A6">
        <w:rPr>
          <w:noProof/>
        </w:rPr>
        <w:t xml:space="preserve">, </w:t>
      </w:r>
      <w:r w:rsidR="005039B8" w:rsidRPr="003347A6">
        <w:rPr>
          <w:noProof/>
        </w:rPr>
        <w:t>5</w:t>
      </w:r>
      <w:r w:rsidR="009114DE" w:rsidRPr="003347A6">
        <w:rPr>
          <w:noProof/>
        </w:rPr>
        <w:t>]</w:t>
      </w:r>
      <w:r w:rsidR="00775139" w:rsidRPr="003347A6">
        <w:t>.</w:t>
      </w:r>
      <w:r w:rsidRPr="003347A6">
        <w:t xml:space="preserve"> Within the MDS-004 trial</w:t>
      </w:r>
      <w:r w:rsidR="00B22674" w:rsidRPr="003347A6">
        <w:t>,</w:t>
      </w:r>
      <w:r w:rsidRPr="003347A6">
        <w:t xml:space="preserve"> 60.9% of patients receiving lenalidomide 10</w:t>
      </w:r>
      <w:r w:rsidR="00640C4B" w:rsidRPr="003347A6">
        <w:t xml:space="preserve"> </w:t>
      </w:r>
      <w:r w:rsidRPr="003347A6">
        <w:t xml:space="preserve">mg achieved </w:t>
      </w:r>
      <w:r w:rsidR="008930F8" w:rsidRPr="003347A6">
        <w:t>TI</w:t>
      </w:r>
      <w:r w:rsidRPr="003347A6">
        <w:t xml:space="preserve"> (responded) for ≥8 weeks</w:t>
      </w:r>
      <w:r w:rsidR="00B22674" w:rsidRPr="003347A6">
        <w:t>,</w:t>
      </w:r>
      <w:r w:rsidRPr="003347A6">
        <w:t xml:space="preserve"> and 55.1% achieved TI status for ≥26 weeks</w:t>
      </w:r>
      <w:r w:rsidR="00B22674" w:rsidRPr="003347A6">
        <w:t>,</w:t>
      </w:r>
      <w:r w:rsidRPr="003347A6">
        <w:t xml:space="preserve"> compared to 7.5% and 6% of patients, respectively, </w:t>
      </w:r>
      <w:r w:rsidR="00EA24B1" w:rsidRPr="003347A6">
        <w:t xml:space="preserve">in </w:t>
      </w:r>
      <w:r w:rsidRPr="003347A6">
        <w:t>the placebo arm (p&lt;0.001)</w:t>
      </w:r>
      <w:r w:rsidR="00EA24B1" w:rsidRPr="003347A6">
        <w:t xml:space="preserve"> </w:t>
      </w:r>
      <w:r w:rsidR="009114DE" w:rsidRPr="003347A6">
        <w:rPr>
          <w:noProof/>
        </w:rPr>
        <w:t>[</w:t>
      </w:r>
      <w:r w:rsidR="005039B8" w:rsidRPr="003347A6">
        <w:rPr>
          <w:noProof/>
        </w:rPr>
        <w:t>4</w:t>
      </w:r>
      <w:r w:rsidR="009114DE" w:rsidRPr="003347A6">
        <w:rPr>
          <w:noProof/>
        </w:rPr>
        <w:t>]</w:t>
      </w:r>
      <w:r w:rsidR="00EA24B1" w:rsidRPr="003347A6">
        <w:t>.</w:t>
      </w:r>
      <w:r w:rsidRPr="003347A6">
        <w:t xml:space="preserve"> </w:t>
      </w:r>
    </w:p>
    <w:p w14:paraId="47C8E815" w14:textId="762EC0B3" w:rsidR="00DA00F6" w:rsidRPr="003347A6" w:rsidRDefault="00DA00F6" w:rsidP="003874B9">
      <w:r w:rsidRPr="003347A6">
        <w:t>The proportion of patients responding to treatment was taken directly from the MDS-004 trial for lenalidomide</w:t>
      </w:r>
      <w:r w:rsidR="00B22674" w:rsidRPr="003347A6">
        <w:t>,</w:t>
      </w:r>
      <w:r w:rsidRPr="003347A6">
        <w:t xml:space="preserve"> and placebo response rates </w:t>
      </w:r>
      <w:r w:rsidR="00423226" w:rsidRPr="003347A6">
        <w:t xml:space="preserve">were </w:t>
      </w:r>
      <w:r w:rsidRPr="003347A6">
        <w:t>used for patients receiving only transfusions</w:t>
      </w:r>
      <w:r w:rsidR="00EA24B1" w:rsidRPr="003347A6">
        <w:t xml:space="preserve"> </w:t>
      </w:r>
      <w:r w:rsidR="009114DE" w:rsidRPr="003347A6">
        <w:rPr>
          <w:noProof/>
        </w:rPr>
        <w:t>[</w:t>
      </w:r>
      <w:r w:rsidR="005039B8" w:rsidRPr="003347A6">
        <w:rPr>
          <w:noProof/>
        </w:rPr>
        <w:t>4</w:t>
      </w:r>
      <w:r w:rsidR="009114DE" w:rsidRPr="003347A6">
        <w:rPr>
          <w:noProof/>
        </w:rPr>
        <w:t>]</w:t>
      </w:r>
      <w:r w:rsidR="00775139" w:rsidRPr="003347A6">
        <w:t>.</w:t>
      </w:r>
      <w:r w:rsidRPr="003347A6">
        <w:t xml:space="preserve"> Patients receiving ESA</w:t>
      </w:r>
      <w:r w:rsidR="008D364D" w:rsidRPr="003347A6">
        <w:t>s</w:t>
      </w:r>
      <w:r w:rsidRPr="003347A6">
        <w:t xml:space="preserve"> with or without G-CSF have a greater chance of response than with transfusions alone</w:t>
      </w:r>
      <w:r w:rsidR="00EA24B1" w:rsidRPr="003347A6">
        <w:t xml:space="preserve"> </w:t>
      </w:r>
      <w:r w:rsidR="009114DE" w:rsidRPr="003347A6">
        <w:rPr>
          <w:noProof/>
        </w:rPr>
        <w:t>[</w:t>
      </w:r>
      <w:r w:rsidR="00B77056" w:rsidRPr="003347A6">
        <w:rPr>
          <w:noProof/>
        </w:rPr>
        <w:t>5-</w:t>
      </w:r>
      <w:r w:rsidR="005039B8" w:rsidRPr="003347A6">
        <w:rPr>
          <w:noProof/>
        </w:rPr>
        <w:t>7</w:t>
      </w:r>
      <w:r w:rsidR="009114DE" w:rsidRPr="003347A6">
        <w:rPr>
          <w:noProof/>
        </w:rPr>
        <w:t>]</w:t>
      </w:r>
      <w:r w:rsidR="00775139" w:rsidRPr="003347A6">
        <w:t>.</w:t>
      </w:r>
      <w:r w:rsidRPr="003347A6">
        <w:t xml:space="preserve"> As there was no ESA usage in the trial, available literature was used to estimate response rates in these patients. Published response rates to ESA</w:t>
      </w:r>
      <w:r w:rsidR="008D364D" w:rsidRPr="003347A6">
        <w:t>s</w:t>
      </w:r>
      <w:r w:rsidRPr="003347A6">
        <w:t xml:space="preserve"> within the overall MDS population range from 10 to 49%, compared to </w:t>
      </w:r>
      <w:r w:rsidR="0090099B" w:rsidRPr="003347A6">
        <w:t xml:space="preserve">approximately </w:t>
      </w:r>
      <w:r w:rsidRPr="003347A6">
        <w:t>50.6% with G-CSF. However, published literature shows that del(5q) patients have a significantly lower response rate and</w:t>
      </w:r>
      <w:r w:rsidR="00B22674" w:rsidRPr="003347A6">
        <w:t xml:space="preserve"> a</w:t>
      </w:r>
      <w:r w:rsidRPr="003347A6">
        <w:t xml:space="preserve"> significantly shorter duration of response to ESAs</w:t>
      </w:r>
      <w:r w:rsidR="00EA24B1" w:rsidRPr="003347A6">
        <w:t xml:space="preserve"> </w:t>
      </w:r>
      <w:r w:rsidR="009114DE" w:rsidRPr="003347A6">
        <w:rPr>
          <w:noProof/>
        </w:rPr>
        <w:t>[</w:t>
      </w:r>
      <w:r w:rsidR="005039B8" w:rsidRPr="003347A6">
        <w:rPr>
          <w:noProof/>
        </w:rPr>
        <w:t>5</w:t>
      </w:r>
      <w:r w:rsidR="00B77056" w:rsidRPr="003347A6">
        <w:rPr>
          <w:noProof/>
        </w:rPr>
        <w:t>-</w:t>
      </w:r>
      <w:r w:rsidR="005039B8" w:rsidRPr="003347A6">
        <w:rPr>
          <w:noProof/>
        </w:rPr>
        <w:t>7</w:t>
      </w:r>
      <w:r w:rsidR="009114DE" w:rsidRPr="003347A6">
        <w:rPr>
          <w:noProof/>
        </w:rPr>
        <w:t>]</w:t>
      </w:r>
      <w:r w:rsidR="00775139" w:rsidRPr="003347A6">
        <w:t>.</w:t>
      </w:r>
      <w:r w:rsidRPr="003347A6">
        <w:t xml:space="preserve"> </w:t>
      </w:r>
    </w:p>
    <w:p w14:paraId="017C3A23" w14:textId="5826C759" w:rsidR="00DA00F6" w:rsidRPr="003347A6" w:rsidRDefault="00DA00F6" w:rsidP="003874B9">
      <w:r w:rsidRPr="003347A6">
        <w:t>Therefore</w:t>
      </w:r>
      <w:r w:rsidR="00295B7B" w:rsidRPr="003347A6">
        <w:t>,</w:t>
      </w:r>
      <w:r w:rsidRPr="003347A6">
        <w:t xml:space="preserve"> to estimate ESA response for the MDS-004 trial population, patients in the trial were categorised into three predictive groups based on criteria from </w:t>
      </w:r>
      <w:proofErr w:type="spellStart"/>
      <w:r w:rsidRPr="003347A6">
        <w:t>Hellstr</w:t>
      </w:r>
      <w:r w:rsidR="00DF1D87" w:rsidRPr="003347A6">
        <w:t>o</w:t>
      </w:r>
      <w:r w:rsidRPr="003347A6">
        <w:t>m</w:t>
      </w:r>
      <w:proofErr w:type="spellEnd"/>
      <w:r w:rsidRPr="003347A6">
        <w:t>-Lindberg et al.</w:t>
      </w:r>
      <w:r w:rsidR="00EA24B1" w:rsidRPr="003347A6">
        <w:t xml:space="preserve"> </w:t>
      </w:r>
      <w:r w:rsidR="009114DE" w:rsidRPr="003347A6">
        <w:rPr>
          <w:noProof/>
        </w:rPr>
        <w:t>[</w:t>
      </w:r>
      <w:r w:rsidR="005039B8" w:rsidRPr="003347A6">
        <w:rPr>
          <w:noProof/>
        </w:rPr>
        <w:t>8</w:t>
      </w:r>
      <w:r w:rsidR="009114DE" w:rsidRPr="003347A6">
        <w:rPr>
          <w:noProof/>
        </w:rPr>
        <w:t>]</w:t>
      </w:r>
      <w:r w:rsidR="00423226" w:rsidRPr="003347A6">
        <w:t>.</w:t>
      </w:r>
      <w:r w:rsidRPr="003347A6">
        <w:t xml:space="preserve"> Response rates to ESA</w:t>
      </w:r>
      <w:r w:rsidR="00A607EA" w:rsidRPr="003347A6">
        <w:t>s</w:t>
      </w:r>
      <w:r w:rsidRPr="003347A6">
        <w:t xml:space="preserve"> in combination with G-CSF</w:t>
      </w:r>
      <w:r w:rsidRPr="003347A6" w:rsidDel="005F083D">
        <w:t xml:space="preserve"> </w:t>
      </w:r>
      <w:r w:rsidRPr="003347A6">
        <w:t xml:space="preserve">for these groups were reported by </w:t>
      </w:r>
      <w:proofErr w:type="spellStart"/>
      <w:r w:rsidRPr="003347A6">
        <w:t>Jädersten</w:t>
      </w:r>
      <w:proofErr w:type="spellEnd"/>
      <w:r w:rsidRPr="003347A6">
        <w:t xml:space="preserve"> et al</w:t>
      </w:r>
      <w:r w:rsidR="00C95528" w:rsidRPr="003347A6">
        <w:t>.</w:t>
      </w:r>
      <w:r w:rsidRPr="003347A6">
        <w:t xml:space="preserve">: 6% in the </w:t>
      </w:r>
      <w:r w:rsidR="00C95528" w:rsidRPr="003347A6">
        <w:t>low-</w:t>
      </w:r>
      <w:r w:rsidRPr="003347A6">
        <w:t xml:space="preserve">probability response group, 18% in the </w:t>
      </w:r>
      <w:r w:rsidR="00C95528" w:rsidRPr="003347A6">
        <w:t>intermediate-</w:t>
      </w:r>
      <w:r w:rsidRPr="003347A6">
        <w:t xml:space="preserve">probability group and 60% in the </w:t>
      </w:r>
      <w:r w:rsidR="00C95528" w:rsidRPr="003347A6">
        <w:t>high-</w:t>
      </w:r>
      <w:r w:rsidRPr="003347A6">
        <w:t>probability group</w:t>
      </w:r>
      <w:r w:rsidR="00EA24B1" w:rsidRPr="003347A6">
        <w:t xml:space="preserve"> </w:t>
      </w:r>
      <w:r w:rsidR="009114DE" w:rsidRPr="003347A6">
        <w:rPr>
          <w:noProof/>
        </w:rPr>
        <w:t>[</w:t>
      </w:r>
      <w:r w:rsidR="005039B8" w:rsidRPr="003347A6">
        <w:rPr>
          <w:noProof/>
        </w:rPr>
        <w:t>9</w:t>
      </w:r>
      <w:r w:rsidR="009114DE" w:rsidRPr="003347A6">
        <w:rPr>
          <w:noProof/>
        </w:rPr>
        <w:t>]</w:t>
      </w:r>
      <w:r w:rsidR="00775139" w:rsidRPr="003347A6">
        <w:t>.</w:t>
      </w:r>
      <w:r w:rsidRPr="003347A6">
        <w:t xml:space="preserve"> Patients in the ‘low’ predictive group are unlikely to be treated by ESA</w:t>
      </w:r>
      <w:r w:rsidR="00A607EA" w:rsidRPr="003347A6">
        <w:t>s</w:t>
      </w:r>
      <w:r w:rsidRPr="003347A6">
        <w:t xml:space="preserve"> or G-CSF. As such, in the model</w:t>
      </w:r>
      <w:r w:rsidR="00C95528" w:rsidRPr="003347A6">
        <w:t>,</w:t>
      </w:r>
      <w:r w:rsidRPr="003347A6">
        <w:t xml:space="preserve"> the response rates for the high</w:t>
      </w:r>
      <w:r w:rsidR="00C95528" w:rsidRPr="003347A6">
        <w:t>-</w:t>
      </w:r>
      <w:r w:rsidRPr="003347A6">
        <w:t xml:space="preserve"> and </w:t>
      </w:r>
      <w:r w:rsidR="00C95528" w:rsidRPr="003347A6">
        <w:t>intermediate-</w:t>
      </w:r>
      <w:r w:rsidRPr="003347A6">
        <w:t xml:space="preserve">probability groups were weighted with the proportion of </w:t>
      </w:r>
      <w:r w:rsidRPr="003347A6">
        <w:lastRenderedPageBreak/>
        <w:t>trial patients in those groups (</w:t>
      </w:r>
      <w:r w:rsidR="00C95528" w:rsidRPr="003347A6">
        <w:t xml:space="preserve">in the MDS-004 trial, </w:t>
      </w:r>
      <w:r w:rsidRPr="003347A6">
        <w:t xml:space="preserve">36.4% of patients were in the </w:t>
      </w:r>
      <w:r w:rsidR="00C95528" w:rsidRPr="003347A6">
        <w:t>intermediate-</w:t>
      </w:r>
      <w:r w:rsidRPr="003347A6">
        <w:t>probability group</w:t>
      </w:r>
      <w:r w:rsidR="00C95528" w:rsidRPr="003347A6">
        <w:t>,</w:t>
      </w:r>
      <w:r w:rsidRPr="003347A6">
        <w:t xml:space="preserve"> and 3.5% were in the </w:t>
      </w:r>
      <w:r w:rsidR="00C95528" w:rsidRPr="003347A6">
        <w:t>high-</w:t>
      </w:r>
      <w:r w:rsidRPr="003347A6">
        <w:t>probability group). This methodology provides an estimated response rate to ESA</w:t>
      </w:r>
      <w:r w:rsidR="00A607EA" w:rsidRPr="003347A6">
        <w:t>s</w:t>
      </w:r>
      <w:r w:rsidRPr="003347A6">
        <w:t xml:space="preserve"> in combination with G-CSF of 21.7%.</w:t>
      </w:r>
    </w:p>
    <w:p w14:paraId="15CEEF4A" w14:textId="0813E5CC" w:rsidR="00DA00F6" w:rsidRPr="003347A6" w:rsidRDefault="00DA00F6" w:rsidP="003874B9">
      <w:r w:rsidRPr="003347A6">
        <w:t>However, this rate is unlikely to be applicable to the UK because combination therapy is started upon the failure of ESA</w:t>
      </w:r>
      <w:r w:rsidR="00A607EA" w:rsidRPr="003347A6">
        <w:t>s</w:t>
      </w:r>
      <w:r w:rsidRPr="003347A6">
        <w:t xml:space="preserve"> alone. The response rate to monotherapy with either ESA</w:t>
      </w:r>
      <w:r w:rsidR="00A607EA" w:rsidRPr="003347A6">
        <w:t>s</w:t>
      </w:r>
      <w:r w:rsidRPr="003347A6">
        <w:t xml:space="preserve"> or G-CSF is assumed by </w:t>
      </w:r>
      <w:proofErr w:type="spellStart"/>
      <w:r w:rsidRPr="003347A6">
        <w:t>Balleari</w:t>
      </w:r>
      <w:proofErr w:type="spellEnd"/>
      <w:r w:rsidRPr="003347A6">
        <w:t xml:space="preserve"> et al</w:t>
      </w:r>
      <w:r w:rsidR="00C95528" w:rsidRPr="003347A6">
        <w:t>.</w:t>
      </w:r>
      <w:r w:rsidRPr="003347A6">
        <w:t xml:space="preserve"> to be half that of combination therapy</w:t>
      </w:r>
      <w:r w:rsidR="00EA24B1" w:rsidRPr="003347A6">
        <w:t xml:space="preserve"> </w:t>
      </w:r>
      <w:r w:rsidR="009114DE" w:rsidRPr="003347A6">
        <w:rPr>
          <w:noProof/>
        </w:rPr>
        <w:t>[</w:t>
      </w:r>
      <w:r w:rsidR="005039B8" w:rsidRPr="003347A6">
        <w:rPr>
          <w:noProof/>
        </w:rPr>
        <w:t>10</w:t>
      </w:r>
      <w:r w:rsidR="009114DE" w:rsidRPr="003347A6">
        <w:rPr>
          <w:noProof/>
        </w:rPr>
        <w:t>]</w:t>
      </w:r>
      <w:r w:rsidR="00775139" w:rsidRPr="003347A6">
        <w:t>.</w:t>
      </w:r>
      <w:r w:rsidRPr="003347A6">
        <w:t xml:space="preserve"> This assumption gives </w:t>
      </w:r>
      <w:r w:rsidR="00C95528" w:rsidRPr="003347A6">
        <w:t xml:space="preserve">a </w:t>
      </w:r>
      <w:r w:rsidRPr="003347A6">
        <w:t>response rate of 10.8% for ESA</w:t>
      </w:r>
      <w:r w:rsidR="00A607EA" w:rsidRPr="003347A6">
        <w:t>s</w:t>
      </w:r>
      <w:r w:rsidRPr="003347A6">
        <w:t xml:space="preserve"> alone and a response rate of 10.8% for G-CSF. </w:t>
      </w:r>
    </w:p>
    <w:p w14:paraId="0ECEED77" w14:textId="3D41CF4E" w:rsidR="000D30FB" w:rsidRPr="003347A6" w:rsidRDefault="00DA00F6" w:rsidP="003874B9">
      <w:r w:rsidRPr="003347A6">
        <w:t xml:space="preserve">Duration of response, time to </w:t>
      </w:r>
      <w:r w:rsidR="00D56EC1" w:rsidRPr="003347A6">
        <w:t>acute myeloid leukaemia (</w:t>
      </w:r>
      <w:r w:rsidRPr="003347A6">
        <w:t>AML</w:t>
      </w:r>
      <w:r w:rsidR="00D56EC1" w:rsidRPr="003347A6">
        <w:t>)</w:t>
      </w:r>
      <w:r w:rsidRPr="003347A6">
        <w:t xml:space="preserve"> progression and survival time for patients who do not progress to AML is modelled based upon patient</w:t>
      </w:r>
      <w:r w:rsidR="00423226" w:rsidRPr="003347A6">
        <w:t>-</w:t>
      </w:r>
      <w:r w:rsidRPr="003347A6">
        <w:t xml:space="preserve">level data from the MDS-004 trial. </w:t>
      </w:r>
      <w:r w:rsidR="00EA3925" w:rsidRPr="003347A6">
        <w:t xml:space="preserve">Exponential, Weibull, extreme-value, log-normal and log-logistic parametric </w:t>
      </w:r>
      <w:r w:rsidRPr="003347A6">
        <w:t>survival curves were fitted to patient</w:t>
      </w:r>
      <w:r w:rsidR="00423226" w:rsidRPr="003347A6">
        <w:t>-</w:t>
      </w:r>
      <w:r w:rsidRPr="003347A6">
        <w:t>level data from MDS-004</w:t>
      </w:r>
      <w:r w:rsidR="000D30FB" w:rsidRPr="003347A6">
        <w:t xml:space="preserve"> (</w:t>
      </w:r>
      <w:r w:rsidR="00804EB5" w:rsidRPr="003347A6">
        <w:t>Fig</w:t>
      </w:r>
      <w:r w:rsidR="00640C4B" w:rsidRPr="003347A6">
        <w:t>.</w:t>
      </w:r>
      <w:r w:rsidR="00804EB5" w:rsidRPr="003347A6">
        <w:t xml:space="preserve"> </w:t>
      </w:r>
      <w:r w:rsidR="00EB2052" w:rsidRPr="003347A6">
        <w:t>S</w:t>
      </w:r>
      <w:r w:rsidR="00FF00E8" w:rsidRPr="003347A6">
        <w:rPr>
          <w:noProof/>
        </w:rPr>
        <w:t>2</w:t>
      </w:r>
      <w:r w:rsidR="000D30FB" w:rsidRPr="003347A6">
        <w:t>). Progression to AML and survival were modelled based upon response (as opposed to trial arm). Goodness of fit for all curves was evaluated using the Integrated Brier Score (IBS)</w:t>
      </w:r>
      <w:r w:rsidR="00EA3925" w:rsidRPr="003347A6">
        <w:t xml:space="preserve"> [</w:t>
      </w:r>
      <w:r w:rsidR="00804EB5" w:rsidRPr="003347A6">
        <w:t>Fig</w:t>
      </w:r>
      <w:r w:rsidR="00640C4B" w:rsidRPr="003347A6">
        <w:t>.</w:t>
      </w:r>
      <w:r w:rsidR="00804EB5" w:rsidRPr="003347A6">
        <w:t xml:space="preserve"> </w:t>
      </w:r>
      <w:r w:rsidR="00EB2052" w:rsidRPr="003347A6">
        <w:t>S</w:t>
      </w:r>
      <w:r w:rsidR="00FF00E8" w:rsidRPr="003347A6">
        <w:rPr>
          <w:noProof/>
        </w:rPr>
        <w:t>3</w:t>
      </w:r>
      <w:r w:rsidR="00EA3925" w:rsidRPr="003347A6">
        <w:t>]</w:t>
      </w:r>
      <w:r w:rsidR="000D30FB" w:rsidRPr="003347A6">
        <w:t>, Akaike Information Criterion (AIC)</w:t>
      </w:r>
      <w:r w:rsidR="00EA3925" w:rsidRPr="003347A6">
        <w:t xml:space="preserve"> [</w:t>
      </w:r>
      <w:r w:rsidR="00804EB5" w:rsidRPr="003347A6">
        <w:t>Fig</w:t>
      </w:r>
      <w:r w:rsidR="00EB2052" w:rsidRPr="003347A6">
        <w:t>.</w:t>
      </w:r>
      <w:r w:rsidR="00804EB5" w:rsidRPr="003347A6">
        <w:t xml:space="preserve"> </w:t>
      </w:r>
      <w:r w:rsidR="00EB2052" w:rsidRPr="003347A6">
        <w:t>S</w:t>
      </w:r>
      <w:r w:rsidR="00FF00E8" w:rsidRPr="003347A6">
        <w:rPr>
          <w:noProof/>
        </w:rPr>
        <w:t>3</w:t>
      </w:r>
      <w:r w:rsidR="00EA3925" w:rsidRPr="003347A6">
        <w:t>]</w:t>
      </w:r>
      <w:r w:rsidR="000D30FB" w:rsidRPr="003347A6">
        <w:t>, visual fit to the Kaplan</w:t>
      </w:r>
      <w:r w:rsidR="005039B8" w:rsidRPr="003347A6">
        <w:t>–</w:t>
      </w:r>
      <w:r w:rsidR="000D30FB" w:rsidRPr="003347A6">
        <w:t>Meier curve and long-term plausibility of the estimates based upon expert opinion.</w:t>
      </w:r>
    </w:p>
    <w:p w14:paraId="7B840F71" w14:textId="2580CCE9" w:rsidR="000D30FB" w:rsidRPr="003347A6" w:rsidRDefault="000D30FB" w:rsidP="003874B9">
      <w:r w:rsidRPr="003347A6">
        <w:t>Log-rank tests were used to determine if there was a significant difference in response duration depending on whether a treatment was received as the first or second treatment within the trial</w:t>
      </w:r>
      <w:r w:rsidR="005039B8" w:rsidRPr="003347A6">
        <w:t>,</w:t>
      </w:r>
      <w:r w:rsidRPr="003347A6">
        <w:t xml:space="preserve"> i.e. whether crossover within the trial may have impacted upon results. The results showed that the order patients received treatment (and therefore crossover) did not have a significant impact on duration of response.</w:t>
      </w:r>
    </w:p>
    <w:p w14:paraId="30734F72" w14:textId="5171D788" w:rsidR="000D30FB" w:rsidRPr="003347A6" w:rsidRDefault="000D30FB" w:rsidP="003874B9">
      <w:proofErr w:type="gramStart"/>
      <w:r w:rsidRPr="003347A6">
        <w:t>In order to</w:t>
      </w:r>
      <w:proofErr w:type="gramEnd"/>
      <w:r w:rsidRPr="003347A6">
        <w:t xml:space="preserve"> determine the time that patients continued to respond to treatment</w:t>
      </w:r>
      <w:r w:rsidR="005039B8" w:rsidRPr="003347A6">
        <w:t>,</w:t>
      </w:r>
      <w:r w:rsidRPr="003347A6">
        <w:t xml:space="preserve"> response curves were calculated for ITT patients initially receiving the lenalidomide 10</w:t>
      </w:r>
      <w:r w:rsidR="00640C4B" w:rsidRPr="003347A6">
        <w:t xml:space="preserve"> </w:t>
      </w:r>
      <w:r w:rsidRPr="003347A6">
        <w:t xml:space="preserve">mg dose. Response curves could not be calculated for patients on the placebo arm as there were insufficient responses to provide data for a reasonable curve fit (only </w:t>
      </w:r>
      <w:r w:rsidR="00640C4B" w:rsidRPr="003347A6">
        <w:t>five</w:t>
      </w:r>
      <w:r w:rsidRPr="003347A6">
        <w:t xml:space="preserve"> patients responded and </w:t>
      </w:r>
      <w:r w:rsidR="00640C4B" w:rsidRPr="003347A6">
        <w:t>four</w:t>
      </w:r>
      <w:r w:rsidRPr="003347A6">
        <w:t xml:space="preserve"> of these were censored). Therefore</w:t>
      </w:r>
      <w:r w:rsidR="005039B8" w:rsidRPr="003347A6">
        <w:t>,</w:t>
      </w:r>
      <w:r w:rsidRPr="003347A6">
        <w:t xml:space="preserve"> the lenalidomide 5</w:t>
      </w:r>
      <w:r w:rsidR="00640C4B" w:rsidRPr="003347A6">
        <w:t xml:space="preserve"> </w:t>
      </w:r>
      <w:r w:rsidRPr="003347A6">
        <w:t xml:space="preserve">mg dose efficacy was used </w:t>
      </w:r>
      <w:r w:rsidRPr="003347A6">
        <w:lastRenderedPageBreak/>
        <w:t xml:space="preserve">as a proxy to determine the response curves for the </w:t>
      </w:r>
      <w:r w:rsidR="00640C4B" w:rsidRPr="003347A6">
        <w:t>BSC</w:t>
      </w:r>
      <w:r w:rsidRPr="003347A6">
        <w:t xml:space="preserve"> arm in the model. This most likely overestimates the treatment effect in the comparator arm. A lognormal model was selected in the model base case due to its low AIC value and low </w:t>
      </w:r>
      <w:r w:rsidR="00EA3925" w:rsidRPr="003347A6">
        <w:t>IBS</w:t>
      </w:r>
      <w:r w:rsidRPr="003347A6">
        <w:t>.</w:t>
      </w:r>
    </w:p>
    <w:p w14:paraId="58346096" w14:textId="4E77447F" w:rsidR="00EA3925" w:rsidRPr="003347A6" w:rsidRDefault="00EA3925" w:rsidP="00EA3925">
      <w:pPr>
        <w:rPr>
          <w:lang w:val="en-US"/>
        </w:rPr>
      </w:pPr>
      <w:r w:rsidRPr="003347A6">
        <w:t>For AML progression</w:t>
      </w:r>
      <w:r w:rsidR="00820A07" w:rsidRPr="003347A6">
        <w:t>,</w:t>
      </w:r>
      <w:r w:rsidRPr="003347A6">
        <w:t xml:space="preserve"> the base case model used the Weibull distribution as this had as a relatively low IBS and low AIC and offer</w:t>
      </w:r>
      <w:r w:rsidR="00640C4B" w:rsidRPr="003347A6">
        <w:t>ed</w:t>
      </w:r>
      <w:r w:rsidRPr="003347A6">
        <w:t xml:space="preserve"> a more clinically realistic fit than the extreme value distribution which, despite having the lowest IBS, predict</w:t>
      </w:r>
      <w:r w:rsidR="00640C4B" w:rsidRPr="003347A6">
        <w:t>ed</w:t>
      </w:r>
      <w:r w:rsidRPr="003347A6">
        <w:t xml:space="preserve"> 100% AML progression relatively quickly. The Weibull distribution was also selected to model </w:t>
      </w:r>
      <w:r w:rsidR="00820A07" w:rsidRPr="003347A6">
        <w:t>overall survival (</w:t>
      </w:r>
      <w:r w:rsidRPr="003347A6">
        <w:t>OS</w:t>
      </w:r>
      <w:r w:rsidR="00820A07" w:rsidRPr="003347A6">
        <w:t>)</w:t>
      </w:r>
      <w:r w:rsidRPr="003347A6">
        <w:t xml:space="preserve"> </w:t>
      </w:r>
      <w:r w:rsidRPr="003347A6">
        <w:rPr>
          <w:lang w:val="en-US"/>
        </w:rPr>
        <w:t>as it had a relatively low IBS</w:t>
      </w:r>
      <w:r w:rsidR="00BE6B38" w:rsidRPr="003347A6">
        <w:rPr>
          <w:lang w:val="en-US"/>
        </w:rPr>
        <w:t>,</w:t>
      </w:r>
      <w:r w:rsidRPr="003347A6">
        <w:rPr>
          <w:lang w:val="en-US"/>
        </w:rPr>
        <w:t xml:space="preserve"> a low AIC and long-term w</w:t>
      </w:r>
      <w:r w:rsidR="00BE6B38" w:rsidRPr="003347A6">
        <w:rPr>
          <w:lang w:val="en-US"/>
        </w:rPr>
        <w:t>as</w:t>
      </w:r>
      <w:r w:rsidRPr="003347A6">
        <w:rPr>
          <w:lang w:val="en-US"/>
        </w:rPr>
        <w:t xml:space="preserve"> considered plausible by clinical experts.</w:t>
      </w:r>
    </w:p>
    <w:p w14:paraId="446AF5E9" w14:textId="01D42E7A" w:rsidR="00EA3925" w:rsidRPr="003347A6" w:rsidRDefault="00EA3925" w:rsidP="003874B9">
      <w:r w:rsidRPr="003347A6">
        <w:rPr>
          <w:lang w:val="en-US"/>
        </w:rPr>
        <w:t xml:space="preserve">The cross-over of patients in the MDS-004 trial at </w:t>
      </w:r>
      <w:r w:rsidR="00820A07" w:rsidRPr="003347A6">
        <w:rPr>
          <w:lang w:val="en-US"/>
        </w:rPr>
        <w:t xml:space="preserve">Week </w:t>
      </w:r>
      <w:r w:rsidRPr="003347A6">
        <w:rPr>
          <w:lang w:val="en-US"/>
        </w:rPr>
        <w:t xml:space="preserve">16 precludes any long-term assessment of the impact of lenalidomide on survival compared to an untreated cohort. Reliance on MDS-004 trial data alone to extrapolate mean survival is therefore likely to result in an overestimate for BSC. </w:t>
      </w:r>
      <w:r w:rsidR="00000D91" w:rsidRPr="003347A6">
        <w:t xml:space="preserve">The median survival within the model for BSC was </w:t>
      </w:r>
      <w:r w:rsidRPr="003347A6">
        <w:t xml:space="preserve">therefore </w:t>
      </w:r>
      <w:r w:rsidR="00000D91" w:rsidRPr="003347A6">
        <w:t xml:space="preserve">adjusted to match the reported </w:t>
      </w:r>
      <w:r w:rsidR="006379E6" w:rsidRPr="003347A6">
        <w:t xml:space="preserve">combined </w:t>
      </w:r>
      <w:r w:rsidR="00000D91" w:rsidRPr="003347A6">
        <w:t>median survival for the MDS-003 and MDS-004 trials of 3.8 years (2.9, 4.8)</w:t>
      </w:r>
      <w:r w:rsidR="00EA24B1" w:rsidRPr="003347A6">
        <w:t xml:space="preserve"> </w:t>
      </w:r>
      <w:r w:rsidR="009114DE" w:rsidRPr="003347A6">
        <w:rPr>
          <w:noProof/>
        </w:rPr>
        <w:t>[</w:t>
      </w:r>
      <w:r w:rsidR="005039B8" w:rsidRPr="003347A6">
        <w:rPr>
          <w:noProof/>
        </w:rPr>
        <w:t>11</w:t>
      </w:r>
      <w:r w:rsidR="009114DE" w:rsidRPr="003347A6">
        <w:rPr>
          <w:noProof/>
        </w:rPr>
        <w:t>]</w:t>
      </w:r>
      <w:r w:rsidR="00775139" w:rsidRPr="003347A6">
        <w:t>.</w:t>
      </w:r>
      <w:r w:rsidR="00000D91" w:rsidRPr="003347A6">
        <w:t xml:space="preserve"> The adjustment has been applied to the scale parameter for the </w:t>
      </w:r>
      <w:r w:rsidR="00820A07" w:rsidRPr="003347A6">
        <w:t>OS</w:t>
      </w:r>
      <w:r w:rsidR="00000D91" w:rsidRPr="003347A6">
        <w:t xml:space="preserve"> curve for transfusion dependent patients</w:t>
      </w:r>
      <w:r w:rsidR="00EA6D6A" w:rsidRPr="003347A6">
        <w:t>,</w:t>
      </w:r>
      <w:r w:rsidR="00000D91" w:rsidRPr="003347A6">
        <w:t xml:space="preserve"> keeping the hazard ratio for the difference in survival between transfusion independent and dependent patients fixed as per the MDS-004 trial. </w:t>
      </w:r>
    </w:p>
    <w:p w14:paraId="3EBEA18E" w14:textId="77E4707B" w:rsidR="00DA00F6" w:rsidRPr="003347A6" w:rsidRDefault="00DA00F6" w:rsidP="003874B9">
      <w:r w:rsidRPr="003347A6">
        <w:t xml:space="preserve">More information on the survival curve fitting and adjustments made for crossover can be found in </w:t>
      </w:r>
      <w:r w:rsidR="00000D91" w:rsidRPr="003347A6">
        <w:t xml:space="preserve">the documentation used within the </w:t>
      </w:r>
      <w:r w:rsidR="008D364D" w:rsidRPr="003347A6">
        <w:t>National Institute for Health and Care Excellence (</w:t>
      </w:r>
      <w:r w:rsidR="00000D91" w:rsidRPr="003347A6">
        <w:t>NICE</w:t>
      </w:r>
      <w:r w:rsidR="008D364D" w:rsidRPr="003347A6">
        <w:t>)</w:t>
      </w:r>
      <w:r w:rsidR="00000D91" w:rsidRPr="003347A6">
        <w:t xml:space="preserve"> submission</w:t>
      </w:r>
      <w:r w:rsidR="00EA24B1" w:rsidRPr="003347A6">
        <w:t xml:space="preserve"> </w:t>
      </w:r>
      <w:r w:rsidR="009114DE" w:rsidRPr="003347A6">
        <w:rPr>
          <w:noProof/>
        </w:rPr>
        <w:t>[</w:t>
      </w:r>
      <w:r w:rsidR="005039B8" w:rsidRPr="003347A6">
        <w:rPr>
          <w:noProof/>
        </w:rPr>
        <w:t>12</w:t>
      </w:r>
      <w:r w:rsidR="009114DE" w:rsidRPr="003347A6">
        <w:rPr>
          <w:noProof/>
        </w:rPr>
        <w:t>]</w:t>
      </w:r>
      <w:r w:rsidR="00775139" w:rsidRPr="003347A6">
        <w:t>.</w:t>
      </w:r>
    </w:p>
    <w:p w14:paraId="5592C808" w14:textId="7348EC8F" w:rsidR="00DA00F6" w:rsidRPr="003347A6" w:rsidRDefault="00DA00F6" w:rsidP="003874B9">
      <w:r w:rsidRPr="003347A6">
        <w:t xml:space="preserve">AML mortality could not be estimated from the MDS-004 study because the number of </w:t>
      </w:r>
      <w:r w:rsidR="00151EDB" w:rsidRPr="003347A6">
        <w:t>deaths</w:t>
      </w:r>
      <w:r w:rsidRPr="003347A6">
        <w:t xml:space="preserve"> from AML was too low. Instead, the study </w:t>
      </w:r>
      <w:r w:rsidR="00151EDB" w:rsidRPr="003347A6">
        <w:t xml:space="preserve">by </w:t>
      </w:r>
      <w:proofErr w:type="spellStart"/>
      <w:r w:rsidRPr="003347A6">
        <w:t>Wahlin</w:t>
      </w:r>
      <w:proofErr w:type="spellEnd"/>
      <w:r w:rsidRPr="003347A6">
        <w:t xml:space="preserve"> et al</w:t>
      </w:r>
      <w:r w:rsidR="00775139" w:rsidRPr="003347A6">
        <w:t>.</w:t>
      </w:r>
      <w:r w:rsidR="00EA24B1" w:rsidRPr="003347A6">
        <w:t xml:space="preserve"> </w:t>
      </w:r>
      <w:r w:rsidR="009114DE" w:rsidRPr="003347A6">
        <w:rPr>
          <w:noProof/>
        </w:rPr>
        <w:t>[</w:t>
      </w:r>
      <w:r w:rsidR="005039B8" w:rsidRPr="003347A6">
        <w:rPr>
          <w:noProof/>
        </w:rPr>
        <w:t>13</w:t>
      </w:r>
      <w:r w:rsidR="009114DE" w:rsidRPr="003347A6">
        <w:rPr>
          <w:noProof/>
        </w:rPr>
        <w:t>]</w:t>
      </w:r>
      <w:r w:rsidRPr="003347A6">
        <w:t xml:space="preserve"> (2001) of older people with AML, including 113 people with MDS caused by 5q</w:t>
      </w:r>
      <w:r w:rsidR="00C95528" w:rsidRPr="003347A6">
        <w:t xml:space="preserve"> deletion</w:t>
      </w:r>
      <w:r w:rsidRPr="003347A6">
        <w:t xml:space="preserve">, was used to provide data. The log-normal function provided the best statistical fit to the </w:t>
      </w:r>
      <w:proofErr w:type="gramStart"/>
      <w:r w:rsidRPr="003347A6">
        <w:t>data</w:t>
      </w:r>
      <w:proofErr w:type="gramEnd"/>
      <w:r w:rsidRPr="003347A6">
        <w:t xml:space="preserve"> but this resulted in a ‘long tail’. This meant that some people remained alive for an unrealistically long time. Therefore, a Weibull distribution was chosen to estimate the survival time </w:t>
      </w:r>
      <w:r w:rsidR="008D364D" w:rsidRPr="003347A6">
        <w:t xml:space="preserve">and </w:t>
      </w:r>
      <w:r w:rsidRPr="003347A6">
        <w:t xml:space="preserve">avoid </w:t>
      </w:r>
      <w:r w:rsidR="003970F7" w:rsidRPr="003347A6">
        <w:t>this</w:t>
      </w:r>
      <w:r w:rsidR="00C11A10" w:rsidRPr="003347A6">
        <w:t xml:space="preserve"> discrepancy</w:t>
      </w:r>
      <w:r w:rsidRPr="003347A6">
        <w:t>.</w:t>
      </w:r>
    </w:p>
    <w:p w14:paraId="11A863F8" w14:textId="26739828" w:rsidR="00507E28" w:rsidRPr="003347A6" w:rsidRDefault="00030618" w:rsidP="00A538E8">
      <w:r w:rsidRPr="003347A6">
        <w:lastRenderedPageBreak/>
        <w:t>A full list of model p</w:t>
      </w:r>
      <w:r w:rsidR="00507E28" w:rsidRPr="003347A6">
        <w:t xml:space="preserve">arameters is provided in </w:t>
      </w:r>
      <w:r w:rsidR="00804EB5" w:rsidRPr="003347A6">
        <w:t xml:space="preserve">Table </w:t>
      </w:r>
      <w:r w:rsidR="00804EB5" w:rsidRPr="003347A6">
        <w:rPr>
          <w:noProof/>
        </w:rPr>
        <w:t>1</w:t>
      </w:r>
      <w:r w:rsidR="007745D4" w:rsidRPr="003347A6">
        <w:rPr>
          <w:noProof/>
        </w:rPr>
        <w:t xml:space="preserve"> [8-10, 14-27]</w:t>
      </w:r>
      <w:r w:rsidRPr="003347A6">
        <w:t>.</w:t>
      </w:r>
    </w:p>
    <w:p w14:paraId="5FCC4AD4" w14:textId="77777777" w:rsidR="00056EF1" w:rsidRPr="003347A6" w:rsidRDefault="00056EF1" w:rsidP="009114DE">
      <w:pPr>
        <w:pStyle w:val="Heading2"/>
        <w:numPr>
          <w:ilvl w:val="1"/>
          <w:numId w:val="44"/>
        </w:numPr>
      </w:pPr>
      <w:r w:rsidRPr="003347A6">
        <w:t>Safety</w:t>
      </w:r>
    </w:p>
    <w:p w14:paraId="3B5F9B01" w14:textId="3C86CEB7" w:rsidR="00056EF1" w:rsidRPr="003347A6" w:rsidRDefault="00056EF1" w:rsidP="003874B9">
      <w:r w:rsidRPr="003347A6">
        <w:t xml:space="preserve">Adverse event rates for patients receiving lenalidomide and the proportion of patients experiencing adverse events </w:t>
      </w:r>
      <w:r w:rsidR="0068234F" w:rsidRPr="003347A6">
        <w:t xml:space="preserve">that </w:t>
      </w:r>
      <w:r w:rsidRPr="003347A6">
        <w:t>required treatment were estimated using data from the MDS-004 trial</w:t>
      </w:r>
      <w:r w:rsidR="00EA24B1" w:rsidRPr="003347A6">
        <w:t xml:space="preserve"> </w:t>
      </w:r>
      <w:r w:rsidR="009114DE" w:rsidRPr="003347A6">
        <w:rPr>
          <w:noProof/>
        </w:rPr>
        <w:t>[</w:t>
      </w:r>
      <w:r w:rsidR="005039B8" w:rsidRPr="003347A6">
        <w:rPr>
          <w:noProof/>
        </w:rPr>
        <w:t>4</w:t>
      </w:r>
      <w:r w:rsidR="009114DE" w:rsidRPr="003347A6">
        <w:rPr>
          <w:noProof/>
        </w:rPr>
        <w:t>]</w:t>
      </w:r>
      <w:r w:rsidR="00775139" w:rsidRPr="003347A6">
        <w:t>.</w:t>
      </w:r>
      <w:r w:rsidRPr="003347A6">
        <w:t xml:space="preserve"> Neutropenia and thrombocytopenia were the only events that were both serious enough to warrant inclusion in the model and showed a difference between rates in the lenalidomide and placebo arms in the trial</w:t>
      </w:r>
      <w:r w:rsidR="00EA24B1" w:rsidRPr="003347A6">
        <w:t xml:space="preserve"> </w:t>
      </w:r>
      <w:r w:rsidR="009114DE" w:rsidRPr="003347A6">
        <w:rPr>
          <w:noProof/>
        </w:rPr>
        <w:t>[</w:t>
      </w:r>
      <w:r w:rsidR="005039B8" w:rsidRPr="003347A6">
        <w:rPr>
          <w:noProof/>
        </w:rPr>
        <w:t>4</w:t>
      </w:r>
      <w:r w:rsidR="009114DE" w:rsidRPr="003347A6">
        <w:rPr>
          <w:noProof/>
        </w:rPr>
        <w:t>]</w:t>
      </w:r>
      <w:r w:rsidR="00775139" w:rsidRPr="003347A6">
        <w:t>.</w:t>
      </w:r>
    </w:p>
    <w:p w14:paraId="5DCA5618" w14:textId="02B5B57D" w:rsidR="00056EF1" w:rsidRPr="003347A6" w:rsidRDefault="00056EF1" w:rsidP="003874B9">
      <w:r w:rsidRPr="003347A6">
        <w:t xml:space="preserve">It is unlikely that all instances of neutropenia and thrombocytopenia can be attributed to lenalidomide because MDS is characterised by these peripheral </w:t>
      </w:r>
      <w:proofErr w:type="spellStart"/>
      <w:r w:rsidRPr="003347A6">
        <w:t>cytopenias</w:t>
      </w:r>
      <w:proofErr w:type="spellEnd"/>
      <w:r w:rsidRPr="003347A6">
        <w:t xml:space="preserve">. Therefore, the number of patients experiencing these </w:t>
      </w:r>
      <w:proofErr w:type="spellStart"/>
      <w:r w:rsidR="0068234F" w:rsidRPr="003347A6">
        <w:t>cytopenias</w:t>
      </w:r>
      <w:proofErr w:type="spellEnd"/>
      <w:r w:rsidR="0068234F" w:rsidRPr="003347A6">
        <w:t xml:space="preserve"> </w:t>
      </w:r>
      <w:r w:rsidRPr="003347A6">
        <w:t xml:space="preserve">due to lenalidomide was calculated as the difference between the lenalidomide and placebo groups. It is assumed that any lenalidomide adverse events have a constant hazard over </w:t>
      </w:r>
      <w:r w:rsidR="00775139" w:rsidRPr="003347A6">
        <w:t>four</w:t>
      </w:r>
      <w:r w:rsidRPr="003347A6">
        <w:t xml:space="preserve"> cycles </w:t>
      </w:r>
      <w:r w:rsidR="00C95528" w:rsidRPr="003347A6">
        <w:t xml:space="preserve">because </w:t>
      </w:r>
      <w:proofErr w:type="gramStart"/>
      <w:r w:rsidRPr="003347A6">
        <w:t>the majority of</w:t>
      </w:r>
      <w:proofErr w:type="gramEnd"/>
      <w:r w:rsidRPr="003347A6">
        <w:t xml:space="preserve"> events occurred within this time frame in the trial. After </w:t>
      </w:r>
      <w:r w:rsidR="00775139" w:rsidRPr="003347A6">
        <w:t xml:space="preserve">four </w:t>
      </w:r>
      <w:r w:rsidR="00C95528" w:rsidRPr="003347A6">
        <w:t>cycles,</w:t>
      </w:r>
      <w:r w:rsidRPr="003347A6">
        <w:t xml:space="preserve"> there is no longer a risk of adverse events.</w:t>
      </w:r>
    </w:p>
    <w:p w14:paraId="3655C3AA" w14:textId="77777777" w:rsidR="00A2307E" w:rsidRPr="003347A6" w:rsidRDefault="00533367" w:rsidP="009114DE">
      <w:pPr>
        <w:pStyle w:val="Heading2"/>
        <w:numPr>
          <w:ilvl w:val="1"/>
          <w:numId w:val="44"/>
        </w:numPr>
      </w:pPr>
      <w:r w:rsidRPr="003347A6">
        <w:t>Costs</w:t>
      </w:r>
    </w:p>
    <w:p w14:paraId="13402EA5" w14:textId="72650732" w:rsidR="00DA00F6" w:rsidRPr="003347A6" w:rsidRDefault="00533367" w:rsidP="003874B9">
      <w:r w:rsidRPr="003347A6">
        <w:t>The primary cost driv</w:t>
      </w:r>
      <w:r w:rsidR="00A7719F" w:rsidRPr="003347A6">
        <w:t>e</w:t>
      </w:r>
      <w:r w:rsidR="00C95528" w:rsidRPr="003347A6">
        <w:t>r</w:t>
      </w:r>
      <w:r w:rsidR="00A7719F" w:rsidRPr="003347A6">
        <w:t>s</w:t>
      </w:r>
      <w:r w:rsidRPr="003347A6">
        <w:t xml:space="preserve"> </w:t>
      </w:r>
      <w:r w:rsidR="00A7719F" w:rsidRPr="003347A6">
        <w:t>are</w:t>
      </w:r>
      <w:r w:rsidR="00A11BF0" w:rsidRPr="003347A6">
        <w:t xml:space="preserve"> the duration and intensity of treatment</w:t>
      </w:r>
      <w:r w:rsidR="00A7719F" w:rsidRPr="003347A6">
        <w:t xml:space="preserve"> and requirements for transfusions</w:t>
      </w:r>
      <w:r w:rsidRPr="003347A6">
        <w:t>.</w:t>
      </w:r>
      <w:r w:rsidR="00A11BF0" w:rsidRPr="003347A6">
        <w:t xml:space="preserve"> </w:t>
      </w:r>
      <w:r w:rsidRPr="003347A6">
        <w:t>Patients</w:t>
      </w:r>
      <w:r w:rsidR="00A11BF0" w:rsidRPr="003347A6">
        <w:t xml:space="preserve"> continue treatment for </w:t>
      </w:r>
      <w:r w:rsidR="00775139" w:rsidRPr="003347A6">
        <w:t>two</w:t>
      </w:r>
      <w:r w:rsidR="00A11BF0" w:rsidRPr="003347A6">
        <w:t xml:space="preserve"> cycles before response is evaluated with only responding </w:t>
      </w:r>
      <w:r w:rsidRPr="003347A6">
        <w:t>patients continuing treatment</w:t>
      </w:r>
      <w:r w:rsidR="00A11BF0" w:rsidRPr="003347A6">
        <w:t xml:space="preserve">. </w:t>
      </w:r>
      <w:r w:rsidRPr="003347A6">
        <w:t>Patients</w:t>
      </w:r>
      <w:r w:rsidR="00A11BF0" w:rsidRPr="003347A6">
        <w:t xml:space="preserve"> remaining on </w:t>
      </w:r>
      <w:r w:rsidRPr="003347A6">
        <w:t>treatment</w:t>
      </w:r>
      <w:r w:rsidR="00A11BF0" w:rsidRPr="003347A6">
        <w:t xml:space="preserve"> after 26 cycles </w:t>
      </w:r>
      <w:r w:rsidRPr="003347A6">
        <w:t xml:space="preserve">receive </w:t>
      </w:r>
      <w:r w:rsidR="00030618" w:rsidRPr="003347A6">
        <w:t>lenalidomide</w:t>
      </w:r>
      <w:r w:rsidR="00A11BF0" w:rsidRPr="003347A6">
        <w:t xml:space="preserve"> free in the UK as per the PAS agreed with the </w:t>
      </w:r>
      <w:r w:rsidRPr="003347A6">
        <w:t>Department of Health</w:t>
      </w:r>
      <w:r w:rsidR="00A11BF0" w:rsidRPr="003347A6">
        <w:t xml:space="preserve">. </w:t>
      </w:r>
      <w:r w:rsidR="00DA00F6" w:rsidRPr="003347A6">
        <w:t xml:space="preserve">Patients in the trial were allowed up to </w:t>
      </w:r>
      <w:r w:rsidR="00775139" w:rsidRPr="003347A6">
        <w:t>two</w:t>
      </w:r>
      <w:r w:rsidR="00DA00F6" w:rsidRPr="003347A6">
        <w:t xml:space="preserve"> treatment interruptions, usually due to adverse events. </w:t>
      </w:r>
      <w:r w:rsidR="0068234F" w:rsidRPr="003347A6">
        <w:t>Because</w:t>
      </w:r>
      <w:r w:rsidR="00DA00F6" w:rsidRPr="003347A6">
        <w:t xml:space="preserve"> no lenalidomide is given during these interruptions, no treatment costs are incurred for these patients </w:t>
      </w:r>
      <w:r w:rsidR="0068234F" w:rsidRPr="003347A6">
        <w:t xml:space="preserve">over </w:t>
      </w:r>
      <w:r w:rsidR="00DA00F6" w:rsidRPr="003347A6">
        <w:t>these periods. Clinical outcomes were not adjusted because the efficacy data for the ITT population used within the model already accounted for these interruptions.</w:t>
      </w:r>
    </w:p>
    <w:p w14:paraId="204A3A46" w14:textId="46F9F38E" w:rsidR="00DA00F6" w:rsidRPr="003347A6" w:rsidRDefault="00A11BF0" w:rsidP="003874B9">
      <w:r w:rsidRPr="003347A6">
        <w:lastRenderedPageBreak/>
        <w:t>Monitoring cost</w:t>
      </w:r>
      <w:r w:rsidR="00533367" w:rsidRPr="003347A6">
        <w:t>s</w:t>
      </w:r>
      <w:r w:rsidRPr="003347A6">
        <w:t xml:space="preserve"> were taken from UK sources</w:t>
      </w:r>
      <w:r w:rsidR="0068234F" w:rsidRPr="003347A6">
        <w:t>,</w:t>
      </w:r>
      <w:r w:rsidRPr="003347A6">
        <w:t xml:space="preserve"> with UK clinicians estimating that monitoring would be required</w:t>
      </w:r>
      <w:r w:rsidR="00030618" w:rsidRPr="003347A6">
        <w:t xml:space="preserve"> by a haematologist weekly for the first 8 weeks of treatment with lenalidomide and monthly thereafter, with BSC and ESA monitoring being monthly throughout treatment. </w:t>
      </w:r>
      <w:r w:rsidR="00DA00F6" w:rsidRPr="003347A6">
        <w:t xml:space="preserve"> </w:t>
      </w:r>
    </w:p>
    <w:p w14:paraId="5AAA4A19" w14:textId="0A7CCB4F" w:rsidR="00A7719F" w:rsidRPr="003347A6" w:rsidRDefault="00A7719F" w:rsidP="003874B9">
      <w:r w:rsidRPr="003347A6">
        <w:t>The average number of RBC/platelet units transfused per cycle was estimated from UK patient</w:t>
      </w:r>
      <w:r w:rsidR="008D364D" w:rsidRPr="003347A6">
        <w:t>-</w:t>
      </w:r>
      <w:r w:rsidRPr="003347A6">
        <w:t>level data during the weeks recorded prior to randomisation in the MDS-004 trial data</w:t>
      </w:r>
      <w:r w:rsidR="00EA24B1" w:rsidRPr="003347A6">
        <w:t xml:space="preserve"> </w:t>
      </w:r>
      <w:r w:rsidR="009114DE" w:rsidRPr="003347A6">
        <w:rPr>
          <w:rFonts w:cs="Times New Roman"/>
          <w:noProof/>
        </w:rPr>
        <w:t>[</w:t>
      </w:r>
      <w:r w:rsidR="005039B8" w:rsidRPr="003347A6">
        <w:rPr>
          <w:rFonts w:cs="Times New Roman"/>
          <w:noProof/>
        </w:rPr>
        <w:t>4</w:t>
      </w:r>
      <w:r w:rsidR="009114DE" w:rsidRPr="003347A6">
        <w:rPr>
          <w:rFonts w:cs="Times New Roman"/>
          <w:noProof/>
        </w:rPr>
        <w:t>]</w:t>
      </w:r>
      <w:r w:rsidRPr="003347A6">
        <w:t xml:space="preserve"> and applied to all patients</w:t>
      </w:r>
      <w:r w:rsidR="0068234F" w:rsidRPr="003347A6">
        <w:t>, in</w:t>
      </w:r>
      <w:r w:rsidRPr="003347A6">
        <w:t xml:space="preserve"> </w:t>
      </w:r>
      <w:r w:rsidR="0068234F" w:rsidRPr="003347A6">
        <w:t xml:space="preserve">every </w:t>
      </w:r>
      <w:r w:rsidRPr="003347A6">
        <w:t xml:space="preserve">cycle, in the transfusion states. No difference </w:t>
      </w:r>
      <w:r w:rsidR="00640C4B" w:rsidRPr="003347A6">
        <w:t>wa</w:t>
      </w:r>
      <w:r w:rsidRPr="003347A6">
        <w:t xml:space="preserve">s assumed in the RBC/platelet transfusion rates between the different iron chelation health states. Other key outcome dependent costs were taken from </w:t>
      </w:r>
      <w:r w:rsidR="00C95528" w:rsidRPr="003347A6">
        <w:t xml:space="preserve">the </w:t>
      </w:r>
      <w:r w:rsidRPr="003347A6">
        <w:t>published literature</w:t>
      </w:r>
      <w:r w:rsidR="0068234F" w:rsidRPr="003347A6">
        <w:t>,</w:t>
      </w:r>
      <w:r w:rsidRPr="003347A6">
        <w:t xml:space="preserve"> </w:t>
      </w:r>
      <w:r w:rsidR="00056EF1" w:rsidRPr="003347A6">
        <w:t xml:space="preserve">and costs were taken from standard UK published sources </w:t>
      </w:r>
      <w:r w:rsidRPr="003347A6">
        <w:t xml:space="preserve">(Table </w:t>
      </w:r>
      <w:r w:rsidR="00EB2052" w:rsidRPr="003347A6">
        <w:t>S</w:t>
      </w:r>
      <w:r w:rsidRPr="003347A6">
        <w:t xml:space="preserve">1).  </w:t>
      </w:r>
    </w:p>
    <w:p w14:paraId="0668128A" w14:textId="5414FE37" w:rsidR="00056EF1" w:rsidRPr="003347A6" w:rsidRDefault="00056EF1" w:rsidP="003874B9">
      <w:r w:rsidRPr="003347A6">
        <w:t xml:space="preserve">The model results incorporate a delayed cost of 16 days of lenalidomide at </w:t>
      </w:r>
      <w:r w:rsidR="00775139" w:rsidRPr="003347A6">
        <w:t xml:space="preserve">Cycle </w:t>
      </w:r>
      <w:r w:rsidRPr="003347A6">
        <w:t>27 to allow for treatment interruptions.</w:t>
      </w:r>
    </w:p>
    <w:p w14:paraId="619BDD98" w14:textId="77777777" w:rsidR="00DA00F6" w:rsidRPr="003347A6" w:rsidRDefault="00DA00F6" w:rsidP="009114DE">
      <w:pPr>
        <w:pStyle w:val="Heading2"/>
        <w:numPr>
          <w:ilvl w:val="1"/>
          <w:numId w:val="44"/>
        </w:numPr>
      </w:pPr>
      <w:r w:rsidRPr="003347A6">
        <w:t>Quality of life</w:t>
      </w:r>
    </w:p>
    <w:p w14:paraId="33910987" w14:textId="3C257C2A" w:rsidR="00A7719F" w:rsidRPr="003347A6" w:rsidRDefault="00A7719F" w:rsidP="003874B9">
      <w:r w:rsidRPr="003347A6">
        <w:t xml:space="preserve">Quality of </w:t>
      </w:r>
      <w:r w:rsidR="00C95528" w:rsidRPr="003347A6">
        <w:t xml:space="preserve">life </w:t>
      </w:r>
      <w:r w:rsidRPr="003347A6">
        <w:t>in MDS is highly dependent upon transfusion status</w:t>
      </w:r>
      <w:r w:rsidR="0068234F" w:rsidRPr="003347A6">
        <w:t>,</w:t>
      </w:r>
      <w:r w:rsidRPr="003347A6">
        <w:t xml:space="preserve"> with decrements of between 0.17 and 0.3 observed in </w:t>
      </w:r>
      <w:r w:rsidR="0068234F" w:rsidRPr="003347A6">
        <w:t xml:space="preserve">the </w:t>
      </w:r>
      <w:r w:rsidRPr="003347A6">
        <w:t>published literature for transfusion dependence versus independence</w:t>
      </w:r>
      <w:r w:rsidR="00EA24B1" w:rsidRPr="003347A6">
        <w:t xml:space="preserve"> </w:t>
      </w:r>
      <w:r w:rsidR="009114DE" w:rsidRPr="003347A6">
        <w:rPr>
          <w:noProof/>
        </w:rPr>
        <w:t>[</w:t>
      </w:r>
      <w:r w:rsidR="007745D4" w:rsidRPr="003347A6">
        <w:rPr>
          <w:noProof/>
        </w:rPr>
        <w:t>23,28,29</w:t>
      </w:r>
      <w:r w:rsidR="009114DE" w:rsidRPr="003347A6">
        <w:rPr>
          <w:noProof/>
        </w:rPr>
        <w:t>]</w:t>
      </w:r>
      <w:r w:rsidR="00775139" w:rsidRPr="003347A6">
        <w:t>.</w:t>
      </w:r>
    </w:p>
    <w:p w14:paraId="5E275CCD" w14:textId="3C74C81B" w:rsidR="00A7719F" w:rsidRPr="003347A6" w:rsidRDefault="00640C4B" w:rsidP="003874B9">
      <w:r w:rsidRPr="003347A6">
        <w:t>Functional Assessment of Cancer Therapy-</w:t>
      </w:r>
      <w:proofErr w:type="spellStart"/>
      <w:r w:rsidRPr="003347A6">
        <w:t>Anemia</w:t>
      </w:r>
      <w:proofErr w:type="spellEnd"/>
      <w:r w:rsidRPr="003347A6">
        <w:t xml:space="preserve"> (</w:t>
      </w:r>
      <w:r w:rsidR="00A7719F" w:rsidRPr="003347A6">
        <w:t>FACT-An</w:t>
      </w:r>
      <w:r w:rsidRPr="003347A6">
        <w:t>) score</w:t>
      </w:r>
      <w:r w:rsidR="00A7719F" w:rsidRPr="003347A6">
        <w:t xml:space="preserve"> was measured throughout the MDS-004 trial</w:t>
      </w:r>
      <w:r w:rsidR="0068234F" w:rsidRPr="003347A6">
        <w:t>,</w:t>
      </w:r>
      <w:r w:rsidR="00A7719F" w:rsidRPr="003347A6">
        <w:t xml:space="preserve"> and </w:t>
      </w:r>
      <w:proofErr w:type="spellStart"/>
      <w:r w:rsidRPr="003347A6">
        <w:t>EuroQol</w:t>
      </w:r>
      <w:proofErr w:type="spellEnd"/>
      <w:r w:rsidRPr="003347A6">
        <w:t xml:space="preserve"> five-dimension</w:t>
      </w:r>
      <w:r w:rsidR="00A3463F" w:rsidRPr="003347A6">
        <w:t>s</w:t>
      </w:r>
      <w:r w:rsidRPr="003347A6">
        <w:t xml:space="preserve"> (</w:t>
      </w:r>
      <w:r w:rsidR="00A7719F" w:rsidRPr="003347A6">
        <w:t>EQ-5D</w:t>
      </w:r>
      <w:r w:rsidRPr="003347A6">
        <w:t>) score</w:t>
      </w:r>
      <w:r w:rsidR="00A7719F" w:rsidRPr="003347A6">
        <w:t xml:space="preserve"> was only measured at baseline. Mapping was attempted by </w:t>
      </w:r>
      <w:r w:rsidR="008D364D" w:rsidRPr="003347A6">
        <w:t>the School of Health and Related Research (</w:t>
      </w:r>
      <w:proofErr w:type="spellStart"/>
      <w:r w:rsidR="00A7719F" w:rsidRPr="003347A6">
        <w:t>ScHARR</w:t>
      </w:r>
      <w:proofErr w:type="spellEnd"/>
      <w:r w:rsidR="008D364D" w:rsidRPr="003347A6">
        <w:t>)</w:t>
      </w:r>
      <w:r w:rsidR="00A7719F" w:rsidRPr="003347A6">
        <w:t xml:space="preserve"> </w:t>
      </w:r>
      <w:proofErr w:type="gramStart"/>
      <w:r w:rsidR="00A7719F" w:rsidRPr="003347A6">
        <w:t>in order to</w:t>
      </w:r>
      <w:proofErr w:type="gramEnd"/>
      <w:r w:rsidR="00A7719F" w:rsidRPr="003347A6">
        <w:t xml:space="preserve"> establish a relationship between FACT-An and EQ-5D and to utilise the EQ-5D to fit in line with NICE guidelines. Within the FACT-</w:t>
      </w:r>
      <w:proofErr w:type="gramStart"/>
      <w:r w:rsidR="00A7719F" w:rsidRPr="003347A6">
        <w:t>An</w:t>
      </w:r>
      <w:proofErr w:type="gramEnd"/>
      <w:r w:rsidR="00A7719F" w:rsidRPr="003347A6">
        <w:t xml:space="preserve"> questionnaire, several items had scores </w:t>
      </w:r>
      <w:r w:rsidR="0068234F" w:rsidRPr="003347A6">
        <w:t xml:space="preserve">that </w:t>
      </w:r>
      <w:r w:rsidR="00A7719F" w:rsidRPr="003347A6">
        <w:t>differed depending on transfusion status</w:t>
      </w:r>
      <w:r w:rsidR="008D364D" w:rsidRPr="003347A6">
        <w:t>;</w:t>
      </w:r>
      <w:r w:rsidR="00A7719F" w:rsidRPr="003347A6">
        <w:t xml:space="preserve"> for example, items </w:t>
      </w:r>
      <w:r w:rsidR="0068234F" w:rsidRPr="003347A6">
        <w:t xml:space="preserve">that </w:t>
      </w:r>
      <w:r w:rsidR="00A7719F" w:rsidRPr="003347A6">
        <w:t>focus</w:t>
      </w:r>
      <w:r w:rsidR="008D364D" w:rsidRPr="003347A6">
        <w:t>ed</w:t>
      </w:r>
      <w:r w:rsidR="00A7719F" w:rsidRPr="003347A6">
        <w:t xml:space="preserve"> on the impact of fatigue on patient quality of life. Items such as these are not explicitly considered in the EQ-5D questionnaire. Not all items were included in the mapping</w:t>
      </w:r>
      <w:r w:rsidR="0068234F" w:rsidRPr="003347A6">
        <w:t>,</w:t>
      </w:r>
      <w:r w:rsidR="00A7719F" w:rsidRPr="003347A6">
        <w:t xml:space="preserve"> and for the items excluded from the mapping, the relative reduction in </w:t>
      </w:r>
      <w:r w:rsidR="00056EF1" w:rsidRPr="003347A6">
        <w:t>transfusion dependency</w:t>
      </w:r>
      <w:r w:rsidR="00A7719F" w:rsidRPr="003347A6">
        <w:t xml:space="preserve"> scores compared to </w:t>
      </w:r>
      <w:r w:rsidR="00056EF1" w:rsidRPr="003347A6">
        <w:t xml:space="preserve">transfusion </w:t>
      </w:r>
      <w:r w:rsidR="0068234F" w:rsidRPr="003347A6">
        <w:t>independence</w:t>
      </w:r>
      <w:r w:rsidR="00056EF1" w:rsidRPr="003347A6">
        <w:t xml:space="preserve"> </w:t>
      </w:r>
      <w:r w:rsidR="00A7719F" w:rsidRPr="003347A6">
        <w:t xml:space="preserve">scores was substantially greater </w:t>
      </w:r>
      <w:r w:rsidR="00A7719F" w:rsidRPr="003347A6">
        <w:lastRenderedPageBreak/>
        <w:t>than for the items included. Therefore</w:t>
      </w:r>
      <w:r w:rsidR="0068234F" w:rsidRPr="003347A6">
        <w:t>,</w:t>
      </w:r>
      <w:r w:rsidR="00A7719F" w:rsidRPr="003347A6">
        <w:t xml:space="preserve"> these were not used in the model. Instead the model used more sensitive utility scores, found via a systematic literature review.</w:t>
      </w:r>
    </w:p>
    <w:p w14:paraId="27201FBB" w14:textId="05817ADD" w:rsidR="00A7719F" w:rsidRPr="003347A6" w:rsidRDefault="00A7719F" w:rsidP="003874B9">
      <w:r w:rsidRPr="003347A6">
        <w:t xml:space="preserve">The systematic literature review, conducted to identify relevant health-related quality of life data for people with MDS found four potentially relevant studies: Buckstein </w:t>
      </w:r>
      <w:r w:rsidR="0048228B" w:rsidRPr="003347A6">
        <w:t xml:space="preserve">et al. </w:t>
      </w:r>
      <w:r w:rsidR="0048228B" w:rsidRPr="003347A6">
        <w:rPr>
          <w:lang w:val="nl-NL"/>
        </w:rPr>
        <w:t>(</w:t>
      </w:r>
      <w:r w:rsidRPr="003347A6">
        <w:rPr>
          <w:lang w:val="nl-NL"/>
        </w:rPr>
        <w:t>2009</w:t>
      </w:r>
      <w:r w:rsidR="0048228B" w:rsidRPr="003347A6">
        <w:rPr>
          <w:lang w:val="nl-NL"/>
        </w:rPr>
        <w:t>)</w:t>
      </w:r>
      <w:r w:rsidR="00EA24B1" w:rsidRPr="003347A6">
        <w:rPr>
          <w:lang w:val="nl-NL"/>
        </w:rPr>
        <w:t xml:space="preserve"> </w:t>
      </w:r>
      <w:r w:rsidR="009114DE" w:rsidRPr="003347A6">
        <w:rPr>
          <w:noProof/>
          <w:lang w:val="nl-NL"/>
        </w:rPr>
        <w:t>[</w:t>
      </w:r>
      <w:r w:rsidR="007745D4" w:rsidRPr="003347A6">
        <w:rPr>
          <w:noProof/>
          <w:lang w:val="nl-NL"/>
        </w:rPr>
        <w:t>30</w:t>
      </w:r>
      <w:r w:rsidR="009114DE" w:rsidRPr="003347A6">
        <w:rPr>
          <w:noProof/>
          <w:lang w:val="nl-NL"/>
        </w:rPr>
        <w:t>]</w:t>
      </w:r>
      <w:r w:rsidRPr="003347A6">
        <w:rPr>
          <w:lang w:val="nl-NL"/>
        </w:rPr>
        <w:t xml:space="preserve">, Buckstein </w:t>
      </w:r>
      <w:r w:rsidR="0048228B" w:rsidRPr="003347A6">
        <w:rPr>
          <w:lang w:val="nl-NL"/>
        </w:rPr>
        <w:t>et al. (</w:t>
      </w:r>
      <w:r w:rsidRPr="003347A6">
        <w:rPr>
          <w:lang w:val="nl-NL"/>
        </w:rPr>
        <w:t>2011</w:t>
      </w:r>
      <w:r w:rsidR="0048228B" w:rsidRPr="003347A6">
        <w:rPr>
          <w:lang w:val="nl-NL"/>
        </w:rPr>
        <w:t>)</w:t>
      </w:r>
      <w:r w:rsidR="00EA24B1" w:rsidRPr="003347A6">
        <w:rPr>
          <w:lang w:val="nl-NL"/>
        </w:rPr>
        <w:t xml:space="preserve"> </w:t>
      </w:r>
      <w:r w:rsidR="009114DE" w:rsidRPr="003347A6">
        <w:rPr>
          <w:noProof/>
          <w:lang w:val="nl-NL"/>
        </w:rPr>
        <w:t>[</w:t>
      </w:r>
      <w:r w:rsidR="007745D4" w:rsidRPr="003347A6">
        <w:rPr>
          <w:noProof/>
          <w:lang w:val="nl-NL"/>
        </w:rPr>
        <w:t>28</w:t>
      </w:r>
      <w:r w:rsidR="009114DE" w:rsidRPr="003347A6">
        <w:rPr>
          <w:noProof/>
          <w:lang w:val="nl-NL"/>
        </w:rPr>
        <w:t>]</w:t>
      </w:r>
      <w:r w:rsidRPr="003347A6">
        <w:rPr>
          <w:lang w:val="nl-NL"/>
        </w:rPr>
        <w:t xml:space="preserve">, Goss </w:t>
      </w:r>
      <w:r w:rsidR="0048228B" w:rsidRPr="003347A6">
        <w:rPr>
          <w:lang w:val="nl-NL"/>
        </w:rPr>
        <w:t>et al. (</w:t>
      </w:r>
      <w:r w:rsidRPr="003347A6">
        <w:rPr>
          <w:lang w:val="nl-NL"/>
        </w:rPr>
        <w:t>2006</w:t>
      </w:r>
      <w:r w:rsidR="0048228B" w:rsidRPr="003347A6">
        <w:rPr>
          <w:lang w:val="nl-NL"/>
        </w:rPr>
        <w:t>)</w:t>
      </w:r>
      <w:r w:rsidR="00EA24B1" w:rsidRPr="003347A6">
        <w:rPr>
          <w:lang w:val="nl-NL"/>
        </w:rPr>
        <w:t xml:space="preserve"> </w:t>
      </w:r>
      <w:r w:rsidR="009114DE" w:rsidRPr="003347A6">
        <w:rPr>
          <w:noProof/>
          <w:lang w:val="nl-NL"/>
        </w:rPr>
        <w:t>[</w:t>
      </w:r>
      <w:r w:rsidR="007745D4" w:rsidRPr="003347A6">
        <w:rPr>
          <w:noProof/>
          <w:lang w:val="nl-NL"/>
        </w:rPr>
        <w:t>29</w:t>
      </w:r>
      <w:r w:rsidR="009114DE" w:rsidRPr="003347A6">
        <w:rPr>
          <w:noProof/>
          <w:lang w:val="nl-NL"/>
        </w:rPr>
        <w:t>]</w:t>
      </w:r>
      <w:r w:rsidRPr="003347A6">
        <w:rPr>
          <w:lang w:val="nl-NL"/>
        </w:rPr>
        <w:t xml:space="preserve"> and Szende </w:t>
      </w:r>
      <w:r w:rsidR="0048228B" w:rsidRPr="003347A6">
        <w:rPr>
          <w:lang w:val="nl-NL"/>
        </w:rPr>
        <w:t xml:space="preserve">et al. </w:t>
      </w:r>
      <w:r w:rsidR="0048228B" w:rsidRPr="003347A6">
        <w:t>(</w:t>
      </w:r>
      <w:r w:rsidRPr="003347A6">
        <w:t>2009</w:t>
      </w:r>
      <w:r w:rsidR="0048228B" w:rsidRPr="003347A6">
        <w:t>)</w:t>
      </w:r>
      <w:r w:rsidR="00EA24B1" w:rsidRPr="003347A6">
        <w:t xml:space="preserve"> </w:t>
      </w:r>
      <w:r w:rsidR="009114DE" w:rsidRPr="003347A6">
        <w:rPr>
          <w:noProof/>
        </w:rPr>
        <w:t>[</w:t>
      </w:r>
      <w:r w:rsidR="007745D4" w:rsidRPr="003347A6">
        <w:rPr>
          <w:noProof/>
        </w:rPr>
        <w:t>23</w:t>
      </w:r>
      <w:r w:rsidR="009114DE" w:rsidRPr="003347A6">
        <w:rPr>
          <w:noProof/>
        </w:rPr>
        <w:t>]</w:t>
      </w:r>
      <w:r w:rsidRPr="003347A6">
        <w:t xml:space="preserve">. Data from </w:t>
      </w:r>
      <w:proofErr w:type="spellStart"/>
      <w:r w:rsidRPr="003347A6">
        <w:t>Szende</w:t>
      </w:r>
      <w:proofErr w:type="spellEnd"/>
      <w:r w:rsidRPr="003347A6">
        <w:t xml:space="preserve"> </w:t>
      </w:r>
      <w:r w:rsidR="0048228B" w:rsidRPr="003347A6">
        <w:t xml:space="preserve">et al. </w:t>
      </w:r>
      <w:r w:rsidR="0068234F" w:rsidRPr="003347A6">
        <w:t xml:space="preserve">were </w:t>
      </w:r>
      <w:r w:rsidRPr="003347A6">
        <w:t>used in the base case model.</w:t>
      </w:r>
      <w:r w:rsidRPr="003347A6" w:rsidDel="00593BB6">
        <w:t xml:space="preserve"> </w:t>
      </w:r>
      <w:proofErr w:type="spellStart"/>
      <w:r w:rsidRPr="003347A6">
        <w:t>Szende</w:t>
      </w:r>
      <w:proofErr w:type="spellEnd"/>
      <w:r w:rsidRPr="003347A6">
        <w:t xml:space="preserve"> </w:t>
      </w:r>
      <w:r w:rsidR="0048228B" w:rsidRPr="003347A6">
        <w:t xml:space="preserve">et al. did </w:t>
      </w:r>
      <w:r w:rsidRPr="003347A6">
        <w:t xml:space="preserve">not conform to the NICE reference case as it </w:t>
      </w:r>
      <w:r w:rsidR="008F3047" w:rsidRPr="003347A6">
        <w:t xml:space="preserve">did </w:t>
      </w:r>
      <w:r w:rsidRPr="003347A6">
        <w:t>not use a general UK population sample</w:t>
      </w:r>
      <w:r w:rsidR="008F3047" w:rsidRPr="003347A6">
        <w:t>.</w:t>
      </w:r>
      <w:r w:rsidR="0068234F" w:rsidRPr="003347A6">
        <w:t xml:space="preserve"> </w:t>
      </w:r>
      <w:r w:rsidR="008F3047" w:rsidRPr="003347A6">
        <w:t>H</w:t>
      </w:r>
      <w:r w:rsidRPr="003347A6">
        <w:t>owever, patient experts thought that the</w:t>
      </w:r>
      <w:r w:rsidR="0068234F" w:rsidRPr="003347A6">
        <w:t xml:space="preserve"> study was</w:t>
      </w:r>
      <w:r w:rsidRPr="003347A6">
        <w:t xml:space="preserve"> a reasonable reflection of the negative impact that transfusion dependence has on </w:t>
      </w:r>
      <w:r w:rsidR="0068234F" w:rsidRPr="003347A6">
        <w:t>health-</w:t>
      </w:r>
      <w:r w:rsidRPr="003347A6">
        <w:t xml:space="preserve">related quality of life. Alternative estimates are used in sensitivity analysis. Utility decrements for complications were taken from published literature (Table </w:t>
      </w:r>
      <w:r w:rsidR="00EB2052" w:rsidRPr="003347A6">
        <w:t>S</w:t>
      </w:r>
      <w:r w:rsidRPr="003347A6">
        <w:t xml:space="preserve">1). </w:t>
      </w:r>
    </w:p>
    <w:p w14:paraId="166E1B0F" w14:textId="77777777" w:rsidR="00056EF1" w:rsidRPr="003347A6" w:rsidRDefault="00056EF1" w:rsidP="009114DE">
      <w:pPr>
        <w:pStyle w:val="Heading2"/>
        <w:numPr>
          <w:ilvl w:val="1"/>
          <w:numId w:val="44"/>
        </w:numPr>
      </w:pPr>
      <w:r w:rsidRPr="003347A6">
        <w:t>Uncertainty</w:t>
      </w:r>
    </w:p>
    <w:p w14:paraId="634760B9" w14:textId="26030166" w:rsidR="00D7489E" w:rsidRPr="003347A6" w:rsidRDefault="00A11BF0" w:rsidP="00EA3925">
      <w:r w:rsidRPr="003347A6">
        <w:t xml:space="preserve">The uncertainty around all model parameters was tested via probabilistic </w:t>
      </w:r>
      <w:r w:rsidR="00056EF1" w:rsidRPr="003347A6">
        <w:t xml:space="preserve">(5,000 iterations) </w:t>
      </w:r>
      <w:r w:rsidRPr="003347A6">
        <w:t xml:space="preserve">and </w:t>
      </w:r>
      <w:r w:rsidR="0068234F" w:rsidRPr="003347A6">
        <w:t>one-</w:t>
      </w:r>
      <w:r w:rsidRPr="003347A6">
        <w:t>way sensitivity analysis</w:t>
      </w:r>
      <w:r w:rsidR="0068234F" w:rsidRPr="003347A6">
        <w:t>,</w:t>
      </w:r>
      <w:r w:rsidRPr="003347A6">
        <w:t xml:space="preserve"> </w:t>
      </w:r>
      <w:r w:rsidR="00056EF1" w:rsidRPr="003347A6">
        <w:t>taking distributional information</w:t>
      </w:r>
      <w:r w:rsidRPr="003347A6">
        <w:t xml:space="preserve"> from the original source material where possible</w:t>
      </w:r>
      <w:r w:rsidR="009114DE" w:rsidRPr="003347A6">
        <w:t xml:space="preserve"> (</w:t>
      </w:r>
      <w:r w:rsidR="00804EB5" w:rsidRPr="003347A6">
        <w:t xml:space="preserve">Table </w:t>
      </w:r>
      <w:r w:rsidR="00EB2052" w:rsidRPr="003347A6">
        <w:t>S</w:t>
      </w:r>
      <w:r w:rsidR="00804EB5" w:rsidRPr="003347A6">
        <w:t>2</w:t>
      </w:r>
      <w:r w:rsidRPr="003347A6">
        <w:t>).</w:t>
      </w:r>
      <w:r w:rsidR="003C63F4" w:rsidRPr="003347A6">
        <w:t xml:space="preserve"> Parameter uncertainty for individual parameters was explored via one</w:t>
      </w:r>
      <w:r w:rsidR="00310275" w:rsidRPr="003347A6">
        <w:t>-</w:t>
      </w:r>
      <w:r w:rsidR="003C63F4" w:rsidRPr="003347A6">
        <w:t>way sensitivity analysis (</w:t>
      </w:r>
      <w:r w:rsidR="00804EB5" w:rsidRPr="003347A6">
        <w:t>Fig</w:t>
      </w:r>
      <w:r w:rsidR="00640C4B" w:rsidRPr="003347A6">
        <w:t>.</w:t>
      </w:r>
      <w:r w:rsidR="00804EB5" w:rsidRPr="003347A6">
        <w:t xml:space="preserve"> </w:t>
      </w:r>
      <w:r w:rsidR="00EB2052" w:rsidRPr="003347A6">
        <w:t>S</w:t>
      </w:r>
      <w:r w:rsidR="00FF00E8" w:rsidRPr="003347A6">
        <w:rPr>
          <w:noProof/>
        </w:rPr>
        <w:t>4</w:t>
      </w:r>
      <w:r w:rsidR="003C63F4" w:rsidRPr="003347A6">
        <w:t>).</w:t>
      </w:r>
      <w:r w:rsidRPr="003347A6">
        <w:t xml:space="preserve"> Scenario analysis was c</w:t>
      </w:r>
      <w:r w:rsidR="00056EF1" w:rsidRPr="003347A6">
        <w:t>onducted to test the impact of k</w:t>
      </w:r>
      <w:r w:rsidRPr="003347A6">
        <w:t>ey structural assumptions with</w:t>
      </w:r>
      <w:r w:rsidR="0048228B" w:rsidRPr="003347A6">
        <w:t>in</w:t>
      </w:r>
      <w:r w:rsidRPr="003347A6">
        <w:t xml:space="preserve"> the model</w:t>
      </w:r>
      <w:r w:rsidR="009114DE" w:rsidRPr="003347A6">
        <w:t xml:space="preserve"> (</w:t>
      </w:r>
      <w:r w:rsidR="00804EB5" w:rsidRPr="003347A6">
        <w:t xml:space="preserve">Table </w:t>
      </w:r>
      <w:r w:rsidR="00EB2052" w:rsidRPr="003347A6">
        <w:t>S</w:t>
      </w:r>
      <w:r w:rsidR="00804EB5" w:rsidRPr="003347A6">
        <w:t>2</w:t>
      </w:r>
      <w:r w:rsidR="003C63F4" w:rsidRPr="003347A6">
        <w:t>)</w:t>
      </w:r>
      <w:r w:rsidRPr="003347A6">
        <w:t>.</w:t>
      </w:r>
    </w:p>
    <w:p w14:paraId="477957A3" w14:textId="77777777" w:rsidR="00D7489E" w:rsidRPr="003347A6" w:rsidRDefault="00D7489E" w:rsidP="00EA3925">
      <w:r w:rsidRPr="003347A6">
        <w:br w:type="page"/>
      </w:r>
    </w:p>
    <w:p w14:paraId="3E2BA7B5" w14:textId="44568D59" w:rsidR="00D7489E" w:rsidRPr="003347A6" w:rsidRDefault="00D7489E" w:rsidP="009114DE">
      <w:pPr>
        <w:pStyle w:val="Heading1"/>
        <w:numPr>
          <w:ilvl w:val="0"/>
          <w:numId w:val="44"/>
        </w:numPr>
      </w:pPr>
      <w:r w:rsidRPr="003347A6">
        <w:lastRenderedPageBreak/>
        <w:t>References</w:t>
      </w:r>
    </w:p>
    <w:p w14:paraId="071A586A" w14:textId="0BEDF290" w:rsidR="00F33283" w:rsidRPr="003347A6" w:rsidRDefault="00F33283" w:rsidP="00B77056">
      <w:pPr>
        <w:spacing w:after="0"/>
        <w:ind w:left="567" w:hanging="567"/>
        <w:rPr>
          <w:rFonts w:cstheme="minorHAnsi"/>
          <w:noProof/>
        </w:rPr>
      </w:pPr>
      <w:bookmarkStart w:id="0" w:name="_ENREF_1"/>
      <w:r w:rsidRPr="003347A6">
        <w:rPr>
          <w:rFonts w:ascii="Arial" w:hAnsi="Arial" w:cs="Arial"/>
          <w:noProof/>
        </w:rPr>
        <w:t>1. Celgene Ltd. Revlimid</w:t>
      </w:r>
      <w:r w:rsidRPr="003347A6">
        <w:rPr>
          <w:rFonts w:cstheme="minorHAnsi"/>
          <w:noProof/>
          <w:vertAlign w:val="superscript"/>
        </w:rPr>
        <w:t>®</w:t>
      </w:r>
      <w:r w:rsidRPr="003347A6">
        <w:rPr>
          <w:rFonts w:cstheme="minorHAnsi"/>
          <w:noProof/>
        </w:rPr>
        <w:t>. Summary of product characteristics. 2014.</w:t>
      </w:r>
      <w:r w:rsidR="00DA5592" w:rsidRPr="003347A6">
        <w:t xml:space="preserve"> </w:t>
      </w:r>
      <w:r w:rsidR="00DA5592" w:rsidRPr="003347A6">
        <w:rPr>
          <w:rFonts w:cstheme="minorHAnsi"/>
          <w:noProof/>
        </w:rPr>
        <w:t>https://www.medicines.org.uk/emc/medicine/19841/SPC/Revlimid</w:t>
      </w:r>
      <w:r w:rsidRPr="003347A6">
        <w:rPr>
          <w:rFonts w:cstheme="minorHAnsi"/>
          <w:noProof/>
        </w:rPr>
        <w:t>. Accessed 13 January 2015.</w:t>
      </w:r>
    </w:p>
    <w:p w14:paraId="18BE8C7D" w14:textId="25DA3095" w:rsidR="00F33283" w:rsidRPr="003347A6" w:rsidRDefault="00F33283" w:rsidP="00B77056">
      <w:pPr>
        <w:spacing w:after="0"/>
        <w:ind w:left="567" w:hanging="567"/>
        <w:rPr>
          <w:rFonts w:cstheme="minorHAnsi"/>
          <w:noProof/>
        </w:rPr>
      </w:pPr>
      <w:r w:rsidRPr="003347A6">
        <w:rPr>
          <w:rFonts w:cstheme="minorHAnsi"/>
          <w:noProof/>
        </w:rPr>
        <w:t xml:space="preserve">2. National Institute for Health and Care Excellence. TA322: Lenalidomide for the treatment of myelodysplastic syndromes associated with deletion 5q cytogenetic abnormality Final Scope. 2012. </w:t>
      </w:r>
      <w:r w:rsidR="00DA5592" w:rsidRPr="003347A6">
        <w:rPr>
          <w:rFonts w:cstheme="minorHAnsi"/>
          <w:noProof/>
        </w:rPr>
        <w:t>https://www.nice.org.uk/guidance/ta322/documents/myelodysplastic-syndrome-deletion-5q-lenalidomide-final-scope2</w:t>
      </w:r>
      <w:r w:rsidRPr="003347A6">
        <w:rPr>
          <w:rFonts w:cstheme="minorHAnsi"/>
          <w:noProof/>
        </w:rPr>
        <w:t>. Accessed</w:t>
      </w:r>
      <w:r w:rsidR="009D3E7F" w:rsidRPr="003347A6">
        <w:rPr>
          <w:rFonts w:cstheme="minorHAnsi"/>
          <w:noProof/>
        </w:rPr>
        <w:t xml:space="preserve"> 13 January 2015.</w:t>
      </w:r>
    </w:p>
    <w:p w14:paraId="612050CE" w14:textId="77777777" w:rsidR="00F33283" w:rsidRPr="003347A6" w:rsidRDefault="00F33283" w:rsidP="00B77056">
      <w:pPr>
        <w:spacing w:after="0"/>
        <w:ind w:left="567" w:hanging="567"/>
        <w:rPr>
          <w:rFonts w:cstheme="minorHAnsi"/>
          <w:noProof/>
        </w:rPr>
      </w:pPr>
      <w:r w:rsidRPr="003347A6">
        <w:rPr>
          <w:rFonts w:cstheme="minorHAnsi"/>
          <w:noProof/>
        </w:rPr>
        <w:t xml:space="preserve">3. Kelaidi C, Eclache V, Fenaux P. The role of lenalidomide in the management of myelodysplasia with del 5q. Br J Haematol. 2008;140(3):267–78. </w:t>
      </w:r>
    </w:p>
    <w:p w14:paraId="2FC8CDEC" w14:textId="77777777" w:rsidR="00F33283" w:rsidRPr="003347A6" w:rsidRDefault="00F33283" w:rsidP="00B77056">
      <w:pPr>
        <w:spacing w:after="0"/>
        <w:ind w:left="567" w:hanging="567"/>
        <w:rPr>
          <w:rFonts w:cstheme="minorHAnsi"/>
          <w:noProof/>
        </w:rPr>
      </w:pPr>
      <w:r w:rsidRPr="003347A6">
        <w:rPr>
          <w:rFonts w:cstheme="minorHAnsi"/>
          <w:noProof/>
        </w:rPr>
        <w:t>4. Fenaux P, Giagounidis A, Selleslag D, Beyne-Rauzy O, Mufti G, Mittelman M, et al. A randomized phase 3 study of lenalidomide versus placebo in RBC transfusion-dependent patients with Low-/Intermediate-1-risk myelodysplastic syndromes with del5q. Blood. 2011;118(14):3765–-76.</w:t>
      </w:r>
    </w:p>
    <w:p w14:paraId="45909D77" w14:textId="77777777" w:rsidR="00F33283" w:rsidRPr="003347A6" w:rsidRDefault="00F33283" w:rsidP="00B77056">
      <w:pPr>
        <w:spacing w:after="0"/>
        <w:ind w:left="567" w:hanging="567"/>
        <w:rPr>
          <w:rFonts w:cstheme="minorHAnsi"/>
          <w:noProof/>
        </w:rPr>
      </w:pPr>
      <w:r w:rsidRPr="003347A6">
        <w:rPr>
          <w:rFonts w:cstheme="minorHAnsi"/>
          <w:noProof/>
        </w:rPr>
        <w:t xml:space="preserve">5. Santini V. Clinical use of erythropoietic stimulating agents in myelodysplastic syndromes. Oncologist. 2011;16(suppl 3):35–42. </w:t>
      </w:r>
    </w:p>
    <w:p w14:paraId="57F5CA0D" w14:textId="77777777" w:rsidR="00F33283" w:rsidRPr="003347A6" w:rsidRDefault="00F33283" w:rsidP="00B77056">
      <w:pPr>
        <w:spacing w:after="0"/>
        <w:ind w:left="567" w:hanging="567"/>
        <w:rPr>
          <w:rFonts w:cstheme="minorHAnsi"/>
          <w:noProof/>
        </w:rPr>
      </w:pPr>
      <w:r w:rsidRPr="003347A6">
        <w:rPr>
          <w:rFonts w:cstheme="minorHAnsi"/>
          <w:noProof/>
        </w:rPr>
        <w:t xml:space="preserve">6. Hellstrom-Lindberg E, Ahlgren T, Beguin Y, Carlsson M, Carneskog J, Dahl IM, et al. Treatment of anemia in myelodysplastic syndromes with granulocyte colony-stimulating factor plus erythropoietin: results from a randomized phase II study and long-term follow-up of 71 patients. Blood. 1998;92(1):68–75. </w:t>
      </w:r>
    </w:p>
    <w:p w14:paraId="0B553D2D" w14:textId="77777777" w:rsidR="00F33283" w:rsidRPr="003347A6" w:rsidRDefault="00F33283" w:rsidP="00B77056">
      <w:pPr>
        <w:spacing w:after="0"/>
        <w:ind w:left="567" w:hanging="567"/>
        <w:rPr>
          <w:rFonts w:cstheme="minorHAnsi"/>
          <w:noProof/>
        </w:rPr>
      </w:pPr>
      <w:r w:rsidRPr="003347A6">
        <w:rPr>
          <w:rFonts w:cstheme="minorHAnsi"/>
          <w:noProof/>
        </w:rPr>
        <w:t>7. Mundle S, Lefebvre P, Vekeman F, Duh MS, Rastogi R, Moyo V. An assessment of erythroid response to epoetin alpha as a single agent versus in combination with granulocyte- or granulocyte-macrophage-colony-stimulating factor in myelodysplastic syndromes using a meta-analysis approach. Cancer. 2009;115(4):706–15.</w:t>
      </w:r>
    </w:p>
    <w:p w14:paraId="6018A2C4" w14:textId="77777777" w:rsidR="00F33283" w:rsidRPr="003347A6" w:rsidRDefault="00F33283" w:rsidP="00B77056">
      <w:pPr>
        <w:spacing w:after="0"/>
        <w:ind w:left="567" w:hanging="567"/>
        <w:rPr>
          <w:rFonts w:cstheme="minorHAnsi"/>
          <w:noProof/>
        </w:rPr>
      </w:pPr>
      <w:r w:rsidRPr="003347A6">
        <w:rPr>
          <w:rFonts w:cstheme="minorHAnsi"/>
          <w:noProof/>
        </w:rPr>
        <w:lastRenderedPageBreak/>
        <w:t xml:space="preserve">8. Hellstrom-Lindberg E, Gulbrandsen N, Lindberg G, Ahlgren T, Dahl IM, Dybedal I, et al. A validated decision model for treating the anaemia of myelodysplastic syndromes with erythropoietin + granulocyte colony-stimulating factor: significant effects on quality of life. Brit J Haematol. 2003;120(6):1037–46. </w:t>
      </w:r>
    </w:p>
    <w:p w14:paraId="2C29149E" w14:textId="77777777" w:rsidR="00F33283" w:rsidRPr="003347A6" w:rsidRDefault="00F33283" w:rsidP="00B77056">
      <w:pPr>
        <w:spacing w:after="0"/>
        <w:ind w:left="567" w:hanging="567"/>
        <w:rPr>
          <w:rFonts w:cstheme="minorHAnsi"/>
          <w:noProof/>
        </w:rPr>
      </w:pPr>
      <w:r w:rsidRPr="003347A6">
        <w:rPr>
          <w:rFonts w:cstheme="minorHAnsi"/>
          <w:noProof/>
        </w:rPr>
        <w:t xml:space="preserve">9. Jadersten M, Montgomery SM, Dybedal I, Porwit-MacDonald A, Hellstrom-Lindberg E. Long-term outcome of treatment of anemia in MDS with erythropoietin and G-CSF. Blood. 2005;106(3):803–11. </w:t>
      </w:r>
    </w:p>
    <w:p w14:paraId="3F08BBF4" w14:textId="77777777" w:rsidR="00F33283" w:rsidRPr="003347A6" w:rsidRDefault="00F33283" w:rsidP="00B77056">
      <w:pPr>
        <w:spacing w:after="0"/>
        <w:ind w:left="567" w:hanging="567"/>
        <w:rPr>
          <w:rFonts w:cstheme="minorHAnsi"/>
          <w:noProof/>
        </w:rPr>
      </w:pPr>
      <w:r w:rsidRPr="003347A6">
        <w:rPr>
          <w:rFonts w:cstheme="minorHAnsi"/>
          <w:noProof/>
        </w:rPr>
        <w:t xml:space="preserve">10. Balleari E, Rossi E, Clavio M, Congiu A, Gobbi M, Grosso M, et al. Erythropoietin plus granulocyte colony-stimulating factor is better than erythropoietin alone to treat anemia in low-risk myelodysplastic syndromes: results from a randomized single-centre study. Ann Hematol. 2006;85(3):174–80. </w:t>
      </w:r>
    </w:p>
    <w:p w14:paraId="4D1F4F37" w14:textId="77777777" w:rsidR="00F33283" w:rsidRPr="003347A6" w:rsidRDefault="00F33283" w:rsidP="00B77056">
      <w:pPr>
        <w:spacing w:after="0"/>
        <w:ind w:left="567" w:hanging="567"/>
        <w:rPr>
          <w:rFonts w:cstheme="minorHAnsi"/>
          <w:noProof/>
        </w:rPr>
      </w:pPr>
      <w:r w:rsidRPr="003347A6">
        <w:rPr>
          <w:rFonts w:cstheme="minorHAnsi"/>
          <w:noProof/>
        </w:rPr>
        <w:t>11. Kuendgen A, Strupp C, Aivado M, Hildebrandt B, Haas R, Gattermann N, et al. Myelodysplastic syndromes in patients younger than age 50. J Clin Oncol. 2006;24(34):5358–65.</w:t>
      </w:r>
    </w:p>
    <w:p w14:paraId="452EC713" w14:textId="77777777" w:rsidR="00F33283" w:rsidRPr="003347A6" w:rsidRDefault="00F33283" w:rsidP="00B77056">
      <w:pPr>
        <w:spacing w:after="0"/>
        <w:ind w:left="567" w:hanging="567"/>
        <w:rPr>
          <w:rFonts w:cstheme="minorHAnsi"/>
          <w:noProof/>
        </w:rPr>
      </w:pPr>
      <w:r w:rsidRPr="003347A6">
        <w:rPr>
          <w:rFonts w:cstheme="minorHAnsi"/>
          <w:noProof/>
        </w:rPr>
        <w:t>12. National Institute for Health and Clinical Excellence. TA322: Lenalidomide for treating myelodysplastic syndromes associated with an isolated deletion 5q cytogenetic abnormality. 2014. https://www.nice.org.uk/guidance/ta322. Accessed 22 December 2015.</w:t>
      </w:r>
    </w:p>
    <w:p w14:paraId="2E97F26E" w14:textId="77777777" w:rsidR="00F33283" w:rsidRPr="003347A6" w:rsidRDefault="00F33283" w:rsidP="00B77056">
      <w:pPr>
        <w:spacing w:after="0"/>
        <w:ind w:left="567" w:hanging="567"/>
        <w:rPr>
          <w:rFonts w:cstheme="minorHAnsi"/>
          <w:noProof/>
        </w:rPr>
      </w:pPr>
      <w:r w:rsidRPr="003347A6">
        <w:rPr>
          <w:rFonts w:cstheme="minorHAnsi"/>
          <w:noProof/>
        </w:rPr>
        <w:t xml:space="preserve">13. Wahlin A, Markevarn B, Golovleva I, Nilsson M. Prognostic significance of risk group stratification in elderly patients with acute myeloid leukaemia. Brit J Haematol. 2001;115(1):25–33. </w:t>
      </w:r>
    </w:p>
    <w:p w14:paraId="1F3BEF08" w14:textId="65B42D9C" w:rsidR="00F33283" w:rsidRPr="003347A6" w:rsidRDefault="007745D4" w:rsidP="00B77056">
      <w:pPr>
        <w:spacing w:after="0"/>
        <w:ind w:left="567" w:hanging="567"/>
        <w:rPr>
          <w:rFonts w:cstheme="minorHAnsi"/>
          <w:noProof/>
        </w:rPr>
      </w:pPr>
      <w:r w:rsidRPr="003347A6">
        <w:rPr>
          <w:rFonts w:cstheme="minorHAnsi"/>
          <w:noProof/>
        </w:rPr>
        <w:t>14</w:t>
      </w:r>
      <w:r w:rsidR="00F33283" w:rsidRPr="003347A6">
        <w:rPr>
          <w:rFonts w:cstheme="minorHAnsi"/>
          <w:noProof/>
        </w:rPr>
        <w:t xml:space="preserve">. Joint Formulary Committee. British National Formulary (online) version 64. 2013. </w:t>
      </w:r>
      <w:r w:rsidR="009D3E7F" w:rsidRPr="003347A6">
        <w:rPr>
          <w:rFonts w:cstheme="minorHAnsi"/>
          <w:noProof/>
        </w:rPr>
        <w:t>Accessed 13 January 2015.</w:t>
      </w:r>
    </w:p>
    <w:p w14:paraId="594DD87A" w14:textId="57BA976E" w:rsidR="00F33283" w:rsidRPr="003347A6" w:rsidRDefault="00F33283" w:rsidP="00B77056">
      <w:pPr>
        <w:spacing w:after="0"/>
        <w:ind w:left="567" w:hanging="567"/>
        <w:rPr>
          <w:rFonts w:cstheme="minorHAnsi"/>
          <w:noProof/>
        </w:rPr>
      </w:pPr>
      <w:r w:rsidRPr="003347A6">
        <w:rPr>
          <w:rFonts w:cstheme="minorHAnsi"/>
          <w:noProof/>
        </w:rPr>
        <w:t>1</w:t>
      </w:r>
      <w:r w:rsidR="007745D4" w:rsidRPr="003347A6">
        <w:rPr>
          <w:rFonts w:cstheme="minorHAnsi"/>
          <w:noProof/>
        </w:rPr>
        <w:t>5</w:t>
      </w:r>
      <w:r w:rsidRPr="003347A6">
        <w:rPr>
          <w:rFonts w:cstheme="minorHAnsi"/>
          <w:noProof/>
        </w:rPr>
        <w:t xml:space="preserve">. Department of Health. NHS reference costs financial year 2011 to 2012. 2012. </w:t>
      </w:r>
      <w:hyperlink r:id="rId8" w:history="1">
        <w:r w:rsidR="009D3E7F" w:rsidRPr="003347A6">
          <w:rPr>
            <w:rStyle w:val="Hyperlink"/>
            <w:rFonts w:cstheme="minorHAnsi"/>
            <w:noProof/>
          </w:rPr>
          <w:t>https://www.gov.uk/government/publications/nhs-reference-costs-financial-year-2011-to-2012</w:t>
        </w:r>
      </w:hyperlink>
      <w:r w:rsidRPr="003347A6">
        <w:rPr>
          <w:rFonts w:cstheme="minorHAnsi"/>
          <w:noProof/>
        </w:rPr>
        <w:t>.</w:t>
      </w:r>
      <w:r w:rsidR="009D3E7F" w:rsidRPr="003347A6">
        <w:rPr>
          <w:rFonts w:cstheme="minorHAnsi"/>
          <w:noProof/>
        </w:rPr>
        <w:t xml:space="preserve"> Accessed 13 January 2015.</w:t>
      </w:r>
    </w:p>
    <w:p w14:paraId="1A76A09B" w14:textId="5DA5F907" w:rsidR="00F33283" w:rsidRPr="003347A6" w:rsidRDefault="007745D4" w:rsidP="00B77056">
      <w:pPr>
        <w:spacing w:after="0"/>
        <w:ind w:left="567" w:hanging="567"/>
        <w:rPr>
          <w:rFonts w:cstheme="minorHAnsi"/>
          <w:noProof/>
        </w:rPr>
      </w:pPr>
      <w:r w:rsidRPr="003347A6">
        <w:rPr>
          <w:rFonts w:cstheme="minorHAnsi"/>
          <w:noProof/>
        </w:rPr>
        <w:lastRenderedPageBreak/>
        <w:t>16</w:t>
      </w:r>
      <w:r w:rsidR="00F33283" w:rsidRPr="003347A6">
        <w:rPr>
          <w:rFonts w:cstheme="minorHAnsi"/>
          <w:noProof/>
        </w:rPr>
        <w:t xml:space="preserve">. Guest JF, Munro V, Cookson RF. The annual cost of blood transfusions in the United Kingdom. Clin Lab Haematol. 1998;20(2):111–8. </w:t>
      </w:r>
    </w:p>
    <w:p w14:paraId="53FC1D72" w14:textId="5322806B" w:rsidR="00F33283" w:rsidRPr="003347A6" w:rsidRDefault="007745D4" w:rsidP="00B77056">
      <w:pPr>
        <w:spacing w:after="0"/>
        <w:ind w:left="567" w:hanging="567"/>
        <w:rPr>
          <w:rFonts w:cstheme="minorHAnsi"/>
          <w:noProof/>
        </w:rPr>
      </w:pPr>
      <w:r w:rsidRPr="003347A6">
        <w:rPr>
          <w:rFonts w:cstheme="minorHAnsi"/>
          <w:noProof/>
        </w:rPr>
        <w:t>17</w:t>
      </w:r>
      <w:r w:rsidR="00F33283" w:rsidRPr="003347A6">
        <w:rPr>
          <w:rFonts w:cstheme="minorHAnsi"/>
          <w:noProof/>
        </w:rPr>
        <w:t xml:space="preserve">. Davies L, Brown TJ, Haynes S, Payne K, Elliott RA, McCollum C. Cost-effectiveness of cell salvage and alternative methods of minimising perioperative allogeneic blood transfusion: a systematic review and economic model. Health Technol Assess. 2006;10(44):iii-iv, ix-x, 1–210. </w:t>
      </w:r>
    </w:p>
    <w:p w14:paraId="0A026EAA" w14:textId="7439BBA2" w:rsidR="00F33283" w:rsidRPr="003347A6" w:rsidRDefault="007745D4" w:rsidP="00B77056">
      <w:pPr>
        <w:spacing w:after="0"/>
        <w:ind w:left="567" w:hanging="567"/>
        <w:rPr>
          <w:rFonts w:cstheme="minorHAnsi"/>
          <w:noProof/>
        </w:rPr>
      </w:pPr>
      <w:r w:rsidRPr="003347A6">
        <w:rPr>
          <w:rFonts w:cstheme="minorHAnsi"/>
          <w:noProof/>
        </w:rPr>
        <w:t>18</w:t>
      </w:r>
      <w:r w:rsidR="00F33283" w:rsidRPr="003347A6">
        <w:rPr>
          <w:rFonts w:cstheme="minorHAnsi"/>
          <w:noProof/>
        </w:rPr>
        <w:t xml:space="preserve">. Luengo-Fernandez R, Leal J, Gray A, Petersen S, Rayner M. Cost of cardiovascular diseases in the United Kingdom. Heart. 2006;92(10):1384–9. </w:t>
      </w:r>
    </w:p>
    <w:p w14:paraId="1A5C37D7" w14:textId="701F58E3" w:rsidR="00F33283" w:rsidRPr="003347A6" w:rsidRDefault="007745D4" w:rsidP="00B77056">
      <w:pPr>
        <w:spacing w:after="0"/>
        <w:ind w:left="567" w:hanging="567"/>
        <w:rPr>
          <w:rFonts w:cstheme="minorHAnsi"/>
          <w:noProof/>
        </w:rPr>
      </w:pPr>
      <w:r w:rsidRPr="003347A6">
        <w:rPr>
          <w:rFonts w:cstheme="minorHAnsi"/>
          <w:noProof/>
        </w:rPr>
        <w:t>19</w:t>
      </w:r>
      <w:r w:rsidR="00F33283" w:rsidRPr="003347A6">
        <w:rPr>
          <w:rFonts w:cstheme="minorHAnsi"/>
          <w:noProof/>
        </w:rPr>
        <w:t xml:space="preserve">. Wright M, Grieve R, Roberts J, Main J, Thomas HC, Investigators UKMHCT. Health benefits of antiviral therapy for mild chronic hepatitis C: randomised controlled trial and economic evaluation. Health Technol Assess. 2006;10(21):1–113, iii. </w:t>
      </w:r>
    </w:p>
    <w:p w14:paraId="5ED702E7" w14:textId="2C2DC331" w:rsidR="00F33283" w:rsidRPr="003347A6" w:rsidRDefault="00F33283" w:rsidP="00B77056">
      <w:pPr>
        <w:spacing w:after="0"/>
        <w:ind w:left="567" w:hanging="567"/>
        <w:rPr>
          <w:rFonts w:cstheme="minorHAnsi"/>
          <w:noProof/>
        </w:rPr>
      </w:pPr>
      <w:r w:rsidRPr="003347A6">
        <w:rPr>
          <w:rFonts w:cstheme="minorHAnsi"/>
          <w:noProof/>
        </w:rPr>
        <w:t>2</w:t>
      </w:r>
      <w:r w:rsidR="007745D4" w:rsidRPr="003347A6">
        <w:rPr>
          <w:rFonts w:cstheme="minorHAnsi"/>
          <w:noProof/>
        </w:rPr>
        <w:t>0</w:t>
      </w:r>
      <w:r w:rsidRPr="003347A6">
        <w:rPr>
          <w:rFonts w:cstheme="minorHAnsi"/>
          <w:noProof/>
        </w:rPr>
        <w:t xml:space="preserve">. Curtis L. Personal Social Services Research Unit. Unit Costs of Health and Social Care 2011. </w:t>
      </w:r>
      <w:hyperlink r:id="rId9" w:history="1">
        <w:r w:rsidR="009D3E7F" w:rsidRPr="003347A6">
          <w:rPr>
            <w:rStyle w:val="Hyperlink"/>
            <w:rFonts w:cstheme="minorHAnsi"/>
            <w:noProof/>
          </w:rPr>
          <w:t>https://www.pssru.ac.uk/project-pages/unit-costs/unit-costs-2016/</w:t>
        </w:r>
      </w:hyperlink>
      <w:r w:rsidR="009D3E7F" w:rsidRPr="003347A6">
        <w:rPr>
          <w:rFonts w:cstheme="minorHAnsi"/>
          <w:noProof/>
        </w:rPr>
        <w:t xml:space="preserve"> Accessed 13 January 2015.</w:t>
      </w:r>
    </w:p>
    <w:p w14:paraId="799742EA" w14:textId="37060B88" w:rsidR="00F33283" w:rsidRPr="003347A6" w:rsidRDefault="00F33283" w:rsidP="00B77056">
      <w:pPr>
        <w:spacing w:after="0"/>
        <w:ind w:left="567" w:hanging="567"/>
        <w:rPr>
          <w:rFonts w:cstheme="minorHAnsi"/>
          <w:noProof/>
        </w:rPr>
      </w:pPr>
      <w:r w:rsidRPr="003347A6">
        <w:rPr>
          <w:rFonts w:cstheme="minorHAnsi"/>
          <w:noProof/>
        </w:rPr>
        <w:t>2</w:t>
      </w:r>
      <w:r w:rsidR="007745D4" w:rsidRPr="003347A6">
        <w:rPr>
          <w:rFonts w:cstheme="minorHAnsi"/>
          <w:noProof/>
        </w:rPr>
        <w:t>1</w:t>
      </w:r>
      <w:r w:rsidRPr="003347A6">
        <w:rPr>
          <w:rFonts w:cstheme="minorHAnsi"/>
          <w:noProof/>
        </w:rPr>
        <w:t xml:space="preserve">. Kanavos P, van den Aardweg S, Schurer W. Diabetes expenditure, burden of disease and management in 5 EU countries. </w:t>
      </w:r>
      <w:r w:rsidR="00F94B7C" w:rsidRPr="003347A6">
        <w:rPr>
          <w:rFonts w:cstheme="minorHAnsi"/>
          <w:noProof/>
        </w:rPr>
        <w:t xml:space="preserve">London: </w:t>
      </w:r>
      <w:r w:rsidRPr="003347A6">
        <w:rPr>
          <w:rFonts w:cstheme="minorHAnsi"/>
          <w:noProof/>
        </w:rPr>
        <w:t>LSE Health</w:t>
      </w:r>
      <w:r w:rsidR="00F94B7C" w:rsidRPr="003347A6">
        <w:rPr>
          <w:rFonts w:cstheme="minorHAnsi"/>
          <w:noProof/>
        </w:rPr>
        <w:t>,</w:t>
      </w:r>
      <w:r w:rsidRPr="003347A6">
        <w:rPr>
          <w:rFonts w:cstheme="minorHAnsi"/>
          <w:noProof/>
        </w:rPr>
        <w:t xml:space="preserve"> London School of Economics</w:t>
      </w:r>
      <w:r w:rsidR="00F94B7C" w:rsidRPr="003347A6">
        <w:rPr>
          <w:rFonts w:cstheme="minorHAnsi"/>
          <w:noProof/>
        </w:rPr>
        <w:t>;</w:t>
      </w:r>
      <w:r w:rsidRPr="003347A6">
        <w:rPr>
          <w:rFonts w:cstheme="minorHAnsi"/>
          <w:noProof/>
        </w:rPr>
        <w:t xml:space="preserve"> 2012. </w:t>
      </w:r>
    </w:p>
    <w:p w14:paraId="3AEEF389" w14:textId="0B655935" w:rsidR="00F33283" w:rsidRPr="003347A6" w:rsidRDefault="00F33283" w:rsidP="00B77056">
      <w:pPr>
        <w:spacing w:after="0"/>
        <w:ind w:left="567" w:hanging="567"/>
        <w:rPr>
          <w:rFonts w:cstheme="minorHAnsi"/>
          <w:noProof/>
        </w:rPr>
      </w:pPr>
      <w:r w:rsidRPr="003347A6">
        <w:rPr>
          <w:rFonts w:cstheme="minorHAnsi"/>
          <w:noProof/>
        </w:rPr>
        <w:t>2</w:t>
      </w:r>
      <w:r w:rsidR="007745D4" w:rsidRPr="003347A6">
        <w:rPr>
          <w:rFonts w:cstheme="minorHAnsi"/>
          <w:noProof/>
        </w:rPr>
        <w:t>2</w:t>
      </w:r>
      <w:r w:rsidRPr="003347A6">
        <w:rPr>
          <w:rFonts w:cstheme="minorHAnsi"/>
          <w:noProof/>
        </w:rPr>
        <w:t xml:space="preserve">. McLeod C, Fleeman N, Kirkham J, Bagust A, Boland A, Chu P, et al. Deferasirox for the treatment of iron overload associated with regular blood transfusions (transfusional haemosiderosis) in patients suffering with chronic anaemia: a systematic review and economic evaluation. Health Technol Assess. 2009;13(1):iii-iv, ix-xi, 1–121. </w:t>
      </w:r>
    </w:p>
    <w:p w14:paraId="2341D510" w14:textId="77777777" w:rsidR="007745D4" w:rsidRPr="003347A6" w:rsidRDefault="007745D4" w:rsidP="007745D4">
      <w:pPr>
        <w:spacing w:after="0"/>
        <w:ind w:left="567" w:hanging="567"/>
        <w:rPr>
          <w:rFonts w:cstheme="minorHAnsi"/>
          <w:noProof/>
        </w:rPr>
      </w:pPr>
      <w:r w:rsidRPr="003347A6">
        <w:rPr>
          <w:rFonts w:cstheme="minorHAnsi"/>
          <w:noProof/>
        </w:rPr>
        <w:t>23. Szende A, Schaefer C, Goss TF, Heptinstall K, Knight R, Lubbert M, et al. Valuation of transfusion-free living in MDS: results of health utility interviews with patients. Health Qual Life Outcomes. 2009;7:81.</w:t>
      </w:r>
    </w:p>
    <w:p w14:paraId="7C01913A" w14:textId="54E6B095" w:rsidR="00F33283" w:rsidRPr="003347A6" w:rsidRDefault="00F33283" w:rsidP="00B77056">
      <w:pPr>
        <w:spacing w:after="0"/>
        <w:ind w:left="567" w:hanging="567"/>
        <w:rPr>
          <w:rFonts w:cstheme="minorHAnsi"/>
          <w:noProof/>
        </w:rPr>
      </w:pPr>
      <w:r w:rsidRPr="003347A6">
        <w:rPr>
          <w:rFonts w:cstheme="minorHAnsi"/>
          <w:noProof/>
        </w:rPr>
        <w:lastRenderedPageBreak/>
        <w:t>2</w:t>
      </w:r>
      <w:r w:rsidR="007745D4" w:rsidRPr="003347A6">
        <w:rPr>
          <w:rFonts w:cstheme="minorHAnsi"/>
          <w:noProof/>
        </w:rPr>
        <w:t>4</w:t>
      </w:r>
      <w:r w:rsidRPr="003347A6">
        <w:rPr>
          <w:rFonts w:cstheme="minorHAnsi"/>
          <w:noProof/>
        </w:rPr>
        <w:t>. Fryback DG, Dasbach EJ, Klein R, Klein BE, Dorn N, Peterson K, et al. The Beaver Dam Health Outcomes Study: initial catalog of health-state quality factors. Medl Decis Making. 1993;13(2):89–102.</w:t>
      </w:r>
    </w:p>
    <w:p w14:paraId="632D62B1" w14:textId="4BFB1150" w:rsidR="00F33283" w:rsidRPr="003347A6" w:rsidRDefault="00F33283" w:rsidP="00B77056">
      <w:pPr>
        <w:spacing w:after="0"/>
        <w:ind w:left="567" w:hanging="567"/>
        <w:rPr>
          <w:rFonts w:cstheme="minorHAnsi"/>
          <w:noProof/>
        </w:rPr>
      </w:pPr>
      <w:r w:rsidRPr="003347A6">
        <w:rPr>
          <w:rFonts w:cstheme="minorHAnsi"/>
          <w:noProof/>
        </w:rPr>
        <w:t>2</w:t>
      </w:r>
      <w:r w:rsidR="007745D4" w:rsidRPr="003347A6">
        <w:rPr>
          <w:rFonts w:cstheme="minorHAnsi"/>
          <w:noProof/>
        </w:rPr>
        <w:t>5</w:t>
      </w:r>
      <w:r w:rsidRPr="003347A6">
        <w:rPr>
          <w:rFonts w:cstheme="minorHAnsi"/>
          <w:noProof/>
        </w:rPr>
        <w:t>. Wong JB, Koff RS, Tine F, Pauker SG. Cost-effectiveness of interferon-alpha2b treatment for hepatitis B e antigen-positive chronic hepatitis B. Ann Int Med. 1995;122(9):664–75.</w:t>
      </w:r>
    </w:p>
    <w:p w14:paraId="5F300D78" w14:textId="2010AC2A" w:rsidR="00F33283" w:rsidRPr="003347A6" w:rsidRDefault="00F33283" w:rsidP="00B77056">
      <w:pPr>
        <w:spacing w:after="0"/>
        <w:ind w:left="567" w:hanging="567"/>
        <w:rPr>
          <w:rFonts w:cstheme="minorHAnsi"/>
          <w:noProof/>
        </w:rPr>
      </w:pPr>
      <w:r w:rsidRPr="003347A6">
        <w:rPr>
          <w:rFonts w:cstheme="minorHAnsi"/>
          <w:noProof/>
        </w:rPr>
        <w:t>2</w:t>
      </w:r>
      <w:r w:rsidR="007745D4" w:rsidRPr="003347A6">
        <w:rPr>
          <w:rFonts w:cstheme="minorHAnsi"/>
          <w:noProof/>
        </w:rPr>
        <w:t>6</w:t>
      </w:r>
      <w:r w:rsidRPr="003347A6">
        <w:rPr>
          <w:rFonts w:cstheme="minorHAnsi"/>
          <w:noProof/>
        </w:rPr>
        <w:t xml:space="preserve">. Jabbour E, Kantarjian HM, Koller C, Taher A. Red blood cell transfusions and iron overload in the treatment of patients with myelodysplastic syndromes. Cancer. 2008;112(5):1089–95. </w:t>
      </w:r>
    </w:p>
    <w:p w14:paraId="3DB61A67" w14:textId="7BEA2BBE" w:rsidR="00F33283" w:rsidRPr="003347A6" w:rsidRDefault="007745D4" w:rsidP="00B77056">
      <w:pPr>
        <w:pStyle w:val="EndNoteBibliography"/>
        <w:spacing w:after="0" w:line="480" w:lineRule="auto"/>
        <w:ind w:left="567" w:hanging="567"/>
        <w:rPr>
          <w:rFonts w:asciiTheme="minorHAnsi" w:hAnsiTheme="minorHAnsi" w:cstheme="minorHAnsi"/>
          <w:noProof w:val="0"/>
        </w:rPr>
      </w:pPr>
      <w:r w:rsidRPr="003347A6">
        <w:rPr>
          <w:rFonts w:asciiTheme="minorHAnsi" w:hAnsiTheme="minorHAnsi" w:cstheme="minorHAnsi"/>
          <w:noProof w:val="0"/>
        </w:rPr>
        <w:t>27</w:t>
      </w:r>
      <w:r w:rsidR="00F33283" w:rsidRPr="003347A6">
        <w:rPr>
          <w:rFonts w:asciiTheme="minorHAnsi" w:hAnsiTheme="minorHAnsi" w:cstheme="minorHAnsi"/>
          <w:noProof w:val="0"/>
        </w:rPr>
        <w:t xml:space="preserve">. </w:t>
      </w:r>
      <w:proofErr w:type="spellStart"/>
      <w:r w:rsidR="00F33283" w:rsidRPr="003347A6">
        <w:rPr>
          <w:rFonts w:asciiTheme="minorHAnsi" w:hAnsiTheme="minorHAnsi" w:cstheme="minorHAnsi"/>
          <w:noProof w:val="0"/>
        </w:rPr>
        <w:t>Kontoghiorghes</w:t>
      </w:r>
      <w:proofErr w:type="spellEnd"/>
      <w:r w:rsidR="00F33283" w:rsidRPr="003347A6">
        <w:rPr>
          <w:rFonts w:asciiTheme="minorHAnsi" w:hAnsiTheme="minorHAnsi" w:cstheme="minorHAnsi"/>
          <w:noProof w:val="0"/>
        </w:rPr>
        <w:t xml:space="preserve"> GJ, </w:t>
      </w:r>
      <w:proofErr w:type="spellStart"/>
      <w:r w:rsidR="00F33283" w:rsidRPr="003347A6">
        <w:rPr>
          <w:rFonts w:asciiTheme="minorHAnsi" w:hAnsiTheme="minorHAnsi" w:cstheme="minorHAnsi"/>
          <w:noProof w:val="0"/>
        </w:rPr>
        <w:t>Pattichi</w:t>
      </w:r>
      <w:proofErr w:type="spellEnd"/>
      <w:r w:rsidR="00F33283" w:rsidRPr="003347A6">
        <w:rPr>
          <w:rFonts w:asciiTheme="minorHAnsi" w:hAnsiTheme="minorHAnsi" w:cstheme="minorHAnsi"/>
          <w:noProof w:val="0"/>
        </w:rPr>
        <w:t xml:space="preserve"> K, </w:t>
      </w:r>
      <w:proofErr w:type="spellStart"/>
      <w:r w:rsidR="00F33283" w:rsidRPr="003347A6">
        <w:rPr>
          <w:rFonts w:asciiTheme="minorHAnsi" w:hAnsiTheme="minorHAnsi" w:cstheme="minorHAnsi"/>
          <w:noProof w:val="0"/>
        </w:rPr>
        <w:t>Hadjigavriel</w:t>
      </w:r>
      <w:proofErr w:type="spellEnd"/>
      <w:r w:rsidR="00F33283" w:rsidRPr="003347A6">
        <w:rPr>
          <w:rFonts w:asciiTheme="minorHAnsi" w:hAnsiTheme="minorHAnsi" w:cstheme="minorHAnsi"/>
          <w:noProof w:val="0"/>
        </w:rPr>
        <w:t xml:space="preserve"> M, </w:t>
      </w:r>
      <w:proofErr w:type="spellStart"/>
      <w:r w:rsidR="00F33283" w:rsidRPr="003347A6">
        <w:rPr>
          <w:rFonts w:asciiTheme="minorHAnsi" w:hAnsiTheme="minorHAnsi" w:cstheme="minorHAnsi"/>
          <w:noProof w:val="0"/>
        </w:rPr>
        <w:t>Kolnagou</w:t>
      </w:r>
      <w:proofErr w:type="spellEnd"/>
      <w:r w:rsidR="00F33283" w:rsidRPr="003347A6">
        <w:rPr>
          <w:rFonts w:asciiTheme="minorHAnsi" w:hAnsiTheme="minorHAnsi" w:cstheme="minorHAnsi"/>
          <w:noProof w:val="0"/>
        </w:rPr>
        <w:t xml:space="preserve"> A. </w:t>
      </w:r>
      <w:proofErr w:type="spellStart"/>
      <w:r w:rsidR="00F33283" w:rsidRPr="003347A6">
        <w:rPr>
          <w:rFonts w:asciiTheme="minorHAnsi" w:hAnsiTheme="minorHAnsi" w:cstheme="minorHAnsi"/>
          <w:noProof w:val="0"/>
        </w:rPr>
        <w:t>Transfusional</w:t>
      </w:r>
      <w:proofErr w:type="spellEnd"/>
      <w:r w:rsidR="00F33283" w:rsidRPr="003347A6">
        <w:rPr>
          <w:rFonts w:asciiTheme="minorHAnsi" w:hAnsiTheme="minorHAnsi" w:cstheme="minorHAnsi"/>
          <w:noProof w:val="0"/>
        </w:rPr>
        <w:t xml:space="preserve"> iron overload and chelation therapy with deferoxamine and deferiprone (L1). </w:t>
      </w:r>
      <w:proofErr w:type="spellStart"/>
      <w:r w:rsidR="00F33283" w:rsidRPr="003347A6">
        <w:rPr>
          <w:rFonts w:asciiTheme="minorHAnsi" w:hAnsiTheme="minorHAnsi" w:cstheme="minorHAnsi"/>
          <w:noProof w:val="0"/>
        </w:rPr>
        <w:t>Transfus</w:t>
      </w:r>
      <w:proofErr w:type="spellEnd"/>
      <w:r w:rsidR="00F33283" w:rsidRPr="003347A6">
        <w:rPr>
          <w:rFonts w:asciiTheme="minorHAnsi" w:hAnsiTheme="minorHAnsi" w:cstheme="minorHAnsi"/>
          <w:noProof w:val="0"/>
        </w:rPr>
        <w:t xml:space="preserve"> Sci. 2000;23(3):211–23.</w:t>
      </w:r>
    </w:p>
    <w:p w14:paraId="4C4EFE13" w14:textId="77777777" w:rsidR="007745D4" w:rsidRPr="003347A6" w:rsidRDefault="007745D4" w:rsidP="007745D4">
      <w:pPr>
        <w:spacing w:after="0"/>
        <w:ind w:left="567" w:hanging="567"/>
        <w:rPr>
          <w:rFonts w:cstheme="minorHAnsi"/>
          <w:noProof/>
        </w:rPr>
      </w:pPr>
      <w:r w:rsidRPr="003347A6">
        <w:rPr>
          <w:rFonts w:cstheme="minorHAnsi"/>
          <w:noProof/>
        </w:rPr>
        <w:t xml:space="preserve">28. Buckstein  R, Alibhai SM, Lam A, Mamedov A. The health-related quality of life of MDS patients is impaired and most predicted by transfusion dependence, hemoglobin and age. Leuk Res. 2011;35(Suppl 1 ):S55–S6. </w:t>
      </w:r>
    </w:p>
    <w:p w14:paraId="0D75FD2A" w14:textId="77777777" w:rsidR="007745D4" w:rsidRPr="003347A6" w:rsidRDefault="007745D4" w:rsidP="007745D4">
      <w:pPr>
        <w:spacing w:after="0"/>
        <w:ind w:left="567" w:hanging="567"/>
        <w:rPr>
          <w:rFonts w:cstheme="minorHAnsi"/>
          <w:noProof/>
        </w:rPr>
      </w:pPr>
      <w:r w:rsidRPr="003347A6">
        <w:rPr>
          <w:rFonts w:cstheme="minorHAnsi"/>
          <w:noProof/>
        </w:rPr>
        <w:t xml:space="preserve">29. Goss TF, Szende A, Schaefer C, Totten PJ, Knight R, Jadersten M, et al. Cost effectiveness of lenalidomide in the treatment of transfusion-dependent myelodysplastic syndromes in the United States. Cancer Control. 2006;13 Suppl:17–25. </w:t>
      </w:r>
    </w:p>
    <w:p w14:paraId="3615879B" w14:textId="63D0F620" w:rsidR="007745D4" w:rsidRPr="003347A6" w:rsidRDefault="007745D4" w:rsidP="007745D4">
      <w:pPr>
        <w:spacing w:after="0"/>
        <w:ind w:left="567" w:hanging="567"/>
        <w:rPr>
          <w:rFonts w:cstheme="minorHAnsi"/>
          <w:noProof/>
        </w:rPr>
      </w:pPr>
      <w:r w:rsidRPr="003347A6">
        <w:rPr>
          <w:rFonts w:cstheme="minorHAnsi"/>
          <w:noProof/>
        </w:rPr>
        <w:t xml:space="preserve">30. Buckstein R, Jang K, Friedlich J, Zhang L, Reis M, Chesney A, et al. Estimating the prevalence of myelodysplastic syndromes in patients with unexplained cytopenias: a retrospective study of 322 bone marrows. Leuk Res. 2009;33(10):1313–8. </w:t>
      </w:r>
    </w:p>
    <w:p w14:paraId="627F1FA3" w14:textId="6C704E88" w:rsidR="00B30156" w:rsidRPr="003347A6" w:rsidRDefault="00B30156" w:rsidP="007745D4">
      <w:pPr>
        <w:spacing w:after="0"/>
        <w:ind w:left="567" w:hanging="567"/>
        <w:rPr>
          <w:rFonts w:cstheme="minorHAnsi"/>
          <w:noProof/>
        </w:rPr>
      </w:pPr>
      <w:bookmarkStart w:id="1" w:name="_GoBack"/>
      <w:bookmarkEnd w:id="1"/>
    </w:p>
    <w:bookmarkEnd w:id="0"/>
    <w:p w14:paraId="4AB7A2B7" w14:textId="42351AE8" w:rsidR="00B77056" w:rsidRPr="003347A6" w:rsidRDefault="00B77056">
      <w:pPr>
        <w:spacing w:before="0" w:after="200" w:line="276" w:lineRule="auto"/>
        <w:rPr>
          <w:rFonts w:ascii="Calibri" w:hAnsi="Calibri" w:cs="Calibri"/>
          <w:noProof/>
        </w:rPr>
      </w:pPr>
      <w:r w:rsidRPr="003347A6">
        <w:br w:type="page"/>
      </w:r>
    </w:p>
    <w:p w14:paraId="38AE2979" w14:textId="4859F57D" w:rsidR="00D7489E" w:rsidRPr="003347A6" w:rsidRDefault="00D7489E" w:rsidP="009114DE">
      <w:pPr>
        <w:pStyle w:val="Heading1"/>
        <w:numPr>
          <w:ilvl w:val="0"/>
          <w:numId w:val="44"/>
        </w:numPr>
      </w:pPr>
      <w:r w:rsidRPr="003347A6">
        <w:lastRenderedPageBreak/>
        <w:t>Tables</w:t>
      </w:r>
    </w:p>
    <w:p w14:paraId="0CE7952D" w14:textId="6CE724C5" w:rsidR="00D7489E" w:rsidRPr="003347A6" w:rsidRDefault="00D7489E" w:rsidP="00D7489E">
      <w:pPr>
        <w:pStyle w:val="Caption"/>
      </w:pPr>
      <w:bookmarkStart w:id="2" w:name="_Ref436825499"/>
      <w:bookmarkStart w:id="3" w:name="_Ref437355167"/>
      <w:r w:rsidRPr="003347A6">
        <w:t xml:space="preserve">Table </w:t>
      </w:r>
      <w:r w:rsidR="00EB2052" w:rsidRPr="003347A6">
        <w:t>S</w:t>
      </w:r>
      <w:r w:rsidR="00804EB5" w:rsidRPr="003347A6">
        <w:rPr>
          <w:noProof/>
        </w:rPr>
        <w:t>1</w:t>
      </w:r>
      <w:bookmarkEnd w:id="2"/>
      <w:r w:rsidRPr="003347A6">
        <w:t xml:space="preserve"> </w:t>
      </w:r>
      <w:r w:rsidRPr="003347A6">
        <w:rPr>
          <w:b w:val="0"/>
        </w:rPr>
        <w:t>Key model parameters</w:t>
      </w:r>
    </w:p>
    <w:tbl>
      <w:tblPr>
        <w:tblStyle w:val="TableGrid"/>
        <w:tblW w:w="5000" w:type="pct"/>
        <w:tblLayout w:type="fixed"/>
        <w:tblLook w:val="04A0" w:firstRow="1" w:lastRow="0" w:firstColumn="1" w:lastColumn="0" w:noHBand="0" w:noVBand="1"/>
      </w:tblPr>
      <w:tblGrid>
        <w:gridCol w:w="3776"/>
        <w:gridCol w:w="2173"/>
        <w:gridCol w:w="3067"/>
      </w:tblGrid>
      <w:tr w:rsidR="00D7489E" w:rsidRPr="003347A6" w14:paraId="23781AFF" w14:textId="77777777" w:rsidTr="00DA4D6B">
        <w:trPr>
          <w:tblHeader/>
        </w:trPr>
        <w:tc>
          <w:tcPr>
            <w:tcW w:w="2094" w:type="pct"/>
            <w:noWrap/>
            <w:hideMark/>
          </w:tcPr>
          <w:p w14:paraId="2B528484" w14:textId="77777777" w:rsidR="00D7489E" w:rsidRPr="003347A6" w:rsidRDefault="00D7489E" w:rsidP="00895076">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w:t>
            </w:r>
          </w:p>
        </w:tc>
        <w:tc>
          <w:tcPr>
            <w:tcW w:w="1205" w:type="pct"/>
            <w:hideMark/>
          </w:tcPr>
          <w:p w14:paraId="17B27307" w14:textId="77777777" w:rsidR="00D7489E" w:rsidRPr="003347A6" w:rsidRDefault="00D7489E" w:rsidP="00895076">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Value</w:t>
            </w:r>
          </w:p>
        </w:tc>
        <w:tc>
          <w:tcPr>
            <w:tcW w:w="1701" w:type="pct"/>
            <w:noWrap/>
            <w:hideMark/>
          </w:tcPr>
          <w:p w14:paraId="33F39A6D" w14:textId="77777777" w:rsidR="00D7489E" w:rsidRPr="003347A6" w:rsidRDefault="00D7489E" w:rsidP="00895076">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Source</w:t>
            </w:r>
          </w:p>
        </w:tc>
      </w:tr>
      <w:tr w:rsidR="00D7489E" w:rsidRPr="003347A6" w14:paraId="76BEEB36" w14:textId="77777777" w:rsidTr="00895076">
        <w:tc>
          <w:tcPr>
            <w:tcW w:w="5000" w:type="pct"/>
            <w:gridSpan w:val="3"/>
            <w:noWrap/>
            <w:hideMark/>
          </w:tcPr>
          <w:p w14:paraId="51B0627B" w14:textId="77777777" w:rsidR="00D7489E" w:rsidRPr="003347A6" w:rsidRDefault="00D7489E" w:rsidP="00895076">
            <w:pPr>
              <w:spacing w:after="0" w:line="240" w:lineRule="auto"/>
              <w:rPr>
                <w:rFonts w:ascii="Arial" w:eastAsia="Times New Roman" w:hAnsi="Arial" w:cs="Arial"/>
                <w:b/>
                <w:sz w:val="20"/>
                <w:szCs w:val="20"/>
                <w:lang w:eastAsia="en-GB"/>
              </w:rPr>
            </w:pPr>
            <w:r w:rsidRPr="003347A6">
              <w:rPr>
                <w:rFonts w:ascii="Arial" w:eastAsia="Times New Roman" w:hAnsi="Arial" w:cs="Arial"/>
                <w:b/>
                <w:sz w:val="20"/>
                <w:szCs w:val="20"/>
                <w:lang w:eastAsia="en-GB"/>
              </w:rPr>
              <w:t>Costs</w:t>
            </w:r>
          </w:p>
        </w:tc>
      </w:tr>
      <w:tr w:rsidR="00D7489E" w:rsidRPr="003347A6" w14:paraId="607D92AE" w14:textId="77777777" w:rsidTr="00927378">
        <w:tc>
          <w:tcPr>
            <w:tcW w:w="2094" w:type="pct"/>
            <w:noWrap/>
            <w:hideMark/>
          </w:tcPr>
          <w:p w14:paraId="1552715A"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Lenalidomide </w:t>
            </w:r>
          </w:p>
        </w:tc>
        <w:tc>
          <w:tcPr>
            <w:tcW w:w="1205" w:type="pct"/>
            <w:noWrap/>
            <w:vAlign w:val="center"/>
            <w:hideMark/>
          </w:tcPr>
          <w:p w14:paraId="16D3518E" w14:textId="24569C5F"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£170 per 5</w:t>
            </w:r>
            <w:r w:rsidR="00640C4B" w:rsidRPr="003347A6">
              <w:rPr>
                <w:rFonts w:ascii="Arial" w:eastAsia="Times New Roman" w:hAnsi="Arial" w:cs="Arial"/>
                <w:sz w:val="20"/>
                <w:szCs w:val="20"/>
                <w:lang w:eastAsia="en-GB"/>
              </w:rPr>
              <w:t xml:space="preserve"> </w:t>
            </w:r>
            <w:r w:rsidRPr="003347A6">
              <w:rPr>
                <w:rFonts w:ascii="Arial" w:eastAsia="Times New Roman" w:hAnsi="Arial" w:cs="Arial"/>
                <w:sz w:val="20"/>
                <w:szCs w:val="20"/>
                <w:lang w:eastAsia="en-GB"/>
              </w:rPr>
              <w:t>mg tablet</w:t>
            </w:r>
            <w:r w:rsidRPr="003347A6">
              <w:rPr>
                <w:rFonts w:ascii="Arial" w:eastAsia="Times New Roman" w:hAnsi="Arial" w:cs="Arial"/>
                <w:sz w:val="20"/>
                <w:szCs w:val="20"/>
                <w:lang w:eastAsia="en-GB"/>
              </w:rPr>
              <w:br/>
              <w:t>£15,000 per 200</w:t>
            </w:r>
            <w:r w:rsidR="00640C4B" w:rsidRPr="003347A6">
              <w:rPr>
                <w:rFonts w:ascii="Arial" w:eastAsia="Times New Roman" w:hAnsi="Arial" w:cs="Arial"/>
                <w:sz w:val="20"/>
                <w:szCs w:val="20"/>
                <w:lang w:eastAsia="en-GB"/>
              </w:rPr>
              <w:t xml:space="preserve"> </w:t>
            </w:r>
            <w:r w:rsidRPr="003347A6">
              <w:rPr>
                <w:rFonts w:ascii="Arial" w:eastAsia="Times New Roman" w:hAnsi="Arial" w:cs="Arial"/>
                <w:sz w:val="20"/>
                <w:szCs w:val="20"/>
                <w:lang w:eastAsia="en-GB"/>
              </w:rPr>
              <w:t>mg vial</w:t>
            </w:r>
          </w:p>
        </w:tc>
        <w:tc>
          <w:tcPr>
            <w:tcW w:w="1701" w:type="pct"/>
            <w:noWrap/>
            <w:vAlign w:val="center"/>
            <w:hideMark/>
          </w:tcPr>
          <w:p w14:paraId="43EC6F7B" w14:textId="75EB9B5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BNF 64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14</w:t>
            </w:r>
            <w:r w:rsidR="009114DE" w:rsidRPr="003347A6">
              <w:rPr>
                <w:rFonts w:ascii="Arial" w:eastAsia="Times New Roman" w:hAnsi="Arial" w:cs="Arial"/>
                <w:noProof/>
                <w:sz w:val="20"/>
                <w:szCs w:val="20"/>
                <w:lang w:eastAsia="en-GB"/>
              </w:rPr>
              <w:t>]</w:t>
            </w:r>
          </w:p>
        </w:tc>
      </w:tr>
      <w:tr w:rsidR="00D7489E" w:rsidRPr="003347A6" w14:paraId="260FEB8F" w14:textId="77777777" w:rsidTr="00927378">
        <w:tc>
          <w:tcPr>
            <w:tcW w:w="2094" w:type="pct"/>
            <w:noWrap/>
            <w:hideMark/>
          </w:tcPr>
          <w:p w14:paraId="4C71049D"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ESAs</w:t>
            </w:r>
          </w:p>
        </w:tc>
        <w:tc>
          <w:tcPr>
            <w:tcW w:w="1205" w:type="pct"/>
            <w:noWrap/>
            <w:vAlign w:val="center"/>
            <w:hideMark/>
          </w:tcPr>
          <w:p w14:paraId="26CAC7FD"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£110.62 per </w:t>
            </w:r>
            <w:proofErr w:type="gramStart"/>
            <w:r w:rsidRPr="003347A6">
              <w:rPr>
                <w:rFonts w:ascii="Arial" w:eastAsia="Times New Roman" w:hAnsi="Arial" w:cs="Arial"/>
                <w:sz w:val="20"/>
                <w:szCs w:val="20"/>
                <w:lang w:eastAsia="en-GB"/>
              </w:rPr>
              <w:t>20,000 unit</w:t>
            </w:r>
            <w:proofErr w:type="gramEnd"/>
            <w:r w:rsidRPr="003347A6">
              <w:rPr>
                <w:rFonts w:ascii="Arial" w:eastAsia="Times New Roman" w:hAnsi="Arial" w:cs="Arial"/>
                <w:sz w:val="20"/>
                <w:szCs w:val="20"/>
                <w:lang w:eastAsia="en-GB"/>
              </w:rPr>
              <w:t xml:space="preserve"> vial</w:t>
            </w:r>
          </w:p>
        </w:tc>
        <w:tc>
          <w:tcPr>
            <w:tcW w:w="1701" w:type="pct"/>
            <w:noWrap/>
            <w:vAlign w:val="center"/>
            <w:hideMark/>
          </w:tcPr>
          <w:p w14:paraId="4C66FD4A" w14:textId="2011E192"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BNF 64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14</w:t>
            </w:r>
            <w:r w:rsidR="009114DE" w:rsidRPr="003347A6">
              <w:rPr>
                <w:rFonts w:ascii="Arial" w:eastAsia="Times New Roman" w:hAnsi="Arial" w:cs="Arial"/>
                <w:noProof/>
                <w:sz w:val="20"/>
                <w:szCs w:val="20"/>
                <w:lang w:eastAsia="en-GB"/>
              </w:rPr>
              <w:t>]</w:t>
            </w:r>
            <w:r w:rsidRPr="003347A6">
              <w:rPr>
                <w:rFonts w:ascii="Arial" w:eastAsia="Times New Roman" w:hAnsi="Arial" w:cs="Arial"/>
                <w:sz w:val="20"/>
                <w:szCs w:val="20"/>
                <w:lang w:eastAsia="en-GB"/>
              </w:rPr>
              <w:t xml:space="preserve">, Epoetin alpha – </w:t>
            </w:r>
            <w:proofErr w:type="spellStart"/>
            <w:r w:rsidRPr="003347A6">
              <w:rPr>
                <w:rFonts w:ascii="Arial" w:eastAsia="Times New Roman" w:hAnsi="Arial" w:cs="Arial"/>
                <w:sz w:val="20"/>
                <w:szCs w:val="20"/>
                <w:lang w:eastAsia="en-GB"/>
              </w:rPr>
              <w:t>Eprex</w:t>
            </w:r>
            <w:proofErr w:type="spellEnd"/>
          </w:p>
        </w:tc>
      </w:tr>
      <w:tr w:rsidR="00D7489E" w:rsidRPr="003347A6" w14:paraId="2906B7B5" w14:textId="77777777" w:rsidTr="00927378">
        <w:tc>
          <w:tcPr>
            <w:tcW w:w="2094" w:type="pct"/>
            <w:noWrap/>
          </w:tcPr>
          <w:p w14:paraId="4BCC8119"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G-CSF</w:t>
            </w:r>
          </w:p>
        </w:tc>
        <w:tc>
          <w:tcPr>
            <w:tcW w:w="1205" w:type="pct"/>
            <w:noWrap/>
            <w:vAlign w:val="center"/>
          </w:tcPr>
          <w:p w14:paraId="7F81861A"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£52.71</w:t>
            </w:r>
          </w:p>
        </w:tc>
        <w:tc>
          <w:tcPr>
            <w:tcW w:w="1701" w:type="pct"/>
            <w:noWrap/>
            <w:vAlign w:val="center"/>
          </w:tcPr>
          <w:p w14:paraId="27029479" w14:textId="624E553B"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BNF 64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14</w:t>
            </w:r>
            <w:r w:rsidR="009114DE" w:rsidRPr="003347A6">
              <w:rPr>
                <w:rFonts w:ascii="Arial" w:eastAsia="Times New Roman" w:hAnsi="Arial" w:cs="Arial"/>
                <w:noProof/>
                <w:sz w:val="20"/>
                <w:szCs w:val="20"/>
                <w:lang w:eastAsia="en-GB"/>
              </w:rPr>
              <w:t>]</w:t>
            </w:r>
            <w:r w:rsidRPr="003347A6">
              <w:rPr>
                <w:rFonts w:ascii="Arial" w:eastAsia="Times New Roman" w:hAnsi="Arial" w:cs="Arial"/>
                <w:sz w:val="20"/>
                <w:szCs w:val="20"/>
                <w:lang w:eastAsia="en-GB"/>
              </w:rPr>
              <w:t>, Neupogen</w:t>
            </w:r>
          </w:p>
        </w:tc>
      </w:tr>
      <w:tr w:rsidR="00D7489E" w:rsidRPr="003347A6" w14:paraId="09A73366" w14:textId="77777777" w:rsidTr="00927378">
        <w:tc>
          <w:tcPr>
            <w:tcW w:w="2094" w:type="pct"/>
            <w:noWrap/>
            <w:hideMark/>
          </w:tcPr>
          <w:p w14:paraId="01C254C1"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DFO</w:t>
            </w:r>
          </w:p>
        </w:tc>
        <w:tc>
          <w:tcPr>
            <w:tcW w:w="1205" w:type="pct"/>
            <w:noWrap/>
            <w:vAlign w:val="center"/>
          </w:tcPr>
          <w:p w14:paraId="173A13DB"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£22.35</w:t>
            </w:r>
          </w:p>
        </w:tc>
        <w:tc>
          <w:tcPr>
            <w:tcW w:w="1701" w:type="pct"/>
            <w:noWrap/>
            <w:vAlign w:val="center"/>
          </w:tcPr>
          <w:p w14:paraId="2A1884B1" w14:textId="009D0FBA"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BNF 64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14</w:t>
            </w:r>
            <w:r w:rsidR="009114DE" w:rsidRPr="003347A6">
              <w:rPr>
                <w:rFonts w:ascii="Arial" w:eastAsia="Times New Roman" w:hAnsi="Arial" w:cs="Arial"/>
                <w:noProof/>
                <w:sz w:val="20"/>
                <w:szCs w:val="20"/>
                <w:lang w:eastAsia="en-GB"/>
              </w:rPr>
              <w:t>]</w:t>
            </w:r>
          </w:p>
        </w:tc>
      </w:tr>
      <w:tr w:rsidR="00D7489E" w:rsidRPr="003347A6" w14:paraId="7BE1E0E8" w14:textId="77777777" w:rsidTr="00927378">
        <w:tc>
          <w:tcPr>
            <w:tcW w:w="2094" w:type="pct"/>
            <w:noWrap/>
            <w:hideMark/>
          </w:tcPr>
          <w:p w14:paraId="6E6B9343" w14:textId="77777777" w:rsidR="00D7489E" w:rsidRPr="003347A6" w:rsidRDefault="00D7489E" w:rsidP="00895076">
            <w:pPr>
              <w:spacing w:after="0" w:line="240" w:lineRule="auto"/>
              <w:rPr>
                <w:rFonts w:ascii="Arial" w:eastAsia="Times New Roman" w:hAnsi="Arial" w:cs="Arial"/>
                <w:sz w:val="20"/>
                <w:szCs w:val="20"/>
                <w:lang w:eastAsia="en-GB"/>
              </w:rPr>
            </w:pPr>
            <w:proofErr w:type="spellStart"/>
            <w:r w:rsidRPr="003347A6">
              <w:rPr>
                <w:rFonts w:ascii="Arial" w:eastAsia="Times New Roman" w:hAnsi="Arial" w:cs="Arial"/>
                <w:sz w:val="20"/>
                <w:szCs w:val="20"/>
                <w:lang w:eastAsia="en-GB"/>
              </w:rPr>
              <w:t>Exjade</w:t>
            </w:r>
            <w:proofErr w:type="spellEnd"/>
          </w:p>
          <w:p w14:paraId="2FFD6EEC"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Deferiprone</w:t>
            </w:r>
          </w:p>
        </w:tc>
        <w:tc>
          <w:tcPr>
            <w:tcW w:w="1205" w:type="pct"/>
            <w:noWrap/>
            <w:vAlign w:val="center"/>
          </w:tcPr>
          <w:p w14:paraId="289517B2"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£46.37</w:t>
            </w:r>
          </w:p>
          <w:p w14:paraId="7ABAD7D6" w14:textId="4B6C9C24"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£152.39, 100 </w:t>
            </w:r>
            <w:r w:rsidR="00640C4B" w:rsidRPr="003347A6">
              <w:rPr>
                <w:rFonts w:ascii="Arial" w:eastAsia="Times New Roman" w:hAnsi="Arial" w:cs="Arial"/>
                <w:sz w:val="20"/>
                <w:szCs w:val="20"/>
                <w:lang w:eastAsia="en-GB"/>
              </w:rPr>
              <w:t>×</w:t>
            </w:r>
            <w:r w:rsidRPr="003347A6">
              <w:rPr>
                <w:rFonts w:ascii="Arial" w:eastAsia="Times New Roman" w:hAnsi="Arial" w:cs="Arial"/>
                <w:sz w:val="20"/>
                <w:szCs w:val="20"/>
                <w:lang w:eastAsia="en-GB"/>
              </w:rPr>
              <w:t xml:space="preserve"> 500</w:t>
            </w:r>
            <w:r w:rsidR="00640C4B" w:rsidRPr="003347A6">
              <w:rPr>
                <w:rFonts w:ascii="Arial" w:eastAsia="Times New Roman" w:hAnsi="Arial" w:cs="Arial"/>
                <w:sz w:val="20"/>
                <w:szCs w:val="20"/>
                <w:lang w:eastAsia="en-GB"/>
              </w:rPr>
              <w:t xml:space="preserve"> </w:t>
            </w:r>
            <w:r w:rsidRPr="003347A6">
              <w:rPr>
                <w:rFonts w:ascii="Arial" w:eastAsia="Times New Roman" w:hAnsi="Arial" w:cs="Arial"/>
                <w:sz w:val="20"/>
                <w:szCs w:val="20"/>
                <w:lang w:eastAsia="en-GB"/>
              </w:rPr>
              <w:t>mg tabs</w:t>
            </w:r>
          </w:p>
        </w:tc>
        <w:tc>
          <w:tcPr>
            <w:tcW w:w="1701" w:type="pct"/>
            <w:noWrap/>
            <w:vAlign w:val="center"/>
          </w:tcPr>
          <w:p w14:paraId="6CF71437" w14:textId="4D07E993"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BNF 64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14</w:t>
            </w:r>
            <w:r w:rsidR="009114DE" w:rsidRPr="003347A6">
              <w:rPr>
                <w:rFonts w:ascii="Arial" w:eastAsia="Times New Roman" w:hAnsi="Arial" w:cs="Arial"/>
                <w:noProof/>
                <w:sz w:val="20"/>
                <w:szCs w:val="20"/>
                <w:lang w:eastAsia="en-GB"/>
              </w:rPr>
              <w:t>]</w:t>
            </w:r>
          </w:p>
          <w:p w14:paraId="5DCF7C56"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MIMS 2015</w:t>
            </w:r>
          </w:p>
        </w:tc>
      </w:tr>
      <w:tr w:rsidR="00D7489E" w:rsidRPr="003347A6" w14:paraId="7C7C732E" w14:textId="77777777" w:rsidTr="00927378">
        <w:tc>
          <w:tcPr>
            <w:tcW w:w="2094" w:type="pct"/>
            <w:noWrap/>
          </w:tcPr>
          <w:p w14:paraId="237E132D"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Haematologist visit</w:t>
            </w:r>
          </w:p>
        </w:tc>
        <w:tc>
          <w:tcPr>
            <w:tcW w:w="1205" w:type="pct"/>
            <w:noWrap/>
            <w:vAlign w:val="center"/>
          </w:tcPr>
          <w:p w14:paraId="36B27898"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£159.56, per visit</w:t>
            </w:r>
          </w:p>
        </w:tc>
        <w:tc>
          <w:tcPr>
            <w:tcW w:w="1701" w:type="pct"/>
            <w:noWrap/>
            <w:vAlign w:val="center"/>
          </w:tcPr>
          <w:p w14:paraId="77C9317D" w14:textId="23D238D9"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NHS </w:t>
            </w:r>
            <w:r w:rsidR="00826C80" w:rsidRPr="003347A6">
              <w:rPr>
                <w:rFonts w:ascii="Arial" w:eastAsia="Times New Roman" w:hAnsi="Arial" w:cs="Arial"/>
                <w:sz w:val="20"/>
                <w:szCs w:val="20"/>
                <w:lang w:eastAsia="en-GB"/>
              </w:rPr>
              <w:t>r</w:t>
            </w:r>
            <w:r w:rsidRPr="003347A6">
              <w:rPr>
                <w:rFonts w:ascii="Arial" w:eastAsia="Times New Roman" w:hAnsi="Arial" w:cs="Arial"/>
                <w:sz w:val="20"/>
                <w:szCs w:val="20"/>
                <w:lang w:eastAsia="en-GB"/>
              </w:rPr>
              <w:t xml:space="preserve">eference </w:t>
            </w:r>
            <w:r w:rsidR="00826C80" w:rsidRPr="003347A6">
              <w:rPr>
                <w:rFonts w:ascii="Arial" w:eastAsia="Times New Roman" w:hAnsi="Arial" w:cs="Arial"/>
                <w:sz w:val="20"/>
                <w:szCs w:val="20"/>
                <w:lang w:eastAsia="en-GB"/>
              </w:rPr>
              <w:t>c</w:t>
            </w:r>
            <w:r w:rsidRPr="003347A6">
              <w:rPr>
                <w:rFonts w:ascii="Arial" w:eastAsia="Times New Roman" w:hAnsi="Arial" w:cs="Arial"/>
                <w:sz w:val="20"/>
                <w:szCs w:val="20"/>
                <w:lang w:eastAsia="en-GB"/>
              </w:rPr>
              <w:t xml:space="preserve">osts 2012/13 </w:t>
            </w:r>
            <w:r w:rsidR="000B6E72"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15</w:t>
            </w:r>
            <w:r w:rsidR="000B6E72" w:rsidRPr="003347A6">
              <w:rPr>
                <w:rFonts w:ascii="Arial" w:eastAsia="Times New Roman" w:hAnsi="Arial" w:cs="Arial"/>
                <w:noProof/>
                <w:sz w:val="20"/>
                <w:szCs w:val="20"/>
                <w:lang w:eastAsia="en-GB"/>
              </w:rPr>
              <w:t>]</w:t>
            </w:r>
            <w:r w:rsidR="000B6E72" w:rsidRPr="003347A6">
              <w:rPr>
                <w:rFonts w:ascii="Arial" w:eastAsia="Times New Roman" w:hAnsi="Arial" w:cs="Arial"/>
                <w:sz w:val="20"/>
                <w:szCs w:val="20"/>
                <w:lang w:eastAsia="en-GB"/>
              </w:rPr>
              <w:t xml:space="preserve"> - </w:t>
            </w:r>
            <w:r w:rsidRPr="003347A6">
              <w:rPr>
                <w:rFonts w:ascii="Arial" w:eastAsia="Times New Roman" w:hAnsi="Arial" w:cs="Arial"/>
                <w:sz w:val="20"/>
                <w:szCs w:val="20"/>
                <w:lang w:eastAsia="en-GB"/>
              </w:rPr>
              <w:t>clinical haematology</w:t>
            </w:r>
          </w:p>
        </w:tc>
      </w:tr>
      <w:tr w:rsidR="00D7489E" w:rsidRPr="003347A6" w14:paraId="00F92070" w14:textId="77777777" w:rsidTr="00927378">
        <w:tc>
          <w:tcPr>
            <w:tcW w:w="2094" w:type="pct"/>
            <w:noWrap/>
          </w:tcPr>
          <w:p w14:paraId="4D5BA5C5"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Full blood count</w:t>
            </w:r>
          </w:p>
        </w:tc>
        <w:tc>
          <w:tcPr>
            <w:tcW w:w="1205" w:type="pct"/>
            <w:noWrap/>
            <w:vAlign w:val="center"/>
          </w:tcPr>
          <w:p w14:paraId="4FF34C5C"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£3.09, per test</w:t>
            </w:r>
          </w:p>
        </w:tc>
        <w:tc>
          <w:tcPr>
            <w:tcW w:w="1701" w:type="pct"/>
            <w:noWrap/>
            <w:vAlign w:val="center"/>
          </w:tcPr>
          <w:p w14:paraId="43C53E70" w14:textId="1E2C2745"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NHS 2011/12 reference costs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15</w:t>
            </w:r>
            <w:r w:rsidR="009114DE" w:rsidRPr="003347A6">
              <w:rPr>
                <w:rFonts w:ascii="Arial" w:eastAsia="Times New Roman" w:hAnsi="Arial" w:cs="Arial"/>
                <w:noProof/>
                <w:sz w:val="20"/>
                <w:szCs w:val="20"/>
                <w:lang w:eastAsia="en-GB"/>
              </w:rPr>
              <w:t>]</w:t>
            </w:r>
            <w:r w:rsidRPr="003347A6">
              <w:rPr>
                <w:rFonts w:ascii="Arial" w:eastAsia="Times New Roman" w:hAnsi="Arial" w:cs="Arial"/>
                <w:sz w:val="20"/>
                <w:szCs w:val="20"/>
                <w:lang w:eastAsia="en-GB"/>
              </w:rPr>
              <w:t xml:space="preserve"> – haematology</w:t>
            </w:r>
          </w:p>
        </w:tc>
      </w:tr>
      <w:tr w:rsidR="00D7489E" w:rsidRPr="003347A6" w14:paraId="5D4F6604" w14:textId="77777777" w:rsidTr="00927378">
        <w:tc>
          <w:tcPr>
            <w:tcW w:w="2094" w:type="pct"/>
            <w:noWrap/>
          </w:tcPr>
          <w:p w14:paraId="705E22AE"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Serum ferritin</w:t>
            </w:r>
          </w:p>
        </w:tc>
        <w:tc>
          <w:tcPr>
            <w:tcW w:w="1205" w:type="pct"/>
            <w:noWrap/>
            <w:vAlign w:val="center"/>
          </w:tcPr>
          <w:p w14:paraId="66655DAD"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£1.23, per test</w:t>
            </w:r>
          </w:p>
        </w:tc>
        <w:tc>
          <w:tcPr>
            <w:tcW w:w="1701" w:type="pct"/>
            <w:noWrap/>
            <w:vAlign w:val="center"/>
          </w:tcPr>
          <w:p w14:paraId="59C7B3F3" w14:textId="7F407305"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NHS 2011/12 reference costs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15</w:t>
            </w:r>
            <w:r w:rsidR="009114DE" w:rsidRPr="003347A6">
              <w:rPr>
                <w:rFonts w:ascii="Arial" w:eastAsia="Times New Roman" w:hAnsi="Arial" w:cs="Arial"/>
                <w:noProof/>
                <w:sz w:val="20"/>
                <w:szCs w:val="20"/>
                <w:lang w:eastAsia="en-GB"/>
              </w:rPr>
              <w:t>]</w:t>
            </w:r>
            <w:r w:rsidRPr="003347A6">
              <w:rPr>
                <w:rFonts w:ascii="Arial" w:eastAsia="Times New Roman" w:hAnsi="Arial" w:cs="Arial"/>
                <w:sz w:val="20"/>
                <w:szCs w:val="20"/>
                <w:lang w:eastAsia="en-GB"/>
              </w:rPr>
              <w:t xml:space="preserve"> – biochemistry</w:t>
            </w:r>
          </w:p>
        </w:tc>
      </w:tr>
      <w:tr w:rsidR="00D7489E" w:rsidRPr="003347A6" w14:paraId="4397B9A9" w14:textId="77777777" w:rsidTr="00927378">
        <w:tc>
          <w:tcPr>
            <w:tcW w:w="2094" w:type="pct"/>
            <w:noWrap/>
          </w:tcPr>
          <w:p w14:paraId="4A098124"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Platelet transfusion </w:t>
            </w:r>
          </w:p>
        </w:tc>
        <w:tc>
          <w:tcPr>
            <w:tcW w:w="1205" w:type="pct"/>
            <w:noWrap/>
            <w:vAlign w:val="center"/>
          </w:tcPr>
          <w:p w14:paraId="69AC2C2D"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£312.49</w:t>
            </w:r>
          </w:p>
        </w:tc>
        <w:tc>
          <w:tcPr>
            <w:tcW w:w="1701" w:type="pct"/>
            <w:noWrap/>
            <w:vAlign w:val="center"/>
          </w:tcPr>
          <w:p w14:paraId="0D279BFC" w14:textId="18BD19E1"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Guest et al.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16</w:t>
            </w:r>
            <w:r w:rsidR="009114DE" w:rsidRPr="003347A6">
              <w:rPr>
                <w:rFonts w:ascii="Arial" w:eastAsia="Times New Roman" w:hAnsi="Arial" w:cs="Arial"/>
                <w:noProof/>
                <w:sz w:val="20"/>
                <w:szCs w:val="20"/>
                <w:lang w:eastAsia="en-GB"/>
              </w:rPr>
              <w:t>]</w:t>
            </w:r>
            <w:r w:rsidRPr="003347A6">
              <w:rPr>
                <w:rFonts w:ascii="Arial" w:eastAsia="Times New Roman" w:hAnsi="Arial" w:cs="Arial"/>
                <w:sz w:val="20"/>
                <w:szCs w:val="20"/>
                <w:lang w:eastAsia="en-GB"/>
              </w:rPr>
              <w:t>, inflated using PSSRU to 2011</w:t>
            </w:r>
          </w:p>
        </w:tc>
      </w:tr>
      <w:tr w:rsidR="00D7489E" w:rsidRPr="003347A6" w14:paraId="6DFE93B6" w14:textId="77777777" w:rsidTr="00927378">
        <w:tc>
          <w:tcPr>
            <w:tcW w:w="2094" w:type="pct"/>
            <w:noWrap/>
          </w:tcPr>
          <w:p w14:paraId="2EBA5B31"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Blood administration</w:t>
            </w:r>
          </w:p>
        </w:tc>
        <w:tc>
          <w:tcPr>
            <w:tcW w:w="1205" w:type="pct"/>
            <w:noWrap/>
            <w:vAlign w:val="center"/>
          </w:tcPr>
          <w:p w14:paraId="3E4935A0"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£234.88</w:t>
            </w:r>
          </w:p>
        </w:tc>
        <w:tc>
          <w:tcPr>
            <w:tcW w:w="1701" w:type="pct"/>
            <w:noWrap/>
            <w:vAlign w:val="center"/>
          </w:tcPr>
          <w:p w14:paraId="199B1843" w14:textId="300C4698"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Davies et al. (all costs aside from the unit of blood; cross matching, equipment, procedure etc.)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17</w:t>
            </w:r>
            <w:r w:rsidR="009114DE" w:rsidRPr="003347A6">
              <w:rPr>
                <w:rFonts w:ascii="Arial" w:eastAsia="Times New Roman" w:hAnsi="Arial" w:cs="Arial"/>
                <w:noProof/>
                <w:sz w:val="20"/>
                <w:szCs w:val="20"/>
                <w:lang w:eastAsia="en-GB"/>
              </w:rPr>
              <w:t>]</w:t>
            </w:r>
          </w:p>
        </w:tc>
      </w:tr>
      <w:tr w:rsidR="00D7489E" w:rsidRPr="003347A6" w14:paraId="4C0FAB72" w14:textId="77777777" w:rsidTr="00927378">
        <w:tc>
          <w:tcPr>
            <w:tcW w:w="2094" w:type="pct"/>
            <w:noWrap/>
          </w:tcPr>
          <w:p w14:paraId="5A7590FF"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Cost of unit of blood</w:t>
            </w:r>
          </w:p>
        </w:tc>
        <w:tc>
          <w:tcPr>
            <w:tcW w:w="1205" w:type="pct"/>
            <w:noWrap/>
            <w:vAlign w:val="center"/>
          </w:tcPr>
          <w:p w14:paraId="6B48656B"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£133.10</w:t>
            </w:r>
          </w:p>
        </w:tc>
        <w:tc>
          <w:tcPr>
            <w:tcW w:w="1701" w:type="pct"/>
            <w:noWrap/>
            <w:vAlign w:val="center"/>
          </w:tcPr>
          <w:p w14:paraId="5367B175" w14:textId="14168FDB"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Davies et al</w:t>
            </w:r>
            <w:r w:rsidR="00D75B23" w:rsidRPr="003347A6">
              <w:rPr>
                <w:rFonts w:ascii="Arial" w:eastAsia="Times New Roman" w:hAnsi="Arial" w:cs="Arial"/>
                <w:sz w:val="20"/>
                <w:szCs w:val="20"/>
                <w:lang w:eastAsia="en-GB"/>
              </w:rPr>
              <w:t>.</w:t>
            </w:r>
            <w:r w:rsidRPr="003347A6">
              <w:rPr>
                <w:rFonts w:ascii="Arial" w:eastAsia="Times New Roman" w:hAnsi="Arial" w:cs="Arial"/>
                <w:sz w:val="20"/>
                <w:szCs w:val="20"/>
                <w:lang w:eastAsia="en-GB"/>
              </w:rPr>
              <w:t xml:space="preserve"> inflated to 2011 using PSSRU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17</w:t>
            </w:r>
            <w:r w:rsidR="009114DE" w:rsidRPr="003347A6">
              <w:rPr>
                <w:rFonts w:ascii="Arial" w:eastAsia="Times New Roman" w:hAnsi="Arial" w:cs="Arial"/>
                <w:noProof/>
                <w:sz w:val="20"/>
                <w:szCs w:val="20"/>
                <w:lang w:eastAsia="en-GB"/>
              </w:rPr>
              <w:t>]</w:t>
            </w:r>
          </w:p>
        </w:tc>
      </w:tr>
      <w:tr w:rsidR="00D7489E" w:rsidRPr="003347A6" w14:paraId="07031E5C" w14:textId="77777777" w:rsidTr="00927378">
        <w:tc>
          <w:tcPr>
            <w:tcW w:w="2094" w:type="pct"/>
            <w:noWrap/>
          </w:tcPr>
          <w:p w14:paraId="10311B5E"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Carriage (each way)</w:t>
            </w:r>
          </w:p>
        </w:tc>
        <w:tc>
          <w:tcPr>
            <w:tcW w:w="1205" w:type="pct"/>
            <w:noWrap/>
            <w:vAlign w:val="center"/>
          </w:tcPr>
          <w:p w14:paraId="46F3AEA7"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£12.27</w:t>
            </w:r>
          </w:p>
        </w:tc>
        <w:tc>
          <w:tcPr>
            <w:tcW w:w="1701" w:type="pct"/>
            <w:noWrap/>
            <w:vAlign w:val="center"/>
          </w:tcPr>
          <w:p w14:paraId="0D801DC7" w14:textId="15C28CE1"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NHS reference costs 2011/12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15</w:t>
            </w:r>
            <w:r w:rsidR="009114DE" w:rsidRPr="003347A6">
              <w:rPr>
                <w:rFonts w:ascii="Arial" w:eastAsia="Times New Roman" w:hAnsi="Arial" w:cs="Arial"/>
                <w:noProof/>
                <w:sz w:val="20"/>
                <w:szCs w:val="20"/>
                <w:lang w:eastAsia="en-GB"/>
              </w:rPr>
              <w:t>]</w:t>
            </w:r>
          </w:p>
        </w:tc>
      </w:tr>
      <w:tr w:rsidR="00D7489E" w:rsidRPr="003347A6" w14:paraId="2A939D48" w14:textId="77777777" w:rsidTr="00927378">
        <w:tc>
          <w:tcPr>
            <w:tcW w:w="2094" w:type="pct"/>
            <w:noWrap/>
          </w:tcPr>
          <w:p w14:paraId="1DB05257" w14:textId="77777777" w:rsidR="00D7489E" w:rsidRPr="003347A6" w:rsidRDefault="00D7489E" w:rsidP="00895076">
            <w:pPr>
              <w:spacing w:after="0"/>
              <w:rPr>
                <w:rFonts w:ascii="Arial" w:hAnsi="Arial" w:cs="Arial"/>
                <w:color w:val="000000"/>
                <w:sz w:val="20"/>
                <w:szCs w:val="20"/>
              </w:rPr>
            </w:pPr>
            <w:r w:rsidRPr="003347A6">
              <w:rPr>
                <w:rFonts w:ascii="Arial" w:hAnsi="Arial" w:cs="Arial"/>
                <w:color w:val="000000"/>
                <w:sz w:val="20"/>
                <w:szCs w:val="20"/>
              </w:rPr>
              <w:t>Thrombocytopenia</w:t>
            </w:r>
          </w:p>
        </w:tc>
        <w:tc>
          <w:tcPr>
            <w:tcW w:w="1205" w:type="pct"/>
            <w:noWrap/>
            <w:vAlign w:val="center"/>
          </w:tcPr>
          <w:p w14:paraId="10539FD0"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£1,768.01, per episode</w:t>
            </w:r>
          </w:p>
        </w:tc>
        <w:tc>
          <w:tcPr>
            <w:tcW w:w="1701" w:type="pct"/>
            <w:noWrap/>
            <w:vAlign w:val="center"/>
          </w:tcPr>
          <w:p w14:paraId="7326979F" w14:textId="105348B5"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NHS reference costs 2011/12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15</w:t>
            </w:r>
            <w:r w:rsidR="009114DE" w:rsidRPr="003347A6">
              <w:rPr>
                <w:rFonts w:ascii="Arial" w:eastAsia="Times New Roman" w:hAnsi="Arial" w:cs="Arial"/>
                <w:noProof/>
                <w:sz w:val="20"/>
                <w:szCs w:val="20"/>
                <w:lang w:eastAsia="en-GB"/>
              </w:rPr>
              <w:t>]</w:t>
            </w:r>
            <w:r w:rsidRPr="003347A6">
              <w:rPr>
                <w:rFonts w:ascii="Arial" w:eastAsia="Times New Roman" w:hAnsi="Arial" w:cs="Arial"/>
                <w:sz w:val="20"/>
                <w:szCs w:val="20"/>
                <w:lang w:eastAsia="en-GB"/>
              </w:rPr>
              <w:t xml:space="preserve"> – SA12F inpatient</w:t>
            </w:r>
          </w:p>
        </w:tc>
      </w:tr>
      <w:tr w:rsidR="00D7489E" w:rsidRPr="003347A6" w14:paraId="37B70C37" w14:textId="77777777" w:rsidTr="00927378">
        <w:trPr>
          <w:trHeight w:val="385"/>
        </w:trPr>
        <w:tc>
          <w:tcPr>
            <w:tcW w:w="2094" w:type="pct"/>
            <w:noWrap/>
          </w:tcPr>
          <w:p w14:paraId="7C05A9FF" w14:textId="77777777" w:rsidR="00D7489E" w:rsidRPr="003347A6" w:rsidRDefault="00D7489E" w:rsidP="00895076">
            <w:pPr>
              <w:spacing w:after="0"/>
              <w:rPr>
                <w:rFonts w:ascii="Arial" w:hAnsi="Arial" w:cs="Arial"/>
                <w:color w:val="000000"/>
                <w:sz w:val="20"/>
                <w:szCs w:val="20"/>
              </w:rPr>
            </w:pPr>
            <w:r w:rsidRPr="003347A6">
              <w:rPr>
                <w:rFonts w:ascii="Arial" w:hAnsi="Arial" w:cs="Arial"/>
                <w:color w:val="000000"/>
                <w:sz w:val="20"/>
                <w:szCs w:val="20"/>
              </w:rPr>
              <w:t>Neutropenia</w:t>
            </w:r>
          </w:p>
        </w:tc>
        <w:tc>
          <w:tcPr>
            <w:tcW w:w="1205" w:type="pct"/>
            <w:noWrap/>
            <w:vAlign w:val="center"/>
          </w:tcPr>
          <w:p w14:paraId="0057897C"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£1,044.73, per episode</w:t>
            </w:r>
          </w:p>
        </w:tc>
        <w:tc>
          <w:tcPr>
            <w:tcW w:w="1701" w:type="pct"/>
            <w:noWrap/>
            <w:vAlign w:val="center"/>
          </w:tcPr>
          <w:p w14:paraId="3942189D" w14:textId="70E7895C"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NHS reference costs 2011/12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15</w:t>
            </w:r>
            <w:r w:rsidR="009114DE" w:rsidRPr="003347A6">
              <w:rPr>
                <w:rFonts w:ascii="Arial" w:eastAsia="Times New Roman" w:hAnsi="Arial" w:cs="Arial"/>
                <w:noProof/>
                <w:sz w:val="20"/>
                <w:szCs w:val="20"/>
                <w:lang w:eastAsia="en-GB"/>
              </w:rPr>
              <w:t>]</w:t>
            </w:r>
            <w:r w:rsidRPr="003347A6">
              <w:rPr>
                <w:rFonts w:ascii="Arial" w:eastAsia="Times New Roman" w:hAnsi="Arial" w:cs="Arial"/>
                <w:sz w:val="20"/>
                <w:szCs w:val="20"/>
                <w:lang w:eastAsia="en-GB"/>
              </w:rPr>
              <w:t xml:space="preserve"> – SA08F inpatient</w:t>
            </w:r>
          </w:p>
        </w:tc>
      </w:tr>
      <w:tr w:rsidR="00D7489E" w:rsidRPr="003347A6" w14:paraId="6CDFB724" w14:textId="77777777" w:rsidTr="00927378">
        <w:tc>
          <w:tcPr>
            <w:tcW w:w="2094" w:type="pct"/>
            <w:noWrap/>
          </w:tcPr>
          <w:p w14:paraId="045C5F4B" w14:textId="77777777" w:rsidR="00D7489E" w:rsidRPr="003347A6" w:rsidRDefault="00D7489E" w:rsidP="00895076">
            <w:pPr>
              <w:spacing w:after="0"/>
              <w:rPr>
                <w:rFonts w:ascii="Arial" w:hAnsi="Arial" w:cs="Arial"/>
                <w:color w:val="000000"/>
                <w:sz w:val="20"/>
                <w:szCs w:val="20"/>
              </w:rPr>
            </w:pPr>
            <w:r w:rsidRPr="003347A6">
              <w:rPr>
                <w:rFonts w:ascii="Arial" w:hAnsi="Arial" w:cs="Arial"/>
                <w:color w:val="000000"/>
                <w:sz w:val="20"/>
                <w:szCs w:val="20"/>
              </w:rPr>
              <w:t>Cardiac disease</w:t>
            </w:r>
          </w:p>
        </w:tc>
        <w:tc>
          <w:tcPr>
            <w:tcW w:w="1205" w:type="pct"/>
            <w:noWrap/>
            <w:vAlign w:val="center"/>
          </w:tcPr>
          <w:p w14:paraId="66C07465"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£3,792.30, annual cost</w:t>
            </w:r>
          </w:p>
        </w:tc>
        <w:tc>
          <w:tcPr>
            <w:tcW w:w="1701" w:type="pct"/>
            <w:noWrap/>
            <w:vAlign w:val="center"/>
          </w:tcPr>
          <w:p w14:paraId="003E30B8" w14:textId="49B9028D"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eastAsia="Times New Roman" w:hAnsi="Arial" w:cs="Arial"/>
                <w:sz w:val="20"/>
                <w:szCs w:val="20"/>
                <w:lang w:eastAsia="en-GB"/>
              </w:rPr>
              <w:t>Luengo</w:t>
            </w:r>
            <w:proofErr w:type="spellEnd"/>
            <w:r w:rsidRPr="003347A6">
              <w:rPr>
                <w:rFonts w:ascii="Arial" w:eastAsia="Times New Roman" w:hAnsi="Arial" w:cs="Arial"/>
                <w:sz w:val="20"/>
                <w:szCs w:val="20"/>
                <w:lang w:eastAsia="en-GB"/>
              </w:rPr>
              <w:t xml:space="preserve">-Fernandez et al. 2006 inflated to 2011 using PSSRU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18</w:t>
            </w:r>
            <w:r w:rsidR="009114DE" w:rsidRPr="003347A6">
              <w:rPr>
                <w:rFonts w:ascii="Arial" w:eastAsia="Times New Roman" w:hAnsi="Arial" w:cs="Arial"/>
                <w:noProof/>
                <w:sz w:val="20"/>
                <w:szCs w:val="20"/>
                <w:lang w:eastAsia="en-GB"/>
              </w:rPr>
              <w:t>]</w:t>
            </w:r>
          </w:p>
        </w:tc>
      </w:tr>
      <w:tr w:rsidR="00D7489E" w:rsidRPr="003347A6" w14:paraId="14923B9A" w14:textId="77777777" w:rsidTr="00927378">
        <w:tc>
          <w:tcPr>
            <w:tcW w:w="2094" w:type="pct"/>
            <w:noWrap/>
          </w:tcPr>
          <w:p w14:paraId="5D81D80A" w14:textId="77777777" w:rsidR="00D7489E" w:rsidRPr="003347A6" w:rsidRDefault="00D7489E" w:rsidP="00895076">
            <w:pPr>
              <w:spacing w:after="0"/>
              <w:rPr>
                <w:rFonts w:ascii="Arial" w:hAnsi="Arial" w:cs="Arial"/>
                <w:color w:val="000000"/>
                <w:sz w:val="20"/>
                <w:szCs w:val="20"/>
              </w:rPr>
            </w:pPr>
            <w:r w:rsidRPr="003347A6">
              <w:rPr>
                <w:rFonts w:ascii="Arial" w:hAnsi="Arial" w:cs="Arial"/>
                <w:color w:val="000000"/>
                <w:sz w:val="20"/>
                <w:szCs w:val="20"/>
              </w:rPr>
              <w:t>Hepatic complications</w:t>
            </w:r>
          </w:p>
        </w:tc>
        <w:tc>
          <w:tcPr>
            <w:tcW w:w="1205" w:type="pct"/>
            <w:noWrap/>
            <w:vAlign w:val="center"/>
          </w:tcPr>
          <w:p w14:paraId="5949D884"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£1,445.80, annual cost</w:t>
            </w:r>
          </w:p>
        </w:tc>
        <w:tc>
          <w:tcPr>
            <w:tcW w:w="1701" w:type="pct"/>
            <w:noWrap/>
            <w:vAlign w:val="center"/>
          </w:tcPr>
          <w:p w14:paraId="0104147A" w14:textId="4811FF7E" w:rsidR="00D7489E" w:rsidRPr="003347A6" w:rsidRDefault="00D7489E" w:rsidP="007745D4">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Wright et al. 2006 inflated to 2011 using PSSRU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19,20</w:t>
            </w:r>
            <w:r w:rsidR="009114DE" w:rsidRPr="003347A6">
              <w:rPr>
                <w:rFonts w:ascii="Arial" w:eastAsia="Times New Roman" w:hAnsi="Arial" w:cs="Arial"/>
                <w:noProof/>
                <w:sz w:val="20"/>
                <w:szCs w:val="20"/>
                <w:lang w:eastAsia="en-GB"/>
              </w:rPr>
              <w:t>]</w:t>
            </w:r>
          </w:p>
        </w:tc>
      </w:tr>
      <w:tr w:rsidR="00D7489E" w:rsidRPr="003347A6" w14:paraId="6EF049BB" w14:textId="77777777" w:rsidTr="00927378">
        <w:tc>
          <w:tcPr>
            <w:tcW w:w="2094" w:type="pct"/>
            <w:noWrap/>
          </w:tcPr>
          <w:p w14:paraId="49054E06" w14:textId="77777777" w:rsidR="00D7489E" w:rsidRPr="003347A6" w:rsidRDefault="00D7489E" w:rsidP="00895076">
            <w:pPr>
              <w:spacing w:after="0"/>
              <w:rPr>
                <w:rFonts w:ascii="Arial" w:hAnsi="Arial" w:cs="Arial"/>
                <w:color w:val="000000"/>
                <w:sz w:val="20"/>
                <w:szCs w:val="20"/>
              </w:rPr>
            </w:pPr>
            <w:r w:rsidRPr="003347A6">
              <w:rPr>
                <w:rFonts w:ascii="Arial" w:hAnsi="Arial" w:cs="Arial"/>
                <w:color w:val="000000"/>
                <w:sz w:val="20"/>
                <w:szCs w:val="20"/>
              </w:rPr>
              <w:t>Diabetes mellitus</w:t>
            </w:r>
          </w:p>
        </w:tc>
        <w:tc>
          <w:tcPr>
            <w:tcW w:w="1205" w:type="pct"/>
            <w:noWrap/>
            <w:vAlign w:val="center"/>
          </w:tcPr>
          <w:p w14:paraId="6B8F21AB"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£3,644.40, annual cost</w:t>
            </w:r>
          </w:p>
        </w:tc>
        <w:tc>
          <w:tcPr>
            <w:tcW w:w="1701" w:type="pct"/>
            <w:noWrap/>
            <w:vAlign w:val="center"/>
          </w:tcPr>
          <w:p w14:paraId="6D0B8B6A" w14:textId="03B7F94F"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Kanavos et al. 2012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21</w:t>
            </w:r>
            <w:r w:rsidR="009114DE" w:rsidRPr="003347A6">
              <w:rPr>
                <w:rFonts w:ascii="Arial" w:eastAsia="Times New Roman" w:hAnsi="Arial" w:cs="Arial"/>
                <w:noProof/>
                <w:sz w:val="20"/>
                <w:szCs w:val="20"/>
                <w:lang w:eastAsia="en-GB"/>
              </w:rPr>
              <w:t>]</w:t>
            </w:r>
          </w:p>
        </w:tc>
      </w:tr>
      <w:tr w:rsidR="00D7489E" w:rsidRPr="003347A6" w14:paraId="3429D24D" w14:textId="77777777" w:rsidTr="00927378">
        <w:tc>
          <w:tcPr>
            <w:tcW w:w="2094" w:type="pct"/>
            <w:noWrap/>
          </w:tcPr>
          <w:p w14:paraId="13497E40"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AML</w:t>
            </w:r>
          </w:p>
        </w:tc>
        <w:tc>
          <w:tcPr>
            <w:tcW w:w="1205" w:type="pct"/>
            <w:noWrap/>
            <w:vAlign w:val="center"/>
          </w:tcPr>
          <w:p w14:paraId="057D25B6"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£51.84, daily</w:t>
            </w:r>
          </w:p>
        </w:tc>
        <w:tc>
          <w:tcPr>
            <w:tcW w:w="1701" w:type="pct"/>
            <w:noWrap/>
            <w:vAlign w:val="center"/>
          </w:tcPr>
          <w:p w14:paraId="2D1C5D08" w14:textId="411F5DEF" w:rsidR="00D7489E" w:rsidRPr="003347A6" w:rsidRDefault="00D7489E" w:rsidP="00927378">
            <w:pPr>
              <w:spacing w:after="0" w:line="240" w:lineRule="auto"/>
              <w:jc w:val="center"/>
              <w:rPr>
                <w:rFonts w:ascii="Arial" w:eastAsia="Times New Roman" w:hAnsi="Arial" w:cs="Arial"/>
                <w:sz w:val="20"/>
                <w:szCs w:val="20"/>
                <w:lang w:val="it-IT" w:eastAsia="en-GB"/>
              </w:rPr>
            </w:pPr>
            <w:r w:rsidRPr="003347A6">
              <w:rPr>
                <w:rFonts w:ascii="Arial" w:eastAsia="Times New Roman" w:hAnsi="Arial" w:cs="Arial"/>
                <w:sz w:val="20"/>
                <w:szCs w:val="20"/>
                <w:lang w:val="it-IT" w:eastAsia="en-GB"/>
              </w:rPr>
              <w:t xml:space="preserve">McLeod et al. 2009 (STA Azactadine) </w:t>
            </w:r>
            <w:r w:rsidR="009114DE" w:rsidRPr="003347A6">
              <w:rPr>
                <w:rFonts w:ascii="Arial" w:eastAsia="Times New Roman" w:hAnsi="Arial" w:cs="Arial"/>
                <w:noProof/>
                <w:sz w:val="20"/>
                <w:szCs w:val="20"/>
                <w:lang w:val="it-IT" w:eastAsia="en-GB"/>
              </w:rPr>
              <w:t>[</w:t>
            </w:r>
            <w:r w:rsidR="007745D4" w:rsidRPr="003347A6">
              <w:rPr>
                <w:rFonts w:ascii="Arial" w:eastAsia="Times New Roman" w:hAnsi="Arial" w:cs="Arial"/>
                <w:noProof/>
                <w:sz w:val="20"/>
                <w:szCs w:val="20"/>
                <w:lang w:val="it-IT" w:eastAsia="en-GB"/>
              </w:rPr>
              <w:t>22</w:t>
            </w:r>
            <w:r w:rsidR="009114DE" w:rsidRPr="003347A6">
              <w:rPr>
                <w:rFonts w:ascii="Arial" w:eastAsia="Times New Roman" w:hAnsi="Arial" w:cs="Arial"/>
                <w:noProof/>
                <w:sz w:val="20"/>
                <w:szCs w:val="20"/>
                <w:lang w:val="it-IT" w:eastAsia="en-GB"/>
              </w:rPr>
              <w:t>]</w:t>
            </w:r>
          </w:p>
        </w:tc>
      </w:tr>
      <w:tr w:rsidR="00D7489E" w:rsidRPr="003347A6" w14:paraId="11555BDF" w14:textId="77777777" w:rsidTr="00895076">
        <w:tc>
          <w:tcPr>
            <w:tcW w:w="5000" w:type="pct"/>
            <w:gridSpan w:val="3"/>
            <w:noWrap/>
          </w:tcPr>
          <w:p w14:paraId="43759802" w14:textId="77777777" w:rsidR="00D7489E" w:rsidRPr="003347A6" w:rsidRDefault="00D7489E" w:rsidP="00895076">
            <w:pPr>
              <w:keepNext/>
              <w:spacing w:after="0" w:line="240" w:lineRule="auto"/>
              <w:rPr>
                <w:rFonts w:ascii="Arial" w:eastAsia="Times New Roman" w:hAnsi="Arial" w:cs="Arial"/>
                <w:sz w:val="20"/>
                <w:szCs w:val="20"/>
                <w:lang w:eastAsia="en-GB"/>
              </w:rPr>
            </w:pPr>
            <w:r w:rsidRPr="003347A6">
              <w:rPr>
                <w:rFonts w:ascii="Arial" w:eastAsia="Times New Roman" w:hAnsi="Arial" w:cs="Arial"/>
                <w:b/>
                <w:sz w:val="20"/>
                <w:szCs w:val="20"/>
                <w:lang w:eastAsia="en-GB"/>
              </w:rPr>
              <w:lastRenderedPageBreak/>
              <w:t>Dosing</w:t>
            </w:r>
          </w:p>
        </w:tc>
      </w:tr>
      <w:tr w:rsidR="00D7489E" w:rsidRPr="003347A6" w14:paraId="641490CA" w14:textId="77777777" w:rsidTr="00927378">
        <w:trPr>
          <w:trHeight w:val="1094"/>
        </w:trPr>
        <w:tc>
          <w:tcPr>
            <w:tcW w:w="2094" w:type="pct"/>
            <w:noWrap/>
          </w:tcPr>
          <w:p w14:paraId="12B23702"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Proportion of patients experiencing dose interruption with lenalidomide (first interruption, second interruption given first interruption)</w:t>
            </w:r>
          </w:p>
        </w:tc>
        <w:tc>
          <w:tcPr>
            <w:tcW w:w="1205" w:type="pct"/>
            <w:noWrap/>
            <w:vAlign w:val="center"/>
          </w:tcPr>
          <w:p w14:paraId="59F4F5A8"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68.7%, 73.8%</w:t>
            </w:r>
          </w:p>
        </w:tc>
        <w:tc>
          <w:tcPr>
            <w:tcW w:w="1701" w:type="pct"/>
            <w:noWrap/>
            <w:vAlign w:val="center"/>
          </w:tcPr>
          <w:p w14:paraId="25811522"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w:t>
            </w:r>
          </w:p>
        </w:tc>
      </w:tr>
      <w:tr w:rsidR="00D7489E" w:rsidRPr="003347A6" w14:paraId="5EDE44E4" w14:textId="77777777" w:rsidTr="00927378">
        <w:trPr>
          <w:trHeight w:val="468"/>
        </w:trPr>
        <w:tc>
          <w:tcPr>
            <w:tcW w:w="2094" w:type="pct"/>
            <w:noWrap/>
          </w:tcPr>
          <w:p w14:paraId="0403949D"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Mean duration of dose interruptions (first, second)</w:t>
            </w:r>
          </w:p>
        </w:tc>
        <w:tc>
          <w:tcPr>
            <w:tcW w:w="1205" w:type="pct"/>
            <w:noWrap/>
            <w:vAlign w:val="center"/>
          </w:tcPr>
          <w:p w14:paraId="18690ED9"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17.5 days, 13.9 days</w:t>
            </w:r>
          </w:p>
        </w:tc>
        <w:tc>
          <w:tcPr>
            <w:tcW w:w="1701" w:type="pct"/>
            <w:noWrap/>
            <w:vAlign w:val="center"/>
          </w:tcPr>
          <w:p w14:paraId="116B5D12"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w:t>
            </w:r>
          </w:p>
        </w:tc>
      </w:tr>
      <w:tr w:rsidR="00D7489E" w:rsidRPr="003347A6" w14:paraId="4A98F4B6" w14:textId="77777777" w:rsidTr="00927378">
        <w:trPr>
          <w:trHeight w:val="123"/>
        </w:trPr>
        <w:tc>
          <w:tcPr>
            <w:tcW w:w="2094" w:type="pct"/>
            <w:noWrap/>
          </w:tcPr>
          <w:p w14:paraId="1005D85D"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Mean time to interruption (first, second)</w:t>
            </w:r>
          </w:p>
        </w:tc>
        <w:tc>
          <w:tcPr>
            <w:tcW w:w="1205" w:type="pct"/>
            <w:noWrap/>
            <w:vAlign w:val="center"/>
          </w:tcPr>
          <w:p w14:paraId="4B4A3316"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54.2 days, 17.5 days</w:t>
            </w:r>
          </w:p>
        </w:tc>
        <w:tc>
          <w:tcPr>
            <w:tcW w:w="1701" w:type="pct"/>
            <w:noWrap/>
            <w:vAlign w:val="center"/>
          </w:tcPr>
          <w:p w14:paraId="7896C1E2"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w:t>
            </w:r>
          </w:p>
        </w:tc>
      </w:tr>
      <w:tr w:rsidR="00D7489E" w:rsidRPr="003347A6" w14:paraId="3118232F" w14:textId="77777777" w:rsidTr="00927378">
        <w:trPr>
          <w:trHeight w:val="103"/>
        </w:trPr>
        <w:tc>
          <w:tcPr>
            <w:tcW w:w="2094" w:type="pct"/>
            <w:noWrap/>
          </w:tcPr>
          <w:p w14:paraId="68F0BC76"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Dose of ESA</w:t>
            </w:r>
          </w:p>
        </w:tc>
        <w:tc>
          <w:tcPr>
            <w:tcW w:w="1205" w:type="pct"/>
            <w:noWrap/>
            <w:vAlign w:val="center"/>
          </w:tcPr>
          <w:p w14:paraId="767AEC9B" w14:textId="306D95B2"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2 </w:t>
            </w:r>
            <w:r w:rsidR="00640C4B" w:rsidRPr="003347A6">
              <w:rPr>
                <w:rFonts w:ascii="Arial" w:eastAsia="Times New Roman" w:hAnsi="Arial" w:cs="Arial"/>
                <w:sz w:val="20"/>
                <w:szCs w:val="20"/>
                <w:lang w:eastAsia="en-GB"/>
              </w:rPr>
              <w:t>×</w:t>
            </w:r>
            <w:r w:rsidRPr="003347A6">
              <w:rPr>
                <w:rFonts w:ascii="Arial" w:eastAsia="Times New Roman" w:hAnsi="Arial" w:cs="Arial"/>
                <w:sz w:val="20"/>
                <w:szCs w:val="20"/>
                <w:lang w:eastAsia="en-GB"/>
              </w:rPr>
              <w:t xml:space="preserve"> 20,000 IU vials per week</w:t>
            </w:r>
          </w:p>
        </w:tc>
        <w:tc>
          <w:tcPr>
            <w:tcW w:w="1701" w:type="pct"/>
            <w:noWrap/>
            <w:vAlign w:val="center"/>
          </w:tcPr>
          <w:p w14:paraId="64D3EC2B"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w:t>
            </w:r>
          </w:p>
        </w:tc>
      </w:tr>
      <w:tr w:rsidR="00D7489E" w:rsidRPr="003347A6" w14:paraId="2E2A2690" w14:textId="77777777" w:rsidTr="00927378">
        <w:trPr>
          <w:trHeight w:val="413"/>
        </w:trPr>
        <w:tc>
          <w:tcPr>
            <w:tcW w:w="2094" w:type="pct"/>
            <w:noWrap/>
          </w:tcPr>
          <w:p w14:paraId="060A9BB1"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Dose of G-CSF </w:t>
            </w:r>
          </w:p>
        </w:tc>
        <w:tc>
          <w:tcPr>
            <w:tcW w:w="1205" w:type="pct"/>
            <w:noWrap/>
            <w:vAlign w:val="center"/>
          </w:tcPr>
          <w:p w14:paraId="60039211" w14:textId="77148DE0" w:rsidR="00D7489E" w:rsidRPr="003347A6" w:rsidRDefault="00D7489E" w:rsidP="00927378">
            <w:pPr>
              <w:spacing w:after="0" w:line="240" w:lineRule="auto"/>
              <w:jc w:val="center"/>
              <w:rPr>
                <w:rFonts w:ascii="Arial" w:eastAsia="Times New Roman" w:hAnsi="Arial" w:cs="Arial"/>
                <w:sz w:val="20"/>
                <w:szCs w:val="20"/>
                <w:lang w:val="nl-NL" w:eastAsia="en-GB"/>
              </w:rPr>
            </w:pPr>
            <w:r w:rsidRPr="003347A6">
              <w:rPr>
                <w:rFonts w:ascii="Arial" w:eastAsia="Times New Roman" w:hAnsi="Arial" w:cs="Arial"/>
                <w:sz w:val="20"/>
                <w:szCs w:val="20"/>
                <w:lang w:val="nl-NL" w:eastAsia="en-GB"/>
              </w:rPr>
              <w:t xml:space="preserve">3 </w:t>
            </w:r>
            <w:r w:rsidR="00640C4B" w:rsidRPr="003347A6">
              <w:rPr>
                <w:rFonts w:ascii="Arial" w:eastAsia="Times New Roman" w:hAnsi="Arial" w:cs="Arial"/>
                <w:sz w:val="20"/>
                <w:szCs w:val="20"/>
                <w:lang w:val="nl-NL" w:eastAsia="en-GB"/>
              </w:rPr>
              <w:t>×</w:t>
            </w:r>
            <w:r w:rsidRPr="003347A6">
              <w:rPr>
                <w:rFonts w:ascii="Arial" w:eastAsia="Times New Roman" w:hAnsi="Arial" w:cs="Arial"/>
                <w:sz w:val="20"/>
                <w:szCs w:val="20"/>
                <w:lang w:val="nl-NL" w:eastAsia="en-GB"/>
              </w:rPr>
              <w:t xml:space="preserve"> 200</w:t>
            </w:r>
            <w:r w:rsidR="00640C4B" w:rsidRPr="003347A6">
              <w:rPr>
                <w:rFonts w:ascii="Arial" w:eastAsia="Times New Roman" w:hAnsi="Arial" w:cs="Arial"/>
                <w:sz w:val="20"/>
                <w:szCs w:val="20"/>
                <w:lang w:val="nl-NL" w:eastAsia="en-GB"/>
              </w:rPr>
              <w:t xml:space="preserve"> </w:t>
            </w:r>
            <w:r w:rsidRPr="003347A6">
              <w:rPr>
                <w:rFonts w:ascii="Arial" w:eastAsia="Times New Roman" w:hAnsi="Arial" w:cs="Arial"/>
                <w:sz w:val="20"/>
                <w:szCs w:val="20"/>
                <w:lang w:val="nl-NL" w:eastAsia="en-GB"/>
              </w:rPr>
              <w:t>mg vials per week</w:t>
            </w:r>
          </w:p>
        </w:tc>
        <w:tc>
          <w:tcPr>
            <w:tcW w:w="1701" w:type="pct"/>
            <w:noWrap/>
            <w:vAlign w:val="center"/>
          </w:tcPr>
          <w:p w14:paraId="04077BEF"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Product SPCs</w:t>
            </w:r>
          </w:p>
        </w:tc>
      </w:tr>
      <w:tr w:rsidR="00D7489E" w:rsidRPr="003347A6" w14:paraId="49875BEB" w14:textId="77777777" w:rsidTr="00895076">
        <w:tc>
          <w:tcPr>
            <w:tcW w:w="5000" w:type="pct"/>
            <w:gridSpan w:val="3"/>
            <w:noWrap/>
            <w:hideMark/>
          </w:tcPr>
          <w:p w14:paraId="221638A2" w14:textId="77777777" w:rsidR="00D7489E" w:rsidRPr="003347A6" w:rsidRDefault="00D7489E" w:rsidP="00895076">
            <w:pPr>
              <w:spacing w:after="0" w:line="240" w:lineRule="auto"/>
              <w:rPr>
                <w:rFonts w:ascii="Arial" w:eastAsia="Times New Roman" w:hAnsi="Arial" w:cs="Arial"/>
                <w:b/>
                <w:sz w:val="20"/>
                <w:szCs w:val="20"/>
                <w:lang w:eastAsia="en-GB"/>
              </w:rPr>
            </w:pPr>
            <w:r w:rsidRPr="003347A6">
              <w:rPr>
                <w:rFonts w:ascii="Arial" w:eastAsia="Times New Roman" w:hAnsi="Arial" w:cs="Arial"/>
                <w:b/>
                <w:sz w:val="20"/>
                <w:szCs w:val="20"/>
                <w:lang w:eastAsia="en-GB"/>
              </w:rPr>
              <w:t>Utilities</w:t>
            </w:r>
          </w:p>
        </w:tc>
      </w:tr>
      <w:tr w:rsidR="00D7489E" w:rsidRPr="003347A6" w14:paraId="3EDA0082" w14:textId="77777777" w:rsidTr="00927378">
        <w:tc>
          <w:tcPr>
            <w:tcW w:w="2094" w:type="pct"/>
            <w:noWrap/>
            <w:hideMark/>
          </w:tcPr>
          <w:p w14:paraId="68DE21A2"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TI</w:t>
            </w:r>
          </w:p>
        </w:tc>
        <w:tc>
          <w:tcPr>
            <w:tcW w:w="1205" w:type="pct"/>
            <w:noWrap/>
            <w:vAlign w:val="center"/>
          </w:tcPr>
          <w:p w14:paraId="2CBD26D5"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0.85</w:t>
            </w:r>
          </w:p>
        </w:tc>
        <w:tc>
          <w:tcPr>
            <w:tcW w:w="1701" w:type="pct"/>
            <w:noWrap/>
            <w:vAlign w:val="center"/>
          </w:tcPr>
          <w:p w14:paraId="6F879131" w14:textId="2635A220"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eastAsia="Times New Roman" w:hAnsi="Arial" w:cs="Arial"/>
                <w:sz w:val="20"/>
                <w:szCs w:val="20"/>
                <w:lang w:eastAsia="en-GB"/>
              </w:rPr>
              <w:t>Szende</w:t>
            </w:r>
            <w:proofErr w:type="spellEnd"/>
            <w:r w:rsidRPr="003347A6">
              <w:rPr>
                <w:rFonts w:ascii="Arial" w:eastAsia="Times New Roman" w:hAnsi="Arial" w:cs="Arial"/>
                <w:sz w:val="20"/>
                <w:szCs w:val="20"/>
                <w:lang w:eastAsia="en-GB"/>
              </w:rPr>
              <w:t xml:space="preserve"> et al. 2009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23</w:t>
            </w:r>
            <w:r w:rsidR="009114DE" w:rsidRPr="003347A6">
              <w:rPr>
                <w:rFonts w:ascii="Arial" w:eastAsia="Times New Roman" w:hAnsi="Arial" w:cs="Arial"/>
                <w:noProof/>
                <w:sz w:val="20"/>
                <w:szCs w:val="20"/>
                <w:lang w:eastAsia="en-GB"/>
              </w:rPr>
              <w:t>]</w:t>
            </w:r>
          </w:p>
        </w:tc>
      </w:tr>
      <w:tr w:rsidR="00D7489E" w:rsidRPr="003347A6" w14:paraId="568FA194" w14:textId="77777777" w:rsidTr="00927378">
        <w:tc>
          <w:tcPr>
            <w:tcW w:w="2094" w:type="pct"/>
            <w:noWrap/>
            <w:hideMark/>
          </w:tcPr>
          <w:p w14:paraId="4C5250DF"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Transfusion dependant</w:t>
            </w:r>
          </w:p>
        </w:tc>
        <w:tc>
          <w:tcPr>
            <w:tcW w:w="1205" w:type="pct"/>
            <w:noWrap/>
            <w:vAlign w:val="center"/>
          </w:tcPr>
          <w:p w14:paraId="0CF54618"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0.65</w:t>
            </w:r>
          </w:p>
        </w:tc>
        <w:tc>
          <w:tcPr>
            <w:tcW w:w="1701" w:type="pct"/>
            <w:noWrap/>
            <w:vAlign w:val="center"/>
          </w:tcPr>
          <w:p w14:paraId="388EBA58" w14:textId="139038F7"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eastAsia="Times New Roman" w:hAnsi="Arial" w:cs="Arial"/>
                <w:sz w:val="20"/>
                <w:szCs w:val="20"/>
                <w:lang w:eastAsia="en-GB"/>
              </w:rPr>
              <w:t>Szende</w:t>
            </w:r>
            <w:proofErr w:type="spellEnd"/>
            <w:r w:rsidRPr="003347A6">
              <w:rPr>
                <w:rFonts w:ascii="Arial" w:eastAsia="Times New Roman" w:hAnsi="Arial" w:cs="Arial"/>
                <w:sz w:val="20"/>
                <w:szCs w:val="20"/>
                <w:lang w:eastAsia="en-GB"/>
              </w:rPr>
              <w:t xml:space="preserve"> et al. 2009 </w:t>
            </w:r>
            <w:r w:rsidR="009114DE" w:rsidRPr="003347A6">
              <w:rPr>
                <w:rFonts w:ascii="Arial" w:eastAsia="Times New Roman" w:hAnsi="Arial" w:cs="Arial"/>
                <w:noProof/>
                <w:sz w:val="20"/>
                <w:szCs w:val="20"/>
                <w:lang w:eastAsia="en-GB"/>
              </w:rPr>
              <w:t>[</w:t>
            </w:r>
            <w:r w:rsidR="007745D4" w:rsidRPr="003347A6">
              <w:rPr>
                <w:rFonts w:ascii="Arial" w:eastAsia="Times New Roman" w:hAnsi="Arial" w:cs="Arial"/>
                <w:noProof/>
                <w:sz w:val="20"/>
                <w:szCs w:val="20"/>
                <w:lang w:eastAsia="en-GB"/>
              </w:rPr>
              <w:t>23</w:t>
            </w:r>
            <w:r w:rsidR="009114DE" w:rsidRPr="003347A6">
              <w:rPr>
                <w:rFonts w:ascii="Arial" w:eastAsia="Times New Roman" w:hAnsi="Arial" w:cs="Arial"/>
                <w:noProof/>
                <w:sz w:val="20"/>
                <w:szCs w:val="20"/>
                <w:lang w:eastAsia="en-GB"/>
              </w:rPr>
              <w:t>]</w:t>
            </w:r>
          </w:p>
        </w:tc>
      </w:tr>
      <w:tr w:rsidR="00D7489E" w:rsidRPr="003347A6" w14:paraId="5B03931B" w14:textId="77777777" w:rsidTr="00927378">
        <w:tc>
          <w:tcPr>
            <w:tcW w:w="2094" w:type="pct"/>
            <w:noWrap/>
            <w:hideMark/>
          </w:tcPr>
          <w:p w14:paraId="5F367BE9"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AML</w:t>
            </w:r>
          </w:p>
        </w:tc>
        <w:tc>
          <w:tcPr>
            <w:tcW w:w="1205" w:type="pct"/>
            <w:noWrap/>
            <w:vAlign w:val="center"/>
          </w:tcPr>
          <w:p w14:paraId="483C8EFB"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0.65</w:t>
            </w:r>
          </w:p>
        </w:tc>
        <w:tc>
          <w:tcPr>
            <w:tcW w:w="1701" w:type="pct"/>
            <w:noWrap/>
            <w:vAlign w:val="center"/>
          </w:tcPr>
          <w:p w14:paraId="56461E41"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Assumed same as TD</w:t>
            </w:r>
          </w:p>
        </w:tc>
      </w:tr>
      <w:tr w:rsidR="00D7489E" w:rsidRPr="003347A6" w14:paraId="19BA880B" w14:textId="77777777" w:rsidTr="00927378">
        <w:tc>
          <w:tcPr>
            <w:tcW w:w="2094" w:type="pct"/>
            <w:noWrap/>
          </w:tcPr>
          <w:p w14:paraId="332F5770"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 decrease in utility due to </w:t>
            </w:r>
            <w:r w:rsidRPr="003347A6">
              <w:rPr>
                <w:rFonts w:ascii="Segoe UI Semibold" w:eastAsia="Times New Roman" w:hAnsi="Segoe UI Semibold" w:cs="Arial"/>
                <w:sz w:val="20"/>
                <w:szCs w:val="20"/>
                <w:lang w:eastAsia="en-GB"/>
              </w:rPr>
              <w:t>–</w:t>
            </w:r>
            <w:r w:rsidRPr="003347A6">
              <w:rPr>
                <w:rFonts w:ascii="Arial" w:eastAsia="Times New Roman" w:hAnsi="Arial" w:cs="Arial"/>
                <w:sz w:val="20"/>
                <w:szCs w:val="20"/>
                <w:lang w:eastAsia="en-GB"/>
              </w:rPr>
              <w:t xml:space="preserve"> </w:t>
            </w:r>
          </w:p>
        </w:tc>
        <w:tc>
          <w:tcPr>
            <w:tcW w:w="1205" w:type="pct"/>
            <w:noWrap/>
            <w:vAlign w:val="center"/>
          </w:tcPr>
          <w:p w14:paraId="3A3A3B5B" w14:textId="77777777" w:rsidR="00D7489E" w:rsidRPr="003347A6" w:rsidRDefault="00D7489E" w:rsidP="00927378">
            <w:pPr>
              <w:spacing w:after="0" w:line="240" w:lineRule="auto"/>
              <w:jc w:val="center"/>
              <w:rPr>
                <w:rFonts w:ascii="Arial" w:eastAsia="Times New Roman" w:hAnsi="Arial" w:cs="Arial"/>
                <w:sz w:val="20"/>
                <w:szCs w:val="20"/>
                <w:lang w:eastAsia="en-GB"/>
              </w:rPr>
            </w:pPr>
          </w:p>
        </w:tc>
        <w:tc>
          <w:tcPr>
            <w:tcW w:w="1701" w:type="pct"/>
            <w:noWrap/>
            <w:vAlign w:val="center"/>
          </w:tcPr>
          <w:p w14:paraId="6703D977" w14:textId="77777777" w:rsidR="00D7489E" w:rsidRPr="003347A6" w:rsidRDefault="00D7489E" w:rsidP="00927378">
            <w:pPr>
              <w:spacing w:after="0" w:line="240" w:lineRule="auto"/>
              <w:jc w:val="center"/>
              <w:rPr>
                <w:rFonts w:ascii="Arial" w:eastAsia="Times New Roman" w:hAnsi="Arial" w:cs="Arial"/>
                <w:sz w:val="20"/>
                <w:szCs w:val="20"/>
                <w:lang w:eastAsia="en-GB"/>
              </w:rPr>
            </w:pPr>
          </w:p>
        </w:tc>
      </w:tr>
      <w:tr w:rsidR="00D7489E" w:rsidRPr="003347A6" w14:paraId="4749F606" w14:textId="77777777" w:rsidTr="00927378">
        <w:tc>
          <w:tcPr>
            <w:tcW w:w="2094" w:type="pct"/>
            <w:noWrap/>
          </w:tcPr>
          <w:p w14:paraId="2401D15C"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b/>
              <w:t>DFO use</w:t>
            </w:r>
          </w:p>
        </w:tc>
        <w:tc>
          <w:tcPr>
            <w:tcW w:w="1205" w:type="pct"/>
            <w:noWrap/>
            <w:vAlign w:val="center"/>
          </w:tcPr>
          <w:p w14:paraId="74C97535"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21.0</w:t>
            </w:r>
          </w:p>
        </w:tc>
        <w:tc>
          <w:tcPr>
            <w:tcW w:w="1701" w:type="pct"/>
            <w:noWrap/>
            <w:vAlign w:val="center"/>
          </w:tcPr>
          <w:p w14:paraId="6FA27AB2" w14:textId="70FB1AA3" w:rsidR="00D7489E" w:rsidRPr="003347A6" w:rsidRDefault="00D7489E" w:rsidP="00927378">
            <w:pPr>
              <w:spacing w:after="0" w:line="240" w:lineRule="auto"/>
              <w:jc w:val="center"/>
              <w:rPr>
                <w:rFonts w:ascii="Arial" w:eastAsia="Times New Roman" w:hAnsi="Arial" w:cs="Arial"/>
                <w:sz w:val="20"/>
                <w:szCs w:val="20"/>
                <w:lang w:val="it-IT" w:eastAsia="en-GB"/>
              </w:rPr>
            </w:pPr>
            <w:r w:rsidRPr="003347A6">
              <w:rPr>
                <w:rFonts w:ascii="Arial" w:eastAsia="Times New Roman" w:hAnsi="Arial" w:cs="Arial"/>
                <w:sz w:val="20"/>
                <w:szCs w:val="20"/>
                <w:lang w:val="it-IT" w:eastAsia="en-GB"/>
              </w:rPr>
              <w:t xml:space="preserve">McLeod et al. 2009 (STA Azactadine) </w:t>
            </w:r>
            <w:r w:rsidR="009114DE" w:rsidRPr="003347A6">
              <w:rPr>
                <w:rFonts w:ascii="Arial" w:eastAsia="Times New Roman" w:hAnsi="Arial" w:cs="Arial"/>
                <w:noProof/>
                <w:sz w:val="20"/>
                <w:szCs w:val="20"/>
                <w:lang w:val="it-IT" w:eastAsia="en-GB"/>
              </w:rPr>
              <w:t>[</w:t>
            </w:r>
            <w:r w:rsidR="007745D4" w:rsidRPr="003347A6">
              <w:rPr>
                <w:rFonts w:ascii="Arial" w:eastAsia="Times New Roman" w:hAnsi="Arial" w:cs="Arial"/>
                <w:noProof/>
                <w:sz w:val="20"/>
                <w:szCs w:val="20"/>
                <w:lang w:val="it-IT" w:eastAsia="en-GB"/>
              </w:rPr>
              <w:t>22</w:t>
            </w:r>
            <w:r w:rsidR="009114DE" w:rsidRPr="003347A6">
              <w:rPr>
                <w:rFonts w:ascii="Arial" w:eastAsia="Times New Roman" w:hAnsi="Arial" w:cs="Arial"/>
                <w:noProof/>
                <w:sz w:val="20"/>
                <w:szCs w:val="20"/>
                <w:lang w:val="it-IT" w:eastAsia="en-GB"/>
              </w:rPr>
              <w:t>]</w:t>
            </w:r>
          </w:p>
        </w:tc>
      </w:tr>
      <w:tr w:rsidR="00D7489E" w:rsidRPr="003347A6" w14:paraId="2931BE9A" w14:textId="77777777" w:rsidTr="00927378">
        <w:tc>
          <w:tcPr>
            <w:tcW w:w="2094" w:type="pct"/>
            <w:noWrap/>
          </w:tcPr>
          <w:p w14:paraId="7B702BA7"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val="it-IT" w:eastAsia="en-GB"/>
              </w:rPr>
              <w:tab/>
            </w:r>
            <w:r w:rsidRPr="003347A6">
              <w:rPr>
                <w:rFonts w:ascii="Arial" w:eastAsia="Times New Roman" w:hAnsi="Arial" w:cs="Arial"/>
                <w:sz w:val="20"/>
                <w:szCs w:val="20"/>
                <w:lang w:eastAsia="en-GB"/>
              </w:rPr>
              <w:t>Oral chelator use</w:t>
            </w:r>
          </w:p>
        </w:tc>
        <w:tc>
          <w:tcPr>
            <w:tcW w:w="1205" w:type="pct"/>
            <w:noWrap/>
            <w:vAlign w:val="center"/>
          </w:tcPr>
          <w:p w14:paraId="19479FF4"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0.0</w:t>
            </w:r>
          </w:p>
        </w:tc>
        <w:tc>
          <w:tcPr>
            <w:tcW w:w="1701" w:type="pct"/>
            <w:noWrap/>
            <w:vAlign w:val="center"/>
          </w:tcPr>
          <w:p w14:paraId="6BD017E6" w14:textId="4BD53840" w:rsidR="00D7489E" w:rsidRPr="003347A6" w:rsidRDefault="00D7489E" w:rsidP="00927378">
            <w:pPr>
              <w:spacing w:after="0" w:line="240" w:lineRule="auto"/>
              <w:jc w:val="center"/>
              <w:rPr>
                <w:rFonts w:ascii="Arial" w:eastAsia="Times New Roman" w:hAnsi="Arial" w:cs="Arial"/>
                <w:sz w:val="20"/>
                <w:szCs w:val="20"/>
                <w:lang w:val="it-IT" w:eastAsia="en-GB"/>
              </w:rPr>
            </w:pPr>
            <w:r w:rsidRPr="003347A6">
              <w:rPr>
                <w:rFonts w:ascii="Arial" w:eastAsia="Times New Roman" w:hAnsi="Arial" w:cs="Arial"/>
                <w:sz w:val="20"/>
                <w:szCs w:val="20"/>
                <w:lang w:val="it-IT" w:eastAsia="en-GB"/>
              </w:rPr>
              <w:t xml:space="preserve">McLeod et al. 2009 (STA Azactadine) </w:t>
            </w:r>
            <w:r w:rsidR="009114DE" w:rsidRPr="003347A6">
              <w:rPr>
                <w:rFonts w:ascii="Arial" w:eastAsia="Times New Roman" w:hAnsi="Arial" w:cs="Arial"/>
                <w:noProof/>
                <w:sz w:val="20"/>
                <w:szCs w:val="20"/>
                <w:lang w:val="it-IT" w:eastAsia="en-GB"/>
              </w:rPr>
              <w:t>[</w:t>
            </w:r>
            <w:r w:rsidR="007745D4" w:rsidRPr="003347A6">
              <w:rPr>
                <w:rFonts w:ascii="Arial" w:eastAsia="Times New Roman" w:hAnsi="Arial" w:cs="Arial"/>
                <w:noProof/>
                <w:sz w:val="20"/>
                <w:szCs w:val="20"/>
                <w:lang w:val="it-IT" w:eastAsia="en-GB"/>
              </w:rPr>
              <w:t>22</w:t>
            </w:r>
            <w:r w:rsidR="009114DE" w:rsidRPr="003347A6">
              <w:rPr>
                <w:rFonts w:ascii="Arial" w:eastAsia="Times New Roman" w:hAnsi="Arial" w:cs="Arial"/>
                <w:noProof/>
                <w:sz w:val="20"/>
                <w:szCs w:val="20"/>
                <w:lang w:val="it-IT" w:eastAsia="en-GB"/>
              </w:rPr>
              <w:t>]</w:t>
            </w:r>
          </w:p>
        </w:tc>
      </w:tr>
      <w:tr w:rsidR="00D7489E" w:rsidRPr="003347A6" w14:paraId="46A97EF8" w14:textId="77777777" w:rsidTr="00927378">
        <w:tc>
          <w:tcPr>
            <w:tcW w:w="2094" w:type="pct"/>
            <w:noWrap/>
          </w:tcPr>
          <w:p w14:paraId="7469F116"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val="it-IT" w:eastAsia="en-GB"/>
              </w:rPr>
              <w:tab/>
            </w:r>
            <w:r w:rsidRPr="003347A6">
              <w:rPr>
                <w:rFonts w:ascii="Arial" w:eastAsia="Times New Roman" w:hAnsi="Arial" w:cs="Arial"/>
                <w:sz w:val="20"/>
                <w:szCs w:val="20"/>
                <w:lang w:eastAsia="en-GB"/>
              </w:rPr>
              <w:t>Cardiac disease</w:t>
            </w:r>
          </w:p>
        </w:tc>
        <w:tc>
          <w:tcPr>
            <w:tcW w:w="1205" w:type="pct"/>
            <w:noWrap/>
            <w:vAlign w:val="center"/>
          </w:tcPr>
          <w:p w14:paraId="1F52BC59"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17.9</w:t>
            </w:r>
          </w:p>
        </w:tc>
        <w:tc>
          <w:tcPr>
            <w:tcW w:w="1701" w:type="pct"/>
            <w:noWrap/>
            <w:vAlign w:val="center"/>
          </w:tcPr>
          <w:p w14:paraId="441076C7" w14:textId="2689457F"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hAnsi="Arial" w:cs="Arial"/>
                <w:sz w:val="20"/>
                <w:szCs w:val="20"/>
              </w:rPr>
              <w:t>Fryback</w:t>
            </w:r>
            <w:proofErr w:type="spellEnd"/>
            <w:r w:rsidRPr="003347A6">
              <w:rPr>
                <w:rFonts w:ascii="Arial" w:hAnsi="Arial" w:cs="Arial"/>
                <w:sz w:val="20"/>
                <w:szCs w:val="20"/>
              </w:rPr>
              <w:t xml:space="preserve"> et al. 1993 </w:t>
            </w:r>
            <w:r w:rsidR="009114DE" w:rsidRPr="003347A6">
              <w:rPr>
                <w:rFonts w:ascii="Arial" w:hAnsi="Arial" w:cs="Arial"/>
                <w:noProof/>
                <w:sz w:val="20"/>
                <w:szCs w:val="20"/>
              </w:rPr>
              <w:t>[</w:t>
            </w:r>
            <w:r w:rsidR="007745D4" w:rsidRPr="003347A6">
              <w:rPr>
                <w:rFonts w:ascii="Arial" w:hAnsi="Arial" w:cs="Arial"/>
                <w:noProof/>
                <w:sz w:val="20"/>
                <w:szCs w:val="20"/>
              </w:rPr>
              <w:t>24</w:t>
            </w:r>
            <w:r w:rsidR="009114DE" w:rsidRPr="003347A6">
              <w:rPr>
                <w:rFonts w:ascii="Arial" w:hAnsi="Arial" w:cs="Arial"/>
                <w:noProof/>
                <w:sz w:val="20"/>
                <w:szCs w:val="20"/>
              </w:rPr>
              <w:t>]</w:t>
            </w:r>
          </w:p>
        </w:tc>
      </w:tr>
      <w:tr w:rsidR="00D7489E" w:rsidRPr="003347A6" w14:paraId="30F4687A" w14:textId="77777777" w:rsidTr="00927378">
        <w:tc>
          <w:tcPr>
            <w:tcW w:w="2094" w:type="pct"/>
            <w:noWrap/>
          </w:tcPr>
          <w:p w14:paraId="6F78BF4A"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b/>
              <w:t>Diabetes</w:t>
            </w:r>
          </w:p>
        </w:tc>
        <w:tc>
          <w:tcPr>
            <w:tcW w:w="1205" w:type="pct"/>
            <w:noWrap/>
            <w:vAlign w:val="center"/>
          </w:tcPr>
          <w:p w14:paraId="064F79DD"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12.3</w:t>
            </w:r>
          </w:p>
        </w:tc>
        <w:tc>
          <w:tcPr>
            <w:tcW w:w="1701" w:type="pct"/>
            <w:noWrap/>
            <w:vAlign w:val="center"/>
          </w:tcPr>
          <w:p w14:paraId="3202D00E" w14:textId="7D718F1E"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hAnsi="Arial" w:cs="Arial"/>
                <w:sz w:val="20"/>
                <w:szCs w:val="20"/>
              </w:rPr>
              <w:t>Fryback</w:t>
            </w:r>
            <w:proofErr w:type="spellEnd"/>
            <w:r w:rsidRPr="003347A6">
              <w:rPr>
                <w:rFonts w:ascii="Arial" w:hAnsi="Arial" w:cs="Arial"/>
                <w:sz w:val="20"/>
                <w:szCs w:val="20"/>
              </w:rPr>
              <w:t xml:space="preserve"> et al. 1993 </w:t>
            </w:r>
            <w:r w:rsidR="009114DE" w:rsidRPr="003347A6">
              <w:rPr>
                <w:rFonts w:ascii="Arial" w:hAnsi="Arial" w:cs="Arial"/>
                <w:noProof/>
                <w:sz w:val="20"/>
                <w:szCs w:val="20"/>
              </w:rPr>
              <w:t>[</w:t>
            </w:r>
            <w:r w:rsidR="007745D4" w:rsidRPr="003347A6">
              <w:rPr>
                <w:rFonts w:ascii="Arial" w:hAnsi="Arial" w:cs="Arial"/>
                <w:noProof/>
                <w:sz w:val="20"/>
                <w:szCs w:val="20"/>
              </w:rPr>
              <w:t>24</w:t>
            </w:r>
            <w:r w:rsidR="009114DE" w:rsidRPr="003347A6">
              <w:rPr>
                <w:rFonts w:ascii="Arial" w:hAnsi="Arial" w:cs="Arial"/>
                <w:noProof/>
                <w:sz w:val="20"/>
                <w:szCs w:val="20"/>
              </w:rPr>
              <w:t>]</w:t>
            </w:r>
          </w:p>
        </w:tc>
      </w:tr>
      <w:tr w:rsidR="00D7489E" w:rsidRPr="003347A6" w14:paraId="60F793EE" w14:textId="77777777" w:rsidTr="00927378">
        <w:tc>
          <w:tcPr>
            <w:tcW w:w="2094" w:type="pct"/>
            <w:noWrap/>
          </w:tcPr>
          <w:p w14:paraId="2B58DD6C"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b/>
              <w:t>Hepatic complication</w:t>
            </w:r>
          </w:p>
        </w:tc>
        <w:tc>
          <w:tcPr>
            <w:tcW w:w="1205" w:type="pct"/>
            <w:noWrap/>
            <w:vAlign w:val="center"/>
          </w:tcPr>
          <w:p w14:paraId="0B334E8E"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8.0</w:t>
            </w:r>
          </w:p>
        </w:tc>
        <w:tc>
          <w:tcPr>
            <w:tcW w:w="1701" w:type="pct"/>
            <w:noWrap/>
            <w:vAlign w:val="center"/>
          </w:tcPr>
          <w:p w14:paraId="4A595AA7" w14:textId="1CC3E216"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hAnsi="Arial" w:cs="Arial"/>
                <w:sz w:val="20"/>
                <w:szCs w:val="20"/>
              </w:rPr>
              <w:t xml:space="preserve">Wong et al. 1995 </w:t>
            </w:r>
            <w:r w:rsidR="009114DE" w:rsidRPr="003347A6">
              <w:rPr>
                <w:rFonts w:ascii="Arial" w:hAnsi="Arial" w:cs="Arial"/>
                <w:noProof/>
                <w:sz w:val="20"/>
                <w:szCs w:val="20"/>
              </w:rPr>
              <w:t>[</w:t>
            </w:r>
            <w:r w:rsidR="007745D4" w:rsidRPr="003347A6">
              <w:rPr>
                <w:rFonts w:ascii="Arial" w:hAnsi="Arial" w:cs="Arial"/>
                <w:noProof/>
                <w:sz w:val="20"/>
                <w:szCs w:val="20"/>
              </w:rPr>
              <w:t>25</w:t>
            </w:r>
            <w:r w:rsidR="009114DE" w:rsidRPr="003347A6">
              <w:rPr>
                <w:rFonts w:ascii="Arial" w:hAnsi="Arial" w:cs="Arial"/>
                <w:noProof/>
                <w:sz w:val="20"/>
                <w:szCs w:val="20"/>
              </w:rPr>
              <w:t>]</w:t>
            </w:r>
          </w:p>
        </w:tc>
      </w:tr>
      <w:tr w:rsidR="00D7489E" w:rsidRPr="003347A6" w14:paraId="259534D8" w14:textId="77777777" w:rsidTr="00927378">
        <w:tc>
          <w:tcPr>
            <w:tcW w:w="2094" w:type="pct"/>
            <w:noWrap/>
          </w:tcPr>
          <w:p w14:paraId="14F2F472"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b/>
              <w:t xml:space="preserve">Neutropenia and </w:t>
            </w:r>
            <w:r w:rsidRPr="003347A6">
              <w:rPr>
                <w:rFonts w:ascii="Arial" w:eastAsia="Times New Roman" w:hAnsi="Arial" w:cs="Arial"/>
                <w:sz w:val="20"/>
                <w:szCs w:val="20"/>
                <w:lang w:eastAsia="en-GB"/>
              </w:rPr>
              <w:tab/>
              <w:t>thrombocytopenia</w:t>
            </w:r>
          </w:p>
        </w:tc>
        <w:tc>
          <w:tcPr>
            <w:tcW w:w="1205" w:type="pct"/>
            <w:noWrap/>
            <w:vAlign w:val="center"/>
          </w:tcPr>
          <w:p w14:paraId="47986ADE"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w:t>
            </w:r>
          </w:p>
        </w:tc>
        <w:tc>
          <w:tcPr>
            <w:tcW w:w="1701" w:type="pct"/>
            <w:noWrap/>
            <w:vAlign w:val="center"/>
          </w:tcPr>
          <w:p w14:paraId="3D489BFE" w14:textId="77777777" w:rsidR="00D7489E" w:rsidRPr="003347A6" w:rsidRDefault="00D7489E" w:rsidP="00927378">
            <w:pPr>
              <w:spacing w:after="0" w:line="240" w:lineRule="auto"/>
              <w:jc w:val="center"/>
              <w:rPr>
                <w:rFonts w:ascii="Arial" w:hAnsi="Arial" w:cs="Arial"/>
                <w:sz w:val="20"/>
                <w:szCs w:val="20"/>
              </w:rPr>
            </w:pPr>
            <w:r w:rsidRPr="003347A6">
              <w:rPr>
                <w:rFonts w:ascii="Arial" w:hAnsi="Arial" w:cs="Arial"/>
                <w:sz w:val="20"/>
                <w:szCs w:val="20"/>
              </w:rPr>
              <w:t xml:space="preserve">Not expected to impact </w:t>
            </w:r>
            <w:proofErr w:type="gramStart"/>
            <w:r w:rsidRPr="003347A6">
              <w:rPr>
                <w:rFonts w:ascii="Arial" w:hAnsi="Arial" w:cs="Arial"/>
                <w:sz w:val="20"/>
                <w:szCs w:val="20"/>
              </w:rPr>
              <w:t>patients</w:t>
            </w:r>
            <w:proofErr w:type="gramEnd"/>
            <w:r w:rsidRPr="003347A6">
              <w:rPr>
                <w:rFonts w:ascii="Arial" w:hAnsi="Arial" w:cs="Arial"/>
                <w:sz w:val="20"/>
                <w:szCs w:val="20"/>
              </w:rPr>
              <w:t xml:space="preserve"> quality of life due to their transient nature</w:t>
            </w:r>
          </w:p>
        </w:tc>
      </w:tr>
      <w:tr w:rsidR="00DA4D6B" w:rsidRPr="003347A6" w14:paraId="2599439F" w14:textId="77777777" w:rsidTr="00DA4D6B">
        <w:tc>
          <w:tcPr>
            <w:tcW w:w="5000" w:type="pct"/>
            <w:gridSpan w:val="3"/>
            <w:noWrap/>
          </w:tcPr>
          <w:p w14:paraId="0E95D857" w14:textId="2826CF4F" w:rsidR="00DA4D6B" w:rsidRPr="003347A6" w:rsidRDefault="00DA4D6B" w:rsidP="00895076">
            <w:pPr>
              <w:spacing w:after="0" w:line="240" w:lineRule="auto"/>
              <w:rPr>
                <w:rFonts w:ascii="Arial" w:hAnsi="Arial" w:cs="Arial"/>
                <w:sz w:val="20"/>
                <w:szCs w:val="20"/>
              </w:rPr>
            </w:pPr>
            <w:r w:rsidRPr="003347A6">
              <w:rPr>
                <w:rFonts w:ascii="Arial" w:eastAsia="Times New Roman" w:hAnsi="Arial" w:cs="Arial"/>
                <w:b/>
                <w:sz w:val="20"/>
                <w:szCs w:val="20"/>
                <w:lang w:eastAsia="en-GB"/>
              </w:rPr>
              <w:t>Curve fit parameters</w:t>
            </w:r>
          </w:p>
        </w:tc>
      </w:tr>
      <w:tr w:rsidR="00DA4D6B" w:rsidRPr="003347A6" w14:paraId="52262B28" w14:textId="77777777" w:rsidTr="00927378">
        <w:tc>
          <w:tcPr>
            <w:tcW w:w="2094" w:type="pct"/>
            <w:noWrap/>
          </w:tcPr>
          <w:p w14:paraId="6A41166B" w14:textId="4C14F777" w:rsidR="00DA4D6B" w:rsidRPr="003347A6" w:rsidRDefault="00DA4D6B" w:rsidP="00DA4D6B">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Mortality – TD</w:t>
            </w:r>
          </w:p>
        </w:tc>
        <w:tc>
          <w:tcPr>
            <w:tcW w:w="1205" w:type="pct"/>
            <w:noWrap/>
            <w:vAlign w:val="center"/>
          </w:tcPr>
          <w:p w14:paraId="5E05F5B0" w14:textId="40E3D78D" w:rsidR="00DA4D6B" w:rsidRPr="003347A6" w:rsidRDefault="00DA4D6B"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Weibull curve: </w:t>
            </w:r>
            <w:r w:rsidR="00826C80" w:rsidRPr="003347A6">
              <w:rPr>
                <w:rFonts w:ascii="Arial" w:eastAsia="Times New Roman" w:hAnsi="Arial" w:cs="Arial"/>
                <w:sz w:val="20"/>
                <w:szCs w:val="20"/>
                <w:lang w:eastAsia="en-GB"/>
              </w:rPr>
              <w:t>b</w:t>
            </w:r>
            <w:r w:rsidRPr="003347A6">
              <w:rPr>
                <w:rFonts w:ascii="Arial" w:eastAsia="Times New Roman" w:hAnsi="Arial" w:cs="Arial"/>
                <w:sz w:val="20"/>
                <w:szCs w:val="20"/>
                <w:lang w:eastAsia="en-GB"/>
              </w:rPr>
              <w:t xml:space="preserve">eta = 1.172, </w:t>
            </w:r>
            <w:r w:rsidR="00826C80" w:rsidRPr="003347A6">
              <w:rPr>
                <w:rFonts w:ascii="Arial" w:eastAsia="Times New Roman" w:hAnsi="Arial" w:cs="Arial"/>
                <w:sz w:val="20"/>
                <w:szCs w:val="20"/>
                <w:lang w:eastAsia="en-GB"/>
              </w:rPr>
              <w:t>a</w:t>
            </w:r>
            <w:r w:rsidRPr="003347A6">
              <w:rPr>
                <w:rFonts w:ascii="Arial" w:eastAsia="Times New Roman" w:hAnsi="Arial" w:cs="Arial"/>
                <w:sz w:val="20"/>
                <w:szCs w:val="20"/>
                <w:lang w:eastAsia="en-GB"/>
              </w:rPr>
              <w:t>lpha = 0.0003</w:t>
            </w:r>
          </w:p>
        </w:tc>
        <w:tc>
          <w:tcPr>
            <w:tcW w:w="1701" w:type="pct"/>
            <w:noWrap/>
            <w:vAlign w:val="center"/>
          </w:tcPr>
          <w:p w14:paraId="25AF5394" w14:textId="54B64CAC" w:rsidR="00DA4D6B" w:rsidRPr="003347A6" w:rsidRDefault="00DA4D6B" w:rsidP="00927378">
            <w:pPr>
              <w:spacing w:after="0" w:line="240" w:lineRule="auto"/>
              <w:jc w:val="center"/>
              <w:rPr>
                <w:rFonts w:ascii="Arial" w:hAnsi="Arial" w:cs="Arial"/>
                <w:sz w:val="20"/>
                <w:szCs w:val="20"/>
              </w:rPr>
            </w:pPr>
            <w:r w:rsidRPr="003347A6">
              <w:rPr>
                <w:rFonts w:ascii="Arial" w:hAnsi="Arial" w:cs="Arial"/>
                <w:sz w:val="20"/>
                <w:szCs w:val="20"/>
              </w:rPr>
              <w:t>MM-004 trial – patient-level data analysis</w:t>
            </w:r>
          </w:p>
        </w:tc>
      </w:tr>
      <w:tr w:rsidR="00DA4D6B" w:rsidRPr="003347A6" w14:paraId="0842B953" w14:textId="77777777" w:rsidTr="00927378">
        <w:tc>
          <w:tcPr>
            <w:tcW w:w="2094" w:type="pct"/>
            <w:noWrap/>
          </w:tcPr>
          <w:p w14:paraId="518BC561" w14:textId="2122837B" w:rsidR="00DA4D6B" w:rsidRPr="003347A6" w:rsidRDefault="00DA4D6B" w:rsidP="00DA4D6B">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Mortality – TI</w:t>
            </w:r>
          </w:p>
        </w:tc>
        <w:tc>
          <w:tcPr>
            <w:tcW w:w="1205" w:type="pct"/>
            <w:noWrap/>
            <w:vAlign w:val="center"/>
          </w:tcPr>
          <w:p w14:paraId="7A1FEF81" w14:textId="15563DD2" w:rsidR="00DA4D6B" w:rsidRPr="003347A6" w:rsidRDefault="00DA4D6B"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Weibull curve: </w:t>
            </w:r>
            <w:r w:rsidR="00826C80" w:rsidRPr="003347A6">
              <w:rPr>
                <w:rFonts w:ascii="Arial" w:eastAsia="Times New Roman" w:hAnsi="Arial" w:cs="Arial"/>
                <w:sz w:val="20"/>
                <w:szCs w:val="20"/>
                <w:lang w:eastAsia="en-GB"/>
              </w:rPr>
              <w:t>b</w:t>
            </w:r>
            <w:r w:rsidRPr="003347A6">
              <w:rPr>
                <w:rFonts w:ascii="Arial" w:eastAsia="Times New Roman" w:hAnsi="Arial" w:cs="Arial"/>
                <w:sz w:val="20"/>
                <w:szCs w:val="20"/>
                <w:lang w:eastAsia="en-GB"/>
              </w:rPr>
              <w:t xml:space="preserve">eta = 1.172, </w:t>
            </w:r>
            <w:r w:rsidR="00826C80" w:rsidRPr="003347A6">
              <w:rPr>
                <w:rFonts w:ascii="Arial" w:eastAsia="Times New Roman" w:hAnsi="Arial" w:cs="Arial"/>
                <w:sz w:val="20"/>
                <w:szCs w:val="20"/>
                <w:lang w:eastAsia="en-GB"/>
              </w:rPr>
              <w:t>a</w:t>
            </w:r>
            <w:r w:rsidRPr="003347A6">
              <w:rPr>
                <w:rFonts w:ascii="Arial" w:eastAsia="Times New Roman" w:hAnsi="Arial" w:cs="Arial"/>
                <w:sz w:val="20"/>
                <w:szCs w:val="20"/>
                <w:lang w:eastAsia="en-GB"/>
              </w:rPr>
              <w:t>lpha = 0.0002</w:t>
            </w:r>
          </w:p>
        </w:tc>
        <w:tc>
          <w:tcPr>
            <w:tcW w:w="1701" w:type="pct"/>
            <w:noWrap/>
            <w:vAlign w:val="center"/>
          </w:tcPr>
          <w:p w14:paraId="36341CD4" w14:textId="79631244" w:rsidR="00DA4D6B" w:rsidRPr="003347A6" w:rsidRDefault="00DA4D6B" w:rsidP="00927378">
            <w:pPr>
              <w:spacing w:after="0" w:line="240" w:lineRule="auto"/>
              <w:jc w:val="center"/>
              <w:rPr>
                <w:rFonts w:ascii="Arial" w:hAnsi="Arial" w:cs="Arial"/>
                <w:sz w:val="20"/>
                <w:szCs w:val="20"/>
              </w:rPr>
            </w:pPr>
            <w:r w:rsidRPr="003347A6">
              <w:rPr>
                <w:rFonts w:ascii="Arial" w:hAnsi="Arial" w:cs="Arial"/>
                <w:sz w:val="20"/>
                <w:szCs w:val="20"/>
              </w:rPr>
              <w:t>MM-004 trial – patient-level data analysis</w:t>
            </w:r>
          </w:p>
        </w:tc>
      </w:tr>
      <w:tr w:rsidR="00DA4D6B" w:rsidRPr="003347A6" w14:paraId="304C655A" w14:textId="77777777" w:rsidTr="00927378">
        <w:tc>
          <w:tcPr>
            <w:tcW w:w="2094" w:type="pct"/>
            <w:noWrap/>
          </w:tcPr>
          <w:p w14:paraId="21C1325C" w14:textId="441ACA8B" w:rsidR="00DA4D6B" w:rsidRPr="003347A6" w:rsidRDefault="00DA4D6B" w:rsidP="00DA4D6B">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Median survival from MDS-003 and MDS-004</w:t>
            </w:r>
          </w:p>
        </w:tc>
        <w:tc>
          <w:tcPr>
            <w:tcW w:w="1205" w:type="pct"/>
            <w:noWrap/>
            <w:vAlign w:val="center"/>
          </w:tcPr>
          <w:p w14:paraId="0BB5C7DF" w14:textId="19057D1B" w:rsidR="00DA4D6B" w:rsidRPr="003347A6" w:rsidRDefault="00DA4D6B"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3.80</w:t>
            </w:r>
          </w:p>
        </w:tc>
        <w:tc>
          <w:tcPr>
            <w:tcW w:w="1701" w:type="pct"/>
            <w:noWrap/>
            <w:vAlign w:val="center"/>
          </w:tcPr>
          <w:p w14:paraId="57C15E52" w14:textId="5BF8D041" w:rsidR="00DA4D6B" w:rsidRPr="003347A6" w:rsidRDefault="00DA4D6B" w:rsidP="00927378">
            <w:pPr>
              <w:spacing w:after="0" w:line="240" w:lineRule="auto"/>
              <w:jc w:val="center"/>
              <w:rPr>
                <w:rFonts w:ascii="Arial" w:hAnsi="Arial" w:cs="Arial"/>
                <w:sz w:val="20"/>
                <w:szCs w:val="20"/>
              </w:rPr>
            </w:pPr>
            <w:proofErr w:type="spellStart"/>
            <w:r w:rsidRPr="003347A6">
              <w:rPr>
                <w:rFonts w:ascii="Arial" w:eastAsia="Times New Roman" w:hAnsi="Arial" w:cs="Arial"/>
                <w:sz w:val="20"/>
                <w:szCs w:val="20"/>
                <w:lang w:eastAsia="en-GB"/>
              </w:rPr>
              <w:t>Kuendegen</w:t>
            </w:r>
            <w:proofErr w:type="spellEnd"/>
            <w:r w:rsidRPr="003347A6">
              <w:rPr>
                <w:rFonts w:ascii="Arial" w:eastAsia="Times New Roman" w:hAnsi="Arial" w:cs="Arial"/>
                <w:sz w:val="20"/>
                <w:szCs w:val="20"/>
                <w:lang w:eastAsia="en-GB"/>
              </w:rPr>
              <w:t xml:space="preserve"> et al. </w:t>
            </w:r>
            <w:r w:rsidRPr="003347A6">
              <w:rPr>
                <w:rFonts w:ascii="Arial" w:hAnsi="Arial" w:cs="Arial"/>
                <w:noProof/>
                <w:sz w:val="20"/>
                <w:szCs w:val="20"/>
                <w:lang w:val="en-US"/>
              </w:rPr>
              <w:t>[</w:t>
            </w:r>
            <w:r w:rsidR="005039B8" w:rsidRPr="003347A6">
              <w:rPr>
                <w:rFonts w:ascii="Arial" w:hAnsi="Arial" w:cs="Arial"/>
                <w:noProof/>
                <w:sz w:val="20"/>
                <w:szCs w:val="20"/>
                <w:lang w:val="en-US"/>
              </w:rPr>
              <w:t>11</w:t>
            </w:r>
            <w:r w:rsidRPr="003347A6">
              <w:rPr>
                <w:rFonts w:ascii="Arial" w:hAnsi="Arial" w:cs="Arial"/>
                <w:noProof/>
                <w:sz w:val="20"/>
                <w:szCs w:val="20"/>
                <w:lang w:val="en-US"/>
              </w:rPr>
              <w:t>]</w:t>
            </w:r>
          </w:p>
        </w:tc>
      </w:tr>
      <w:tr w:rsidR="00DA4D6B" w:rsidRPr="003347A6" w14:paraId="57737DCA" w14:textId="77777777" w:rsidTr="00927378">
        <w:tc>
          <w:tcPr>
            <w:tcW w:w="2094" w:type="pct"/>
            <w:noWrap/>
          </w:tcPr>
          <w:p w14:paraId="5E58474C" w14:textId="52D90D90" w:rsidR="00DA4D6B" w:rsidRPr="003347A6" w:rsidRDefault="00DA4D6B" w:rsidP="00DA4D6B">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Response duration – lenalidomide</w:t>
            </w:r>
          </w:p>
        </w:tc>
        <w:tc>
          <w:tcPr>
            <w:tcW w:w="1205" w:type="pct"/>
            <w:noWrap/>
            <w:vAlign w:val="center"/>
          </w:tcPr>
          <w:p w14:paraId="7BB40CDE" w14:textId="793F5EE3" w:rsidR="00DA4D6B" w:rsidRPr="003347A6" w:rsidRDefault="00DA4D6B"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Log-normal curve </w:t>
            </w:r>
            <w:r w:rsidR="00826C80" w:rsidRPr="003347A6">
              <w:rPr>
                <w:rFonts w:ascii="Arial" w:eastAsia="Times New Roman" w:hAnsi="Arial" w:cs="Arial"/>
                <w:sz w:val="20"/>
                <w:szCs w:val="20"/>
                <w:lang w:eastAsia="en-GB"/>
              </w:rPr>
              <w:t>b</w:t>
            </w:r>
            <w:r w:rsidRPr="003347A6">
              <w:rPr>
                <w:rFonts w:ascii="Arial" w:eastAsia="Times New Roman" w:hAnsi="Arial" w:cs="Arial"/>
                <w:sz w:val="20"/>
                <w:szCs w:val="20"/>
                <w:lang w:eastAsia="en-GB"/>
              </w:rPr>
              <w:t xml:space="preserve">eta = 1.187, </w:t>
            </w:r>
            <w:r w:rsidR="00826C80" w:rsidRPr="003347A6">
              <w:rPr>
                <w:rFonts w:ascii="Arial" w:eastAsia="Times New Roman" w:hAnsi="Arial" w:cs="Arial"/>
                <w:sz w:val="20"/>
                <w:szCs w:val="20"/>
                <w:lang w:eastAsia="en-GB"/>
              </w:rPr>
              <w:t>a</w:t>
            </w:r>
            <w:r w:rsidRPr="003347A6">
              <w:rPr>
                <w:rFonts w:ascii="Arial" w:eastAsia="Times New Roman" w:hAnsi="Arial" w:cs="Arial"/>
                <w:sz w:val="20"/>
                <w:szCs w:val="20"/>
                <w:lang w:eastAsia="en-GB"/>
              </w:rPr>
              <w:t>lpha = 7.07</w:t>
            </w:r>
          </w:p>
        </w:tc>
        <w:tc>
          <w:tcPr>
            <w:tcW w:w="1701" w:type="pct"/>
            <w:noWrap/>
            <w:vAlign w:val="center"/>
          </w:tcPr>
          <w:p w14:paraId="455E8DD2" w14:textId="6ED78D45" w:rsidR="00DA4D6B" w:rsidRPr="003347A6" w:rsidRDefault="00DA4D6B" w:rsidP="00927378">
            <w:pPr>
              <w:spacing w:after="0" w:line="240" w:lineRule="auto"/>
              <w:jc w:val="center"/>
              <w:rPr>
                <w:rFonts w:ascii="Arial" w:hAnsi="Arial" w:cs="Arial"/>
                <w:sz w:val="20"/>
                <w:szCs w:val="20"/>
              </w:rPr>
            </w:pPr>
            <w:r w:rsidRPr="003347A6">
              <w:rPr>
                <w:rFonts w:ascii="Arial" w:hAnsi="Arial" w:cs="Arial"/>
                <w:sz w:val="20"/>
                <w:szCs w:val="20"/>
              </w:rPr>
              <w:t>MM-004 trial – patient-level data analysis</w:t>
            </w:r>
          </w:p>
        </w:tc>
      </w:tr>
      <w:tr w:rsidR="00DA4D6B" w:rsidRPr="003347A6" w14:paraId="659A747C" w14:textId="77777777" w:rsidTr="00927378">
        <w:tc>
          <w:tcPr>
            <w:tcW w:w="2094" w:type="pct"/>
            <w:noWrap/>
          </w:tcPr>
          <w:p w14:paraId="5DE68C3E" w14:textId="6BEA29B2" w:rsidR="00DA4D6B" w:rsidRPr="003347A6" w:rsidRDefault="00DA4D6B" w:rsidP="00DA4D6B">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Response duration – best supportive care</w:t>
            </w:r>
          </w:p>
        </w:tc>
        <w:tc>
          <w:tcPr>
            <w:tcW w:w="1205" w:type="pct"/>
            <w:noWrap/>
            <w:vAlign w:val="center"/>
          </w:tcPr>
          <w:p w14:paraId="709F036F" w14:textId="116745FA" w:rsidR="00DA4D6B" w:rsidRPr="003347A6" w:rsidRDefault="00DA4D6B"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Log-normal curve </w:t>
            </w:r>
            <w:r w:rsidR="00826C80" w:rsidRPr="003347A6">
              <w:rPr>
                <w:rFonts w:ascii="Arial" w:eastAsia="Times New Roman" w:hAnsi="Arial" w:cs="Arial"/>
                <w:sz w:val="20"/>
                <w:szCs w:val="20"/>
                <w:lang w:eastAsia="en-GB"/>
              </w:rPr>
              <w:t>b</w:t>
            </w:r>
            <w:r w:rsidRPr="003347A6">
              <w:rPr>
                <w:rFonts w:ascii="Arial" w:eastAsia="Times New Roman" w:hAnsi="Arial" w:cs="Arial"/>
                <w:sz w:val="20"/>
                <w:szCs w:val="20"/>
                <w:lang w:eastAsia="en-GB"/>
              </w:rPr>
              <w:t xml:space="preserve">eta = 1.187, </w:t>
            </w:r>
            <w:r w:rsidR="00826C80" w:rsidRPr="003347A6">
              <w:rPr>
                <w:rFonts w:ascii="Arial" w:eastAsia="Times New Roman" w:hAnsi="Arial" w:cs="Arial"/>
                <w:sz w:val="20"/>
                <w:szCs w:val="20"/>
                <w:lang w:eastAsia="en-GB"/>
              </w:rPr>
              <w:t>a</w:t>
            </w:r>
            <w:r w:rsidRPr="003347A6">
              <w:rPr>
                <w:rFonts w:ascii="Arial" w:eastAsia="Times New Roman" w:hAnsi="Arial" w:cs="Arial"/>
                <w:sz w:val="20"/>
                <w:szCs w:val="20"/>
                <w:lang w:eastAsia="en-GB"/>
              </w:rPr>
              <w:t>lpha = 6.542</w:t>
            </w:r>
          </w:p>
        </w:tc>
        <w:tc>
          <w:tcPr>
            <w:tcW w:w="1701" w:type="pct"/>
            <w:noWrap/>
            <w:vAlign w:val="center"/>
          </w:tcPr>
          <w:p w14:paraId="1F539C28" w14:textId="4D32261B" w:rsidR="00DA4D6B" w:rsidRPr="003347A6" w:rsidRDefault="00DA4D6B" w:rsidP="00927378">
            <w:pPr>
              <w:spacing w:after="0" w:line="240" w:lineRule="auto"/>
              <w:jc w:val="center"/>
              <w:rPr>
                <w:rFonts w:ascii="Arial" w:hAnsi="Arial" w:cs="Arial"/>
                <w:sz w:val="20"/>
                <w:szCs w:val="20"/>
              </w:rPr>
            </w:pPr>
            <w:r w:rsidRPr="003347A6">
              <w:rPr>
                <w:rFonts w:ascii="Arial" w:hAnsi="Arial" w:cs="Arial"/>
                <w:sz w:val="20"/>
                <w:szCs w:val="20"/>
              </w:rPr>
              <w:t>MM-004 trial – patient-level data analysis</w:t>
            </w:r>
          </w:p>
        </w:tc>
      </w:tr>
      <w:tr w:rsidR="00DA4D6B" w:rsidRPr="003347A6" w14:paraId="3F3D562F" w14:textId="77777777" w:rsidTr="00927378">
        <w:tc>
          <w:tcPr>
            <w:tcW w:w="2094" w:type="pct"/>
            <w:noWrap/>
          </w:tcPr>
          <w:p w14:paraId="4C19AFBA" w14:textId="114E9072" w:rsidR="00DA4D6B" w:rsidRPr="003347A6" w:rsidRDefault="00DA4D6B" w:rsidP="00DA4D6B">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AML progression – TD</w:t>
            </w:r>
          </w:p>
        </w:tc>
        <w:tc>
          <w:tcPr>
            <w:tcW w:w="1205" w:type="pct"/>
            <w:noWrap/>
            <w:vAlign w:val="center"/>
          </w:tcPr>
          <w:p w14:paraId="10773D6D" w14:textId="52C73671" w:rsidR="00DA4D6B" w:rsidRPr="003347A6" w:rsidRDefault="00DA4D6B"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Weibull curve: </w:t>
            </w:r>
            <w:r w:rsidR="00826C80" w:rsidRPr="003347A6">
              <w:rPr>
                <w:rFonts w:ascii="Arial" w:eastAsia="Times New Roman" w:hAnsi="Arial" w:cs="Arial"/>
                <w:sz w:val="20"/>
                <w:szCs w:val="20"/>
                <w:lang w:eastAsia="en-GB"/>
              </w:rPr>
              <w:t>b</w:t>
            </w:r>
            <w:r w:rsidRPr="003347A6">
              <w:rPr>
                <w:rFonts w:ascii="Arial" w:eastAsia="Times New Roman" w:hAnsi="Arial" w:cs="Arial"/>
                <w:sz w:val="20"/>
                <w:szCs w:val="20"/>
                <w:lang w:eastAsia="en-GB"/>
              </w:rPr>
              <w:t xml:space="preserve">eta = 1.388, </w:t>
            </w:r>
            <w:r w:rsidR="00826C80" w:rsidRPr="003347A6">
              <w:rPr>
                <w:rFonts w:ascii="Arial" w:eastAsia="Times New Roman" w:hAnsi="Arial" w:cs="Arial"/>
                <w:sz w:val="20"/>
                <w:szCs w:val="20"/>
                <w:lang w:eastAsia="en-GB"/>
              </w:rPr>
              <w:t>a</w:t>
            </w:r>
            <w:r w:rsidRPr="003347A6">
              <w:rPr>
                <w:rFonts w:ascii="Arial" w:eastAsia="Times New Roman" w:hAnsi="Arial" w:cs="Arial"/>
                <w:sz w:val="20"/>
                <w:szCs w:val="20"/>
                <w:lang w:eastAsia="en-GB"/>
              </w:rPr>
              <w:t>lpha = 0.0002</w:t>
            </w:r>
          </w:p>
        </w:tc>
        <w:tc>
          <w:tcPr>
            <w:tcW w:w="1701" w:type="pct"/>
            <w:noWrap/>
            <w:vAlign w:val="center"/>
          </w:tcPr>
          <w:p w14:paraId="497C43AE" w14:textId="63ABA5EC" w:rsidR="00DA4D6B" w:rsidRPr="003347A6" w:rsidRDefault="00DA4D6B" w:rsidP="00927378">
            <w:pPr>
              <w:spacing w:after="0" w:line="240" w:lineRule="auto"/>
              <w:jc w:val="center"/>
              <w:rPr>
                <w:rFonts w:ascii="Arial" w:hAnsi="Arial" w:cs="Arial"/>
                <w:sz w:val="20"/>
                <w:szCs w:val="20"/>
              </w:rPr>
            </w:pPr>
            <w:r w:rsidRPr="003347A6">
              <w:rPr>
                <w:rFonts w:ascii="Arial" w:hAnsi="Arial" w:cs="Arial"/>
                <w:sz w:val="20"/>
                <w:szCs w:val="20"/>
              </w:rPr>
              <w:t>MM-004 trial – patient-level data analysis</w:t>
            </w:r>
          </w:p>
        </w:tc>
      </w:tr>
      <w:tr w:rsidR="00DA4D6B" w:rsidRPr="003347A6" w14:paraId="79AF0316" w14:textId="77777777" w:rsidTr="00927378">
        <w:tc>
          <w:tcPr>
            <w:tcW w:w="2094" w:type="pct"/>
            <w:noWrap/>
          </w:tcPr>
          <w:p w14:paraId="4F4046F3" w14:textId="0E0825C8" w:rsidR="00DA4D6B" w:rsidRPr="003347A6" w:rsidRDefault="00DA4D6B" w:rsidP="00DA4D6B">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AML progression – TI</w:t>
            </w:r>
          </w:p>
        </w:tc>
        <w:tc>
          <w:tcPr>
            <w:tcW w:w="1205" w:type="pct"/>
            <w:noWrap/>
            <w:vAlign w:val="center"/>
          </w:tcPr>
          <w:p w14:paraId="6FEEBB41" w14:textId="3ECF49C8" w:rsidR="00DA4D6B" w:rsidRPr="003347A6" w:rsidRDefault="00DA4D6B"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 xml:space="preserve">Weibull curve: </w:t>
            </w:r>
            <w:r w:rsidR="00826C80" w:rsidRPr="003347A6">
              <w:rPr>
                <w:rFonts w:ascii="Arial" w:eastAsia="Times New Roman" w:hAnsi="Arial" w:cs="Arial"/>
                <w:sz w:val="20"/>
                <w:szCs w:val="20"/>
                <w:lang w:eastAsia="en-GB"/>
              </w:rPr>
              <w:t>b</w:t>
            </w:r>
            <w:r w:rsidRPr="003347A6">
              <w:rPr>
                <w:rFonts w:ascii="Arial" w:eastAsia="Times New Roman" w:hAnsi="Arial" w:cs="Arial"/>
                <w:sz w:val="20"/>
                <w:szCs w:val="20"/>
                <w:lang w:eastAsia="en-GB"/>
              </w:rPr>
              <w:t xml:space="preserve">eta = 1.388, </w:t>
            </w:r>
            <w:r w:rsidR="00826C80" w:rsidRPr="003347A6">
              <w:rPr>
                <w:rFonts w:ascii="Arial" w:eastAsia="Times New Roman" w:hAnsi="Arial" w:cs="Arial"/>
                <w:sz w:val="20"/>
                <w:szCs w:val="20"/>
                <w:lang w:eastAsia="en-GB"/>
              </w:rPr>
              <w:t>a</w:t>
            </w:r>
            <w:r w:rsidRPr="003347A6">
              <w:rPr>
                <w:rFonts w:ascii="Arial" w:eastAsia="Times New Roman" w:hAnsi="Arial" w:cs="Arial"/>
                <w:sz w:val="20"/>
                <w:szCs w:val="20"/>
                <w:lang w:eastAsia="en-GB"/>
              </w:rPr>
              <w:t>lpha = 0.0001</w:t>
            </w:r>
          </w:p>
        </w:tc>
        <w:tc>
          <w:tcPr>
            <w:tcW w:w="1701" w:type="pct"/>
            <w:noWrap/>
            <w:vAlign w:val="center"/>
          </w:tcPr>
          <w:p w14:paraId="3492AACB" w14:textId="5E5B4628" w:rsidR="00DA4D6B" w:rsidRPr="003347A6" w:rsidRDefault="00DA4D6B" w:rsidP="00927378">
            <w:pPr>
              <w:spacing w:after="0" w:line="240" w:lineRule="auto"/>
              <w:jc w:val="center"/>
              <w:rPr>
                <w:rFonts w:ascii="Arial" w:hAnsi="Arial" w:cs="Arial"/>
                <w:sz w:val="20"/>
                <w:szCs w:val="20"/>
              </w:rPr>
            </w:pPr>
            <w:r w:rsidRPr="003347A6">
              <w:rPr>
                <w:rFonts w:ascii="Arial" w:hAnsi="Arial" w:cs="Arial"/>
                <w:sz w:val="20"/>
                <w:szCs w:val="20"/>
              </w:rPr>
              <w:t>MM-004 trial – patient-level data analysis</w:t>
            </w:r>
          </w:p>
        </w:tc>
      </w:tr>
      <w:tr w:rsidR="00D7489E" w:rsidRPr="003347A6" w14:paraId="0CC01D8B" w14:textId="77777777" w:rsidTr="00895076">
        <w:tc>
          <w:tcPr>
            <w:tcW w:w="5000" w:type="pct"/>
            <w:gridSpan w:val="3"/>
            <w:noWrap/>
          </w:tcPr>
          <w:p w14:paraId="3B8231DF" w14:textId="77777777" w:rsidR="00D7489E" w:rsidRPr="003347A6" w:rsidRDefault="00D7489E" w:rsidP="00895076">
            <w:pPr>
              <w:keepNext/>
              <w:spacing w:after="0" w:line="240" w:lineRule="auto"/>
              <w:rPr>
                <w:rFonts w:ascii="Arial" w:eastAsia="Times New Roman" w:hAnsi="Arial" w:cs="Arial"/>
                <w:b/>
                <w:sz w:val="20"/>
                <w:szCs w:val="20"/>
                <w:lang w:eastAsia="en-GB"/>
              </w:rPr>
            </w:pPr>
            <w:r w:rsidRPr="003347A6">
              <w:rPr>
                <w:rFonts w:ascii="Arial" w:eastAsia="Times New Roman" w:hAnsi="Arial" w:cs="Arial"/>
                <w:b/>
                <w:sz w:val="20"/>
                <w:szCs w:val="20"/>
                <w:lang w:eastAsia="en-GB"/>
              </w:rPr>
              <w:lastRenderedPageBreak/>
              <w:t>Response rates</w:t>
            </w:r>
          </w:p>
        </w:tc>
      </w:tr>
      <w:tr w:rsidR="00D7489E" w:rsidRPr="003347A6" w14:paraId="7294D53C" w14:textId="77777777" w:rsidTr="00927378">
        <w:tc>
          <w:tcPr>
            <w:tcW w:w="2094" w:type="pct"/>
            <w:noWrap/>
          </w:tcPr>
          <w:p w14:paraId="413A15B1" w14:textId="77777777" w:rsidR="00D7489E" w:rsidRPr="003347A6" w:rsidRDefault="00D7489E" w:rsidP="00895076">
            <w:pPr>
              <w:keepNext/>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Timeframe required to assess response</w:t>
            </w:r>
          </w:p>
        </w:tc>
        <w:tc>
          <w:tcPr>
            <w:tcW w:w="1205" w:type="pct"/>
            <w:noWrap/>
            <w:vAlign w:val="center"/>
          </w:tcPr>
          <w:p w14:paraId="6C5F09FB"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84 days</w:t>
            </w:r>
          </w:p>
        </w:tc>
        <w:tc>
          <w:tcPr>
            <w:tcW w:w="1701" w:type="pct"/>
            <w:noWrap/>
            <w:vAlign w:val="center"/>
          </w:tcPr>
          <w:p w14:paraId="150EC47E"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Pragmatic stopping rule consistent with UK assessment patterns</w:t>
            </w:r>
          </w:p>
        </w:tc>
      </w:tr>
      <w:tr w:rsidR="00D7489E" w:rsidRPr="003347A6" w14:paraId="51D8CAEB" w14:textId="77777777" w:rsidTr="00927378">
        <w:tc>
          <w:tcPr>
            <w:tcW w:w="2094" w:type="pct"/>
            <w:noWrap/>
          </w:tcPr>
          <w:p w14:paraId="52C5593B" w14:textId="77777777" w:rsidR="00D7489E" w:rsidRPr="003347A6" w:rsidRDefault="00D7489E" w:rsidP="00895076">
            <w:pPr>
              <w:keepNext/>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 of people achieving TI – lenalidomide</w:t>
            </w:r>
          </w:p>
        </w:tc>
        <w:tc>
          <w:tcPr>
            <w:tcW w:w="1205" w:type="pct"/>
            <w:noWrap/>
            <w:vAlign w:val="center"/>
          </w:tcPr>
          <w:p w14:paraId="77FCFEC7"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60.9</w:t>
            </w:r>
          </w:p>
        </w:tc>
        <w:tc>
          <w:tcPr>
            <w:tcW w:w="1701" w:type="pct"/>
            <w:noWrap/>
            <w:vAlign w:val="center"/>
          </w:tcPr>
          <w:p w14:paraId="3FC70A09" w14:textId="655A8710"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eastAsia="Times New Roman" w:hAnsi="Arial" w:cs="Arial"/>
                <w:sz w:val="20"/>
                <w:szCs w:val="20"/>
                <w:lang w:eastAsia="en-GB"/>
              </w:rPr>
              <w:t>Fenaux</w:t>
            </w:r>
            <w:proofErr w:type="spellEnd"/>
            <w:r w:rsidRPr="003347A6">
              <w:rPr>
                <w:rFonts w:ascii="Arial" w:eastAsia="Times New Roman" w:hAnsi="Arial" w:cs="Arial"/>
                <w:sz w:val="20"/>
                <w:szCs w:val="20"/>
                <w:lang w:eastAsia="en-GB"/>
              </w:rPr>
              <w:t xml:space="preserve"> et al. 2011 </w:t>
            </w:r>
            <w:r w:rsidR="009114DE" w:rsidRPr="003347A6">
              <w:rPr>
                <w:rFonts w:ascii="Arial" w:eastAsia="Times New Roman" w:hAnsi="Arial" w:cs="Arial"/>
                <w:noProof/>
                <w:sz w:val="20"/>
                <w:szCs w:val="20"/>
                <w:lang w:eastAsia="en-GB"/>
              </w:rPr>
              <w:t>[</w:t>
            </w:r>
            <w:r w:rsidR="005039B8" w:rsidRPr="003347A6">
              <w:rPr>
                <w:rFonts w:ascii="Arial" w:eastAsia="Times New Roman" w:hAnsi="Arial" w:cs="Arial"/>
                <w:noProof/>
                <w:sz w:val="20"/>
                <w:szCs w:val="20"/>
                <w:lang w:eastAsia="en-GB"/>
              </w:rPr>
              <w:t>4</w:t>
            </w:r>
            <w:r w:rsidR="009114DE" w:rsidRPr="003347A6">
              <w:rPr>
                <w:rFonts w:ascii="Arial" w:eastAsia="Times New Roman" w:hAnsi="Arial" w:cs="Arial"/>
                <w:noProof/>
                <w:sz w:val="20"/>
                <w:szCs w:val="20"/>
                <w:lang w:eastAsia="en-GB"/>
              </w:rPr>
              <w:t>]</w:t>
            </w:r>
          </w:p>
        </w:tc>
      </w:tr>
      <w:tr w:rsidR="00D7489E" w:rsidRPr="003347A6" w14:paraId="7C26245F" w14:textId="77777777" w:rsidTr="00927378">
        <w:tc>
          <w:tcPr>
            <w:tcW w:w="2094" w:type="pct"/>
            <w:noWrap/>
          </w:tcPr>
          <w:p w14:paraId="04ED7670"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 of people achieving TI – transfusions only</w:t>
            </w:r>
          </w:p>
        </w:tc>
        <w:tc>
          <w:tcPr>
            <w:tcW w:w="1205" w:type="pct"/>
            <w:noWrap/>
            <w:vAlign w:val="center"/>
          </w:tcPr>
          <w:p w14:paraId="24E54ABB"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7.5</w:t>
            </w:r>
          </w:p>
        </w:tc>
        <w:tc>
          <w:tcPr>
            <w:tcW w:w="1701" w:type="pct"/>
            <w:noWrap/>
            <w:vAlign w:val="center"/>
          </w:tcPr>
          <w:p w14:paraId="0B70A993" w14:textId="4F221717"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eastAsia="Times New Roman" w:hAnsi="Arial" w:cs="Arial"/>
                <w:sz w:val="20"/>
                <w:szCs w:val="20"/>
                <w:lang w:eastAsia="en-GB"/>
              </w:rPr>
              <w:t>Fenaux</w:t>
            </w:r>
            <w:proofErr w:type="spellEnd"/>
            <w:r w:rsidRPr="003347A6">
              <w:rPr>
                <w:rFonts w:ascii="Arial" w:eastAsia="Times New Roman" w:hAnsi="Arial" w:cs="Arial"/>
                <w:sz w:val="20"/>
                <w:szCs w:val="20"/>
                <w:lang w:eastAsia="en-GB"/>
              </w:rPr>
              <w:t xml:space="preserve"> et al. 2011 </w:t>
            </w:r>
            <w:r w:rsidR="009114DE" w:rsidRPr="003347A6">
              <w:rPr>
                <w:rFonts w:ascii="Arial" w:eastAsia="Times New Roman" w:hAnsi="Arial" w:cs="Arial"/>
                <w:noProof/>
                <w:sz w:val="20"/>
                <w:szCs w:val="20"/>
                <w:lang w:eastAsia="en-GB"/>
              </w:rPr>
              <w:t>[</w:t>
            </w:r>
            <w:r w:rsidR="005039B8" w:rsidRPr="003347A6">
              <w:rPr>
                <w:rFonts w:ascii="Arial" w:eastAsia="Times New Roman" w:hAnsi="Arial" w:cs="Arial"/>
                <w:noProof/>
                <w:sz w:val="20"/>
                <w:szCs w:val="20"/>
                <w:lang w:eastAsia="en-GB"/>
              </w:rPr>
              <w:t>4</w:t>
            </w:r>
            <w:r w:rsidR="009114DE" w:rsidRPr="003347A6">
              <w:rPr>
                <w:rFonts w:ascii="Arial" w:eastAsia="Times New Roman" w:hAnsi="Arial" w:cs="Arial"/>
                <w:noProof/>
                <w:sz w:val="20"/>
                <w:szCs w:val="20"/>
                <w:lang w:eastAsia="en-GB"/>
              </w:rPr>
              <w:t>]</w:t>
            </w:r>
          </w:p>
        </w:tc>
      </w:tr>
      <w:tr w:rsidR="00D7489E" w:rsidRPr="003347A6" w14:paraId="41272A76" w14:textId="77777777" w:rsidTr="00927378">
        <w:tc>
          <w:tcPr>
            <w:tcW w:w="2094" w:type="pct"/>
            <w:noWrap/>
          </w:tcPr>
          <w:p w14:paraId="5E4E44A6"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 of people achieving TI – ESAs</w:t>
            </w:r>
          </w:p>
        </w:tc>
        <w:tc>
          <w:tcPr>
            <w:tcW w:w="1205" w:type="pct"/>
            <w:noWrap/>
            <w:vAlign w:val="center"/>
          </w:tcPr>
          <w:p w14:paraId="7BAC831F"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10.8</w:t>
            </w:r>
          </w:p>
        </w:tc>
        <w:tc>
          <w:tcPr>
            <w:tcW w:w="1701" w:type="pct"/>
            <w:noWrap/>
            <w:vAlign w:val="center"/>
          </w:tcPr>
          <w:p w14:paraId="242F2EE7" w14:textId="33319892" w:rsidR="00D7489E" w:rsidRPr="003347A6" w:rsidRDefault="00D7489E" w:rsidP="007745D4">
            <w:pPr>
              <w:spacing w:after="0" w:line="240" w:lineRule="auto"/>
              <w:jc w:val="center"/>
              <w:rPr>
                <w:rFonts w:ascii="Arial" w:eastAsia="Times New Roman" w:hAnsi="Arial" w:cs="Arial"/>
                <w:sz w:val="20"/>
                <w:szCs w:val="20"/>
                <w:lang w:val="nl-NL" w:eastAsia="en-GB"/>
              </w:rPr>
            </w:pPr>
            <w:r w:rsidRPr="003347A6">
              <w:rPr>
                <w:rFonts w:ascii="Arial" w:eastAsia="Times New Roman" w:hAnsi="Arial" w:cs="Arial"/>
                <w:sz w:val="20"/>
                <w:szCs w:val="20"/>
                <w:lang w:val="nl-NL" w:eastAsia="en-GB"/>
              </w:rPr>
              <w:t xml:space="preserve">Hellstrom-Lindberg et al. 2003; Jadersten et al. 2005; Balleari et al. 2006 </w:t>
            </w:r>
            <w:r w:rsidR="009114DE" w:rsidRPr="003347A6">
              <w:rPr>
                <w:rFonts w:ascii="Arial" w:eastAsia="Times New Roman" w:hAnsi="Arial" w:cs="Arial"/>
                <w:noProof/>
                <w:sz w:val="20"/>
                <w:szCs w:val="20"/>
                <w:lang w:val="nl-NL" w:eastAsia="en-GB"/>
              </w:rPr>
              <w:t>[</w:t>
            </w:r>
            <w:r w:rsidR="007745D4" w:rsidRPr="003347A6">
              <w:rPr>
                <w:rFonts w:ascii="Arial" w:eastAsia="Times New Roman" w:hAnsi="Arial" w:cs="Arial"/>
                <w:noProof/>
                <w:sz w:val="20"/>
                <w:szCs w:val="20"/>
                <w:lang w:val="nl-NL" w:eastAsia="en-GB"/>
              </w:rPr>
              <w:t>8-</w:t>
            </w:r>
            <w:r w:rsidR="005039B8" w:rsidRPr="003347A6">
              <w:rPr>
                <w:rFonts w:ascii="Arial" w:eastAsia="Times New Roman" w:hAnsi="Arial" w:cs="Arial"/>
                <w:noProof/>
                <w:sz w:val="20"/>
                <w:szCs w:val="20"/>
                <w:lang w:val="nl-NL" w:eastAsia="en-GB"/>
              </w:rPr>
              <w:t>10</w:t>
            </w:r>
            <w:r w:rsidR="009114DE" w:rsidRPr="003347A6">
              <w:rPr>
                <w:rFonts w:ascii="Arial" w:eastAsia="Times New Roman" w:hAnsi="Arial" w:cs="Arial"/>
                <w:noProof/>
                <w:sz w:val="20"/>
                <w:szCs w:val="20"/>
                <w:lang w:val="nl-NL" w:eastAsia="en-GB"/>
              </w:rPr>
              <w:t>]</w:t>
            </w:r>
          </w:p>
        </w:tc>
      </w:tr>
      <w:tr w:rsidR="00D7489E" w:rsidRPr="003347A6" w14:paraId="3A54B3D8" w14:textId="77777777" w:rsidTr="00927378">
        <w:tc>
          <w:tcPr>
            <w:tcW w:w="2094" w:type="pct"/>
            <w:noWrap/>
          </w:tcPr>
          <w:p w14:paraId="1694C2D7"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 of people achieving TI – G-CSF</w:t>
            </w:r>
          </w:p>
        </w:tc>
        <w:tc>
          <w:tcPr>
            <w:tcW w:w="1205" w:type="pct"/>
            <w:noWrap/>
            <w:vAlign w:val="center"/>
          </w:tcPr>
          <w:p w14:paraId="64038101"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10.8</w:t>
            </w:r>
          </w:p>
        </w:tc>
        <w:tc>
          <w:tcPr>
            <w:tcW w:w="1701" w:type="pct"/>
            <w:noWrap/>
            <w:vAlign w:val="center"/>
          </w:tcPr>
          <w:p w14:paraId="7578E777" w14:textId="62E7645A" w:rsidR="00D7489E" w:rsidRPr="003347A6" w:rsidRDefault="00D7489E" w:rsidP="007745D4">
            <w:pPr>
              <w:spacing w:after="0" w:line="240" w:lineRule="auto"/>
              <w:jc w:val="center"/>
              <w:rPr>
                <w:rFonts w:ascii="Arial" w:eastAsia="Times New Roman" w:hAnsi="Arial" w:cs="Arial"/>
                <w:sz w:val="20"/>
                <w:szCs w:val="20"/>
                <w:lang w:val="nl-NL" w:eastAsia="en-GB"/>
              </w:rPr>
            </w:pPr>
            <w:r w:rsidRPr="003347A6">
              <w:rPr>
                <w:rFonts w:ascii="Arial" w:eastAsia="Times New Roman" w:hAnsi="Arial" w:cs="Arial"/>
                <w:sz w:val="20"/>
                <w:szCs w:val="20"/>
                <w:lang w:val="nl-NL" w:eastAsia="en-GB"/>
              </w:rPr>
              <w:t xml:space="preserve">Hellstrom-Lindberg et al. 2003; Jadersten et al. 2005; Balleari et al. 2006 </w:t>
            </w:r>
            <w:r w:rsidR="009114DE" w:rsidRPr="003347A6">
              <w:rPr>
                <w:rFonts w:ascii="Arial" w:eastAsia="Times New Roman" w:hAnsi="Arial" w:cs="Arial"/>
                <w:noProof/>
                <w:sz w:val="20"/>
                <w:szCs w:val="20"/>
                <w:lang w:val="nl-NL" w:eastAsia="en-GB"/>
              </w:rPr>
              <w:t>[</w:t>
            </w:r>
            <w:r w:rsidR="007745D4" w:rsidRPr="003347A6">
              <w:rPr>
                <w:rFonts w:ascii="Arial" w:eastAsia="Times New Roman" w:hAnsi="Arial" w:cs="Arial"/>
                <w:noProof/>
                <w:sz w:val="20"/>
                <w:szCs w:val="20"/>
                <w:lang w:val="nl-NL" w:eastAsia="en-GB"/>
              </w:rPr>
              <w:t>8-</w:t>
            </w:r>
            <w:r w:rsidR="005039B8" w:rsidRPr="003347A6">
              <w:rPr>
                <w:rFonts w:ascii="Arial" w:eastAsia="Times New Roman" w:hAnsi="Arial" w:cs="Arial"/>
                <w:noProof/>
                <w:sz w:val="20"/>
                <w:szCs w:val="20"/>
                <w:lang w:val="nl-NL" w:eastAsia="en-GB"/>
              </w:rPr>
              <w:t>10</w:t>
            </w:r>
            <w:r w:rsidR="009114DE" w:rsidRPr="003347A6">
              <w:rPr>
                <w:rFonts w:ascii="Arial" w:eastAsia="Times New Roman" w:hAnsi="Arial" w:cs="Arial"/>
                <w:noProof/>
                <w:sz w:val="20"/>
                <w:szCs w:val="20"/>
                <w:lang w:val="nl-NL" w:eastAsia="en-GB"/>
              </w:rPr>
              <w:t>]</w:t>
            </w:r>
          </w:p>
        </w:tc>
      </w:tr>
      <w:tr w:rsidR="00D7489E" w:rsidRPr="003347A6" w14:paraId="140FF945" w14:textId="77777777" w:rsidTr="00895076">
        <w:tc>
          <w:tcPr>
            <w:tcW w:w="5000" w:type="pct"/>
            <w:gridSpan w:val="3"/>
            <w:noWrap/>
          </w:tcPr>
          <w:p w14:paraId="5E8449CC" w14:textId="77777777" w:rsidR="00D7489E" w:rsidRPr="003347A6" w:rsidRDefault="00D7489E" w:rsidP="00895076">
            <w:pPr>
              <w:spacing w:after="0" w:line="240" w:lineRule="auto"/>
              <w:rPr>
                <w:rFonts w:ascii="Arial" w:eastAsia="Times New Roman" w:hAnsi="Arial" w:cs="Arial"/>
                <w:b/>
                <w:sz w:val="20"/>
                <w:szCs w:val="20"/>
                <w:lang w:eastAsia="en-GB"/>
              </w:rPr>
            </w:pPr>
            <w:r w:rsidRPr="003347A6">
              <w:rPr>
                <w:rFonts w:ascii="Arial" w:eastAsia="Times New Roman" w:hAnsi="Arial" w:cs="Arial"/>
                <w:b/>
                <w:sz w:val="20"/>
                <w:szCs w:val="20"/>
                <w:lang w:eastAsia="en-GB"/>
              </w:rPr>
              <w:t>Chelation response and threshold</w:t>
            </w:r>
          </w:p>
        </w:tc>
      </w:tr>
      <w:tr w:rsidR="00D7489E" w:rsidRPr="003347A6" w14:paraId="2AE72C0B" w14:textId="77777777" w:rsidTr="00927378">
        <w:tc>
          <w:tcPr>
            <w:tcW w:w="2094" w:type="pct"/>
            <w:noWrap/>
          </w:tcPr>
          <w:p w14:paraId="43DA7D98"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Chelation threshold</w:t>
            </w:r>
          </w:p>
        </w:tc>
        <w:tc>
          <w:tcPr>
            <w:tcW w:w="1205" w:type="pct"/>
            <w:noWrap/>
            <w:vAlign w:val="center"/>
          </w:tcPr>
          <w:p w14:paraId="30110C88"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25 RBC units</w:t>
            </w:r>
          </w:p>
        </w:tc>
        <w:tc>
          <w:tcPr>
            <w:tcW w:w="1701" w:type="pct"/>
            <w:noWrap/>
            <w:vAlign w:val="center"/>
          </w:tcPr>
          <w:p w14:paraId="191A8EDB" w14:textId="613CAD85"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hAnsi="Arial" w:cs="Arial"/>
                <w:sz w:val="20"/>
                <w:szCs w:val="20"/>
              </w:rPr>
              <w:t>Jabbour</w:t>
            </w:r>
            <w:proofErr w:type="spellEnd"/>
            <w:r w:rsidRPr="003347A6">
              <w:rPr>
                <w:rFonts w:ascii="Arial" w:hAnsi="Arial" w:cs="Arial"/>
                <w:sz w:val="20"/>
                <w:szCs w:val="20"/>
              </w:rPr>
              <w:t xml:space="preserve"> et al. 2008 </w:t>
            </w:r>
            <w:r w:rsidR="009114DE" w:rsidRPr="003347A6">
              <w:rPr>
                <w:rFonts w:ascii="Arial" w:hAnsi="Arial" w:cs="Arial"/>
                <w:noProof/>
                <w:sz w:val="20"/>
                <w:szCs w:val="20"/>
              </w:rPr>
              <w:t>[</w:t>
            </w:r>
            <w:r w:rsidR="007745D4" w:rsidRPr="003347A6">
              <w:rPr>
                <w:rFonts w:ascii="Arial" w:hAnsi="Arial" w:cs="Arial"/>
                <w:noProof/>
                <w:sz w:val="20"/>
                <w:szCs w:val="20"/>
              </w:rPr>
              <w:t>26</w:t>
            </w:r>
            <w:r w:rsidR="009114DE" w:rsidRPr="003347A6">
              <w:rPr>
                <w:rFonts w:ascii="Arial" w:hAnsi="Arial" w:cs="Arial"/>
                <w:noProof/>
                <w:sz w:val="20"/>
                <w:szCs w:val="20"/>
              </w:rPr>
              <w:t>]</w:t>
            </w:r>
          </w:p>
        </w:tc>
      </w:tr>
      <w:tr w:rsidR="00D7489E" w:rsidRPr="003347A6" w14:paraId="41210446" w14:textId="77777777" w:rsidTr="00927378">
        <w:tc>
          <w:tcPr>
            <w:tcW w:w="2094" w:type="pct"/>
            <w:noWrap/>
          </w:tcPr>
          <w:p w14:paraId="01917C97"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 of people responding to chelation</w:t>
            </w:r>
          </w:p>
        </w:tc>
        <w:tc>
          <w:tcPr>
            <w:tcW w:w="1205" w:type="pct"/>
            <w:noWrap/>
            <w:vAlign w:val="center"/>
          </w:tcPr>
          <w:p w14:paraId="4565511F"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66</w:t>
            </w:r>
          </w:p>
        </w:tc>
        <w:tc>
          <w:tcPr>
            <w:tcW w:w="1701" w:type="pct"/>
            <w:noWrap/>
            <w:vAlign w:val="center"/>
          </w:tcPr>
          <w:p w14:paraId="5AE5E8CE" w14:textId="458ED076"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hAnsi="Arial" w:cs="Arial"/>
                <w:sz w:val="20"/>
                <w:szCs w:val="20"/>
              </w:rPr>
              <w:t>Kontoghiorghes</w:t>
            </w:r>
            <w:proofErr w:type="spellEnd"/>
            <w:r w:rsidRPr="003347A6">
              <w:rPr>
                <w:rFonts w:ascii="Arial" w:hAnsi="Arial" w:cs="Arial"/>
                <w:sz w:val="20"/>
                <w:szCs w:val="20"/>
              </w:rPr>
              <w:t xml:space="preserve"> et al. 2000 </w:t>
            </w:r>
            <w:r w:rsidR="009114DE" w:rsidRPr="003347A6">
              <w:rPr>
                <w:rFonts w:ascii="Arial" w:hAnsi="Arial" w:cs="Arial"/>
                <w:noProof/>
                <w:sz w:val="20"/>
                <w:szCs w:val="20"/>
              </w:rPr>
              <w:t>[</w:t>
            </w:r>
            <w:r w:rsidR="007745D4" w:rsidRPr="003347A6">
              <w:rPr>
                <w:rFonts w:ascii="Arial" w:hAnsi="Arial" w:cs="Arial"/>
                <w:noProof/>
                <w:sz w:val="20"/>
                <w:szCs w:val="20"/>
              </w:rPr>
              <w:t>27</w:t>
            </w:r>
            <w:r w:rsidR="009114DE" w:rsidRPr="003347A6">
              <w:rPr>
                <w:rFonts w:ascii="Arial" w:hAnsi="Arial" w:cs="Arial"/>
                <w:noProof/>
                <w:sz w:val="20"/>
                <w:szCs w:val="20"/>
              </w:rPr>
              <w:t>]</w:t>
            </w:r>
          </w:p>
        </w:tc>
      </w:tr>
      <w:tr w:rsidR="00D7489E" w:rsidRPr="003347A6" w14:paraId="75D3D8A5" w14:textId="77777777" w:rsidTr="00927378">
        <w:tc>
          <w:tcPr>
            <w:tcW w:w="2094" w:type="pct"/>
            <w:noWrap/>
          </w:tcPr>
          <w:p w14:paraId="2AADB850"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 of patients previously chelated</w:t>
            </w:r>
          </w:p>
        </w:tc>
        <w:tc>
          <w:tcPr>
            <w:tcW w:w="1205" w:type="pct"/>
            <w:noWrap/>
            <w:vAlign w:val="center"/>
          </w:tcPr>
          <w:p w14:paraId="6584A875"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8</w:t>
            </w:r>
          </w:p>
        </w:tc>
        <w:tc>
          <w:tcPr>
            <w:tcW w:w="1701" w:type="pct"/>
            <w:noWrap/>
            <w:vAlign w:val="center"/>
          </w:tcPr>
          <w:p w14:paraId="2D3F70B7"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 data</w:t>
            </w:r>
          </w:p>
        </w:tc>
      </w:tr>
      <w:tr w:rsidR="00D7489E" w:rsidRPr="003347A6" w14:paraId="225DB0B5" w14:textId="77777777" w:rsidTr="00895076">
        <w:tc>
          <w:tcPr>
            <w:tcW w:w="5000" w:type="pct"/>
            <w:gridSpan w:val="3"/>
            <w:noWrap/>
          </w:tcPr>
          <w:p w14:paraId="5B2B2CAC" w14:textId="77777777" w:rsidR="00D7489E" w:rsidRPr="003347A6" w:rsidRDefault="00D7489E" w:rsidP="00895076">
            <w:pPr>
              <w:spacing w:after="0" w:line="240" w:lineRule="auto"/>
              <w:rPr>
                <w:rFonts w:ascii="Arial" w:eastAsia="Times New Roman" w:hAnsi="Arial" w:cs="Arial"/>
                <w:b/>
                <w:sz w:val="20"/>
                <w:szCs w:val="20"/>
                <w:lang w:eastAsia="en-GB"/>
              </w:rPr>
            </w:pPr>
            <w:r w:rsidRPr="003347A6">
              <w:rPr>
                <w:rFonts w:ascii="Arial" w:eastAsia="Times New Roman" w:hAnsi="Arial" w:cs="Arial"/>
                <w:b/>
                <w:sz w:val="20"/>
                <w:szCs w:val="20"/>
                <w:lang w:eastAsia="en-GB"/>
              </w:rPr>
              <w:t>Complications and adverse event rates</w:t>
            </w:r>
          </w:p>
        </w:tc>
      </w:tr>
      <w:tr w:rsidR="00D7489E" w:rsidRPr="003347A6" w14:paraId="5F6E07B2" w14:textId="77777777" w:rsidTr="00927378">
        <w:tc>
          <w:tcPr>
            <w:tcW w:w="2094" w:type="pct"/>
            <w:noWrap/>
          </w:tcPr>
          <w:p w14:paraId="7F50CAA5"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Risk of thrombocytopenia per cycle – lenalidomide</w:t>
            </w:r>
          </w:p>
        </w:tc>
        <w:tc>
          <w:tcPr>
            <w:tcW w:w="1205" w:type="pct"/>
            <w:noWrap/>
            <w:vAlign w:val="center"/>
          </w:tcPr>
          <w:p w14:paraId="597B134D"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0.127</w:t>
            </w:r>
          </w:p>
        </w:tc>
        <w:tc>
          <w:tcPr>
            <w:tcW w:w="1701" w:type="pct"/>
            <w:noWrap/>
            <w:vAlign w:val="center"/>
          </w:tcPr>
          <w:p w14:paraId="61A05872"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 data</w:t>
            </w:r>
          </w:p>
        </w:tc>
      </w:tr>
      <w:tr w:rsidR="00D7489E" w:rsidRPr="003347A6" w14:paraId="17C5888B" w14:textId="77777777" w:rsidTr="00927378">
        <w:tc>
          <w:tcPr>
            <w:tcW w:w="2094" w:type="pct"/>
            <w:noWrap/>
          </w:tcPr>
          <w:p w14:paraId="1B2A224A"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Thrombocytopenia – % of patients treated</w:t>
            </w:r>
          </w:p>
        </w:tc>
        <w:tc>
          <w:tcPr>
            <w:tcW w:w="1205" w:type="pct"/>
            <w:noWrap/>
            <w:vAlign w:val="center"/>
          </w:tcPr>
          <w:p w14:paraId="3A723691"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0.060</w:t>
            </w:r>
          </w:p>
        </w:tc>
        <w:tc>
          <w:tcPr>
            <w:tcW w:w="1701" w:type="pct"/>
            <w:noWrap/>
            <w:vAlign w:val="center"/>
          </w:tcPr>
          <w:p w14:paraId="4AA42FAB"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 data</w:t>
            </w:r>
          </w:p>
        </w:tc>
      </w:tr>
      <w:tr w:rsidR="00D7489E" w:rsidRPr="003347A6" w14:paraId="2701BAC4" w14:textId="77777777" w:rsidTr="00927378">
        <w:tc>
          <w:tcPr>
            <w:tcW w:w="2094" w:type="pct"/>
            <w:noWrap/>
          </w:tcPr>
          <w:p w14:paraId="1013F2AC"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Risk of neutropenia per cycle – lenalidomide</w:t>
            </w:r>
          </w:p>
        </w:tc>
        <w:tc>
          <w:tcPr>
            <w:tcW w:w="1205" w:type="pct"/>
            <w:noWrap/>
            <w:vAlign w:val="center"/>
          </w:tcPr>
          <w:p w14:paraId="68517079"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0.193</w:t>
            </w:r>
          </w:p>
        </w:tc>
        <w:tc>
          <w:tcPr>
            <w:tcW w:w="1701" w:type="pct"/>
            <w:noWrap/>
            <w:vAlign w:val="center"/>
          </w:tcPr>
          <w:p w14:paraId="1754B072"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 data</w:t>
            </w:r>
          </w:p>
        </w:tc>
      </w:tr>
      <w:tr w:rsidR="00D7489E" w:rsidRPr="003347A6" w14:paraId="3E550510" w14:textId="77777777" w:rsidTr="00927378">
        <w:tc>
          <w:tcPr>
            <w:tcW w:w="2094" w:type="pct"/>
            <w:noWrap/>
          </w:tcPr>
          <w:p w14:paraId="0866B145"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Neutropenia – % of patients treated</w:t>
            </w:r>
          </w:p>
        </w:tc>
        <w:tc>
          <w:tcPr>
            <w:tcW w:w="1205" w:type="pct"/>
            <w:noWrap/>
            <w:vAlign w:val="center"/>
          </w:tcPr>
          <w:p w14:paraId="66AB6327"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0.277</w:t>
            </w:r>
          </w:p>
        </w:tc>
        <w:tc>
          <w:tcPr>
            <w:tcW w:w="1701" w:type="pct"/>
            <w:noWrap/>
            <w:vAlign w:val="center"/>
          </w:tcPr>
          <w:p w14:paraId="5807CD1F"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 data</w:t>
            </w:r>
          </w:p>
        </w:tc>
      </w:tr>
      <w:tr w:rsidR="00D7489E" w:rsidRPr="003347A6" w14:paraId="2E76DCC3" w14:textId="77777777" w:rsidTr="00927378">
        <w:tc>
          <w:tcPr>
            <w:tcW w:w="2094" w:type="pct"/>
            <w:noWrap/>
          </w:tcPr>
          <w:p w14:paraId="5EB018BE"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Risk per cycle of diabetes during iron chelation</w:t>
            </w:r>
          </w:p>
        </w:tc>
        <w:tc>
          <w:tcPr>
            <w:tcW w:w="1205" w:type="pct"/>
            <w:noWrap/>
            <w:vAlign w:val="center"/>
          </w:tcPr>
          <w:p w14:paraId="24B21A60"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0.002</w:t>
            </w:r>
          </w:p>
        </w:tc>
        <w:tc>
          <w:tcPr>
            <w:tcW w:w="1701" w:type="pct"/>
            <w:noWrap/>
            <w:vAlign w:val="center"/>
          </w:tcPr>
          <w:p w14:paraId="5FAA972F" w14:textId="6250F3BB"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hAnsi="Arial" w:cs="Arial"/>
                <w:sz w:val="20"/>
                <w:szCs w:val="20"/>
              </w:rPr>
              <w:t>Fryback</w:t>
            </w:r>
            <w:proofErr w:type="spellEnd"/>
            <w:r w:rsidRPr="003347A6">
              <w:rPr>
                <w:rFonts w:ascii="Arial" w:hAnsi="Arial" w:cs="Arial"/>
                <w:sz w:val="20"/>
                <w:szCs w:val="20"/>
              </w:rPr>
              <w:t xml:space="preserve"> et al. 1993 </w:t>
            </w:r>
            <w:r w:rsidR="009114DE" w:rsidRPr="003347A6">
              <w:rPr>
                <w:rFonts w:ascii="Arial" w:hAnsi="Arial" w:cs="Arial"/>
                <w:noProof/>
                <w:sz w:val="20"/>
                <w:szCs w:val="20"/>
              </w:rPr>
              <w:t>[</w:t>
            </w:r>
            <w:r w:rsidR="007745D4" w:rsidRPr="003347A6">
              <w:rPr>
                <w:rFonts w:ascii="Arial" w:hAnsi="Arial" w:cs="Arial"/>
                <w:noProof/>
                <w:sz w:val="20"/>
                <w:szCs w:val="20"/>
              </w:rPr>
              <w:t>24</w:t>
            </w:r>
            <w:r w:rsidR="009114DE" w:rsidRPr="003347A6">
              <w:rPr>
                <w:rFonts w:ascii="Arial" w:hAnsi="Arial" w:cs="Arial"/>
                <w:noProof/>
                <w:sz w:val="20"/>
                <w:szCs w:val="20"/>
              </w:rPr>
              <w:t>]</w:t>
            </w:r>
          </w:p>
        </w:tc>
      </w:tr>
      <w:tr w:rsidR="00D7489E" w:rsidRPr="003347A6" w14:paraId="30A207CD" w14:textId="77777777" w:rsidTr="00927378">
        <w:tc>
          <w:tcPr>
            <w:tcW w:w="2094" w:type="pct"/>
            <w:noWrap/>
          </w:tcPr>
          <w:p w14:paraId="20FFF3E4"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Risk per cycle of hepatic complications during iron chelation</w:t>
            </w:r>
          </w:p>
        </w:tc>
        <w:tc>
          <w:tcPr>
            <w:tcW w:w="1205" w:type="pct"/>
            <w:noWrap/>
            <w:vAlign w:val="center"/>
          </w:tcPr>
          <w:p w14:paraId="163C3D82"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0.007</w:t>
            </w:r>
          </w:p>
        </w:tc>
        <w:tc>
          <w:tcPr>
            <w:tcW w:w="1701" w:type="pct"/>
            <w:noWrap/>
            <w:vAlign w:val="center"/>
          </w:tcPr>
          <w:p w14:paraId="2010693D" w14:textId="348AD3A5"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hAnsi="Arial" w:cs="Arial"/>
                <w:sz w:val="20"/>
                <w:szCs w:val="20"/>
              </w:rPr>
              <w:t>Fryback</w:t>
            </w:r>
            <w:proofErr w:type="spellEnd"/>
            <w:r w:rsidRPr="003347A6">
              <w:rPr>
                <w:rFonts w:ascii="Arial" w:hAnsi="Arial" w:cs="Arial"/>
                <w:sz w:val="20"/>
                <w:szCs w:val="20"/>
              </w:rPr>
              <w:t xml:space="preserve"> et al. 1993 </w:t>
            </w:r>
            <w:r w:rsidR="009114DE" w:rsidRPr="003347A6">
              <w:rPr>
                <w:rFonts w:ascii="Arial" w:hAnsi="Arial" w:cs="Arial"/>
                <w:noProof/>
                <w:sz w:val="20"/>
                <w:szCs w:val="20"/>
              </w:rPr>
              <w:t>[</w:t>
            </w:r>
            <w:r w:rsidR="007745D4" w:rsidRPr="003347A6">
              <w:rPr>
                <w:rFonts w:ascii="Arial" w:hAnsi="Arial" w:cs="Arial"/>
                <w:noProof/>
                <w:sz w:val="20"/>
                <w:szCs w:val="20"/>
              </w:rPr>
              <w:t>24</w:t>
            </w:r>
            <w:r w:rsidR="009114DE" w:rsidRPr="003347A6">
              <w:rPr>
                <w:rFonts w:ascii="Arial" w:hAnsi="Arial" w:cs="Arial"/>
                <w:noProof/>
                <w:sz w:val="20"/>
                <w:szCs w:val="20"/>
              </w:rPr>
              <w:t>]</w:t>
            </w:r>
          </w:p>
        </w:tc>
      </w:tr>
      <w:tr w:rsidR="00D7489E" w:rsidRPr="003347A6" w14:paraId="0AB67ED5" w14:textId="77777777" w:rsidTr="00927378">
        <w:tc>
          <w:tcPr>
            <w:tcW w:w="2094" w:type="pct"/>
            <w:noWrap/>
          </w:tcPr>
          <w:p w14:paraId="5312179E"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Risk per cycle of cardiac disease when TD</w:t>
            </w:r>
          </w:p>
        </w:tc>
        <w:tc>
          <w:tcPr>
            <w:tcW w:w="1205" w:type="pct"/>
            <w:noWrap/>
            <w:vAlign w:val="center"/>
          </w:tcPr>
          <w:p w14:paraId="7820E18F" w14:textId="2468A15B" w:rsidR="00D7489E" w:rsidRPr="003347A6" w:rsidRDefault="00D7489E" w:rsidP="00927378">
            <w:pPr>
              <w:spacing w:after="0" w:line="240" w:lineRule="auto"/>
              <w:jc w:val="center"/>
              <w:rPr>
                <w:rFonts w:ascii="Arial" w:eastAsia="Times New Roman" w:hAnsi="Arial" w:cs="Arial"/>
                <w:sz w:val="20"/>
                <w:szCs w:val="20"/>
                <w:lang w:eastAsia="en-GB"/>
              </w:rPr>
            </w:pPr>
            <w:proofErr w:type="spellStart"/>
            <w:r w:rsidRPr="003347A6">
              <w:rPr>
                <w:rFonts w:ascii="Arial" w:eastAsia="Times New Roman" w:hAnsi="Arial" w:cs="Arial"/>
                <w:sz w:val="20"/>
                <w:szCs w:val="20"/>
                <w:lang w:eastAsia="en-GB"/>
              </w:rPr>
              <w:t>Gompertz</w:t>
            </w:r>
            <w:proofErr w:type="spellEnd"/>
            <w:r w:rsidRPr="003347A6">
              <w:rPr>
                <w:rFonts w:ascii="Arial" w:eastAsia="Times New Roman" w:hAnsi="Arial" w:cs="Arial"/>
                <w:sz w:val="20"/>
                <w:szCs w:val="20"/>
                <w:lang w:eastAsia="en-GB"/>
              </w:rPr>
              <w:t xml:space="preserve">: </w:t>
            </w:r>
            <w:r w:rsidR="00826C80" w:rsidRPr="003347A6">
              <w:rPr>
                <w:rFonts w:ascii="Arial" w:eastAsia="Times New Roman" w:hAnsi="Arial" w:cs="Arial"/>
                <w:sz w:val="20"/>
                <w:szCs w:val="20"/>
                <w:lang w:eastAsia="en-GB"/>
              </w:rPr>
              <w:t>b</w:t>
            </w:r>
            <w:r w:rsidRPr="003347A6">
              <w:rPr>
                <w:rFonts w:ascii="Arial" w:eastAsia="Times New Roman" w:hAnsi="Arial" w:cs="Arial"/>
                <w:sz w:val="20"/>
                <w:szCs w:val="20"/>
                <w:lang w:eastAsia="en-GB"/>
              </w:rPr>
              <w:t>eta 4.935</w:t>
            </w:r>
            <w:r w:rsidR="00826C80" w:rsidRPr="003347A6">
              <w:rPr>
                <w:rFonts w:ascii="Arial" w:eastAsia="Times New Roman" w:hAnsi="Arial" w:cs="Arial"/>
                <w:sz w:val="20"/>
                <w:szCs w:val="20"/>
                <w:lang w:eastAsia="en-GB"/>
              </w:rPr>
              <w:t>, g</w:t>
            </w:r>
            <w:r w:rsidRPr="003347A6">
              <w:rPr>
                <w:rFonts w:ascii="Arial" w:eastAsia="Times New Roman" w:hAnsi="Arial" w:cs="Arial"/>
                <w:sz w:val="20"/>
                <w:szCs w:val="20"/>
                <w:lang w:eastAsia="en-GB"/>
              </w:rPr>
              <w:t>amma 0.006</w:t>
            </w:r>
          </w:p>
        </w:tc>
        <w:tc>
          <w:tcPr>
            <w:tcW w:w="1701" w:type="pct"/>
            <w:noWrap/>
            <w:vAlign w:val="center"/>
          </w:tcPr>
          <w:p w14:paraId="207A3100" w14:textId="044F89F9"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hAnsi="Arial" w:cs="Arial"/>
                <w:sz w:val="20"/>
                <w:szCs w:val="20"/>
              </w:rPr>
              <w:t xml:space="preserve">Wong et al. 1995 </w:t>
            </w:r>
            <w:r w:rsidR="009114DE" w:rsidRPr="003347A6">
              <w:rPr>
                <w:rFonts w:ascii="Arial" w:hAnsi="Arial" w:cs="Arial"/>
                <w:noProof/>
                <w:sz w:val="20"/>
                <w:szCs w:val="20"/>
              </w:rPr>
              <w:t>[</w:t>
            </w:r>
            <w:r w:rsidR="007745D4" w:rsidRPr="003347A6">
              <w:rPr>
                <w:rFonts w:ascii="Arial" w:hAnsi="Arial" w:cs="Arial"/>
                <w:noProof/>
                <w:sz w:val="20"/>
                <w:szCs w:val="20"/>
              </w:rPr>
              <w:t>25</w:t>
            </w:r>
            <w:r w:rsidR="009114DE" w:rsidRPr="003347A6">
              <w:rPr>
                <w:rFonts w:ascii="Arial" w:hAnsi="Arial" w:cs="Arial"/>
                <w:noProof/>
                <w:sz w:val="20"/>
                <w:szCs w:val="20"/>
              </w:rPr>
              <w:t>]</w:t>
            </w:r>
          </w:p>
        </w:tc>
      </w:tr>
      <w:tr w:rsidR="00D7489E" w:rsidRPr="003347A6" w14:paraId="3EF26512" w14:textId="77777777" w:rsidTr="00895076">
        <w:tc>
          <w:tcPr>
            <w:tcW w:w="5000" w:type="pct"/>
            <w:gridSpan w:val="3"/>
            <w:noWrap/>
          </w:tcPr>
          <w:p w14:paraId="162C5CD7"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b/>
                <w:sz w:val="20"/>
                <w:szCs w:val="20"/>
                <w:lang w:eastAsia="en-GB"/>
              </w:rPr>
              <w:t>Transfusion rates</w:t>
            </w:r>
          </w:p>
        </w:tc>
      </w:tr>
      <w:tr w:rsidR="00D7489E" w:rsidRPr="003347A6" w14:paraId="63A510B5" w14:textId="77777777" w:rsidTr="00927378">
        <w:tc>
          <w:tcPr>
            <w:tcW w:w="2094" w:type="pct"/>
            <w:noWrap/>
          </w:tcPr>
          <w:p w14:paraId="741C2985"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Average number of RBC transfusions per month cycle</w:t>
            </w:r>
          </w:p>
        </w:tc>
        <w:tc>
          <w:tcPr>
            <w:tcW w:w="1205" w:type="pct"/>
            <w:noWrap/>
            <w:vAlign w:val="center"/>
          </w:tcPr>
          <w:p w14:paraId="7771C62E"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4.574</w:t>
            </w:r>
          </w:p>
        </w:tc>
        <w:tc>
          <w:tcPr>
            <w:tcW w:w="1701" w:type="pct"/>
            <w:noWrap/>
            <w:vAlign w:val="center"/>
          </w:tcPr>
          <w:p w14:paraId="62CCBE15"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 data</w:t>
            </w:r>
          </w:p>
        </w:tc>
      </w:tr>
      <w:tr w:rsidR="00D7489E" w:rsidRPr="003347A6" w14:paraId="6C7F3F2A" w14:textId="77777777" w:rsidTr="00927378">
        <w:tc>
          <w:tcPr>
            <w:tcW w:w="2094" w:type="pct"/>
            <w:noWrap/>
          </w:tcPr>
          <w:p w14:paraId="4E7ECADE" w14:textId="77777777" w:rsidR="00D7489E" w:rsidRPr="003347A6" w:rsidRDefault="00D7489E" w:rsidP="00895076">
            <w:pPr>
              <w:spacing w:after="0" w:line="240" w:lineRule="auto"/>
              <w:rPr>
                <w:rFonts w:ascii="Arial" w:eastAsia="Times New Roman" w:hAnsi="Arial" w:cs="Arial"/>
                <w:sz w:val="20"/>
                <w:szCs w:val="20"/>
                <w:lang w:val="fr-FR" w:eastAsia="en-GB"/>
              </w:rPr>
            </w:pPr>
            <w:proofErr w:type="spellStart"/>
            <w:r w:rsidRPr="003347A6">
              <w:rPr>
                <w:rFonts w:ascii="Arial" w:eastAsia="Times New Roman" w:hAnsi="Arial" w:cs="Arial"/>
                <w:sz w:val="20"/>
                <w:szCs w:val="20"/>
                <w:lang w:val="fr-FR" w:eastAsia="en-GB"/>
              </w:rPr>
              <w:t>Average</w:t>
            </w:r>
            <w:proofErr w:type="spellEnd"/>
            <w:r w:rsidRPr="003347A6">
              <w:rPr>
                <w:rFonts w:ascii="Arial" w:eastAsia="Times New Roman" w:hAnsi="Arial" w:cs="Arial"/>
                <w:sz w:val="20"/>
                <w:szCs w:val="20"/>
                <w:lang w:val="fr-FR" w:eastAsia="en-GB"/>
              </w:rPr>
              <w:t xml:space="preserve"> RBC </w:t>
            </w:r>
            <w:proofErr w:type="spellStart"/>
            <w:r w:rsidRPr="003347A6">
              <w:rPr>
                <w:rFonts w:ascii="Arial" w:eastAsia="Times New Roman" w:hAnsi="Arial" w:cs="Arial"/>
                <w:sz w:val="20"/>
                <w:szCs w:val="20"/>
                <w:lang w:val="fr-FR" w:eastAsia="en-GB"/>
              </w:rPr>
              <w:t>units</w:t>
            </w:r>
            <w:proofErr w:type="spellEnd"/>
            <w:r w:rsidRPr="003347A6">
              <w:rPr>
                <w:rFonts w:ascii="Arial" w:eastAsia="Times New Roman" w:hAnsi="Arial" w:cs="Arial"/>
                <w:sz w:val="20"/>
                <w:szCs w:val="20"/>
                <w:lang w:val="fr-FR" w:eastAsia="en-GB"/>
              </w:rPr>
              <w:t xml:space="preserve"> per transfusion</w:t>
            </w:r>
          </w:p>
        </w:tc>
        <w:tc>
          <w:tcPr>
            <w:tcW w:w="1205" w:type="pct"/>
            <w:noWrap/>
            <w:vAlign w:val="center"/>
          </w:tcPr>
          <w:p w14:paraId="71397BB0"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2.426</w:t>
            </w:r>
          </w:p>
        </w:tc>
        <w:tc>
          <w:tcPr>
            <w:tcW w:w="1701" w:type="pct"/>
            <w:noWrap/>
            <w:vAlign w:val="center"/>
          </w:tcPr>
          <w:p w14:paraId="454B155C"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 data</w:t>
            </w:r>
          </w:p>
        </w:tc>
      </w:tr>
      <w:tr w:rsidR="00D7489E" w:rsidRPr="003347A6" w14:paraId="74659D3C" w14:textId="77777777" w:rsidTr="00927378">
        <w:tc>
          <w:tcPr>
            <w:tcW w:w="2094" w:type="pct"/>
            <w:noWrap/>
          </w:tcPr>
          <w:p w14:paraId="68A718CE"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Average number of platelet transfusions per month cycle</w:t>
            </w:r>
          </w:p>
        </w:tc>
        <w:tc>
          <w:tcPr>
            <w:tcW w:w="1205" w:type="pct"/>
            <w:noWrap/>
            <w:vAlign w:val="center"/>
          </w:tcPr>
          <w:p w14:paraId="6D6F7C10"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0.060</w:t>
            </w:r>
          </w:p>
        </w:tc>
        <w:tc>
          <w:tcPr>
            <w:tcW w:w="1701" w:type="pct"/>
            <w:noWrap/>
            <w:vAlign w:val="center"/>
          </w:tcPr>
          <w:p w14:paraId="68F75ADC"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 data</w:t>
            </w:r>
          </w:p>
        </w:tc>
      </w:tr>
      <w:tr w:rsidR="00D7489E" w:rsidRPr="003347A6" w14:paraId="4B461302" w14:textId="77777777" w:rsidTr="00927378">
        <w:tc>
          <w:tcPr>
            <w:tcW w:w="2094" w:type="pct"/>
            <w:noWrap/>
          </w:tcPr>
          <w:p w14:paraId="794DF58A" w14:textId="77777777" w:rsidR="00D7489E" w:rsidRPr="003347A6" w:rsidRDefault="00D7489E" w:rsidP="00895076">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Average platelet units per transfusion</w:t>
            </w:r>
          </w:p>
        </w:tc>
        <w:tc>
          <w:tcPr>
            <w:tcW w:w="1205" w:type="pct"/>
            <w:noWrap/>
            <w:vAlign w:val="center"/>
          </w:tcPr>
          <w:p w14:paraId="3ED19AF4"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3.000</w:t>
            </w:r>
          </w:p>
        </w:tc>
        <w:tc>
          <w:tcPr>
            <w:tcW w:w="1701" w:type="pct"/>
            <w:noWrap/>
            <w:vAlign w:val="center"/>
          </w:tcPr>
          <w:p w14:paraId="0A326B2B" w14:textId="77777777" w:rsidR="00D7489E" w:rsidRPr="003347A6" w:rsidRDefault="00D7489E"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MDS-004 trial data</w:t>
            </w:r>
          </w:p>
        </w:tc>
      </w:tr>
    </w:tbl>
    <w:p w14:paraId="6B565786" w14:textId="2F590769" w:rsidR="00D7489E" w:rsidRPr="003347A6" w:rsidRDefault="00D7489E" w:rsidP="00D7489E">
      <w:pPr>
        <w:rPr>
          <w:rFonts w:ascii="Arial" w:hAnsi="Arial" w:cs="Arial"/>
          <w:sz w:val="18"/>
          <w:szCs w:val="18"/>
        </w:rPr>
      </w:pPr>
      <w:r w:rsidRPr="003347A6">
        <w:rPr>
          <w:rFonts w:ascii="Arial" w:hAnsi="Arial" w:cs="Arial"/>
          <w:i/>
          <w:sz w:val="18"/>
          <w:szCs w:val="18"/>
        </w:rPr>
        <w:t>AML</w:t>
      </w:r>
      <w:r w:rsidRPr="003347A6">
        <w:rPr>
          <w:rFonts w:ascii="Arial" w:hAnsi="Arial" w:cs="Arial"/>
          <w:sz w:val="18"/>
          <w:szCs w:val="18"/>
        </w:rPr>
        <w:t xml:space="preserve"> acute myeloid leukaemia</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BNF</w:t>
      </w:r>
      <w:r w:rsidRPr="003347A6">
        <w:rPr>
          <w:rFonts w:ascii="Arial" w:hAnsi="Arial" w:cs="Arial"/>
          <w:sz w:val="18"/>
          <w:szCs w:val="18"/>
        </w:rPr>
        <w:t xml:space="preserve"> British National Formulary</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DFO</w:t>
      </w:r>
      <w:r w:rsidRPr="003347A6">
        <w:rPr>
          <w:rFonts w:ascii="Arial" w:hAnsi="Arial" w:cs="Arial"/>
          <w:sz w:val="18"/>
          <w:szCs w:val="18"/>
        </w:rPr>
        <w:t xml:space="preserve"> </w:t>
      </w:r>
      <w:proofErr w:type="spellStart"/>
      <w:r w:rsidRPr="003347A6">
        <w:rPr>
          <w:rFonts w:ascii="Arial" w:hAnsi="Arial" w:cs="Arial"/>
          <w:sz w:val="18"/>
          <w:szCs w:val="18"/>
        </w:rPr>
        <w:t>desferrioxamine</w:t>
      </w:r>
      <w:proofErr w:type="spellEnd"/>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sz w:val="18"/>
          <w:szCs w:val="18"/>
        </w:rPr>
        <w:br/>
      </w:r>
      <w:r w:rsidRPr="003347A6">
        <w:rPr>
          <w:rFonts w:ascii="Arial" w:hAnsi="Arial" w:cs="Arial"/>
          <w:i/>
          <w:sz w:val="18"/>
          <w:szCs w:val="18"/>
        </w:rPr>
        <w:t>ESA</w:t>
      </w:r>
      <w:r w:rsidRPr="003347A6">
        <w:rPr>
          <w:rFonts w:ascii="Arial" w:hAnsi="Arial" w:cs="Arial"/>
          <w:sz w:val="18"/>
          <w:szCs w:val="18"/>
        </w:rPr>
        <w:t xml:space="preserve"> erythropoiesis-stimulating agent</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G-CSF</w:t>
      </w:r>
      <w:r w:rsidRPr="003347A6">
        <w:rPr>
          <w:rFonts w:ascii="Arial" w:hAnsi="Arial" w:cs="Arial"/>
          <w:sz w:val="18"/>
          <w:szCs w:val="18"/>
        </w:rPr>
        <w:t xml:space="preserve"> granulocyte colony-stimulating factor</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MIMS</w:t>
      </w:r>
      <w:r w:rsidRPr="003347A6">
        <w:rPr>
          <w:rFonts w:ascii="Arial" w:hAnsi="Arial" w:cs="Arial"/>
          <w:sz w:val="18"/>
          <w:szCs w:val="18"/>
        </w:rPr>
        <w:t xml:space="preserve"> Monthly Index of Medical Specialities</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NHS</w:t>
      </w:r>
      <w:r w:rsidRPr="003347A6">
        <w:rPr>
          <w:rFonts w:ascii="Arial" w:hAnsi="Arial" w:cs="Arial"/>
          <w:sz w:val="18"/>
          <w:szCs w:val="18"/>
        </w:rPr>
        <w:t xml:space="preserve"> National Health Service</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PSSRU</w:t>
      </w:r>
      <w:r w:rsidRPr="003347A6">
        <w:rPr>
          <w:rFonts w:ascii="Arial" w:hAnsi="Arial" w:cs="Arial"/>
          <w:sz w:val="18"/>
          <w:szCs w:val="18"/>
        </w:rPr>
        <w:t xml:space="preserve"> Personal Social Services Research Unit</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sz w:val="18"/>
          <w:szCs w:val="18"/>
        </w:rPr>
        <w:br/>
      </w:r>
      <w:r w:rsidRPr="003347A6">
        <w:rPr>
          <w:rFonts w:ascii="Arial" w:hAnsi="Arial" w:cs="Arial"/>
          <w:i/>
          <w:sz w:val="18"/>
          <w:szCs w:val="18"/>
        </w:rPr>
        <w:lastRenderedPageBreak/>
        <w:t>RBC</w:t>
      </w:r>
      <w:r w:rsidRPr="003347A6">
        <w:rPr>
          <w:rFonts w:ascii="Arial" w:hAnsi="Arial" w:cs="Arial"/>
          <w:sz w:val="18"/>
          <w:szCs w:val="18"/>
        </w:rPr>
        <w:t xml:space="preserve"> red blood cell</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SPC</w:t>
      </w:r>
      <w:r w:rsidRPr="003347A6">
        <w:rPr>
          <w:rFonts w:ascii="Arial" w:hAnsi="Arial" w:cs="Arial"/>
          <w:sz w:val="18"/>
          <w:szCs w:val="18"/>
        </w:rPr>
        <w:t xml:space="preserve"> summary of product characteristics</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STA</w:t>
      </w:r>
      <w:r w:rsidRPr="003347A6">
        <w:rPr>
          <w:rFonts w:ascii="Arial" w:hAnsi="Arial" w:cs="Arial"/>
          <w:sz w:val="18"/>
          <w:szCs w:val="18"/>
        </w:rPr>
        <w:t xml:space="preserve"> single technology assessment</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sz w:val="18"/>
          <w:szCs w:val="18"/>
        </w:rPr>
        <w:br/>
      </w:r>
      <w:r w:rsidRPr="003347A6">
        <w:rPr>
          <w:rFonts w:ascii="Arial" w:hAnsi="Arial" w:cs="Arial"/>
          <w:i/>
          <w:sz w:val="18"/>
          <w:szCs w:val="18"/>
        </w:rPr>
        <w:t>TI</w:t>
      </w:r>
      <w:r w:rsidRPr="003347A6">
        <w:rPr>
          <w:rFonts w:ascii="Arial" w:hAnsi="Arial" w:cs="Arial"/>
          <w:sz w:val="18"/>
          <w:szCs w:val="18"/>
        </w:rPr>
        <w:t xml:space="preserve"> transfusion independent</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TD</w:t>
      </w:r>
      <w:r w:rsidRPr="003347A6">
        <w:rPr>
          <w:rFonts w:ascii="Arial" w:hAnsi="Arial" w:cs="Arial"/>
          <w:sz w:val="18"/>
          <w:szCs w:val="18"/>
        </w:rPr>
        <w:t xml:space="preserve"> transfusion dependent</w:t>
      </w:r>
    </w:p>
    <w:p w14:paraId="0A720C26" w14:textId="7F0411D2" w:rsidR="00B77056" w:rsidRPr="003347A6" w:rsidRDefault="00B77056">
      <w:pPr>
        <w:spacing w:before="0" w:after="200" w:line="276" w:lineRule="auto"/>
      </w:pPr>
      <w:r w:rsidRPr="003347A6">
        <w:br w:type="page"/>
      </w:r>
    </w:p>
    <w:p w14:paraId="58A5BEB6" w14:textId="1E15AD2F" w:rsidR="00801BC7" w:rsidRPr="003347A6" w:rsidRDefault="009114DE" w:rsidP="009114DE">
      <w:pPr>
        <w:pStyle w:val="Caption"/>
      </w:pPr>
      <w:bookmarkStart w:id="4" w:name="_Ref502930054"/>
      <w:bookmarkEnd w:id="3"/>
      <w:r w:rsidRPr="003347A6">
        <w:lastRenderedPageBreak/>
        <w:t xml:space="preserve">Table </w:t>
      </w:r>
      <w:r w:rsidR="00EB2052" w:rsidRPr="003347A6">
        <w:t>S</w:t>
      </w:r>
      <w:r w:rsidR="00804EB5" w:rsidRPr="003347A6">
        <w:rPr>
          <w:noProof/>
        </w:rPr>
        <w:t>2</w:t>
      </w:r>
      <w:bookmarkEnd w:id="4"/>
      <w:r w:rsidRPr="003347A6">
        <w:t xml:space="preserve"> </w:t>
      </w:r>
      <w:r w:rsidRPr="003347A6">
        <w:rPr>
          <w:b w:val="0"/>
        </w:rPr>
        <w:t>Scenario analysis</w:t>
      </w:r>
    </w:p>
    <w:tbl>
      <w:tblPr>
        <w:tblStyle w:val="TableGrid"/>
        <w:tblW w:w="5000" w:type="pct"/>
        <w:tblLayout w:type="fixed"/>
        <w:tblCellMar>
          <w:left w:w="57" w:type="dxa"/>
          <w:right w:w="57" w:type="dxa"/>
        </w:tblCellMar>
        <w:tblLook w:val="04A0" w:firstRow="1" w:lastRow="0" w:firstColumn="1" w:lastColumn="0" w:noHBand="0" w:noVBand="1"/>
      </w:tblPr>
      <w:tblGrid>
        <w:gridCol w:w="2336"/>
        <w:gridCol w:w="1260"/>
        <w:gridCol w:w="719"/>
        <w:gridCol w:w="903"/>
        <w:gridCol w:w="1082"/>
        <w:gridCol w:w="728"/>
        <w:gridCol w:w="911"/>
        <w:gridCol w:w="1077"/>
      </w:tblGrid>
      <w:tr w:rsidR="00310275" w:rsidRPr="003347A6" w14:paraId="6FFC572C" w14:textId="77777777" w:rsidTr="00927378">
        <w:trPr>
          <w:trHeight w:val="360"/>
          <w:tblHeader/>
        </w:trPr>
        <w:tc>
          <w:tcPr>
            <w:tcW w:w="1295" w:type="pct"/>
            <w:noWrap/>
            <w:hideMark/>
          </w:tcPr>
          <w:p w14:paraId="41DF0A9F" w14:textId="77777777" w:rsidR="00801BC7" w:rsidRPr="003347A6" w:rsidRDefault="00801BC7" w:rsidP="00FF4E44">
            <w:pPr>
              <w:spacing w:after="0" w:line="240" w:lineRule="auto"/>
              <w:jc w:val="center"/>
              <w:rPr>
                <w:rFonts w:ascii="Arial" w:eastAsia="Times New Roman" w:hAnsi="Arial" w:cs="Arial"/>
                <w:sz w:val="20"/>
                <w:szCs w:val="20"/>
                <w:lang w:eastAsia="en-GB"/>
              </w:rPr>
            </w:pPr>
          </w:p>
        </w:tc>
        <w:tc>
          <w:tcPr>
            <w:tcW w:w="1599" w:type="pct"/>
            <w:gridSpan w:val="3"/>
            <w:noWrap/>
            <w:vAlign w:val="center"/>
            <w:hideMark/>
          </w:tcPr>
          <w:p w14:paraId="24A74EB4" w14:textId="77777777" w:rsidR="00801BC7" w:rsidRPr="003347A6" w:rsidRDefault="00801BC7" w:rsidP="00D75B23">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Total</w:t>
            </w:r>
          </w:p>
        </w:tc>
        <w:tc>
          <w:tcPr>
            <w:tcW w:w="1509" w:type="pct"/>
            <w:gridSpan w:val="3"/>
            <w:noWrap/>
            <w:vAlign w:val="center"/>
            <w:hideMark/>
          </w:tcPr>
          <w:p w14:paraId="41831A2B" w14:textId="77777777" w:rsidR="00801BC7" w:rsidRPr="003347A6" w:rsidRDefault="00801BC7" w:rsidP="00D75B23">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Incremental</w:t>
            </w:r>
          </w:p>
        </w:tc>
        <w:tc>
          <w:tcPr>
            <w:tcW w:w="597" w:type="pct"/>
            <w:vMerge w:val="restart"/>
            <w:noWrap/>
            <w:vAlign w:val="center"/>
            <w:hideMark/>
          </w:tcPr>
          <w:p w14:paraId="5D8FC819" w14:textId="77777777" w:rsidR="00801BC7" w:rsidRPr="003347A6" w:rsidRDefault="00801BC7" w:rsidP="00D75B23">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ICER</w:t>
            </w:r>
          </w:p>
        </w:tc>
      </w:tr>
      <w:tr w:rsidR="00310275" w:rsidRPr="003347A6" w14:paraId="26776B37" w14:textId="77777777" w:rsidTr="00927378">
        <w:trPr>
          <w:trHeight w:val="77"/>
          <w:tblHeader/>
        </w:trPr>
        <w:tc>
          <w:tcPr>
            <w:tcW w:w="1295" w:type="pct"/>
            <w:noWrap/>
            <w:hideMark/>
          </w:tcPr>
          <w:p w14:paraId="3EA928FF" w14:textId="77777777" w:rsidR="00801BC7" w:rsidRPr="003347A6" w:rsidRDefault="00801BC7" w:rsidP="00FF4E44">
            <w:pPr>
              <w:spacing w:after="0" w:line="240" w:lineRule="auto"/>
              <w:jc w:val="center"/>
              <w:rPr>
                <w:rFonts w:ascii="Arial" w:eastAsia="Times New Roman" w:hAnsi="Arial" w:cs="Arial"/>
                <w:b/>
                <w:sz w:val="20"/>
                <w:szCs w:val="20"/>
                <w:lang w:eastAsia="en-GB"/>
              </w:rPr>
            </w:pPr>
          </w:p>
        </w:tc>
        <w:tc>
          <w:tcPr>
            <w:tcW w:w="699" w:type="pct"/>
            <w:noWrap/>
            <w:hideMark/>
          </w:tcPr>
          <w:p w14:paraId="7A969BC5" w14:textId="77777777" w:rsidR="00801BC7" w:rsidRPr="003347A6" w:rsidRDefault="00801BC7" w:rsidP="00FF4E44">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Costs</w:t>
            </w:r>
          </w:p>
        </w:tc>
        <w:tc>
          <w:tcPr>
            <w:tcW w:w="399" w:type="pct"/>
            <w:noWrap/>
            <w:vAlign w:val="center"/>
            <w:hideMark/>
          </w:tcPr>
          <w:p w14:paraId="7EE2CC4C" w14:textId="77777777" w:rsidR="00801BC7" w:rsidRPr="003347A6" w:rsidRDefault="00801BC7" w:rsidP="00D75B23">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LYG</w:t>
            </w:r>
          </w:p>
        </w:tc>
        <w:tc>
          <w:tcPr>
            <w:tcW w:w="501" w:type="pct"/>
            <w:noWrap/>
            <w:hideMark/>
          </w:tcPr>
          <w:p w14:paraId="5DC48A00" w14:textId="77777777" w:rsidR="00801BC7" w:rsidRPr="003347A6" w:rsidRDefault="00801BC7" w:rsidP="00FF4E44">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QALYs</w:t>
            </w:r>
          </w:p>
        </w:tc>
        <w:tc>
          <w:tcPr>
            <w:tcW w:w="600" w:type="pct"/>
            <w:noWrap/>
            <w:vAlign w:val="center"/>
            <w:hideMark/>
          </w:tcPr>
          <w:p w14:paraId="57EF0EB8" w14:textId="77777777" w:rsidR="00801BC7" w:rsidRPr="003347A6" w:rsidRDefault="00801BC7" w:rsidP="00D75B23">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Costs</w:t>
            </w:r>
          </w:p>
        </w:tc>
        <w:tc>
          <w:tcPr>
            <w:tcW w:w="404" w:type="pct"/>
            <w:noWrap/>
            <w:vAlign w:val="center"/>
            <w:hideMark/>
          </w:tcPr>
          <w:p w14:paraId="09149831" w14:textId="77777777" w:rsidR="00801BC7" w:rsidRPr="003347A6" w:rsidRDefault="00801BC7" w:rsidP="00D75B23">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LYG</w:t>
            </w:r>
          </w:p>
        </w:tc>
        <w:tc>
          <w:tcPr>
            <w:tcW w:w="505" w:type="pct"/>
            <w:noWrap/>
            <w:vAlign w:val="center"/>
            <w:hideMark/>
          </w:tcPr>
          <w:p w14:paraId="761F4020" w14:textId="77777777" w:rsidR="00801BC7" w:rsidRPr="003347A6" w:rsidRDefault="00801BC7">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QALYs</w:t>
            </w:r>
          </w:p>
        </w:tc>
        <w:tc>
          <w:tcPr>
            <w:tcW w:w="597" w:type="pct"/>
            <w:vMerge/>
            <w:hideMark/>
          </w:tcPr>
          <w:p w14:paraId="27EC11E6" w14:textId="77777777" w:rsidR="00801BC7" w:rsidRPr="003347A6" w:rsidRDefault="00801BC7" w:rsidP="00FF4E44">
            <w:pPr>
              <w:spacing w:after="0" w:line="240" w:lineRule="auto"/>
              <w:jc w:val="center"/>
              <w:rPr>
                <w:rFonts w:ascii="Arial" w:eastAsia="Times New Roman" w:hAnsi="Arial" w:cs="Arial"/>
                <w:b/>
                <w:bCs/>
                <w:sz w:val="20"/>
                <w:szCs w:val="20"/>
                <w:lang w:eastAsia="en-GB"/>
              </w:rPr>
            </w:pPr>
          </w:p>
        </w:tc>
      </w:tr>
      <w:tr w:rsidR="00801BC7" w:rsidRPr="003347A6" w14:paraId="41E8772A" w14:textId="77777777" w:rsidTr="00927378">
        <w:trPr>
          <w:trHeight w:val="77"/>
        </w:trPr>
        <w:tc>
          <w:tcPr>
            <w:tcW w:w="5000" w:type="pct"/>
            <w:gridSpan w:val="8"/>
            <w:noWrap/>
            <w:vAlign w:val="center"/>
          </w:tcPr>
          <w:p w14:paraId="4E58DB78" w14:textId="77777777" w:rsidR="00801BC7" w:rsidRPr="003347A6" w:rsidRDefault="00801BC7" w:rsidP="00D75B23">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Treatment pathway</w:t>
            </w:r>
          </w:p>
        </w:tc>
      </w:tr>
      <w:tr w:rsidR="00801BC7" w:rsidRPr="003347A6" w14:paraId="7205C3B0" w14:textId="77777777" w:rsidTr="00310275">
        <w:trPr>
          <w:trHeight w:val="77"/>
        </w:trPr>
        <w:tc>
          <w:tcPr>
            <w:tcW w:w="5000" w:type="pct"/>
            <w:gridSpan w:val="8"/>
            <w:noWrap/>
          </w:tcPr>
          <w:p w14:paraId="0E3067AB" w14:textId="2D536A96" w:rsidR="00801BC7" w:rsidRPr="003347A6" w:rsidRDefault="00801BC7" w:rsidP="00FF4E44">
            <w:pPr>
              <w:spacing w:after="0" w:line="240" w:lineRule="auto"/>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Comparing to all patients using ESA</w:t>
            </w:r>
            <w:r w:rsidR="00A607EA" w:rsidRPr="003347A6">
              <w:rPr>
                <w:rFonts w:ascii="Arial" w:eastAsia="Times New Roman" w:hAnsi="Arial" w:cs="Arial"/>
                <w:b/>
                <w:bCs/>
                <w:sz w:val="20"/>
                <w:szCs w:val="20"/>
                <w:lang w:eastAsia="en-GB"/>
              </w:rPr>
              <w:t>s</w:t>
            </w:r>
          </w:p>
        </w:tc>
      </w:tr>
      <w:tr w:rsidR="00310275" w:rsidRPr="003347A6" w14:paraId="391F229B" w14:textId="77777777" w:rsidTr="00927378">
        <w:trPr>
          <w:trHeight w:val="77"/>
        </w:trPr>
        <w:tc>
          <w:tcPr>
            <w:tcW w:w="1295" w:type="pct"/>
            <w:noWrap/>
          </w:tcPr>
          <w:p w14:paraId="62313C75"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Best supportive care</w:t>
            </w:r>
          </w:p>
        </w:tc>
        <w:tc>
          <w:tcPr>
            <w:tcW w:w="699" w:type="pct"/>
            <w:vAlign w:val="center"/>
          </w:tcPr>
          <w:p w14:paraId="15E948B8"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£131,509</w:t>
            </w:r>
          </w:p>
        </w:tc>
        <w:tc>
          <w:tcPr>
            <w:tcW w:w="399" w:type="pct"/>
            <w:vAlign w:val="center"/>
          </w:tcPr>
          <w:p w14:paraId="31978A1E"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5.34</w:t>
            </w:r>
          </w:p>
        </w:tc>
        <w:tc>
          <w:tcPr>
            <w:tcW w:w="501" w:type="pct"/>
            <w:vAlign w:val="center"/>
          </w:tcPr>
          <w:p w14:paraId="1D9A817C"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3.04</w:t>
            </w:r>
          </w:p>
        </w:tc>
        <w:tc>
          <w:tcPr>
            <w:tcW w:w="600" w:type="pct"/>
            <w:vMerge w:val="restart"/>
            <w:vAlign w:val="center"/>
          </w:tcPr>
          <w:p w14:paraId="4B662AB1"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£9,961</w:t>
            </w:r>
          </w:p>
        </w:tc>
        <w:tc>
          <w:tcPr>
            <w:tcW w:w="404" w:type="pct"/>
            <w:vMerge w:val="restart"/>
            <w:vAlign w:val="center"/>
          </w:tcPr>
          <w:p w14:paraId="2980AE6E"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0.71</w:t>
            </w:r>
          </w:p>
        </w:tc>
        <w:tc>
          <w:tcPr>
            <w:tcW w:w="505" w:type="pct"/>
            <w:vMerge w:val="restart"/>
            <w:vAlign w:val="center"/>
          </w:tcPr>
          <w:p w14:paraId="48B07B8A"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0.63</w:t>
            </w:r>
          </w:p>
        </w:tc>
        <w:tc>
          <w:tcPr>
            <w:tcW w:w="597" w:type="pct"/>
            <w:vMerge w:val="restart"/>
            <w:vAlign w:val="center"/>
          </w:tcPr>
          <w:p w14:paraId="14EBE78F" w14:textId="4A73D6B1"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£15,911</w:t>
            </w:r>
          </w:p>
        </w:tc>
      </w:tr>
      <w:tr w:rsidR="00310275" w:rsidRPr="003347A6" w14:paraId="0532910F" w14:textId="77777777" w:rsidTr="00927378">
        <w:trPr>
          <w:trHeight w:val="77"/>
        </w:trPr>
        <w:tc>
          <w:tcPr>
            <w:tcW w:w="1295" w:type="pct"/>
            <w:noWrap/>
          </w:tcPr>
          <w:p w14:paraId="7A7F5CFC"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Lenalidomide</w:t>
            </w:r>
          </w:p>
        </w:tc>
        <w:tc>
          <w:tcPr>
            <w:tcW w:w="699" w:type="pct"/>
            <w:vAlign w:val="center"/>
          </w:tcPr>
          <w:p w14:paraId="031F3719"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£141,470</w:t>
            </w:r>
          </w:p>
        </w:tc>
        <w:tc>
          <w:tcPr>
            <w:tcW w:w="399" w:type="pct"/>
            <w:vAlign w:val="center"/>
          </w:tcPr>
          <w:p w14:paraId="5F915DD2"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6.06</w:t>
            </w:r>
          </w:p>
        </w:tc>
        <w:tc>
          <w:tcPr>
            <w:tcW w:w="501" w:type="pct"/>
            <w:vAlign w:val="center"/>
          </w:tcPr>
          <w:p w14:paraId="66C933C8"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3.67</w:t>
            </w:r>
          </w:p>
        </w:tc>
        <w:tc>
          <w:tcPr>
            <w:tcW w:w="600" w:type="pct"/>
            <w:vMerge/>
          </w:tcPr>
          <w:p w14:paraId="4FD45F1D" w14:textId="77777777" w:rsidR="00801BC7" w:rsidRPr="003347A6" w:rsidRDefault="00801BC7" w:rsidP="00310275">
            <w:pPr>
              <w:spacing w:after="0" w:line="240" w:lineRule="auto"/>
              <w:jc w:val="right"/>
              <w:rPr>
                <w:rFonts w:ascii="Arial" w:hAnsi="Arial" w:cs="Arial"/>
                <w:sz w:val="20"/>
                <w:szCs w:val="20"/>
              </w:rPr>
            </w:pPr>
          </w:p>
        </w:tc>
        <w:tc>
          <w:tcPr>
            <w:tcW w:w="404" w:type="pct"/>
            <w:vMerge/>
          </w:tcPr>
          <w:p w14:paraId="2151C51C" w14:textId="77777777" w:rsidR="00801BC7" w:rsidRPr="003347A6" w:rsidRDefault="00801BC7" w:rsidP="00310275">
            <w:pPr>
              <w:spacing w:after="0" w:line="240" w:lineRule="auto"/>
              <w:jc w:val="right"/>
              <w:rPr>
                <w:rFonts w:ascii="Arial" w:hAnsi="Arial" w:cs="Arial"/>
                <w:sz w:val="20"/>
                <w:szCs w:val="20"/>
              </w:rPr>
            </w:pPr>
          </w:p>
        </w:tc>
        <w:tc>
          <w:tcPr>
            <w:tcW w:w="505" w:type="pct"/>
            <w:vMerge/>
          </w:tcPr>
          <w:p w14:paraId="59039A63" w14:textId="77777777" w:rsidR="00801BC7" w:rsidRPr="003347A6" w:rsidRDefault="00801BC7" w:rsidP="00310275">
            <w:pPr>
              <w:spacing w:after="0" w:line="240" w:lineRule="auto"/>
              <w:jc w:val="right"/>
              <w:rPr>
                <w:rFonts w:ascii="Arial" w:hAnsi="Arial" w:cs="Arial"/>
                <w:sz w:val="20"/>
                <w:szCs w:val="20"/>
              </w:rPr>
            </w:pPr>
          </w:p>
        </w:tc>
        <w:tc>
          <w:tcPr>
            <w:tcW w:w="597" w:type="pct"/>
            <w:vMerge/>
          </w:tcPr>
          <w:p w14:paraId="7A46B249" w14:textId="77777777" w:rsidR="00801BC7" w:rsidRPr="003347A6" w:rsidRDefault="00801BC7" w:rsidP="00310275">
            <w:pPr>
              <w:spacing w:after="0" w:line="240" w:lineRule="auto"/>
              <w:jc w:val="right"/>
              <w:rPr>
                <w:rFonts w:ascii="Arial" w:hAnsi="Arial" w:cs="Arial"/>
                <w:sz w:val="20"/>
                <w:szCs w:val="20"/>
              </w:rPr>
            </w:pPr>
          </w:p>
        </w:tc>
      </w:tr>
      <w:tr w:rsidR="00801BC7" w:rsidRPr="003347A6" w14:paraId="425C00F9" w14:textId="77777777" w:rsidTr="00310275">
        <w:trPr>
          <w:trHeight w:val="77"/>
        </w:trPr>
        <w:tc>
          <w:tcPr>
            <w:tcW w:w="5000" w:type="pct"/>
            <w:gridSpan w:val="8"/>
            <w:noWrap/>
          </w:tcPr>
          <w:p w14:paraId="7FF3ADB5" w14:textId="77777777" w:rsidR="00801BC7" w:rsidRPr="003347A6" w:rsidRDefault="00801BC7" w:rsidP="00FF4E44">
            <w:pPr>
              <w:spacing w:after="0" w:line="240" w:lineRule="auto"/>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Comparing to all patients only receiving transfusions as required</w:t>
            </w:r>
          </w:p>
        </w:tc>
      </w:tr>
      <w:tr w:rsidR="00310275" w:rsidRPr="003347A6" w14:paraId="1E1DE1AE" w14:textId="77777777" w:rsidTr="00927378">
        <w:trPr>
          <w:trHeight w:val="77"/>
        </w:trPr>
        <w:tc>
          <w:tcPr>
            <w:tcW w:w="1295" w:type="pct"/>
            <w:noWrap/>
          </w:tcPr>
          <w:p w14:paraId="5E9E32FC"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Best supportive care</w:t>
            </w:r>
          </w:p>
        </w:tc>
        <w:tc>
          <w:tcPr>
            <w:tcW w:w="699" w:type="pct"/>
            <w:vAlign w:val="center"/>
          </w:tcPr>
          <w:p w14:paraId="7616E847"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£124,802</w:t>
            </w:r>
          </w:p>
        </w:tc>
        <w:tc>
          <w:tcPr>
            <w:tcW w:w="399" w:type="pct"/>
            <w:vAlign w:val="center"/>
          </w:tcPr>
          <w:p w14:paraId="67D9D9DC"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5.65</w:t>
            </w:r>
          </w:p>
        </w:tc>
        <w:tc>
          <w:tcPr>
            <w:tcW w:w="501" w:type="pct"/>
            <w:vAlign w:val="center"/>
          </w:tcPr>
          <w:p w14:paraId="2B87C6AF"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3.45</w:t>
            </w:r>
          </w:p>
        </w:tc>
        <w:tc>
          <w:tcPr>
            <w:tcW w:w="600" w:type="pct"/>
            <w:vMerge w:val="restart"/>
            <w:vAlign w:val="center"/>
          </w:tcPr>
          <w:p w14:paraId="12DDE16C"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£23,399</w:t>
            </w:r>
          </w:p>
        </w:tc>
        <w:tc>
          <w:tcPr>
            <w:tcW w:w="404" w:type="pct"/>
            <w:vMerge w:val="restart"/>
            <w:vAlign w:val="center"/>
          </w:tcPr>
          <w:p w14:paraId="651DA866"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1.07</w:t>
            </w:r>
          </w:p>
        </w:tc>
        <w:tc>
          <w:tcPr>
            <w:tcW w:w="505" w:type="pct"/>
            <w:vMerge w:val="restart"/>
            <w:vAlign w:val="center"/>
          </w:tcPr>
          <w:p w14:paraId="3DD24BCA"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0.82</w:t>
            </w:r>
          </w:p>
        </w:tc>
        <w:tc>
          <w:tcPr>
            <w:tcW w:w="597" w:type="pct"/>
            <w:vMerge w:val="restart"/>
            <w:vAlign w:val="center"/>
          </w:tcPr>
          <w:p w14:paraId="47B24C17"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£28,646</w:t>
            </w:r>
          </w:p>
        </w:tc>
      </w:tr>
      <w:tr w:rsidR="00310275" w:rsidRPr="003347A6" w14:paraId="2CB3680A" w14:textId="77777777" w:rsidTr="00927378">
        <w:trPr>
          <w:trHeight w:val="118"/>
        </w:trPr>
        <w:tc>
          <w:tcPr>
            <w:tcW w:w="1295" w:type="pct"/>
            <w:noWrap/>
          </w:tcPr>
          <w:p w14:paraId="7B678315"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Lenalidomide</w:t>
            </w:r>
          </w:p>
        </w:tc>
        <w:tc>
          <w:tcPr>
            <w:tcW w:w="699" w:type="pct"/>
            <w:vAlign w:val="center"/>
          </w:tcPr>
          <w:p w14:paraId="4D1CC9A5"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£101,403</w:t>
            </w:r>
          </w:p>
        </w:tc>
        <w:tc>
          <w:tcPr>
            <w:tcW w:w="399" w:type="pct"/>
            <w:vAlign w:val="center"/>
          </w:tcPr>
          <w:p w14:paraId="64709315"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4.58</w:t>
            </w:r>
          </w:p>
        </w:tc>
        <w:tc>
          <w:tcPr>
            <w:tcW w:w="501" w:type="pct"/>
            <w:vAlign w:val="center"/>
          </w:tcPr>
          <w:p w14:paraId="4DC78C28" w14:textId="77777777" w:rsidR="00801BC7" w:rsidRPr="003347A6" w:rsidRDefault="00801BC7" w:rsidP="00927378">
            <w:pPr>
              <w:spacing w:after="0" w:line="240" w:lineRule="auto"/>
              <w:jc w:val="center"/>
              <w:rPr>
                <w:rFonts w:ascii="Arial" w:hAnsi="Arial" w:cs="Arial"/>
                <w:sz w:val="20"/>
                <w:szCs w:val="20"/>
              </w:rPr>
            </w:pPr>
            <w:r w:rsidRPr="003347A6">
              <w:rPr>
                <w:rFonts w:ascii="Arial" w:hAnsi="Arial" w:cs="Arial"/>
                <w:sz w:val="20"/>
                <w:szCs w:val="20"/>
              </w:rPr>
              <w:t>2.63</w:t>
            </w:r>
          </w:p>
        </w:tc>
        <w:tc>
          <w:tcPr>
            <w:tcW w:w="600" w:type="pct"/>
            <w:vMerge/>
          </w:tcPr>
          <w:p w14:paraId="7B58BA36" w14:textId="77777777" w:rsidR="00801BC7" w:rsidRPr="003347A6" w:rsidRDefault="00801BC7" w:rsidP="00310275">
            <w:pPr>
              <w:spacing w:after="0" w:line="240" w:lineRule="auto"/>
              <w:jc w:val="right"/>
              <w:rPr>
                <w:rFonts w:ascii="Arial" w:hAnsi="Arial" w:cs="Arial"/>
                <w:sz w:val="20"/>
                <w:szCs w:val="20"/>
              </w:rPr>
            </w:pPr>
          </w:p>
        </w:tc>
        <w:tc>
          <w:tcPr>
            <w:tcW w:w="404" w:type="pct"/>
            <w:vMerge/>
          </w:tcPr>
          <w:p w14:paraId="15ECA819" w14:textId="77777777" w:rsidR="00801BC7" w:rsidRPr="003347A6" w:rsidRDefault="00801BC7" w:rsidP="00310275">
            <w:pPr>
              <w:spacing w:after="0" w:line="240" w:lineRule="auto"/>
              <w:jc w:val="right"/>
              <w:rPr>
                <w:rFonts w:ascii="Arial" w:hAnsi="Arial" w:cs="Arial"/>
                <w:sz w:val="20"/>
                <w:szCs w:val="20"/>
              </w:rPr>
            </w:pPr>
          </w:p>
        </w:tc>
        <w:tc>
          <w:tcPr>
            <w:tcW w:w="505" w:type="pct"/>
            <w:vMerge/>
          </w:tcPr>
          <w:p w14:paraId="32F991F0" w14:textId="77777777" w:rsidR="00801BC7" w:rsidRPr="003347A6" w:rsidRDefault="00801BC7" w:rsidP="00310275">
            <w:pPr>
              <w:spacing w:after="0" w:line="240" w:lineRule="auto"/>
              <w:jc w:val="right"/>
              <w:rPr>
                <w:rFonts w:ascii="Arial" w:hAnsi="Arial" w:cs="Arial"/>
                <w:sz w:val="20"/>
                <w:szCs w:val="20"/>
              </w:rPr>
            </w:pPr>
          </w:p>
        </w:tc>
        <w:tc>
          <w:tcPr>
            <w:tcW w:w="597" w:type="pct"/>
            <w:vMerge/>
          </w:tcPr>
          <w:p w14:paraId="2B606946" w14:textId="77777777" w:rsidR="00801BC7" w:rsidRPr="003347A6" w:rsidRDefault="00801BC7" w:rsidP="00310275">
            <w:pPr>
              <w:spacing w:after="0" w:line="240" w:lineRule="auto"/>
              <w:jc w:val="right"/>
              <w:rPr>
                <w:rFonts w:ascii="Arial" w:hAnsi="Arial" w:cs="Arial"/>
                <w:sz w:val="20"/>
                <w:szCs w:val="20"/>
              </w:rPr>
            </w:pPr>
          </w:p>
        </w:tc>
      </w:tr>
      <w:tr w:rsidR="00801BC7" w:rsidRPr="003347A6" w14:paraId="33B76192" w14:textId="77777777" w:rsidTr="00310275">
        <w:trPr>
          <w:trHeight w:val="77"/>
        </w:trPr>
        <w:tc>
          <w:tcPr>
            <w:tcW w:w="5000" w:type="pct"/>
            <w:gridSpan w:val="8"/>
            <w:noWrap/>
          </w:tcPr>
          <w:p w14:paraId="79AB17A7" w14:textId="77777777" w:rsidR="00801BC7" w:rsidRPr="003347A6" w:rsidRDefault="00801BC7" w:rsidP="00FF4E44">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Structural uncertainty</w:t>
            </w:r>
          </w:p>
        </w:tc>
      </w:tr>
      <w:tr w:rsidR="00801BC7" w:rsidRPr="003347A6" w14:paraId="7B5C4045" w14:textId="77777777" w:rsidTr="00310275">
        <w:trPr>
          <w:trHeight w:val="77"/>
        </w:trPr>
        <w:tc>
          <w:tcPr>
            <w:tcW w:w="5000" w:type="pct"/>
            <w:gridSpan w:val="8"/>
            <w:noWrap/>
          </w:tcPr>
          <w:p w14:paraId="1D26FA47" w14:textId="77777777" w:rsidR="00801BC7" w:rsidRPr="003347A6" w:rsidRDefault="00801BC7" w:rsidP="00FF4E44">
            <w:pPr>
              <w:spacing w:after="0" w:line="240" w:lineRule="auto"/>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Selecting alternative curve fits for mortality</w:t>
            </w:r>
          </w:p>
        </w:tc>
      </w:tr>
      <w:tr w:rsidR="00310275" w:rsidRPr="003347A6" w14:paraId="0B9D2D9D" w14:textId="77777777" w:rsidTr="00927378">
        <w:trPr>
          <w:trHeight w:val="360"/>
        </w:trPr>
        <w:tc>
          <w:tcPr>
            <w:tcW w:w="1295" w:type="pct"/>
            <w:noWrap/>
            <w:hideMark/>
          </w:tcPr>
          <w:p w14:paraId="1D1A860A"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Best supportive care</w:t>
            </w:r>
          </w:p>
        </w:tc>
        <w:tc>
          <w:tcPr>
            <w:tcW w:w="699" w:type="pct"/>
            <w:noWrap/>
            <w:vAlign w:val="center"/>
          </w:tcPr>
          <w:p w14:paraId="1D94E190" w14:textId="5900313F"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(£120,419–£133,596)</w:t>
            </w:r>
          </w:p>
        </w:tc>
        <w:tc>
          <w:tcPr>
            <w:tcW w:w="399" w:type="pct"/>
            <w:noWrap/>
            <w:vAlign w:val="center"/>
          </w:tcPr>
          <w:p w14:paraId="739E0011" w14:textId="562C4542"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(5.02–5.76)</w:t>
            </w:r>
          </w:p>
        </w:tc>
        <w:tc>
          <w:tcPr>
            <w:tcW w:w="501" w:type="pct"/>
            <w:noWrap/>
            <w:vAlign w:val="center"/>
          </w:tcPr>
          <w:p w14:paraId="0F757335"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(2.89-3.17)</w:t>
            </w:r>
          </w:p>
        </w:tc>
        <w:tc>
          <w:tcPr>
            <w:tcW w:w="600" w:type="pct"/>
            <w:vMerge w:val="restart"/>
            <w:noWrap/>
            <w:vAlign w:val="center"/>
          </w:tcPr>
          <w:p w14:paraId="27D16271" w14:textId="7B69D601"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(£15,769–£20,989)</w:t>
            </w:r>
          </w:p>
        </w:tc>
        <w:tc>
          <w:tcPr>
            <w:tcW w:w="404" w:type="pct"/>
            <w:vMerge w:val="restart"/>
            <w:noWrap/>
            <w:vAlign w:val="center"/>
          </w:tcPr>
          <w:p w14:paraId="26BA46A5" w14:textId="16EEF1A1"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(0.73–1.08)</w:t>
            </w:r>
          </w:p>
        </w:tc>
        <w:tc>
          <w:tcPr>
            <w:tcW w:w="505" w:type="pct"/>
            <w:vMerge w:val="restart"/>
            <w:noWrap/>
            <w:vAlign w:val="center"/>
          </w:tcPr>
          <w:p w14:paraId="5334E741" w14:textId="67B860E3"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(0.64–0.82)</w:t>
            </w:r>
          </w:p>
        </w:tc>
        <w:tc>
          <w:tcPr>
            <w:tcW w:w="597" w:type="pct"/>
            <w:vMerge w:val="restart"/>
            <w:noWrap/>
            <w:vAlign w:val="center"/>
          </w:tcPr>
          <w:p w14:paraId="2F98951C" w14:textId="2769D589"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(£22,647–£25,831)</w:t>
            </w:r>
          </w:p>
        </w:tc>
      </w:tr>
      <w:tr w:rsidR="00310275" w:rsidRPr="003347A6" w14:paraId="777910DA" w14:textId="77777777" w:rsidTr="00927378">
        <w:trPr>
          <w:trHeight w:val="551"/>
        </w:trPr>
        <w:tc>
          <w:tcPr>
            <w:tcW w:w="1295" w:type="pct"/>
            <w:noWrap/>
            <w:hideMark/>
          </w:tcPr>
          <w:p w14:paraId="27EB9CBB"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Lenalidomide</w:t>
            </w:r>
          </w:p>
        </w:tc>
        <w:tc>
          <w:tcPr>
            <w:tcW w:w="699" w:type="pct"/>
            <w:noWrap/>
            <w:vAlign w:val="center"/>
          </w:tcPr>
          <w:p w14:paraId="3344F648" w14:textId="64D0C838" w:rsidR="00801BC7" w:rsidRPr="003347A6" w:rsidRDefault="00801BC7" w:rsidP="00927378">
            <w:pPr>
              <w:spacing w:after="0" w:line="240" w:lineRule="auto"/>
              <w:jc w:val="center"/>
              <w:rPr>
                <w:rFonts w:ascii="Arial" w:hAnsi="Arial" w:cs="Arial"/>
                <w:color w:val="000000"/>
                <w:sz w:val="20"/>
                <w:szCs w:val="20"/>
              </w:rPr>
            </w:pPr>
            <w:r w:rsidRPr="003347A6">
              <w:rPr>
                <w:rFonts w:ascii="Arial" w:eastAsia="Times New Roman" w:hAnsi="Arial" w:cs="Arial"/>
                <w:sz w:val="20"/>
                <w:szCs w:val="20"/>
                <w:lang w:eastAsia="en-GB"/>
              </w:rPr>
              <w:t>(£136,187–</w:t>
            </w:r>
            <w:r w:rsidRPr="003347A6">
              <w:rPr>
                <w:rFonts w:ascii="Arial" w:hAnsi="Arial" w:cs="Arial"/>
                <w:color w:val="000000"/>
                <w:sz w:val="20"/>
                <w:szCs w:val="20"/>
              </w:rPr>
              <w:t>£151,713)</w:t>
            </w:r>
          </w:p>
        </w:tc>
        <w:tc>
          <w:tcPr>
            <w:tcW w:w="399" w:type="pct"/>
            <w:noWrap/>
            <w:vAlign w:val="center"/>
          </w:tcPr>
          <w:p w14:paraId="77A8FE19" w14:textId="20BEDAC5"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(5.75–6.65)</w:t>
            </w:r>
          </w:p>
        </w:tc>
        <w:tc>
          <w:tcPr>
            <w:tcW w:w="501" w:type="pct"/>
            <w:noWrap/>
            <w:vAlign w:val="center"/>
          </w:tcPr>
          <w:p w14:paraId="2928EC09" w14:textId="54DB7036"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(3.53– 3.94)</w:t>
            </w:r>
          </w:p>
        </w:tc>
        <w:tc>
          <w:tcPr>
            <w:tcW w:w="600" w:type="pct"/>
            <w:vMerge/>
            <w:noWrap/>
          </w:tcPr>
          <w:p w14:paraId="21F3DEED"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404" w:type="pct"/>
            <w:vMerge/>
            <w:noWrap/>
          </w:tcPr>
          <w:p w14:paraId="23BBF2C8"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05" w:type="pct"/>
            <w:vMerge/>
            <w:noWrap/>
          </w:tcPr>
          <w:p w14:paraId="7C5D9D79"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97" w:type="pct"/>
            <w:vMerge/>
            <w:noWrap/>
          </w:tcPr>
          <w:p w14:paraId="2E6F1B5A"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r>
      <w:tr w:rsidR="00801BC7" w:rsidRPr="003347A6" w14:paraId="5EF600C4" w14:textId="77777777" w:rsidTr="00310275">
        <w:trPr>
          <w:trHeight w:val="77"/>
        </w:trPr>
        <w:tc>
          <w:tcPr>
            <w:tcW w:w="5000" w:type="pct"/>
            <w:gridSpan w:val="8"/>
            <w:noWrap/>
          </w:tcPr>
          <w:p w14:paraId="7A886E22" w14:textId="77777777" w:rsidR="00801BC7" w:rsidRPr="003347A6" w:rsidRDefault="00801BC7" w:rsidP="00A778A7">
            <w:pPr>
              <w:keepNext/>
              <w:spacing w:after="0" w:line="240" w:lineRule="auto"/>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Selecting alternative curve fits for AML</w:t>
            </w:r>
          </w:p>
        </w:tc>
      </w:tr>
      <w:tr w:rsidR="00310275" w:rsidRPr="003347A6" w14:paraId="6849F13D" w14:textId="77777777" w:rsidTr="00927378">
        <w:trPr>
          <w:trHeight w:val="360"/>
        </w:trPr>
        <w:tc>
          <w:tcPr>
            <w:tcW w:w="1295" w:type="pct"/>
            <w:noWrap/>
            <w:hideMark/>
          </w:tcPr>
          <w:p w14:paraId="1E884722"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Best supportive care</w:t>
            </w:r>
          </w:p>
        </w:tc>
        <w:tc>
          <w:tcPr>
            <w:tcW w:w="699" w:type="pct"/>
            <w:noWrap/>
            <w:vAlign w:val="center"/>
          </w:tcPr>
          <w:p w14:paraId="6D1D945A" w14:textId="016CADC0"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(£121,208–£127,893)</w:t>
            </w:r>
          </w:p>
        </w:tc>
        <w:tc>
          <w:tcPr>
            <w:tcW w:w="399" w:type="pct"/>
            <w:noWrap/>
            <w:vAlign w:val="center"/>
          </w:tcPr>
          <w:p w14:paraId="22D138F5" w14:textId="415241F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(5.07–5.28)</w:t>
            </w:r>
          </w:p>
        </w:tc>
        <w:tc>
          <w:tcPr>
            <w:tcW w:w="501" w:type="pct"/>
            <w:noWrap/>
            <w:vAlign w:val="center"/>
          </w:tcPr>
          <w:p w14:paraId="4F82D702" w14:textId="0BB988D0"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(2.91–3.05)</w:t>
            </w:r>
          </w:p>
        </w:tc>
        <w:tc>
          <w:tcPr>
            <w:tcW w:w="600" w:type="pct"/>
            <w:vMerge w:val="restart"/>
            <w:noWrap/>
            <w:vAlign w:val="center"/>
          </w:tcPr>
          <w:p w14:paraId="697F56EB" w14:textId="67C2379A"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(£16,961–£25,918)</w:t>
            </w:r>
          </w:p>
        </w:tc>
        <w:tc>
          <w:tcPr>
            <w:tcW w:w="404" w:type="pct"/>
            <w:vMerge w:val="restart"/>
            <w:noWrap/>
            <w:vAlign w:val="center"/>
          </w:tcPr>
          <w:p w14:paraId="5536647D" w14:textId="20DBF6F3"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(0.79 –0.98)</w:t>
            </w:r>
          </w:p>
        </w:tc>
        <w:tc>
          <w:tcPr>
            <w:tcW w:w="505" w:type="pct"/>
            <w:vMerge w:val="restart"/>
            <w:noWrap/>
            <w:vAlign w:val="center"/>
          </w:tcPr>
          <w:p w14:paraId="22B9F790" w14:textId="319D8040"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(0.68–0.79)</w:t>
            </w:r>
          </w:p>
        </w:tc>
        <w:tc>
          <w:tcPr>
            <w:tcW w:w="597" w:type="pct"/>
            <w:vMerge w:val="restart"/>
            <w:noWrap/>
            <w:vAlign w:val="center"/>
          </w:tcPr>
          <w:p w14:paraId="535B1538" w14:textId="41062579"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(£24,784</w:t>
            </w:r>
            <w:r w:rsidR="00310275" w:rsidRPr="003347A6">
              <w:rPr>
                <w:rFonts w:ascii="Segoe UI Semibold" w:eastAsia="Times New Roman" w:hAnsi="Segoe UI Semibold" w:cs="Arial"/>
                <w:sz w:val="20"/>
                <w:szCs w:val="20"/>
                <w:lang w:eastAsia="en-GB"/>
              </w:rPr>
              <w:t>–</w:t>
            </w:r>
            <w:r w:rsidRPr="003347A6">
              <w:rPr>
                <w:rFonts w:ascii="Arial" w:eastAsia="Times New Roman" w:hAnsi="Arial" w:cs="Arial"/>
                <w:sz w:val="20"/>
                <w:szCs w:val="20"/>
                <w:lang w:eastAsia="en-GB"/>
              </w:rPr>
              <w:t xml:space="preserve"> £25,918)</w:t>
            </w:r>
          </w:p>
        </w:tc>
      </w:tr>
      <w:tr w:rsidR="00310275" w:rsidRPr="003347A6" w14:paraId="21487300" w14:textId="77777777" w:rsidTr="00927378">
        <w:trPr>
          <w:trHeight w:val="87"/>
        </w:trPr>
        <w:tc>
          <w:tcPr>
            <w:tcW w:w="1295" w:type="pct"/>
            <w:noWrap/>
            <w:hideMark/>
          </w:tcPr>
          <w:p w14:paraId="77B8A093"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Lenalidomide</w:t>
            </w:r>
          </w:p>
        </w:tc>
        <w:tc>
          <w:tcPr>
            <w:tcW w:w="699" w:type="pct"/>
            <w:noWrap/>
            <w:vAlign w:val="center"/>
          </w:tcPr>
          <w:p w14:paraId="588FD089" w14:textId="015805DA" w:rsidR="00801BC7" w:rsidRPr="003347A6" w:rsidRDefault="00801BC7" w:rsidP="00927378">
            <w:pPr>
              <w:spacing w:after="0" w:line="240" w:lineRule="auto"/>
              <w:jc w:val="center"/>
              <w:rPr>
                <w:rFonts w:ascii="Arial" w:hAnsi="Arial" w:cs="Arial"/>
                <w:color w:val="000000"/>
                <w:sz w:val="20"/>
                <w:szCs w:val="20"/>
              </w:rPr>
            </w:pPr>
            <w:r w:rsidRPr="003347A6">
              <w:rPr>
                <w:rFonts w:ascii="Arial" w:eastAsia="Times New Roman" w:hAnsi="Arial" w:cs="Arial"/>
                <w:sz w:val="20"/>
                <w:szCs w:val="20"/>
                <w:lang w:eastAsia="en-GB"/>
              </w:rPr>
              <w:t>(£138,169–</w:t>
            </w:r>
            <w:r w:rsidRPr="003347A6">
              <w:rPr>
                <w:rFonts w:ascii="Arial" w:hAnsi="Arial" w:cs="Arial"/>
                <w:color w:val="000000"/>
                <w:sz w:val="20"/>
                <w:szCs w:val="20"/>
              </w:rPr>
              <w:t>£148,384)</w:t>
            </w:r>
          </w:p>
        </w:tc>
        <w:tc>
          <w:tcPr>
            <w:tcW w:w="399" w:type="pct"/>
            <w:noWrap/>
            <w:vAlign w:val="center"/>
          </w:tcPr>
          <w:p w14:paraId="203FECBE" w14:textId="28E53A8A"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(5.86–6.46)</w:t>
            </w:r>
          </w:p>
        </w:tc>
        <w:tc>
          <w:tcPr>
            <w:tcW w:w="501" w:type="pct"/>
            <w:noWrap/>
            <w:vAlign w:val="center"/>
          </w:tcPr>
          <w:p w14:paraId="4F69F337" w14:textId="1EB5C71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(3.59–3.84)</w:t>
            </w:r>
          </w:p>
        </w:tc>
        <w:tc>
          <w:tcPr>
            <w:tcW w:w="600" w:type="pct"/>
            <w:vMerge/>
            <w:noWrap/>
          </w:tcPr>
          <w:p w14:paraId="2EA455AE"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404" w:type="pct"/>
            <w:vMerge/>
            <w:noWrap/>
          </w:tcPr>
          <w:p w14:paraId="7177BFBC"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05" w:type="pct"/>
            <w:vMerge/>
            <w:noWrap/>
          </w:tcPr>
          <w:p w14:paraId="1A039319"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97" w:type="pct"/>
            <w:vMerge/>
            <w:noWrap/>
          </w:tcPr>
          <w:p w14:paraId="162EED0B"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r>
      <w:tr w:rsidR="00801BC7" w:rsidRPr="003347A6" w14:paraId="3D6DA81D" w14:textId="77777777" w:rsidTr="00310275">
        <w:trPr>
          <w:trHeight w:val="77"/>
        </w:trPr>
        <w:tc>
          <w:tcPr>
            <w:tcW w:w="5000" w:type="pct"/>
            <w:gridSpan w:val="8"/>
            <w:noWrap/>
            <w:hideMark/>
          </w:tcPr>
          <w:p w14:paraId="73707CB9" w14:textId="77777777" w:rsidR="00801BC7" w:rsidRPr="003347A6" w:rsidRDefault="00801BC7" w:rsidP="00FF4E44">
            <w:pPr>
              <w:spacing w:after="0" w:line="240" w:lineRule="auto"/>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Selecting alternative curve fits for response duration</w:t>
            </w:r>
          </w:p>
        </w:tc>
      </w:tr>
      <w:tr w:rsidR="00310275" w:rsidRPr="003347A6" w14:paraId="007BC310" w14:textId="77777777" w:rsidTr="00927378">
        <w:trPr>
          <w:trHeight w:val="360"/>
        </w:trPr>
        <w:tc>
          <w:tcPr>
            <w:tcW w:w="1295" w:type="pct"/>
            <w:noWrap/>
            <w:hideMark/>
          </w:tcPr>
          <w:p w14:paraId="32D73162"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Best supportive care</w:t>
            </w:r>
          </w:p>
        </w:tc>
        <w:tc>
          <w:tcPr>
            <w:tcW w:w="699" w:type="pct"/>
            <w:noWrap/>
            <w:vAlign w:val="center"/>
          </w:tcPr>
          <w:p w14:paraId="048E5612" w14:textId="241A544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(£123,235–£123,349)</w:t>
            </w:r>
          </w:p>
        </w:tc>
        <w:tc>
          <w:tcPr>
            <w:tcW w:w="399" w:type="pct"/>
            <w:noWrap/>
            <w:vAlign w:val="center"/>
          </w:tcPr>
          <w:p w14:paraId="63889F5E" w14:textId="1991D7C1"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5.17</w:t>
            </w:r>
          </w:p>
        </w:tc>
        <w:tc>
          <w:tcPr>
            <w:tcW w:w="501" w:type="pct"/>
            <w:noWrap/>
            <w:vAlign w:val="center"/>
          </w:tcPr>
          <w:p w14:paraId="0B56C726" w14:textId="23D85E7D"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(2.95)</w:t>
            </w:r>
          </w:p>
        </w:tc>
        <w:tc>
          <w:tcPr>
            <w:tcW w:w="600" w:type="pct"/>
            <w:vMerge w:val="restart"/>
            <w:noWrap/>
            <w:vAlign w:val="center"/>
          </w:tcPr>
          <w:p w14:paraId="1B22A2CC" w14:textId="3EAD987C"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(£18,229–£21,328)</w:t>
            </w:r>
          </w:p>
        </w:tc>
        <w:tc>
          <w:tcPr>
            <w:tcW w:w="404" w:type="pct"/>
            <w:vMerge w:val="restart"/>
            <w:noWrap/>
            <w:vAlign w:val="center"/>
          </w:tcPr>
          <w:p w14:paraId="1ACC231C" w14:textId="1BBB566B"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0.88</w:t>
            </w:r>
          </w:p>
        </w:tc>
        <w:tc>
          <w:tcPr>
            <w:tcW w:w="505" w:type="pct"/>
            <w:vMerge w:val="restart"/>
            <w:noWrap/>
            <w:vAlign w:val="center"/>
          </w:tcPr>
          <w:p w14:paraId="246BA916"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(0.69-0.72)</w:t>
            </w:r>
          </w:p>
        </w:tc>
        <w:tc>
          <w:tcPr>
            <w:tcW w:w="597" w:type="pct"/>
            <w:vMerge w:val="restart"/>
            <w:noWrap/>
            <w:vAlign w:val="center"/>
          </w:tcPr>
          <w:p w14:paraId="51428882" w14:textId="611A7294"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(£25,310–30,827)</w:t>
            </w:r>
          </w:p>
        </w:tc>
      </w:tr>
      <w:tr w:rsidR="00310275" w:rsidRPr="003347A6" w14:paraId="3E1AFD2C" w14:textId="77777777" w:rsidTr="00927378">
        <w:trPr>
          <w:trHeight w:val="87"/>
        </w:trPr>
        <w:tc>
          <w:tcPr>
            <w:tcW w:w="1295" w:type="pct"/>
            <w:noWrap/>
            <w:hideMark/>
          </w:tcPr>
          <w:p w14:paraId="26F6FC81"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Lenalidomide</w:t>
            </w:r>
          </w:p>
        </w:tc>
        <w:tc>
          <w:tcPr>
            <w:tcW w:w="699" w:type="pct"/>
            <w:noWrap/>
            <w:vAlign w:val="center"/>
          </w:tcPr>
          <w:p w14:paraId="6C41A379" w14:textId="0B0EB51F" w:rsidR="00801BC7" w:rsidRPr="003347A6" w:rsidRDefault="00801BC7" w:rsidP="00927378">
            <w:pPr>
              <w:spacing w:after="0" w:line="240" w:lineRule="auto"/>
              <w:jc w:val="center"/>
              <w:rPr>
                <w:rFonts w:ascii="Arial" w:hAnsi="Arial" w:cs="Arial"/>
                <w:color w:val="000000"/>
                <w:sz w:val="20"/>
                <w:szCs w:val="20"/>
              </w:rPr>
            </w:pPr>
            <w:r w:rsidRPr="003347A6">
              <w:rPr>
                <w:rFonts w:ascii="Arial" w:eastAsia="Times New Roman" w:hAnsi="Arial" w:cs="Arial"/>
                <w:sz w:val="20"/>
                <w:szCs w:val="20"/>
                <w:lang w:eastAsia="en-GB"/>
              </w:rPr>
              <w:t>(£141,470–£144</w:t>
            </w:r>
            <w:r w:rsidR="00310275" w:rsidRPr="003347A6">
              <w:rPr>
                <w:rFonts w:ascii="Arial" w:eastAsia="Times New Roman" w:hAnsi="Arial" w:cs="Arial"/>
                <w:sz w:val="20"/>
                <w:szCs w:val="20"/>
                <w:lang w:eastAsia="en-GB"/>
              </w:rPr>
              <w:t>,</w:t>
            </w:r>
            <w:r w:rsidRPr="003347A6">
              <w:rPr>
                <w:rFonts w:ascii="Arial" w:eastAsia="Times New Roman" w:hAnsi="Arial" w:cs="Arial"/>
                <w:sz w:val="20"/>
                <w:szCs w:val="20"/>
                <w:lang w:eastAsia="en-GB"/>
              </w:rPr>
              <w:t>677)</w:t>
            </w:r>
          </w:p>
        </w:tc>
        <w:tc>
          <w:tcPr>
            <w:tcW w:w="399" w:type="pct"/>
            <w:noWrap/>
            <w:vAlign w:val="center"/>
          </w:tcPr>
          <w:p w14:paraId="2D2950A8" w14:textId="4E472DF8"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6.06</w:t>
            </w:r>
          </w:p>
        </w:tc>
        <w:tc>
          <w:tcPr>
            <w:tcW w:w="501" w:type="pct"/>
            <w:noWrap/>
            <w:vAlign w:val="center"/>
          </w:tcPr>
          <w:p w14:paraId="25080A49" w14:textId="2C8BB31F"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(3.64–3.67)</w:t>
            </w:r>
          </w:p>
        </w:tc>
        <w:tc>
          <w:tcPr>
            <w:tcW w:w="600" w:type="pct"/>
            <w:vMerge/>
            <w:noWrap/>
          </w:tcPr>
          <w:p w14:paraId="407F5069"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404" w:type="pct"/>
            <w:vMerge/>
            <w:noWrap/>
          </w:tcPr>
          <w:p w14:paraId="6F3CA754"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05" w:type="pct"/>
            <w:vMerge/>
            <w:noWrap/>
          </w:tcPr>
          <w:p w14:paraId="04EC43E5"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97" w:type="pct"/>
            <w:vMerge/>
            <w:noWrap/>
          </w:tcPr>
          <w:p w14:paraId="76F55DC3"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r>
      <w:tr w:rsidR="00801BC7" w:rsidRPr="003347A6" w14:paraId="46E5235C" w14:textId="77777777" w:rsidTr="00310275">
        <w:trPr>
          <w:trHeight w:val="77"/>
        </w:trPr>
        <w:tc>
          <w:tcPr>
            <w:tcW w:w="5000" w:type="pct"/>
            <w:gridSpan w:val="8"/>
            <w:noWrap/>
          </w:tcPr>
          <w:p w14:paraId="2C6F5A3A" w14:textId="77777777" w:rsidR="00801BC7" w:rsidRPr="003347A6" w:rsidRDefault="00801BC7" w:rsidP="00FF4E44">
            <w:pPr>
              <w:spacing w:after="0" w:line="240" w:lineRule="auto"/>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Stopping rule - response assessment at 56 days (rather than 84 days)</w:t>
            </w:r>
          </w:p>
        </w:tc>
      </w:tr>
      <w:tr w:rsidR="00310275" w:rsidRPr="003347A6" w14:paraId="52330C54" w14:textId="77777777" w:rsidTr="00927378">
        <w:trPr>
          <w:trHeight w:val="211"/>
        </w:trPr>
        <w:tc>
          <w:tcPr>
            <w:tcW w:w="1295" w:type="pct"/>
            <w:noWrap/>
          </w:tcPr>
          <w:p w14:paraId="5F8A546A"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Best supportive care</w:t>
            </w:r>
          </w:p>
        </w:tc>
        <w:tc>
          <w:tcPr>
            <w:tcW w:w="699" w:type="pct"/>
            <w:vAlign w:val="center"/>
          </w:tcPr>
          <w:p w14:paraId="58D55819"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£123,273</w:t>
            </w:r>
          </w:p>
        </w:tc>
        <w:tc>
          <w:tcPr>
            <w:tcW w:w="399" w:type="pct"/>
            <w:vAlign w:val="center"/>
          </w:tcPr>
          <w:p w14:paraId="0BA19F03"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5.15</w:t>
            </w:r>
          </w:p>
        </w:tc>
        <w:tc>
          <w:tcPr>
            <w:tcW w:w="501" w:type="pct"/>
            <w:vAlign w:val="center"/>
          </w:tcPr>
          <w:p w14:paraId="525DE718"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2.94</w:t>
            </w:r>
          </w:p>
        </w:tc>
        <w:tc>
          <w:tcPr>
            <w:tcW w:w="600" w:type="pct"/>
            <w:vMerge w:val="restart"/>
            <w:vAlign w:val="center"/>
          </w:tcPr>
          <w:p w14:paraId="7777559D"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£17,512</w:t>
            </w:r>
          </w:p>
        </w:tc>
        <w:tc>
          <w:tcPr>
            <w:tcW w:w="404" w:type="pct"/>
            <w:vMerge w:val="restart"/>
            <w:vAlign w:val="center"/>
          </w:tcPr>
          <w:p w14:paraId="381C5655"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0.58</w:t>
            </w:r>
          </w:p>
        </w:tc>
        <w:tc>
          <w:tcPr>
            <w:tcW w:w="505" w:type="pct"/>
            <w:vMerge w:val="restart"/>
            <w:vAlign w:val="center"/>
          </w:tcPr>
          <w:p w14:paraId="3228BCBE"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0.49</w:t>
            </w:r>
          </w:p>
        </w:tc>
        <w:tc>
          <w:tcPr>
            <w:tcW w:w="597" w:type="pct"/>
            <w:vMerge w:val="restart"/>
            <w:vAlign w:val="center"/>
          </w:tcPr>
          <w:p w14:paraId="5FDD91E6"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£35,539</w:t>
            </w:r>
          </w:p>
        </w:tc>
      </w:tr>
      <w:tr w:rsidR="00310275" w:rsidRPr="003347A6" w14:paraId="6DA69A3B" w14:textId="77777777" w:rsidTr="00927378">
        <w:trPr>
          <w:trHeight w:val="210"/>
        </w:trPr>
        <w:tc>
          <w:tcPr>
            <w:tcW w:w="1295" w:type="pct"/>
            <w:noWrap/>
          </w:tcPr>
          <w:p w14:paraId="0B6CE250"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Lenalidomide</w:t>
            </w:r>
          </w:p>
        </w:tc>
        <w:tc>
          <w:tcPr>
            <w:tcW w:w="699" w:type="pct"/>
            <w:vAlign w:val="center"/>
          </w:tcPr>
          <w:p w14:paraId="6B32CAD6"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£140,785</w:t>
            </w:r>
          </w:p>
        </w:tc>
        <w:tc>
          <w:tcPr>
            <w:tcW w:w="399" w:type="pct"/>
            <w:vAlign w:val="center"/>
          </w:tcPr>
          <w:p w14:paraId="169C614A"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5.73</w:t>
            </w:r>
          </w:p>
        </w:tc>
        <w:tc>
          <w:tcPr>
            <w:tcW w:w="501" w:type="pct"/>
            <w:vAlign w:val="center"/>
          </w:tcPr>
          <w:p w14:paraId="084D1CF1"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3.43</w:t>
            </w:r>
          </w:p>
        </w:tc>
        <w:tc>
          <w:tcPr>
            <w:tcW w:w="600" w:type="pct"/>
            <w:vMerge/>
          </w:tcPr>
          <w:p w14:paraId="115C00DA" w14:textId="77777777" w:rsidR="00801BC7" w:rsidRPr="003347A6" w:rsidRDefault="00801BC7" w:rsidP="00310275">
            <w:pPr>
              <w:spacing w:after="0" w:line="240" w:lineRule="auto"/>
              <w:jc w:val="right"/>
              <w:rPr>
                <w:rFonts w:ascii="Arial" w:eastAsia="Times New Roman" w:hAnsi="Arial" w:cs="Arial"/>
                <w:b/>
                <w:bCs/>
                <w:sz w:val="20"/>
                <w:szCs w:val="20"/>
                <w:lang w:eastAsia="en-GB"/>
              </w:rPr>
            </w:pPr>
          </w:p>
        </w:tc>
        <w:tc>
          <w:tcPr>
            <w:tcW w:w="404" w:type="pct"/>
            <w:vMerge/>
          </w:tcPr>
          <w:p w14:paraId="1199609F" w14:textId="77777777" w:rsidR="00801BC7" w:rsidRPr="003347A6" w:rsidRDefault="00801BC7" w:rsidP="00310275">
            <w:pPr>
              <w:spacing w:after="0" w:line="240" w:lineRule="auto"/>
              <w:jc w:val="right"/>
              <w:rPr>
                <w:rFonts w:ascii="Arial" w:eastAsia="Times New Roman" w:hAnsi="Arial" w:cs="Arial"/>
                <w:b/>
                <w:bCs/>
                <w:sz w:val="20"/>
                <w:szCs w:val="20"/>
                <w:lang w:eastAsia="en-GB"/>
              </w:rPr>
            </w:pPr>
          </w:p>
        </w:tc>
        <w:tc>
          <w:tcPr>
            <w:tcW w:w="505" w:type="pct"/>
            <w:vMerge/>
          </w:tcPr>
          <w:p w14:paraId="441C7ACB" w14:textId="77777777" w:rsidR="00801BC7" w:rsidRPr="003347A6" w:rsidRDefault="00801BC7" w:rsidP="00310275">
            <w:pPr>
              <w:spacing w:after="0" w:line="240" w:lineRule="auto"/>
              <w:jc w:val="right"/>
              <w:rPr>
                <w:rFonts w:ascii="Arial" w:eastAsia="Times New Roman" w:hAnsi="Arial" w:cs="Arial"/>
                <w:b/>
                <w:bCs/>
                <w:sz w:val="20"/>
                <w:szCs w:val="20"/>
                <w:lang w:eastAsia="en-GB"/>
              </w:rPr>
            </w:pPr>
          </w:p>
        </w:tc>
        <w:tc>
          <w:tcPr>
            <w:tcW w:w="597" w:type="pct"/>
            <w:vMerge/>
          </w:tcPr>
          <w:p w14:paraId="139F9F15" w14:textId="77777777" w:rsidR="00801BC7" w:rsidRPr="003347A6" w:rsidRDefault="00801BC7" w:rsidP="00310275">
            <w:pPr>
              <w:spacing w:after="0" w:line="240" w:lineRule="auto"/>
              <w:jc w:val="right"/>
              <w:rPr>
                <w:rFonts w:ascii="Arial" w:eastAsia="Times New Roman" w:hAnsi="Arial" w:cs="Arial"/>
                <w:b/>
                <w:bCs/>
                <w:sz w:val="20"/>
                <w:szCs w:val="20"/>
                <w:lang w:eastAsia="en-GB"/>
              </w:rPr>
            </w:pPr>
          </w:p>
        </w:tc>
      </w:tr>
      <w:tr w:rsidR="00801BC7" w:rsidRPr="003347A6" w14:paraId="2929B5E2" w14:textId="77777777" w:rsidTr="00310275">
        <w:trPr>
          <w:trHeight w:val="77"/>
        </w:trPr>
        <w:tc>
          <w:tcPr>
            <w:tcW w:w="5000" w:type="pct"/>
            <w:gridSpan w:val="8"/>
            <w:noWrap/>
          </w:tcPr>
          <w:p w14:paraId="2B77ACB7" w14:textId="77777777" w:rsidR="00801BC7" w:rsidRPr="003347A6" w:rsidRDefault="00801BC7" w:rsidP="00FF4E44">
            <w:pPr>
              <w:spacing w:after="0" w:line="240" w:lineRule="auto"/>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Stopping rule - response assessment at 182 days (rather than 84 days)</w:t>
            </w:r>
          </w:p>
        </w:tc>
      </w:tr>
      <w:tr w:rsidR="00310275" w:rsidRPr="003347A6" w14:paraId="2B624FCC" w14:textId="77777777" w:rsidTr="00927378">
        <w:trPr>
          <w:trHeight w:val="211"/>
        </w:trPr>
        <w:tc>
          <w:tcPr>
            <w:tcW w:w="1295" w:type="pct"/>
            <w:noWrap/>
          </w:tcPr>
          <w:p w14:paraId="40336AEE"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Best supportive care</w:t>
            </w:r>
          </w:p>
        </w:tc>
        <w:tc>
          <w:tcPr>
            <w:tcW w:w="699" w:type="pct"/>
            <w:vAlign w:val="center"/>
          </w:tcPr>
          <w:p w14:paraId="0F99FF69"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£122,321</w:t>
            </w:r>
          </w:p>
        </w:tc>
        <w:tc>
          <w:tcPr>
            <w:tcW w:w="399" w:type="pct"/>
            <w:vAlign w:val="center"/>
          </w:tcPr>
          <w:p w14:paraId="21E8158B"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5.19</w:t>
            </w:r>
          </w:p>
        </w:tc>
        <w:tc>
          <w:tcPr>
            <w:tcW w:w="501" w:type="pct"/>
            <w:vAlign w:val="center"/>
          </w:tcPr>
          <w:p w14:paraId="5F8F4A63"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2.97</w:t>
            </w:r>
          </w:p>
        </w:tc>
        <w:tc>
          <w:tcPr>
            <w:tcW w:w="600" w:type="pct"/>
            <w:vMerge w:val="restart"/>
            <w:vAlign w:val="center"/>
          </w:tcPr>
          <w:p w14:paraId="1725B074"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£19,683</w:t>
            </w:r>
          </w:p>
        </w:tc>
        <w:tc>
          <w:tcPr>
            <w:tcW w:w="404" w:type="pct"/>
            <w:vMerge w:val="restart"/>
            <w:vAlign w:val="center"/>
          </w:tcPr>
          <w:p w14:paraId="1BEF089E"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0.90</w:t>
            </w:r>
          </w:p>
        </w:tc>
        <w:tc>
          <w:tcPr>
            <w:tcW w:w="505" w:type="pct"/>
            <w:vMerge w:val="restart"/>
            <w:vAlign w:val="center"/>
          </w:tcPr>
          <w:p w14:paraId="3C2A4AE6"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0.72</w:t>
            </w:r>
          </w:p>
        </w:tc>
        <w:tc>
          <w:tcPr>
            <w:tcW w:w="597" w:type="pct"/>
            <w:vMerge w:val="restart"/>
            <w:vAlign w:val="center"/>
          </w:tcPr>
          <w:p w14:paraId="3D88278E"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£27,232</w:t>
            </w:r>
          </w:p>
        </w:tc>
      </w:tr>
      <w:tr w:rsidR="00310275" w:rsidRPr="003347A6" w14:paraId="18D131D9" w14:textId="77777777" w:rsidTr="00927378">
        <w:trPr>
          <w:trHeight w:val="210"/>
        </w:trPr>
        <w:tc>
          <w:tcPr>
            <w:tcW w:w="1295" w:type="pct"/>
            <w:noWrap/>
          </w:tcPr>
          <w:p w14:paraId="759C1D72"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Lenalidomide</w:t>
            </w:r>
          </w:p>
        </w:tc>
        <w:tc>
          <w:tcPr>
            <w:tcW w:w="699" w:type="pct"/>
            <w:vAlign w:val="center"/>
          </w:tcPr>
          <w:p w14:paraId="0122A48A"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£142,004</w:t>
            </w:r>
          </w:p>
        </w:tc>
        <w:tc>
          <w:tcPr>
            <w:tcW w:w="399" w:type="pct"/>
            <w:vAlign w:val="center"/>
          </w:tcPr>
          <w:p w14:paraId="290EFB01"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6.09</w:t>
            </w:r>
          </w:p>
        </w:tc>
        <w:tc>
          <w:tcPr>
            <w:tcW w:w="501" w:type="pct"/>
            <w:vAlign w:val="center"/>
          </w:tcPr>
          <w:p w14:paraId="3EC02A09"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3.69</w:t>
            </w:r>
          </w:p>
        </w:tc>
        <w:tc>
          <w:tcPr>
            <w:tcW w:w="600" w:type="pct"/>
            <w:vMerge/>
          </w:tcPr>
          <w:p w14:paraId="6D1963FC" w14:textId="77777777" w:rsidR="00801BC7" w:rsidRPr="003347A6" w:rsidRDefault="00801BC7" w:rsidP="00310275">
            <w:pPr>
              <w:spacing w:after="0" w:line="240" w:lineRule="auto"/>
              <w:jc w:val="right"/>
              <w:rPr>
                <w:rFonts w:ascii="Arial" w:eastAsia="Times New Roman" w:hAnsi="Arial" w:cs="Arial"/>
                <w:b/>
                <w:bCs/>
                <w:sz w:val="20"/>
                <w:szCs w:val="20"/>
                <w:lang w:eastAsia="en-GB"/>
              </w:rPr>
            </w:pPr>
          </w:p>
        </w:tc>
        <w:tc>
          <w:tcPr>
            <w:tcW w:w="404" w:type="pct"/>
            <w:vMerge/>
          </w:tcPr>
          <w:p w14:paraId="021DB270" w14:textId="77777777" w:rsidR="00801BC7" w:rsidRPr="003347A6" w:rsidRDefault="00801BC7" w:rsidP="00310275">
            <w:pPr>
              <w:spacing w:after="0" w:line="240" w:lineRule="auto"/>
              <w:jc w:val="right"/>
              <w:rPr>
                <w:rFonts w:ascii="Arial" w:eastAsia="Times New Roman" w:hAnsi="Arial" w:cs="Arial"/>
                <w:b/>
                <w:bCs/>
                <w:sz w:val="20"/>
                <w:szCs w:val="20"/>
                <w:lang w:eastAsia="en-GB"/>
              </w:rPr>
            </w:pPr>
          </w:p>
        </w:tc>
        <w:tc>
          <w:tcPr>
            <w:tcW w:w="505" w:type="pct"/>
            <w:vMerge/>
          </w:tcPr>
          <w:p w14:paraId="485317C7" w14:textId="77777777" w:rsidR="00801BC7" w:rsidRPr="003347A6" w:rsidRDefault="00801BC7" w:rsidP="00310275">
            <w:pPr>
              <w:spacing w:after="0" w:line="240" w:lineRule="auto"/>
              <w:jc w:val="right"/>
              <w:rPr>
                <w:rFonts w:ascii="Arial" w:eastAsia="Times New Roman" w:hAnsi="Arial" w:cs="Arial"/>
                <w:b/>
                <w:bCs/>
                <w:sz w:val="20"/>
                <w:szCs w:val="20"/>
                <w:lang w:eastAsia="en-GB"/>
              </w:rPr>
            </w:pPr>
          </w:p>
        </w:tc>
        <w:tc>
          <w:tcPr>
            <w:tcW w:w="597" w:type="pct"/>
            <w:vMerge/>
          </w:tcPr>
          <w:p w14:paraId="36C403C3" w14:textId="77777777" w:rsidR="00801BC7" w:rsidRPr="003347A6" w:rsidRDefault="00801BC7" w:rsidP="00310275">
            <w:pPr>
              <w:spacing w:after="0" w:line="240" w:lineRule="auto"/>
              <w:jc w:val="right"/>
              <w:rPr>
                <w:rFonts w:ascii="Arial" w:eastAsia="Times New Roman" w:hAnsi="Arial" w:cs="Arial"/>
                <w:b/>
                <w:bCs/>
                <w:sz w:val="20"/>
                <w:szCs w:val="20"/>
                <w:lang w:eastAsia="en-GB"/>
              </w:rPr>
            </w:pPr>
          </w:p>
        </w:tc>
      </w:tr>
      <w:tr w:rsidR="00801BC7" w:rsidRPr="003347A6" w14:paraId="30A0D293" w14:textId="77777777" w:rsidTr="00310275">
        <w:trPr>
          <w:trHeight w:val="77"/>
        </w:trPr>
        <w:tc>
          <w:tcPr>
            <w:tcW w:w="5000" w:type="pct"/>
            <w:gridSpan w:val="8"/>
            <w:noWrap/>
          </w:tcPr>
          <w:p w14:paraId="2C721BCA" w14:textId="77777777" w:rsidR="00801BC7" w:rsidRPr="003347A6" w:rsidRDefault="00801BC7" w:rsidP="00FF4E44">
            <w:pPr>
              <w:spacing w:after="0" w:line="240" w:lineRule="auto"/>
              <w:jc w:val="center"/>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Parameter uncertainty</w:t>
            </w:r>
          </w:p>
        </w:tc>
      </w:tr>
      <w:tr w:rsidR="00801BC7" w:rsidRPr="003347A6" w14:paraId="3A180AF9" w14:textId="77777777" w:rsidTr="00310275">
        <w:trPr>
          <w:trHeight w:val="77"/>
        </w:trPr>
        <w:tc>
          <w:tcPr>
            <w:tcW w:w="5000" w:type="pct"/>
            <w:gridSpan w:val="8"/>
            <w:noWrap/>
            <w:hideMark/>
          </w:tcPr>
          <w:p w14:paraId="24BB221A" w14:textId="77777777" w:rsidR="00801BC7" w:rsidRPr="003347A6" w:rsidRDefault="00801BC7" w:rsidP="00FF4E44">
            <w:pPr>
              <w:spacing w:after="0" w:line="240" w:lineRule="auto"/>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Use of alternative utility sources - Buckstein</w:t>
            </w:r>
          </w:p>
        </w:tc>
      </w:tr>
      <w:tr w:rsidR="00310275" w:rsidRPr="003347A6" w14:paraId="6B17C6B8" w14:textId="77777777" w:rsidTr="00927378">
        <w:trPr>
          <w:trHeight w:val="360"/>
        </w:trPr>
        <w:tc>
          <w:tcPr>
            <w:tcW w:w="1295" w:type="pct"/>
            <w:noWrap/>
            <w:hideMark/>
          </w:tcPr>
          <w:p w14:paraId="4769CFE4"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Best supportive care</w:t>
            </w:r>
          </w:p>
        </w:tc>
        <w:tc>
          <w:tcPr>
            <w:tcW w:w="699" w:type="pct"/>
            <w:noWrap/>
            <w:vAlign w:val="center"/>
          </w:tcPr>
          <w:p w14:paraId="41594B13"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£123,241</w:t>
            </w:r>
          </w:p>
        </w:tc>
        <w:tc>
          <w:tcPr>
            <w:tcW w:w="399" w:type="pct"/>
            <w:noWrap/>
            <w:vAlign w:val="center"/>
          </w:tcPr>
          <w:p w14:paraId="19A1EB4D"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5.17</w:t>
            </w:r>
          </w:p>
        </w:tc>
        <w:tc>
          <w:tcPr>
            <w:tcW w:w="501" w:type="pct"/>
            <w:noWrap/>
            <w:vAlign w:val="center"/>
          </w:tcPr>
          <w:p w14:paraId="73CCA2D1"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2.99</w:t>
            </w:r>
          </w:p>
        </w:tc>
        <w:tc>
          <w:tcPr>
            <w:tcW w:w="600" w:type="pct"/>
            <w:vMerge w:val="restart"/>
            <w:noWrap/>
            <w:vAlign w:val="center"/>
          </w:tcPr>
          <w:p w14:paraId="0C8F0E76"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£18,229</w:t>
            </w:r>
          </w:p>
        </w:tc>
        <w:tc>
          <w:tcPr>
            <w:tcW w:w="404" w:type="pct"/>
            <w:vMerge w:val="restart"/>
            <w:noWrap/>
            <w:vAlign w:val="center"/>
          </w:tcPr>
          <w:p w14:paraId="672A72F2"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0.88</w:t>
            </w:r>
          </w:p>
        </w:tc>
        <w:tc>
          <w:tcPr>
            <w:tcW w:w="505" w:type="pct"/>
            <w:vMerge w:val="restart"/>
            <w:noWrap/>
            <w:vAlign w:val="center"/>
          </w:tcPr>
          <w:p w14:paraId="6288A2F3" w14:textId="7CEEF9BE"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0.68</w:t>
            </w:r>
          </w:p>
        </w:tc>
        <w:tc>
          <w:tcPr>
            <w:tcW w:w="597" w:type="pct"/>
            <w:vMerge w:val="restart"/>
            <w:noWrap/>
            <w:vAlign w:val="center"/>
          </w:tcPr>
          <w:p w14:paraId="2EE039D7"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£26,668</w:t>
            </w:r>
          </w:p>
        </w:tc>
      </w:tr>
      <w:tr w:rsidR="00310275" w:rsidRPr="003347A6" w14:paraId="0251B99D" w14:textId="77777777" w:rsidTr="00927378">
        <w:trPr>
          <w:trHeight w:val="87"/>
        </w:trPr>
        <w:tc>
          <w:tcPr>
            <w:tcW w:w="1295" w:type="pct"/>
            <w:noWrap/>
            <w:hideMark/>
          </w:tcPr>
          <w:p w14:paraId="0A2F63FA"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Lenalidomide</w:t>
            </w:r>
          </w:p>
        </w:tc>
        <w:tc>
          <w:tcPr>
            <w:tcW w:w="699" w:type="pct"/>
            <w:noWrap/>
            <w:vAlign w:val="center"/>
          </w:tcPr>
          <w:p w14:paraId="571B2D49"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£141,470</w:t>
            </w:r>
          </w:p>
        </w:tc>
        <w:tc>
          <w:tcPr>
            <w:tcW w:w="399" w:type="pct"/>
            <w:noWrap/>
            <w:vAlign w:val="center"/>
          </w:tcPr>
          <w:p w14:paraId="48A51D97"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6.06</w:t>
            </w:r>
          </w:p>
        </w:tc>
        <w:tc>
          <w:tcPr>
            <w:tcW w:w="501" w:type="pct"/>
            <w:noWrap/>
            <w:vAlign w:val="center"/>
          </w:tcPr>
          <w:p w14:paraId="016CFC0E"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3.67</w:t>
            </w:r>
          </w:p>
        </w:tc>
        <w:tc>
          <w:tcPr>
            <w:tcW w:w="600" w:type="pct"/>
            <w:vMerge/>
            <w:noWrap/>
          </w:tcPr>
          <w:p w14:paraId="4D0E6287"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404" w:type="pct"/>
            <w:vMerge/>
            <w:noWrap/>
          </w:tcPr>
          <w:p w14:paraId="3BE6ACC9"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05" w:type="pct"/>
            <w:vMerge/>
            <w:noWrap/>
          </w:tcPr>
          <w:p w14:paraId="1B7F74DC"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97" w:type="pct"/>
            <w:vMerge/>
            <w:noWrap/>
          </w:tcPr>
          <w:p w14:paraId="03B2ED99"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r>
      <w:tr w:rsidR="00801BC7" w:rsidRPr="003347A6" w14:paraId="04E73A50" w14:textId="77777777" w:rsidTr="00310275">
        <w:trPr>
          <w:trHeight w:val="77"/>
        </w:trPr>
        <w:tc>
          <w:tcPr>
            <w:tcW w:w="5000" w:type="pct"/>
            <w:gridSpan w:val="8"/>
            <w:noWrap/>
            <w:hideMark/>
          </w:tcPr>
          <w:p w14:paraId="144A63E6" w14:textId="77777777" w:rsidR="00801BC7" w:rsidRPr="003347A6" w:rsidRDefault="00801BC7" w:rsidP="00FF4E44">
            <w:pPr>
              <w:spacing w:after="0" w:line="240" w:lineRule="auto"/>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t>Use of alternative utility sources - Goss</w:t>
            </w:r>
          </w:p>
        </w:tc>
      </w:tr>
      <w:tr w:rsidR="00310275" w:rsidRPr="003347A6" w14:paraId="7C1BF3EF" w14:textId="77777777" w:rsidTr="00927378">
        <w:trPr>
          <w:trHeight w:val="360"/>
        </w:trPr>
        <w:tc>
          <w:tcPr>
            <w:tcW w:w="1295" w:type="pct"/>
            <w:noWrap/>
            <w:hideMark/>
          </w:tcPr>
          <w:p w14:paraId="35B4CBAE"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Best supportive care</w:t>
            </w:r>
          </w:p>
        </w:tc>
        <w:tc>
          <w:tcPr>
            <w:tcW w:w="699" w:type="pct"/>
            <w:noWrap/>
            <w:vAlign w:val="center"/>
          </w:tcPr>
          <w:p w14:paraId="73F6AA06"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£123,241</w:t>
            </w:r>
          </w:p>
        </w:tc>
        <w:tc>
          <w:tcPr>
            <w:tcW w:w="399" w:type="pct"/>
            <w:noWrap/>
            <w:vAlign w:val="center"/>
          </w:tcPr>
          <w:p w14:paraId="58E5A3E3"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5.17</w:t>
            </w:r>
          </w:p>
        </w:tc>
        <w:tc>
          <w:tcPr>
            <w:tcW w:w="501" w:type="pct"/>
            <w:noWrap/>
            <w:vAlign w:val="center"/>
          </w:tcPr>
          <w:p w14:paraId="7CCD111B"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2.31</w:t>
            </w:r>
          </w:p>
        </w:tc>
        <w:tc>
          <w:tcPr>
            <w:tcW w:w="600" w:type="pct"/>
            <w:vMerge w:val="restart"/>
            <w:noWrap/>
            <w:vAlign w:val="center"/>
          </w:tcPr>
          <w:p w14:paraId="62162A40"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£18,229</w:t>
            </w:r>
          </w:p>
        </w:tc>
        <w:tc>
          <w:tcPr>
            <w:tcW w:w="404" w:type="pct"/>
            <w:vMerge w:val="restart"/>
            <w:noWrap/>
            <w:vAlign w:val="center"/>
          </w:tcPr>
          <w:p w14:paraId="075FB364"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0.88</w:t>
            </w:r>
          </w:p>
        </w:tc>
        <w:tc>
          <w:tcPr>
            <w:tcW w:w="505" w:type="pct"/>
            <w:vMerge w:val="restart"/>
            <w:noWrap/>
            <w:vAlign w:val="center"/>
          </w:tcPr>
          <w:p w14:paraId="7D71CA82"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0.92</w:t>
            </w:r>
          </w:p>
        </w:tc>
        <w:tc>
          <w:tcPr>
            <w:tcW w:w="597" w:type="pct"/>
            <w:vMerge w:val="restart"/>
            <w:noWrap/>
            <w:vAlign w:val="center"/>
          </w:tcPr>
          <w:p w14:paraId="1172CC80"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£19,732</w:t>
            </w:r>
          </w:p>
        </w:tc>
      </w:tr>
      <w:tr w:rsidR="00310275" w:rsidRPr="003347A6" w14:paraId="37679769" w14:textId="77777777" w:rsidTr="00927378">
        <w:trPr>
          <w:trHeight w:val="386"/>
        </w:trPr>
        <w:tc>
          <w:tcPr>
            <w:tcW w:w="1295" w:type="pct"/>
            <w:noWrap/>
            <w:hideMark/>
          </w:tcPr>
          <w:p w14:paraId="576A02D2"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Lenalidomide</w:t>
            </w:r>
          </w:p>
        </w:tc>
        <w:tc>
          <w:tcPr>
            <w:tcW w:w="699" w:type="pct"/>
            <w:noWrap/>
          </w:tcPr>
          <w:p w14:paraId="18FB1AD1"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£141,470</w:t>
            </w:r>
          </w:p>
        </w:tc>
        <w:tc>
          <w:tcPr>
            <w:tcW w:w="399" w:type="pct"/>
            <w:noWrap/>
            <w:vAlign w:val="center"/>
          </w:tcPr>
          <w:p w14:paraId="7440864F" w14:textId="77777777" w:rsidR="00801BC7" w:rsidRPr="003347A6" w:rsidRDefault="00801BC7" w:rsidP="00927378">
            <w:pPr>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6.06</w:t>
            </w:r>
          </w:p>
        </w:tc>
        <w:tc>
          <w:tcPr>
            <w:tcW w:w="501" w:type="pct"/>
            <w:noWrap/>
            <w:vAlign w:val="center"/>
          </w:tcPr>
          <w:p w14:paraId="6A6D825A" w14:textId="77777777" w:rsidR="00801BC7" w:rsidRPr="003347A6" w:rsidRDefault="00801BC7" w:rsidP="00927378">
            <w:pPr>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3.23</w:t>
            </w:r>
          </w:p>
        </w:tc>
        <w:tc>
          <w:tcPr>
            <w:tcW w:w="600" w:type="pct"/>
            <w:vMerge/>
            <w:noWrap/>
          </w:tcPr>
          <w:p w14:paraId="062EA811"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404" w:type="pct"/>
            <w:vMerge/>
            <w:noWrap/>
          </w:tcPr>
          <w:p w14:paraId="46F240D5"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05" w:type="pct"/>
            <w:vMerge/>
            <w:noWrap/>
          </w:tcPr>
          <w:p w14:paraId="56AE0F1B"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97" w:type="pct"/>
            <w:vMerge/>
            <w:noWrap/>
          </w:tcPr>
          <w:p w14:paraId="6E8675F1"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r>
      <w:tr w:rsidR="00801BC7" w:rsidRPr="003347A6" w14:paraId="567205FE" w14:textId="77777777" w:rsidTr="00310275">
        <w:tc>
          <w:tcPr>
            <w:tcW w:w="5000" w:type="pct"/>
            <w:gridSpan w:val="8"/>
            <w:noWrap/>
            <w:hideMark/>
          </w:tcPr>
          <w:p w14:paraId="1C287089" w14:textId="77777777" w:rsidR="00801BC7" w:rsidRPr="003347A6" w:rsidRDefault="00801BC7" w:rsidP="00FF4E44">
            <w:pPr>
              <w:spacing w:after="0" w:line="240" w:lineRule="auto"/>
              <w:rPr>
                <w:rFonts w:ascii="Arial" w:eastAsia="Times New Roman" w:hAnsi="Arial" w:cs="Arial"/>
                <w:b/>
                <w:bCs/>
                <w:sz w:val="20"/>
                <w:szCs w:val="20"/>
                <w:lang w:eastAsia="en-GB"/>
              </w:rPr>
            </w:pPr>
            <w:r w:rsidRPr="003347A6">
              <w:rPr>
                <w:rFonts w:ascii="Arial" w:eastAsia="Times New Roman" w:hAnsi="Arial" w:cs="Arial"/>
                <w:b/>
                <w:bCs/>
                <w:sz w:val="20"/>
                <w:szCs w:val="20"/>
                <w:lang w:eastAsia="en-GB"/>
              </w:rPr>
              <w:lastRenderedPageBreak/>
              <w:t>Utility of AML = 0</w:t>
            </w:r>
          </w:p>
        </w:tc>
      </w:tr>
      <w:tr w:rsidR="00310275" w:rsidRPr="003347A6" w14:paraId="1E4FEF35" w14:textId="77777777" w:rsidTr="00927378">
        <w:tc>
          <w:tcPr>
            <w:tcW w:w="1295" w:type="pct"/>
            <w:noWrap/>
            <w:hideMark/>
          </w:tcPr>
          <w:p w14:paraId="6F5CD363"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Best supportive care</w:t>
            </w:r>
          </w:p>
        </w:tc>
        <w:tc>
          <w:tcPr>
            <w:tcW w:w="699" w:type="pct"/>
            <w:noWrap/>
            <w:vAlign w:val="center"/>
          </w:tcPr>
          <w:p w14:paraId="57266F4E"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£123,241</w:t>
            </w:r>
          </w:p>
        </w:tc>
        <w:tc>
          <w:tcPr>
            <w:tcW w:w="399" w:type="pct"/>
            <w:noWrap/>
            <w:vAlign w:val="center"/>
          </w:tcPr>
          <w:p w14:paraId="7888E45D"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5.17</w:t>
            </w:r>
          </w:p>
        </w:tc>
        <w:tc>
          <w:tcPr>
            <w:tcW w:w="501" w:type="pct"/>
            <w:noWrap/>
            <w:vAlign w:val="center"/>
          </w:tcPr>
          <w:p w14:paraId="36ADCC9B"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2.82</w:t>
            </w:r>
          </w:p>
        </w:tc>
        <w:tc>
          <w:tcPr>
            <w:tcW w:w="600" w:type="pct"/>
            <w:vMerge w:val="restart"/>
            <w:noWrap/>
            <w:vAlign w:val="center"/>
          </w:tcPr>
          <w:p w14:paraId="448F23DC"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£18,229</w:t>
            </w:r>
          </w:p>
        </w:tc>
        <w:tc>
          <w:tcPr>
            <w:tcW w:w="404" w:type="pct"/>
            <w:vMerge w:val="restart"/>
            <w:noWrap/>
            <w:vAlign w:val="center"/>
          </w:tcPr>
          <w:p w14:paraId="425F88B0"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0.88</w:t>
            </w:r>
          </w:p>
        </w:tc>
        <w:tc>
          <w:tcPr>
            <w:tcW w:w="505" w:type="pct"/>
            <w:vMerge w:val="restart"/>
            <w:noWrap/>
            <w:vAlign w:val="center"/>
          </w:tcPr>
          <w:p w14:paraId="660B92A4"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0.70</w:t>
            </w:r>
          </w:p>
        </w:tc>
        <w:tc>
          <w:tcPr>
            <w:tcW w:w="597" w:type="pct"/>
            <w:vMerge w:val="restart"/>
            <w:noWrap/>
            <w:vAlign w:val="center"/>
          </w:tcPr>
          <w:p w14:paraId="65057B16"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£26,139</w:t>
            </w:r>
          </w:p>
        </w:tc>
      </w:tr>
      <w:tr w:rsidR="00310275" w:rsidRPr="003347A6" w14:paraId="5CACA02D" w14:textId="77777777" w:rsidTr="00927378">
        <w:trPr>
          <w:trHeight w:val="64"/>
        </w:trPr>
        <w:tc>
          <w:tcPr>
            <w:tcW w:w="1295" w:type="pct"/>
            <w:noWrap/>
            <w:hideMark/>
          </w:tcPr>
          <w:p w14:paraId="7B989386" w14:textId="77777777" w:rsidR="00801BC7" w:rsidRPr="003347A6" w:rsidRDefault="00801BC7" w:rsidP="00FF4E44">
            <w:pPr>
              <w:spacing w:after="0" w:line="240" w:lineRule="auto"/>
              <w:rPr>
                <w:rFonts w:ascii="Arial" w:eastAsia="Times New Roman" w:hAnsi="Arial" w:cs="Arial"/>
                <w:sz w:val="20"/>
                <w:szCs w:val="20"/>
                <w:lang w:eastAsia="en-GB"/>
              </w:rPr>
            </w:pPr>
            <w:r w:rsidRPr="003347A6">
              <w:rPr>
                <w:rFonts w:ascii="Arial" w:eastAsia="Times New Roman" w:hAnsi="Arial" w:cs="Arial"/>
                <w:sz w:val="20"/>
                <w:szCs w:val="20"/>
                <w:lang w:eastAsia="en-GB"/>
              </w:rPr>
              <w:t>Lenalidomide</w:t>
            </w:r>
          </w:p>
        </w:tc>
        <w:tc>
          <w:tcPr>
            <w:tcW w:w="699" w:type="pct"/>
            <w:noWrap/>
          </w:tcPr>
          <w:p w14:paraId="276082A1" w14:textId="77777777" w:rsidR="00801BC7" w:rsidRPr="003347A6" w:rsidRDefault="00801BC7" w:rsidP="00927378">
            <w:pPr>
              <w:spacing w:after="0" w:line="240" w:lineRule="auto"/>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£141,470</w:t>
            </w:r>
          </w:p>
        </w:tc>
        <w:tc>
          <w:tcPr>
            <w:tcW w:w="399" w:type="pct"/>
            <w:noWrap/>
            <w:vAlign w:val="center"/>
          </w:tcPr>
          <w:p w14:paraId="3C801336" w14:textId="77777777" w:rsidR="00801BC7" w:rsidRPr="003347A6" w:rsidRDefault="00801BC7" w:rsidP="00927378">
            <w:pPr>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6.06</w:t>
            </w:r>
          </w:p>
        </w:tc>
        <w:tc>
          <w:tcPr>
            <w:tcW w:w="501" w:type="pct"/>
            <w:noWrap/>
            <w:vAlign w:val="center"/>
          </w:tcPr>
          <w:p w14:paraId="186DC55A" w14:textId="77777777" w:rsidR="00801BC7" w:rsidRPr="003347A6" w:rsidRDefault="00801BC7" w:rsidP="00927378">
            <w:pPr>
              <w:jc w:val="center"/>
              <w:rPr>
                <w:rFonts w:ascii="Arial" w:eastAsia="Times New Roman" w:hAnsi="Arial" w:cs="Arial"/>
                <w:sz w:val="20"/>
                <w:szCs w:val="20"/>
                <w:lang w:eastAsia="en-GB"/>
              </w:rPr>
            </w:pPr>
            <w:r w:rsidRPr="003347A6">
              <w:rPr>
                <w:rFonts w:ascii="Arial" w:eastAsia="Times New Roman" w:hAnsi="Arial" w:cs="Arial"/>
                <w:sz w:val="20"/>
                <w:szCs w:val="20"/>
                <w:lang w:eastAsia="en-GB"/>
              </w:rPr>
              <w:t>3.52</w:t>
            </w:r>
          </w:p>
        </w:tc>
        <w:tc>
          <w:tcPr>
            <w:tcW w:w="600" w:type="pct"/>
            <w:vMerge/>
            <w:noWrap/>
          </w:tcPr>
          <w:p w14:paraId="4638D327"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404" w:type="pct"/>
            <w:vMerge/>
            <w:noWrap/>
          </w:tcPr>
          <w:p w14:paraId="0D09679F"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05" w:type="pct"/>
            <w:vMerge/>
            <w:noWrap/>
          </w:tcPr>
          <w:p w14:paraId="3CD8FA2E"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c>
          <w:tcPr>
            <w:tcW w:w="597" w:type="pct"/>
            <w:vMerge/>
            <w:noWrap/>
          </w:tcPr>
          <w:p w14:paraId="6B02921F" w14:textId="77777777" w:rsidR="00801BC7" w:rsidRPr="003347A6" w:rsidRDefault="00801BC7" w:rsidP="00310275">
            <w:pPr>
              <w:spacing w:after="0" w:line="240" w:lineRule="auto"/>
              <w:jc w:val="right"/>
              <w:rPr>
                <w:rFonts w:ascii="Arial" w:eastAsia="Times New Roman" w:hAnsi="Arial" w:cs="Arial"/>
                <w:sz w:val="20"/>
                <w:szCs w:val="20"/>
                <w:lang w:eastAsia="en-GB"/>
              </w:rPr>
            </w:pPr>
          </w:p>
        </w:tc>
      </w:tr>
    </w:tbl>
    <w:p w14:paraId="0DBD68C7" w14:textId="78D45A2D" w:rsidR="00D75B23" w:rsidRPr="003347A6" w:rsidRDefault="00D75B23" w:rsidP="00801BC7">
      <w:pPr>
        <w:rPr>
          <w:rFonts w:ascii="Arial" w:hAnsi="Arial" w:cs="Arial"/>
          <w:sz w:val="18"/>
          <w:szCs w:val="18"/>
        </w:rPr>
      </w:pPr>
      <w:r w:rsidRPr="003347A6">
        <w:rPr>
          <w:rFonts w:ascii="Arial" w:hAnsi="Arial" w:cs="Arial"/>
          <w:sz w:val="18"/>
          <w:szCs w:val="18"/>
        </w:rPr>
        <w:t>Note: Costs and QALYs discounted at 3.5% per year</w:t>
      </w:r>
    </w:p>
    <w:p w14:paraId="6589D45C" w14:textId="13EF250C" w:rsidR="00801BC7" w:rsidRPr="003347A6" w:rsidRDefault="00801BC7" w:rsidP="00801BC7">
      <w:pPr>
        <w:rPr>
          <w:rFonts w:ascii="Arial" w:hAnsi="Arial" w:cs="Arial"/>
          <w:sz w:val="18"/>
          <w:szCs w:val="18"/>
        </w:rPr>
      </w:pPr>
      <w:r w:rsidRPr="003347A6">
        <w:rPr>
          <w:rFonts w:ascii="Arial" w:hAnsi="Arial" w:cs="Arial"/>
          <w:i/>
          <w:sz w:val="18"/>
          <w:szCs w:val="18"/>
        </w:rPr>
        <w:t>ESA</w:t>
      </w:r>
      <w:r w:rsidRPr="003347A6">
        <w:rPr>
          <w:rFonts w:ascii="Arial" w:hAnsi="Arial" w:cs="Arial"/>
          <w:sz w:val="18"/>
          <w:szCs w:val="18"/>
        </w:rPr>
        <w:t xml:space="preserve"> erythropoiesis-stimulating agents</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ICER</w:t>
      </w:r>
      <w:r w:rsidRPr="003347A6">
        <w:rPr>
          <w:rFonts w:ascii="Arial" w:hAnsi="Arial" w:cs="Arial"/>
          <w:sz w:val="18"/>
          <w:szCs w:val="18"/>
        </w:rPr>
        <w:t xml:space="preserve"> incremental cost effectiveness ratio</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LYG</w:t>
      </w:r>
      <w:r w:rsidRPr="003347A6">
        <w:rPr>
          <w:rFonts w:ascii="Arial" w:hAnsi="Arial" w:cs="Arial"/>
          <w:sz w:val="18"/>
          <w:szCs w:val="18"/>
        </w:rPr>
        <w:t xml:space="preserve"> life year gained</w:t>
      </w:r>
      <w:r w:rsidR="00D75B23" w:rsidRPr="003347A6">
        <w:rPr>
          <w:rFonts w:ascii="Arial" w:hAnsi="Arial" w:cs="Arial"/>
          <w:sz w:val="18"/>
          <w:szCs w:val="18"/>
        </w:rPr>
        <w:t>,</w:t>
      </w:r>
      <w:r w:rsidRPr="003347A6">
        <w:rPr>
          <w:rFonts w:ascii="Arial" w:hAnsi="Arial" w:cs="Arial"/>
          <w:sz w:val="18"/>
          <w:szCs w:val="18"/>
        </w:rPr>
        <w:t xml:space="preserve"> </w:t>
      </w:r>
      <w:r w:rsidRPr="003347A6">
        <w:rPr>
          <w:rFonts w:ascii="Arial" w:hAnsi="Arial" w:cs="Arial"/>
          <w:i/>
          <w:sz w:val="18"/>
          <w:szCs w:val="18"/>
        </w:rPr>
        <w:t>QALY</w:t>
      </w:r>
      <w:r w:rsidRPr="003347A6">
        <w:rPr>
          <w:rFonts w:ascii="Arial" w:hAnsi="Arial" w:cs="Arial"/>
          <w:sz w:val="18"/>
          <w:szCs w:val="18"/>
        </w:rPr>
        <w:t xml:space="preserve"> quality-adjusted life year</w:t>
      </w:r>
    </w:p>
    <w:p w14:paraId="6697822E" w14:textId="2FA6ECB5" w:rsidR="00B77056" w:rsidRPr="003347A6" w:rsidRDefault="00B77056">
      <w:pPr>
        <w:spacing w:before="0" w:after="200" w:line="276" w:lineRule="auto"/>
        <w:rPr>
          <w:rFonts w:ascii="Arial" w:hAnsi="Arial" w:cs="Arial"/>
          <w:sz w:val="18"/>
          <w:szCs w:val="18"/>
        </w:rPr>
      </w:pPr>
      <w:r w:rsidRPr="003347A6">
        <w:rPr>
          <w:rFonts w:ascii="Arial" w:hAnsi="Arial" w:cs="Arial"/>
          <w:sz w:val="18"/>
          <w:szCs w:val="18"/>
        </w:rPr>
        <w:br w:type="page"/>
      </w:r>
    </w:p>
    <w:p w14:paraId="57B94700" w14:textId="0837E146" w:rsidR="00D7489E" w:rsidRPr="003347A6" w:rsidRDefault="00D7489E" w:rsidP="009114DE">
      <w:pPr>
        <w:pStyle w:val="Heading1"/>
        <w:numPr>
          <w:ilvl w:val="0"/>
          <w:numId w:val="44"/>
        </w:numPr>
      </w:pPr>
      <w:bookmarkStart w:id="5" w:name="_Ref437355221"/>
      <w:bookmarkStart w:id="6" w:name="_Ref438570501"/>
      <w:r w:rsidRPr="003347A6">
        <w:lastRenderedPageBreak/>
        <w:t>Figures</w:t>
      </w:r>
    </w:p>
    <w:p w14:paraId="30D12844" w14:textId="0C49306F" w:rsidR="00FF00E8" w:rsidRPr="003347A6" w:rsidRDefault="00FF00E8" w:rsidP="00FF00E8">
      <w:pPr>
        <w:pStyle w:val="Caption"/>
        <w:rPr>
          <w:rFonts w:cs="Arial"/>
          <w:szCs w:val="21"/>
        </w:rPr>
      </w:pPr>
      <w:r w:rsidRPr="003347A6">
        <w:t>Fig. S</w:t>
      </w:r>
      <w:r w:rsidRPr="003347A6">
        <w:rPr>
          <w:noProof/>
        </w:rPr>
        <w:t>1</w:t>
      </w:r>
      <w:r w:rsidRPr="003347A6">
        <w:t xml:space="preserve"> </w:t>
      </w:r>
      <w:r w:rsidRPr="003347A6">
        <w:rPr>
          <w:b w:val="0"/>
        </w:rPr>
        <w:t>Cost-effectiveness acceptability plane</w:t>
      </w:r>
    </w:p>
    <w:p w14:paraId="630273D2" w14:textId="77777777" w:rsidR="00FF00E8" w:rsidRPr="003347A6" w:rsidRDefault="00FF00E8" w:rsidP="00FF00E8">
      <w:pPr>
        <w:pStyle w:val="ListParagraph"/>
        <w:numPr>
          <w:ilvl w:val="0"/>
          <w:numId w:val="44"/>
        </w:numPr>
        <w:spacing w:after="0"/>
        <w:rPr>
          <w:rFonts w:cs="Arial"/>
          <w:szCs w:val="21"/>
        </w:rPr>
      </w:pPr>
      <w:r w:rsidRPr="003347A6">
        <w:rPr>
          <w:noProof/>
          <w:lang w:val="en-US"/>
        </w:rPr>
        <w:drawing>
          <wp:inline distT="0" distB="0" distL="0" distR="0" wp14:anchorId="68F9A3D6" wp14:editId="4C0F3D41">
            <wp:extent cx="5400897" cy="249540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9378" cy="2503939"/>
                    </a:xfrm>
                    <a:prstGeom prst="rect">
                      <a:avLst/>
                    </a:prstGeom>
                    <a:noFill/>
                  </pic:spPr>
                </pic:pic>
              </a:graphicData>
            </a:graphic>
          </wp:inline>
        </w:drawing>
      </w:r>
    </w:p>
    <w:p w14:paraId="70222530" w14:textId="77777777" w:rsidR="00FF00E8" w:rsidRPr="003347A6" w:rsidRDefault="00FF00E8" w:rsidP="00FF00E8">
      <w:pPr>
        <w:pStyle w:val="ListParagraph"/>
        <w:numPr>
          <w:ilvl w:val="0"/>
          <w:numId w:val="44"/>
        </w:numPr>
        <w:rPr>
          <w:rFonts w:ascii="Arial" w:hAnsi="Arial" w:cs="Arial"/>
          <w:sz w:val="18"/>
          <w:szCs w:val="20"/>
        </w:rPr>
      </w:pPr>
      <w:r w:rsidRPr="003347A6">
        <w:rPr>
          <w:rFonts w:ascii="Arial" w:hAnsi="Arial" w:cs="Arial"/>
          <w:i/>
          <w:sz w:val="18"/>
          <w:szCs w:val="20"/>
        </w:rPr>
        <w:t>BSC</w:t>
      </w:r>
      <w:r w:rsidRPr="003347A6">
        <w:rPr>
          <w:rFonts w:ascii="Arial" w:hAnsi="Arial" w:cs="Arial"/>
          <w:sz w:val="18"/>
          <w:szCs w:val="20"/>
        </w:rPr>
        <w:t xml:space="preserve"> best supportive care, </w:t>
      </w:r>
      <w:r w:rsidRPr="003347A6">
        <w:rPr>
          <w:rFonts w:ascii="Arial" w:hAnsi="Arial" w:cs="Arial"/>
          <w:i/>
          <w:sz w:val="18"/>
          <w:szCs w:val="20"/>
        </w:rPr>
        <w:t>EUMDS</w:t>
      </w:r>
      <w:r w:rsidRPr="003347A6">
        <w:rPr>
          <w:rFonts w:ascii="Arial" w:hAnsi="Arial" w:cs="Arial"/>
          <w:sz w:val="18"/>
          <w:szCs w:val="20"/>
        </w:rPr>
        <w:t xml:space="preserve"> European </w:t>
      </w:r>
      <w:proofErr w:type="spellStart"/>
      <w:r w:rsidRPr="003347A6">
        <w:rPr>
          <w:rFonts w:ascii="Arial" w:hAnsi="Arial" w:cs="Arial"/>
          <w:sz w:val="18"/>
          <w:szCs w:val="20"/>
        </w:rPr>
        <w:t>Leukemianet</w:t>
      </w:r>
      <w:proofErr w:type="spellEnd"/>
      <w:r w:rsidRPr="003347A6">
        <w:rPr>
          <w:rFonts w:ascii="Arial" w:hAnsi="Arial" w:cs="Arial"/>
          <w:sz w:val="18"/>
          <w:szCs w:val="20"/>
        </w:rPr>
        <w:t xml:space="preserve"> myelodysplastic syndrome registry</w:t>
      </w:r>
    </w:p>
    <w:p w14:paraId="52CDA337" w14:textId="77777777" w:rsidR="00FF00E8" w:rsidRPr="003347A6" w:rsidRDefault="00FF00E8" w:rsidP="0058498D">
      <w:pPr>
        <w:rPr>
          <w:lang w:bidi="en-US"/>
        </w:rPr>
      </w:pPr>
    </w:p>
    <w:p w14:paraId="5EEA8E9D" w14:textId="18E94D94" w:rsidR="00D7489E" w:rsidRPr="003347A6" w:rsidRDefault="00D7489E" w:rsidP="00D7489E">
      <w:pPr>
        <w:pStyle w:val="Caption"/>
      </w:pPr>
      <w:bookmarkStart w:id="7" w:name="_Ref502929759"/>
      <w:r w:rsidRPr="003347A6">
        <w:lastRenderedPageBreak/>
        <w:t>Fig</w:t>
      </w:r>
      <w:r w:rsidR="00287B7B" w:rsidRPr="003347A6">
        <w:t>.</w:t>
      </w:r>
      <w:r w:rsidRPr="003347A6">
        <w:t xml:space="preserve"> </w:t>
      </w:r>
      <w:r w:rsidR="00EB2052" w:rsidRPr="003347A6">
        <w:t>S</w:t>
      </w:r>
      <w:r w:rsidR="00FF00E8" w:rsidRPr="003347A6">
        <w:rPr>
          <w:noProof/>
        </w:rPr>
        <w:t>2</w:t>
      </w:r>
      <w:bookmarkEnd w:id="5"/>
      <w:bookmarkEnd w:id="7"/>
      <w:r w:rsidRPr="003347A6">
        <w:t xml:space="preserve"> </w:t>
      </w:r>
      <w:r w:rsidRPr="003347A6">
        <w:rPr>
          <w:b w:val="0"/>
        </w:rPr>
        <w:t>Extrapolation of treatment duration, survival and AML progression</w:t>
      </w:r>
    </w:p>
    <w:p w14:paraId="676E0209" w14:textId="77777777" w:rsidR="00D7489E" w:rsidRPr="003347A6" w:rsidRDefault="00D7489E" w:rsidP="00D7489E">
      <w:pPr>
        <w:keepNext/>
        <w:rPr>
          <w:rFonts w:ascii="Arial" w:hAnsi="Arial" w:cs="Arial"/>
          <w:b/>
          <w:sz w:val="20"/>
          <w:szCs w:val="20"/>
        </w:rPr>
      </w:pPr>
      <w:r w:rsidRPr="003347A6">
        <w:rPr>
          <w:rFonts w:ascii="Arial" w:hAnsi="Arial" w:cs="Arial"/>
          <w:b/>
          <w:noProof/>
          <w:sz w:val="20"/>
          <w:szCs w:val="20"/>
          <w:lang w:val="en-US"/>
        </w:rPr>
        <w:drawing>
          <wp:inline distT="0" distB="0" distL="0" distR="0" wp14:anchorId="7A8A6474" wp14:editId="2A3CBC31">
            <wp:extent cx="5712031" cy="4881444"/>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_updated.png"/>
                    <pic:cNvPicPr/>
                  </pic:nvPicPr>
                  <pic:blipFill rotWithShape="1">
                    <a:blip r:embed="rId11" cstate="print">
                      <a:extLst>
                        <a:ext uri="{28A0092B-C50C-407E-A947-70E740481C1C}">
                          <a14:useLocalDpi xmlns:a14="http://schemas.microsoft.com/office/drawing/2010/main" val="0"/>
                        </a:ext>
                      </a:extLst>
                    </a:blip>
                    <a:srcRect r="8213"/>
                    <a:stretch/>
                  </pic:blipFill>
                  <pic:spPr bwMode="auto">
                    <a:xfrm>
                      <a:off x="0" y="0"/>
                      <a:ext cx="5720077" cy="4888320"/>
                    </a:xfrm>
                    <a:prstGeom prst="rect">
                      <a:avLst/>
                    </a:prstGeom>
                    <a:ln>
                      <a:noFill/>
                    </a:ln>
                    <a:extLst>
                      <a:ext uri="{53640926-AAD7-44D8-BBD7-CCE9431645EC}">
                        <a14:shadowObscured xmlns:a14="http://schemas.microsoft.com/office/drawing/2010/main"/>
                      </a:ext>
                    </a:extLst>
                  </pic:spPr>
                </pic:pic>
              </a:graphicData>
            </a:graphic>
          </wp:inline>
        </w:drawing>
      </w:r>
    </w:p>
    <w:p w14:paraId="02510DC8" w14:textId="28249171" w:rsidR="00D7489E" w:rsidRPr="003347A6" w:rsidRDefault="00D7489E" w:rsidP="00D7489E">
      <w:pPr>
        <w:pStyle w:val="Legend"/>
      </w:pPr>
      <w:r w:rsidRPr="003347A6">
        <w:rPr>
          <w:i/>
        </w:rPr>
        <w:t>AML</w:t>
      </w:r>
      <w:r w:rsidRPr="003347A6">
        <w:t xml:space="preserve"> acute myeloid leukaemia</w:t>
      </w:r>
    </w:p>
    <w:p w14:paraId="1043ACF7" w14:textId="1FEB59DD" w:rsidR="00B77056" w:rsidRPr="003347A6" w:rsidRDefault="00B77056">
      <w:pPr>
        <w:spacing w:before="0" w:after="200" w:line="276" w:lineRule="auto"/>
      </w:pPr>
      <w:r w:rsidRPr="003347A6">
        <w:br w:type="page"/>
      </w:r>
    </w:p>
    <w:p w14:paraId="6592E26C" w14:textId="4951F810" w:rsidR="00EA3925" w:rsidRPr="003347A6" w:rsidRDefault="00EA3925" w:rsidP="00EA3925">
      <w:pPr>
        <w:pStyle w:val="Caption"/>
      </w:pPr>
      <w:bookmarkStart w:id="8" w:name="_Ref525059804"/>
      <w:bookmarkStart w:id="9" w:name="_Ref502929968"/>
      <w:r w:rsidRPr="003347A6">
        <w:lastRenderedPageBreak/>
        <w:t>Fig</w:t>
      </w:r>
      <w:r w:rsidR="00287B7B" w:rsidRPr="003347A6">
        <w:t>.</w:t>
      </w:r>
      <w:r w:rsidRPr="003347A6">
        <w:t xml:space="preserve"> </w:t>
      </w:r>
      <w:r w:rsidR="00EB2052" w:rsidRPr="003347A6">
        <w:t>S</w:t>
      </w:r>
      <w:r w:rsidR="00FF00E8" w:rsidRPr="003347A6">
        <w:rPr>
          <w:noProof/>
        </w:rPr>
        <w:t>3</w:t>
      </w:r>
      <w:bookmarkEnd w:id="8"/>
      <w:r w:rsidRPr="003347A6">
        <w:t xml:space="preserve"> </w:t>
      </w:r>
      <w:r w:rsidRPr="003347A6">
        <w:rPr>
          <w:b w:val="0"/>
        </w:rPr>
        <w:t>Goodness of fit for extrapolated curves</w:t>
      </w:r>
    </w:p>
    <w:p w14:paraId="1E3EBAB6" w14:textId="6BBEBF7F" w:rsidR="00EA3925" w:rsidRPr="003347A6" w:rsidRDefault="00EA3925" w:rsidP="00B77056">
      <w:r w:rsidRPr="003347A6">
        <w:rPr>
          <w:lang w:bidi="en-US"/>
        </w:rPr>
        <w:t>Response duration</w:t>
      </w:r>
    </w:p>
    <w:p w14:paraId="156E6589" w14:textId="34FCF99B" w:rsidR="00EA3925" w:rsidRPr="003347A6" w:rsidRDefault="00EA3925" w:rsidP="00F62002">
      <w:r w:rsidRPr="003347A6">
        <w:rPr>
          <w:rFonts w:eastAsia="Calibri" w:cs="Arial"/>
          <w:noProof/>
          <w:color w:val="1F497D"/>
          <w:lang w:val="en-US"/>
        </w:rPr>
        <w:drawing>
          <wp:inline distT="0" distB="0" distL="0" distR="0" wp14:anchorId="37E83226" wp14:editId="61D8B93D">
            <wp:extent cx="5283200" cy="2159000"/>
            <wp:effectExtent l="25400" t="0" r="0" b="0"/>
            <wp:docPr id="9" name="Picture 3" descr="IBS and AIC graphs - Treatment d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S and AIC graphs - Treatment duration"/>
                    <pic:cNvPicPr>
                      <a:picLocks noChangeAspect="1" noChangeArrowheads="1"/>
                    </pic:cNvPicPr>
                  </pic:nvPicPr>
                  <pic:blipFill>
                    <a:blip r:embed="rId12" cstate="print"/>
                    <a:srcRect/>
                    <a:stretch>
                      <a:fillRect/>
                    </a:stretch>
                  </pic:blipFill>
                  <pic:spPr bwMode="auto">
                    <a:xfrm>
                      <a:off x="0" y="0"/>
                      <a:ext cx="5283200" cy="2159000"/>
                    </a:xfrm>
                    <a:prstGeom prst="rect">
                      <a:avLst/>
                    </a:prstGeom>
                    <a:noFill/>
                    <a:ln w="9525">
                      <a:noFill/>
                      <a:miter lim="800000"/>
                      <a:headEnd/>
                      <a:tailEnd/>
                    </a:ln>
                  </pic:spPr>
                </pic:pic>
              </a:graphicData>
            </a:graphic>
          </wp:inline>
        </w:drawing>
      </w:r>
    </w:p>
    <w:p w14:paraId="68007930" w14:textId="4F937E28" w:rsidR="00EA3925" w:rsidRPr="003347A6" w:rsidRDefault="00EA3925" w:rsidP="00F62002">
      <w:r w:rsidRPr="003347A6">
        <w:rPr>
          <w:lang w:bidi="en-US"/>
        </w:rPr>
        <w:t>Progression to AML</w:t>
      </w:r>
    </w:p>
    <w:p w14:paraId="05DCA6DC" w14:textId="77777777" w:rsidR="00EA3925" w:rsidRPr="003347A6" w:rsidRDefault="00EA3925" w:rsidP="00EA3925">
      <w:pPr>
        <w:keepNext/>
        <w:tabs>
          <w:tab w:val="num" w:pos="0"/>
        </w:tabs>
        <w:spacing w:after="200" w:line="360" w:lineRule="auto"/>
        <w:rPr>
          <w:rFonts w:ascii="Calibri" w:eastAsia="Calibri" w:hAnsi="Calibri"/>
          <w:color w:val="1F497D"/>
        </w:rPr>
      </w:pPr>
      <w:r w:rsidRPr="003347A6">
        <w:rPr>
          <w:rFonts w:eastAsia="Calibri" w:cs="Arial"/>
          <w:noProof/>
          <w:color w:val="1F497D"/>
          <w:lang w:val="en-US"/>
        </w:rPr>
        <w:drawing>
          <wp:inline distT="0" distB="0" distL="0" distR="0" wp14:anchorId="7CFA0515" wp14:editId="54C3282A">
            <wp:extent cx="5035955" cy="2160000"/>
            <wp:effectExtent l="0" t="0" r="0" b="0"/>
            <wp:docPr id="19" name="Picture 8" descr="IBS and AIC graphs - Progression to A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BS and AIC graphs - Progression to AML"/>
                    <pic:cNvPicPr>
                      <a:picLocks noChangeAspect="1" noChangeArrowheads="1"/>
                    </pic:cNvPicPr>
                  </pic:nvPicPr>
                  <pic:blipFill>
                    <a:blip r:embed="rId13" cstate="print"/>
                    <a:srcRect/>
                    <a:stretch>
                      <a:fillRect/>
                    </a:stretch>
                  </pic:blipFill>
                  <pic:spPr bwMode="auto">
                    <a:xfrm>
                      <a:off x="0" y="0"/>
                      <a:ext cx="5035955" cy="2160000"/>
                    </a:xfrm>
                    <a:prstGeom prst="rect">
                      <a:avLst/>
                    </a:prstGeom>
                    <a:noFill/>
                    <a:ln w="9525">
                      <a:noFill/>
                      <a:miter lim="800000"/>
                      <a:headEnd/>
                      <a:tailEnd/>
                    </a:ln>
                  </pic:spPr>
                </pic:pic>
              </a:graphicData>
            </a:graphic>
          </wp:inline>
        </w:drawing>
      </w:r>
    </w:p>
    <w:p w14:paraId="685B929B" w14:textId="4533DB0C" w:rsidR="00EA3925" w:rsidRPr="003347A6" w:rsidRDefault="00EA3925" w:rsidP="00F62002">
      <w:r w:rsidRPr="003347A6">
        <w:rPr>
          <w:lang w:bidi="en-US"/>
        </w:rPr>
        <w:t>Survival</w:t>
      </w:r>
    </w:p>
    <w:p w14:paraId="71673831" w14:textId="06AF12CC" w:rsidR="00EA3925" w:rsidRPr="003347A6" w:rsidRDefault="00EA3925" w:rsidP="00F62002">
      <w:pPr>
        <w:rPr>
          <w:i/>
        </w:rPr>
      </w:pPr>
      <w:r w:rsidRPr="003347A6">
        <w:rPr>
          <w:rFonts w:cs="Arial"/>
          <w:noProof/>
          <w:color w:val="1F497D"/>
          <w:szCs w:val="16"/>
          <w:lang w:val="en-US"/>
        </w:rPr>
        <w:drawing>
          <wp:inline distT="0" distB="0" distL="0" distR="0" wp14:anchorId="0570DCA0" wp14:editId="2B8D5A6E">
            <wp:extent cx="5007761" cy="2160000"/>
            <wp:effectExtent l="0" t="0" r="2540" b="0"/>
            <wp:docPr id="20" name="Picture 9" descr="IBS and AIC graphs -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BS and AIC graphs - OS"/>
                    <pic:cNvPicPr>
                      <a:picLocks noChangeAspect="1" noChangeArrowheads="1"/>
                    </pic:cNvPicPr>
                  </pic:nvPicPr>
                  <pic:blipFill>
                    <a:blip r:embed="rId14" cstate="print"/>
                    <a:srcRect/>
                    <a:stretch>
                      <a:fillRect/>
                    </a:stretch>
                  </pic:blipFill>
                  <pic:spPr bwMode="auto">
                    <a:xfrm>
                      <a:off x="0" y="0"/>
                      <a:ext cx="5007761" cy="2160000"/>
                    </a:xfrm>
                    <a:prstGeom prst="rect">
                      <a:avLst/>
                    </a:prstGeom>
                    <a:noFill/>
                    <a:ln w="9525">
                      <a:noFill/>
                      <a:miter lim="800000"/>
                      <a:headEnd/>
                      <a:tailEnd/>
                    </a:ln>
                  </pic:spPr>
                </pic:pic>
              </a:graphicData>
            </a:graphic>
          </wp:inline>
        </w:drawing>
      </w:r>
    </w:p>
    <w:p w14:paraId="25F9C6C0" w14:textId="7552260F" w:rsidR="00B77056" w:rsidRPr="003347A6" w:rsidRDefault="00D75720" w:rsidP="002D1464">
      <w:pPr>
        <w:rPr>
          <w:rFonts w:ascii="Arial" w:eastAsiaTheme="majorEastAsia" w:hAnsi="Arial" w:cstheme="majorBidi"/>
          <w:b/>
          <w:spacing w:val="10"/>
          <w:szCs w:val="18"/>
          <w:lang w:bidi="en-US"/>
        </w:rPr>
      </w:pPr>
      <w:bookmarkStart w:id="10" w:name="_Ref525059760"/>
      <w:r w:rsidRPr="003347A6">
        <w:rPr>
          <w:rFonts w:ascii="Arial" w:hAnsi="Arial" w:cs="Arial"/>
          <w:i/>
          <w:sz w:val="18"/>
          <w:szCs w:val="20"/>
        </w:rPr>
        <w:t>AIC</w:t>
      </w:r>
      <w:r w:rsidRPr="003347A6">
        <w:rPr>
          <w:rFonts w:ascii="Arial" w:hAnsi="Arial" w:cs="Arial"/>
          <w:sz w:val="18"/>
          <w:szCs w:val="20"/>
        </w:rPr>
        <w:t xml:space="preserve"> Akaike Information Criterion</w:t>
      </w:r>
      <w:r w:rsidR="00287B7B" w:rsidRPr="003347A6">
        <w:rPr>
          <w:rFonts w:ascii="Arial" w:hAnsi="Arial" w:cs="Arial"/>
          <w:sz w:val="18"/>
          <w:szCs w:val="20"/>
        </w:rPr>
        <w:t>,</w:t>
      </w:r>
      <w:r w:rsidRPr="003347A6">
        <w:rPr>
          <w:rFonts w:ascii="Arial" w:hAnsi="Arial" w:cs="Arial"/>
          <w:sz w:val="18"/>
          <w:szCs w:val="20"/>
        </w:rPr>
        <w:t xml:space="preserve"> </w:t>
      </w:r>
      <w:r w:rsidRPr="003347A6">
        <w:rPr>
          <w:rFonts w:ascii="Arial" w:hAnsi="Arial" w:cs="Arial"/>
          <w:i/>
          <w:sz w:val="18"/>
          <w:szCs w:val="20"/>
        </w:rPr>
        <w:t>AML</w:t>
      </w:r>
      <w:r w:rsidRPr="003347A6">
        <w:rPr>
          <w:rFonts w:ascii="Arial" w:hAnsi="Arial" w:cs="Arial"/>
          <w:sz w:val="18"/>
          <w:szCs w:val="20"/>
        </w:rPr>
        <w:t xml:space="preserve"> acute myeloid leukaemia</w:t>
      </w:r>
      <w:r w:rsidR="00B77056" w:rsidRPr="003347A6">
        <w:br w:type="page"/>
      </w:r>
    </w:p>
    <w:p w14:paraId="73A4AA7B" w14:textId="68A65AB9" w:rsidR="00801BC7" w:rsidRPr="003347A6" w:rsidRDefault="003C63F4" w:rsidP="003C63F4">
      <w:pPr>
        <w:pStyle w:val="Caption"/>
        <w:rPr>
          <w:rFonts w:cs="Arial"/>
          <w:sz w:val="20"/>
          <w:szCs w:val="20"/>
        </w:rPr>
      </w:pPr>
      <w:r w:rsidRPr="003347A6">
        <w:lastRenderedPageBreak/>
        <w:t>Fig</w:t>
      </w:r>
      <w:r w:rsidR="00287B7B" w:rsidRPr="003347A6">
        <w:t>.</w:t>
      </w:r>
      <w:r w:rsidRPr="003347A6">
        <w:t xml:space="preserve"> </w:t>
      </w:r>
      <w:r w:rsidR="00EB2052" w:rsidRPr="003347A6">
        <w:t>S</w:t>
      </w:r>
      <w:r w:rsidR="00FF00E8" w:rsidRPr="003347A6">
        <w:rPr>
          <w:noProof/>
        </w:rPr>
        <w:t>4</w:t>
      </w:r>
      <w:bookmarkEnd w:id="6"/>
      <w:bookmarkEnd w:id="9"/>
      <w:bookmarkEnd w:id="10"/>
      <w:r w:rsidRPr="003347A6">
        <w:rPr>
          <w:b w:val="0"/>
        </w:rPr>
        <w:t xml:space="preserve"> One</w:t>
      </w:r>
      <w:r w:rsidR="00310275" w:rsidRPr="003347A6">
        <w:rPr>
          <w:b w:val="0"/>
        </w:rPr>
        <w:t>-</w:t>
      </w:r>
      <w:r w:rsidRPr="003347A6">
        <w:rPr>
          <w:b w:val="0"/>
        </w:rPr>
        <w:t>way sensitivity analysis</w:t>
      </w:r>
    </w:p>
    <w:p w14:paraId="0F2D2174" w14:textId="5FB2DB1B" w:rsidR="00801BC7" w:rsidRPr="003347A6" w:rsidRDefault="00E25A87" w:rsidP="00801BC7">
      <w:pPr>
        <w:rPr>
          <w:rFonts w:ascii="Arial" w:hAnsi="Arial" w:cs="Arial"/>
          <w:sz w:val="20"/>
          <w:szCs w:val="20"/>
        </w:rPr>
      </w:pPr>
      <w:r w:rsidRPr="003347A6">
        <w:rPr>
          <w:rFonts w:ascii="Arial" w:hAnsi="Arial" w:cs="Arial"/>
          <w:noProof/>
          <w:sz w:val="20"/>
          <w:szCs w:val="20"/>
          <w:lang w:val="en-US"/>
        </w:rPr>
        <w:drawing>
          <wp:inline distT="0" distB="0" distL="0" distR="0" wp14:anchorId="40DF8C55" wp14:editId="33B49F4D">
            <wp:extent cx="5367780" cy="2685415"/>
            <wp:effectExtent l="0" t="0" r="444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637" cy="2687845"/>
                    </a:xfrm>
                    <a:prstGeom prst="rect">
                      <a:avLst/>
                    </a:prstGeom>
                    <a:noFill/>
                  </pic:spPr>
                </pic:pic>
              </a:graphicData>
            </a:graphic>
          </wp:inline>
        </w:drawing>
      </w:r>
    </w:p>
    <w:p w14:paraId="5BD4EEC3" w14:textId="27B9BC5C" w:rsidR="003C63F4" w:rsidRPr="003347A6" w:rsidRDefault="00801BC7" w:rsidP="003819DD">
      <w:pPr>
        <w:rPr>
          <w:rFonts w:cs="Arial"/>
          <w:sz w:val="18"/>
          <w:szCs w:val="20"/>
        </w:rPr>
      </w:pPr>
      <w:r w:rsidRPr="003347A6">
        <w:rPr>
          <w:rFonts w:ascii="Arial" w:hAnsi="Arial" w:cs="Arial"/>
          <w:i/>
          <w:sz w:val="18"/>
          <w:szCs w:val="20"/>
        </w:rPr>
        <w:t>ICER</w:t>
      </w:r>
      <w:r w:rsidRPr="003347A6">
        <w:rPr>
          <w:rFonts w:ascii="Arial" w:hAnsi="Arial" w:cs="Arial"/>
          <w:sz w:val="18"/>
          <w:szCs w:val="20"/>
        </w:rPr>
        <w:t xml:space="preserve"> incremental cost</w:t>
      </w:r>
      <w:r w:rsidR="00310275" w:rsidRPr="003347A6">
        <w:rPr>
          <w:rFonts w:ascii="Arial" w:hAnsi="Arial" w:cs="Arial"/>
          <w:sz w:val="18"/>
          <w:szCs w:val="20"/>
        </w:rPr>
        <w:t>-</w:t>
      </w:r>
      <w:r w:rsidRPr="003347A6">
        <w:rPr>
          <w:rFonts w:ascii="Arial" w:hAnsi="Arial" w:cs="Arial"/>
          <w:sz w:val="18"/>
          <w:szCs w:val="20"/>
        </w:rPr>
        <w:t>effectiveness ratio</w:t>
      </w:r>
    </w:p>
    <w:p w14:paraId="1603C200" w14:textId="6CB0EAC6" w:rsidR="00B77056" w:rsidRPr="003347A6" w:rsidRDefault="00B77056">
      <w:pPr>
        <w:spacing w:before="0" w:after="200" w:line="276" w:lineRule="auto"/>
        <w:rPr>
          <w:rFonts w:cs="Arial"/>
          <w:sz w:val="18"/>
          <w:szCs w:val="20"/>
        </w:rPr>
      </w:pPr>
      <w:r w:rsidRPr="003347A6">
        <w:rPr>
          <w:rFonts w:cs="Arial"/>
          <w:sz w:val="18"/>
          <w:szCs w:val="20"/>
        </w:rPr>
        <w:br w:type="page"/>
      </w:r>
    </w:p>
    <w:p w14:paraId="26B2D1E1" w14:textId="5F5F0DF6" w:rsidR="00C503EB" w:rsidRPr="003347A6" w:rsidRDefault="00C503EB" w:rsidP="00C503EB">
      <w:pPr>
        <w:pStyle w:val="Caption"/>
        <w:rPr>
          <w:rFonts w:cs="Arial"/>
          <w:szCs w:val="21"/>
        </w:rPr>
      </w:pPr>
      <w:bookmarkStart w:id="11" w:name="_Ref388617291"/>
      <w:bookmarkStart w:id="12" w:name="_Toc389830476"/>
      <w:bookmarkStart w:id="13" w:name="_Toc390266588"/>
      <w:r w:rsidRPr="003347A6">
        <w:lastRenderedPageBreak/>
        <w:t>Fig</w:t>
      </w:r>
      <w:r w:rsidR="00287B7B" w:rsidRPr="003347A6">
        <w:t>.</w:t>
      </w:r>
      <w:r w:rsidRPr="003347A6">
        <w:t xml:space="preserve"> </w:t>
      </w:r>
      <w:r w:rsidR="00EB2052" w:rsidRPr="003347A6">
        <w:t>S</w:t>
      </w:r>
      <w:r w:rsidR="00FF00E8" w:rsidRPr="003347A6">
        <w:rPr>
          <w:noProof/>
        </w:rPr>
        <w:t>5</w:t>
      </w:r>
      <w:bookmarkEnd w:id="11"/>
      <w:r w:rsidRPr="003347A6">
        <w:t xml:space="preserve"> </w:t>
      </w:r>
      <w:r w:rsidRPr="003347A6">
        <w:rPr>
          <w:b w:val="0"/>
        </w:rPr>
        <w:t xml:space="preserve">Survival of low and intermediate-1 risk MDS patients in EUMDS and </w:t>
      </w:r>
      <w:r w:rsidR="00822300" w:rsidRPr="003347A6">
        <w:rPr>
          <w:b w:val="0"/>
        </w:rPr>
        <w:t>Greenberg et al</w:t>
      </w:r>
      <w:r w:rsidR="00826C80" w:rsidRPr="003347A6">
        <w:rPr>
          <w:b w:val="0"/>
        </w:rPr>
        <w:t>.</w:t>
      </w:r>
      <w:r w:rsidR="00822300" w:rsidRPr="003347A6">
        <w:rPr>
          <w:b w:val="0"/>
        </w:rPr>
        <w:t xml:space="preserve"> versus </w:t>
      </w:r>
      <w:r w:rsidRPr="003347A6">
        <w:rPr>
          <w:b w:val="0"/>
        </w:rPr>
        <w:t>cost-effectiveness model projected survival</w:t>
      </w:r>
      <w:bookmarkEnd w:id="12"/>
      <w:bookmarkEnd w:id="13"/>
    </w:p>
    <w:p w14:paraId="352A5944" w14:textId="24322A36" w:rsidR="00C503EB" w:rsidRPr="003347A6" w:rsidRDefault="00CB740D" w:rsidP="00C503EB">
      <w:pPr>
        <w:spacing w:after="0"/>
        <w:rPr>
          <w:rFonts w:cs="Arial"/>
          <w:szCs w:val="21"/>
        </w:rPr>
      </w:pPr>
      <w:r w:rsidRPr="003347A6">
        <w:rPr>
          <w:rFonts w:cs="Arial"/>
          <w:noProof/>
          <w:szCs w:val="21"/>
          <w:lang w:val="en-US"/>
        </w:rPr>
        <w:drawing>
          <wp:inline distT="0" distB="0" distL="0" distR="0" wp14:anchorId="31F080EF" wp14:editId="32221517">
            <wp:extent cx="5455551" cy="2695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3692" cy="2699598"/>
                    </a:xfrm>
                    <a:prstGeom prst="rect">
                      <a:avLst/>
                    </a:prstGeom>
                    <a:noFill/>
                  </pic:spPr>
                </pic:pic>
              </a:graphicData>
            </a:graphic>
          </wp:inline>
        </w:drawing>
      </w:r>
    </w:p>
    <w:p w14:paraId="6E026CC0" w14:textId="62B57E3B" w:rsidR="00826C80" w:rsidRDefault="00820A07" w:rsidP="00826C80">
      <w:pPr>
        <w:rPr>
          <w:rFonts w:ascii="Arial" w:hAnsi="Arial" w:cs="Arial"/>
          <w:sz w:val="18"/>
          <w:szCs w:val="20"/>
        </w:rPr>
      </w:pPr>
      <w:r w:rsidRPr="003347A6">
        <w:rPr>
          <w:rFonts w:ascii="Arial" w:hAnsi="Arial" w:cs="Arial"/>
          <w:i/>
          <w:sz w:val="18"/>
          <w:szCs w:val="20"/>
        </w:rPr>
        <w:t>BSC</w:t>
      </w:r>
      <w:r w:rsidRPr="003347A6">
        <w:rPr>
          <w:rFonts w:ascii="Arial" w:hAnsi="Arial" w:cs="Arial"/>
          <w:sz w:val="18"/>
          <w:szCs w:val="20"/>
        </w:rPr>
        <w:t xml:space="preserve"> best supportive care</w:t>
      </w:r>
      <w:r w:rsidR="00287B7B" w:rsidRPr="003347A6">
        <w:rPr>
          <w:rFonts w:ascii="Arial" w:hAnsi="Arial" w:cs="Arial"/>
          <w:sz w:val="18"/>
          <w:szCs w:val="20"/>
        </w:rPr>
        <w:t>,</w:t>
      </w:r>
      <w:r w:rsidRPr="003347A6">
        <w:rPr>
          <w:rFonts w:ascii="Arial" w:hAnsi="Arial" w:cs="Arial"/>
          <w:sz w:val="18"/>
          <w:szCs w:val="20"/>
        </w:rPr>
        <w:t xml:space="preserve"> </w:t>
      </w:r>
      <w:r w:rsidRPr="003347A6">
        <w:rPr>
          <w:rFonts w:ascii="Arial" w:hAnsi="Arial" w:cs="Arial"/>
          <w:i/>
          <w:sz w:val="18"/>
          <w:szCs w:val="20"/>
        </w:rPr>
        <w:t>EUMDS</w:t>
      </w:r>
      <w:r w:rsidRPr="003347A6">
        <w:rPr>
          <w:rFonts w:ascii="Arial" w:hAnsi="Arial" w:cs="Arial"/>
          <w:sz w:val="18"/>
          <w:szCs w:val="20"/>
        </w:rPr>
        <w:t xml:space="preserve"> European </w:t>
      </w:r>
      <w:proofErr w:type="spellStart"/>
      <w:r w:rsidRPr="003347A6">
        <w:rPr>
          <w:rFonts w:ascii="Arial" w:hAnsi="Arial" w:cs="Arial"/>
          <w:sz w:val="18"/>
          <w:szCs w:val="20"/>
        </w:rPr>
        <w:t>Leukemianet</w:t>
      </w:r>
      <w:proofErr w:type="spellEnd"/>
      <w:r w:rsidRPr="003347A6">
        <w:rPr>
          <w:rFonts w:ascii="Arial" w:hAnsi="Arial" w:cs="Arial"/>
          <w:sz w:val="18"/>
          <w:szCs w:val="20"/>
        </w:rPr>
        <w:t xml:space="preserve"> myelodysplastic syndrome registry</w:t>
      </w:r>
      <w:r w:rsidR="00826C80" w:rsidRPr="003347A6">
        <w:rPr>
          <w:rFonts w:ascii="Arial" w:hAnsi="Arial" w:cs="Arial"/>
          <w:sz w:val="18"/>
          <w:szCs w:val="20"/>
        </w:rPr>
        <w:t>,</w:t>
      </w:r>
      <w:r w:rsidR="00826C80" w:rsidRPr="003347A6">
        <w:rPr>
          <w:rFonts w:ascii="Arial" w:hAnsi="Arial" w:cs="Arial"/>
          <w:i/>
          <w:sz w:val="18"/>
          <w:szCs w:val="20"/>
        </w:rPr>
        <w:t xml:space="preserve"> Int </w:t>
      </w:r>
      <w:r w:rsidR="00826C80" w:rsidRPr="003347A6">
        <w:rPr>
          <w:rFonts w:ascii="Arial" w:hAnsi="Arial" w:cs="Arial"/>
          <w:sz w:val="18"/>
          <w:szCs w:val="20"/>
        </w:rPr>
        <w:t xml:space="preserve">Intermediate, </w:t>
      </w:r>
      <w:r w:rsidR="00826C80" w:rsidRPr="003347A6">
        <w:rPr>
          <w:rFonts w:ascii="Arial" w:hAnsi="Arial" w:cs="Arial"/>
          <w:i/>
          <w:sz w:val="18"/>
          <w:szCs w:val="20"/>
        </w:rPr>
        <w:t xml:space="preserve">MDS </w:t>
      </w:r>
      <w:r w:rsidR="00826C80" w:rsidRPr="003347A6">
        <w:rPr>
          <w:rFonts w:ascii="Arial" w:hAnsi="Arial" w:cs="Arial"/>
          <w:sz w:val="18"/>
          <w:szCs w:val="20"/>
        </w:rPr>
        <w:t>myelodysplastic syndrome</w:t>
      </w:r>
    </w:p>
    <w:p w14:paraId="57876365" w14:textId="71281290" w:rsidR="00804EB5" w:rsidRPr="00F62002" w:rsidRDefault="00804EB5" w:rsidP="00FF00E8">
      <w:pPr>
        <w:spacing w:before="0" w:after="200" w:line="276" w:lineRule="auto"/>
        <w:rPr>
          <w:rFonts w:ascii="Arial" w:hAnsi="Arial" w:cs="Arial"/>
          <w:sz w:val="18"/>
          <w:szCs w:val="20"/>
        </w:rPr>
      </w:pPr>
    </w:p>
    <w:sectPr w:rsidR="00804EB5" w:rsidRPr="00F62002" w:rsidSect="003C63F4">
      <w:footerReference w:type="default" r:id="rId1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A1173" w14:textId="77777777" w:rsidR="00FF00E8" w:rsidRDefault="00FF00E8" w:rsidP="00CD5BCF">
      <w:pPr>
        <w:spacing w:after="0" w:line="240" w:lineRule="auto"/>
      </w:pPr>
      <w:r>
        <w:separator/>
      </w:r>
    </w:p>
  </w:endnote>
  <w:endnote w:type="continuationSeparator" w:id="0">
    <w:p w14:paraId="3F041DCD" w14:textId="77777777" w:rsidR="00FF00E8" w:rsidRDefault="00FF00E8" w:rsidP="00CD5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Berling LT Std Roman">
    <w:altName w:val="Georgia"/>
    <w:panose1 w:val="00000000000000000000"/>
    <w:charset w:val="00"/>
    <w:family w:val="roman"/>
    <w:notTrueType/>
    <w:pitch w:val="variable"/>
    <w:sig w:usb0="00000003" w:usb1="00000000" w:usb2="00000000" w:usb3="00000000" w:csb0="00000001" w:csb1="00000000"/>
  </w:font>
  <w:font w:name="IHDGO G+ Adv Hel NLT St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Segoe U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823722986"/>
      <w:docPartObj>
        <w:docPartGallery w:val="Page Numbers (Bottom of Page)"/>
        <w:docPartUnique/>
      </w:docPartObj>
    </w:sdtPr>
    <w:sdtEndPr/>
    <w:sdtContent>
      <w:sdt>
        <w:sdtPr>
          <w:rPr>
            <w:rFonts w:ascii="Arial" w:hAnsi="Arial" w:cs="Arial"/>
            <w:sz w:val="16"/>
            <w:szCs w:val="16"/>
          </w:rPr>
          <w:id w:val="-801766184"/>
          <w:docPartObj>
            <w:docPartGallery w:val="Page Numbers (Top of Page)"/>
            <w:docPartUnique/>
          </w:docPartObj>
        </w:sdtPr>
        <w:sdtEndPr/>
        <w:sdtContent>
          <w:p w14:paraId="0CA17916" w14:textId="1645CDB0" w:rsidR="00FF00E8" w:rsidRPr="00F62002" w:rsidRDefault="00FF00E8" w:rsidP="00F62002">
            <w:pPr>
              <w:pStyle w:val="Footer"/>
              <w:jc w:val="right"/>
              <w:rPr>
                <w:rFonts w:ascii="Arial" w:hAnsi="Arial" w:cs="Arial"/>
                <w:sz w:val="16"/>
                <w:szCs w:val="16"/>
              </w:rPr>
            </w:pPr>
            <w:r w:rsidRPr="00FB282B">
              <w:rPr>
                <w:rFonts w:ascii="Arial" w:hAnsi="Arial" w:cs="Arial"/>
                <w:sz w:val="16"/>
                <w:szCs w:val="16"/>
              </w:rPr>
              <w:t xml:space="preserve">Page </w:t>
            </w:r>
            <w:r w:rsidRPr="00FB282B">
              <w:rPr>
                <w:rFonts w:ascii="Arial" w:hAnsi="Arial" w:cs="Arial"/>
                <w:b/>
                <w:bCs/>
                <w:sz w:val="16"/>
                <w:szCs w:val="16"/>
              </w:rPr>
              <w:fldChar w:fldCharType="begin"/>
            </w:r>
            <w:r w:rsidRPr="00FB282B">
              <w:rPr>
                <w:rFonts w:ascii="Arial" w:hAnsi="Arial" w:cs="Arial"/>
                <w:b/>
                <w:bCs/>
                <w:sz w:val="16"/>
                <w:szCs w:val="16"/>
              </w:rPr>
              <w:instrText xml:space="preserve"> PAGE </w:instrText>
            </w:r>
            <w:r w:rsidRPr="00FB282B">
              <w:rPr>
                <w:rFonts w:ascii="Arial" w:hAnsi="Arial" w:cs="Arial"/>
                <w:b/>
                <w:bCs/>
                <w:sz w:val="16"/>
                <w:szCs w:val="16"/>
              </w:rPr>
              <w:fldChar w:fldCharType="separate"/>
            </w:r>
            <w:r w:rsidR="00FA78B4">
              <w:rPr>
                <w:rFonts w:ascii="Arial" w:hAnsi="Arial" w:cs="Arial"/>
                <w:b/>
                <w:bCs/>
                <w:noProof/>
                <w:sz w:val="16"/>
                <w:szCs w:val="16"/>
              </w:rPr>
              <w:t>8</w:t>
            </w:r>
            <w:r w:rsidRPr="00FB282B">
              <w:rPr>
                <w:rFonts w:ascii="Arial" w:hAnsi="Arial" w:cs="Arial"/>
                <w:b/>
                <w:bCs/>
                <w:sz w:val="16"/>
                <w:szCs w:val="16"/>
              </w:rPr>
              <w:fldChar w:fldCharType="end"/>
            </w:r>
            <w:r w:rsidRPr="00FB282B">
              <w:rPr>
                <w:rFonts w:ascii="Arial" w:hAnsi="Arial" w:cs="Arial"/>
                <w:sz w:val="16"/>
                <w:szCs w:val="16"/>
              </w:rPr>
              <w:t xml:space="preserve"> of </w:t>
            </w:r>
            <w:r w:rsidRPr="00FB282B">
              <w:rPr>
                <w:rFonts w:ascii="Arial" w:hAnsi="Arial" w:cs="Arial"/>
                <w:b/>
                <w:bCs/>
                <w:sz w:val="16"/>
                <w:szCs w:val="16"/>
              </w:rPr>
              <w:fldChar w:fldCharType="begin"/>
            </w:r>
            <w:r w:rsidRPr="00FB282B">
              <w:rPr>
                <w:rFonts w:ascii="Arial" w:hAnsi="Arial" w:cs="Arial"/>
                <w:b/>
                <w:bCs/>
                <w:sz w:val="16"/>
                <w:szCs w:val="16"/>
              </w:rPr>
              <w:instrText xml:space="preserve"> NUMPAGES  </w:instrText>
            </w:r>
            <w:r w:rsidRPr="00FB282B">
              <w:rPr>
                <w:rFonts w:ascii="Arial" w:hAnsi="Arial" w:cs="Arial"/>
                <w:b/>
                <w:bCs/>
                <w:sz w:val="16"/>
                <w:szCs w:val="16"/>
              </w:rPr>
              <w:fldChar w:fldCharType="separate"/>
            </w:r>
            <w:r w:rsidR="00FA78B4">
              <w:rPr>
                <w:rFonts w:ascii="Arial" w:hAnsi="Arial" w:cs="Arial"/>
                <w:b/>
                <w:bCs/>
                <w:noProof/>
                <w:sz w:val="16"/>
                <w:szCs w:val="16"/>
              </w:rPr>
              <w:t>23</w:t>
            </w:r>
            <w:r w:rsidRPr="00FB282B">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35516" w14:textId="77777777" w:rsidR="00FF00E8" w:rsidRDefault="00FF00E8" w:rsidP="00CD5BCF">
      <w:pPr>
        <w:spacing w:after="0" w:line="240" w:lineRule="auto"/>
      </w:pPr>
      <w:r>
        <w:separator/>
      </w:r>
    </w:p>
  </w:footnote>
  <w:footnote w:type="continuationSeparator" w:id="0">
    <w:p w14:paraId="16D6E4E7" w14:textId="77777777" w:rsidR="00FF00E8" w:rsidRDefault="00FF00E8" w:rsidP="00CD5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DA03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DC53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786C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C280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A8C6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BCD3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644D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E097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02CB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F20A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894EE874"/>
    <w:lvl w:ilvl="0">
      <w:start w:val="1"/>
      <w:numFmt w:val="bullet"/>
      <w:lvlText w:val="–"/>
      <w:lvlJc w:val="left"/>
      <w:pPr>
        <w:tabs>
          <w:tab w:val="num" w:pos="360"/>
        </w:tabs>
        <w:ind w:left="360" w:firstLine="0"/>
      </w:pPr>
      <w:rPr>
        <w:rFonts w:ascii="Arial" w:eastAsia="Times New Roman" w:hAnsi="Arial" w:cs="Times New Roman" w:hint="default"/>
        <w:color w:val="000000"/>
        <w:position w:val="0"/>
        <w:sz w:val="22"/>
      </w:rPr>
    </w:lvl>
    <w:lvl w:ilvl="1">
      <w:start w:val="1"/>
      <w:numFmt w:val="bullet"/>
      <w:suff w:val="nothing"/>
      <w:lvlText w:val="o"/>
      <w:lvlJc w:val="left"/>
      <w:pPr>
        <w:ind w:left="0" w:firstLine="1080"/>
      </w:pPr>
      <w:rPr>
        <w:rFonts w:ascii="Courier New" w:eastAsia="Times New Roman" w:hAnsi="Courier New" w:cs="Times New Roman" w:hint="default"/>
        <w:color w:val="000000"/>
        <w:position w:val="0"/>
        <w:sz w:val="22"/>
      </w:rPr>
    </w:lvl>
    <w:lvl w:ilvl="2">
      <w:start w:val="1"/>
      <w:numFmt w:val="bullet"/>
      <w:suff w:val="nothing"/>
      <w:lvlText w:val=""/>
      <w:lvlJc w:val="left"/>
      <w:pPr>
        <w:ind w:left="0" w:firstLine="1800"/>
      </w:pPr>
      <w:rPr>
        <w:rFonts w:ascii="Wingdings" w:eastAsia="Times New Roman" w:hAnsi="Wingdings" w:hint="default"/>
        <w:color w:val="000000"/>
        <w:position w:val="0"/>
        <w:sz w:val="22"/>
      </w:rPr>
    </w:lvl>
    <w:lvl w:ilvl="3">
      <w:start w:val="1"/>
      <w:numFmt w:val="bullet"/>
      <w:suff w:val="nothing"/>
      <w:lvlText w:val="•"/>
      <w:lvlJc w:val="left"/>
      <w:pPr>
        <w:ind w:left="0" w:firstLine="2520"/>
      </w:pPr>
      <w:rPr>
        <w:color w:val="000000"/>
        <w:position w:val="0"/>
        <w:sz w:val="22"/>
      </w:rPr>
    </w:lvl>
    <w:lvl w:ilvl="4">
      <w:start w:val="1"/>
      <w:numFmt w:val="bullet"/>
      <w:suff w:val="nothing"/>
      <w:lvlText w:val="o"/>
      <w:lvlJc w:val="left"/>
      <w:pPr>
        <w:ind w:left="0" w:firstLine="3240"/>
      </w:pPr>
      <w:rPr>
        <w:rFonts w:ascii="Courier New" w:eastAsia="Times New Roman" w:hAnsi="Courier New" w:cs="Times New Roman" w:hint="default"/>
        <w:color w:val="000000"/>
        <w:position w:val="0"/>
        <w:sz w:val="22"/>
      </w:rPr>
    </w:lvl>
    <w:lvl w:ilvl="5">
      <w:start w:val="1"/>
      <w:numFmt w:val="bullet"/>
      <w:suff w:val="nothing"/>
      <w:lvlText w:val=""/>
      <w:lvlJc w:val="left"/>
      <w:pPr>
        <w:ind w:left="0" w:firstLine="3960"/>
      </w:pPr>
      <w:rPr>
        <w:rFonts w:ascii="Wingdings" w:eastAsia="Times New Roman" w:hAnsi="Wingdings" w:hint="default"/>
        <w:color w:val="000000"/>
        <w:position w:val="0"/>
        <w:sz w:val="22"/>
      </w:rPr>
    </w:lvl>
    <w:lvl w:ilvl="6">
      <w:start w:val="1"/>
      <w:numFmt w:val="bullet"/>
      <w:suff w:val="nothing"/>
      <w:lvlText w:val="•"/>
      <w:lvlJc w:val="left"/>
      <w:pPr>
        <w:ind w:left="0" w:firstLine="4680"/>
      </w:pPr>
      <w:rPr>
        <w:color w:val="000000"/>
        <w:position w:val="0"/>
        <w:sz w:val="22"/>
      </w:rPr>
    </w:lvl>
    <w:lvl w:ilvl="7">
      <w:start w:val="1"/>
      <w:numFmt w:val="bullet"/>
      <w:suff w:val="nothing"/>
      <w:lvlText w:val="o"/>
      <w:lvlJc w:val="left"/>
      <w:pPr>
        <w:ind w:left="0" w:firstLine="5400"/>
      </w:pPr>
      <w:rPr>
        <w:rFonts w:ascii="Courier New" w:eastAsia="Times New Roman" w:hAnsi="Courier New" w:cs="Times New Roman" w:hint="default"/>
        <w:color w:val="000000"/>
        <w:position w:val="0"/>
        <w:sz w:val="22"/>
      </w:rPr>
    </w:lvl>
    <w:lvl w:ilvl="8">
      <w:start w:val="1"/>
      <w:numFmt w:val="bullet"/>
      <w:suff w:val="nothing"/>
      <w:lvlText w:val=""/>
      <w:lvlJc w:val="left"/>
      <w:pPr>
        <w:ind w:left="0" w:firstLine="6120"/>
      </w:pPr>
      <w:rPr>
        <w:rFonts w:ascii="Wingdings" w:eastAsia="Times New Roman" w:hAnsi="Wingdings" w:hint="default"/>
        <w:color w:val="000000"/>
        <w:position w:val="0"/>
        <w:sz w:val="22"/>
      </w:rPr>
    </w:lvl>
  </w:abstractNum>
  <w:abstractNum w:abstractNumId="11" w15:restartNumberingAfterBreak="0">
    <w:nsid w:val="0D95523A"/>
    <w:multiLevelType w:val="hybridMultilevel"/>
    <w:tmpl w:val="219E343C"/>
    <w:lvl w:ilvl="0" w:tplc="62E6A450">
      <w:start w:val="1"/>
      <w:numFmt w:val="bullet"/>
      <w:pStyle w:val="Bullet2"/>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0DC4559A"/>
    <w:multiLevelType w:val="multilevel"/>
    <w:tmpl w:val="07C6A55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10AE2993"/>
    <w:multiLevelType w:val="hybridMultilevel"/>
    <w:tmpl w:val="469E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62709E"/>
    <w:multiLevelType w:val="hybridMultilevel"/>
    <w:tmpl w:val="63927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45796"/>
    <w:multiLevelType w:val="hybridMultilevel"/>
    <w:tmpl w:val="9E5C9DF8"/>
    <w:lvl w:ilvl="0" w:tplc="CA8AB36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1F794A"/>
    <w:multiLevelType w:val="hybridMultilevel"/>
    <w:tmpl w:val="D70EC20A"/>
    <w:lvl w:ilvl="0" w:tplc="5C9889C0">
      <w:start w:val="1"/>
      <w:numFmt w:val="bullet"/>
      <w:pStyle w:val="HMCbullet1"/>
      <w:lvlText w:val=""/>
      <w:lvlJc w:val="left"/>
      <w:pPr>
        <w:tabs>
          <w:tab w:val="num" w:pos="284"/>
        </w:tabs>
        <w:ind w:left="284" w:hanging="227"/>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2056494A"/>
    <w:multiLevelType w:val="multilevel"/>
    <w:tmpl w:val="07C6A55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8" w15:restartNumberingAfterBreak="0">
    <w:nsid w:val="21B01B65"/>
    <w:multiLevelType w:val="hybridMultilevel"/>
    <w:tmpl w:val="58CA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0C4C4E"/>
    <w:multiLevelType w:val="hybridMultilevel"/>
    <w:tmpl w:val="7B44651A"/>
    <w:lvl w:ilvl="0" w:tplc="55F04918">
      <w:start w:val="1"/>
      <w:numFmt w:val="decimal"/>
      <w:lvlText w:val="%1."/>
      <w:lvlJc w:val="left"/>
      <w:pPr>
        <w:ind w:left="600" w:hanging="360"/>
      </w:pPr>
      <w:rPr>
        <w:rFonts w:ascii="Cambria" w:hAnsi="Cambria"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15:restartNumberingAfterBreak="0">
    <w:nsid w:val="23F81291"/>
    <w:multiLevelType w:val="hybridMultilevel"/>
    <w:tmpl w:val="ED6E1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B603AC"/>
    <w:multiLevelType w:val="hybridMultilevel"/>
    <w:tmpl w:val="27266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DE6CC0"/>
    <w:multiLevelType w:val="hybridMultilevel"/>
    <w:tmpl w:val="0E3ECCC2"/>
    <w:lvl w:ilvl="0" w:tplc="A2F4E6CA">
      <w:start w:val="1"/>
      <w:numFmt w:val="bullet"/>
      <w:pStyle w:val="Bullet3"/>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31A016FC"/>
    <w:multiLevelType w:val="hybridMultilevel"/>
    <w:tmpl w:val="C0EE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7C5C99"/>
    <w:multiLevelType w:val="hybridMultilevel"/>
    <w:tmpl w:val="ADFAEE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9F0900"/>
    <w:multiLevelType w:val="hybridMultilevel"/>
    <w:tmpl w:val="C700FD4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0B0AA0"/>
    <w:multiLevelType w:val="hybridMultilevel"/>
    <w:tmpl w:val="8A520D1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2D412B"/>
    <w:multiLevelType w:val="hybridMultilevel"/>
    <w:tmpl w:val="8D069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820EB3"/>
    <w:multiLevelType w:val="hybridMultilevel"/>
    <w:tmpl w:val="1090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807F07"/>
    <w:multiLevelType w:val="multilevel"/>
    <w:tmpl w:val="07C6A55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0" w15:restartNumberingAfterBreak="0">
    <w:nsid w:val="46CB2D53"/>
    <w:multiLevelType w:val="hybridMultilevel"/>
    <w:tmpl w:val="EE5E5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F066E8"/>
    <w:multiLevelType w:val="hybridMultilevel"/>
    <w:tmpl w:val="56A8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A94697"/>
    <w:multiLevelType w:val="multilevel"/>
    <w:tmpl w:val="07C6A55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3" w15:restartNumberingAfterBreak="0">
    <w:nsid w:val="4CEB0FA4"/>
    <w:multiLevelType w:val="multilevel"/>
    <w:tmpl w:val="7B1C5A4A"/>
    <w:lvl w:ilvl="0">
      <w:start w:val="1"/>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720"/>
        </w:tabs>
        <w:ind w:left="720" w:hanging="720"/>
      </w:pPr>
      <w:rPr>
        <w:rFonts w:cs="Times New Roman" w:hint="default"/>
      </w:rPr>
    </w:lvl>
    <w:lvl w:ilvl="2">
      <w:start w:val="1"/>
      <w:numFmt w:val="decimal"/>
      <w:pStyle w:val="Heading3"/>
      <w:isLgl/>
      <w:lvlText w:val="%1.%2.%3"/>
      <w:lvlJc w:val="left"/>
      <w:pPr>
        <w:tabs>
          <w:tab w:val="num" w:pos="720"/>
        </w:tabs>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15:restartNumberingAfterBreak="0">
    <w:nsid w:val="510875C5"/>
    <w:multiLevelType w:val="hybridMultilevel"/>
    <w:tmpl w:val="9A5A1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C25006"/>
    <w:multiLevelType w:val="hybridMultilevel"/>
    <w:tmpl w:val="81FAF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602B0D"/>
    <w:multiLevelType w:val="hybridMultilevel"/>
    <w:tmpl w:val="93B2AD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C44E49"/>
    <w:multiLevelType w:val="hybridMultilevel"/>
    <w:tmpl w:val="3ADA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0911D1"/>
    <w:multiLevelType w:val="hybridMultilevel"/>
    <w:tmpl w:val="55809F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2E272C"/>
    <w:multiLevelType w:val="hybridMultilevel"/>
    <w:tmpl w:val="E9B8E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FC5A7F"/>
    <w:multiLevelType w:val="hybridMultilevel"/>
    <w:tmpl w:val="03FC4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77366B"/>
    <w:multiLevelType w:val="hybridMultilevel"/>
    <w:tmpl w:val="512C97B0"/>
    <w:lvl w:ilvl="0" w:tplc="A7EEF762">
      <w:start w:val="1"/>
      <w:numFmt w:val="bullet"/>
      <w:pStyle w:val="Bullet1"/>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5C009EF"/>
    <w:multiLevelType w:val="hybridMultilevel"/>
    <w:tmpl w:val="A5F64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40"/>
  </w:num>
  <w:num w:numId="4">
    <w:abstractNumId w:val="25"/>
  </w:num>
  <w:num w:numId="5">
    <w:abstractNumId w:val="24"/>
  </w:num>
  <w:num w:numId="6">
    <w:abstractNumId w:val="26"/>
  </w:num>
  <w:num w:numId="7">
    <w:abstractNumId w:val="19"/>
  </w:num>
  <w:num w:numId="8">
    <w:abstractNumId w:val="21"/>
  </w:num>
  <w:num w:numId="9">
    <w:abstractNumId w:val="38"/>
  </w:num>
  <w:num w:numId="10">
    <w:abstractNumId w:val="39"/>
  </w:num>
  <w:num w:numId="11">
    <w:abstractNumId w:val="28"/>
  </w:num>
  <w:num w:numId="12">
    <w:abstractNumId w:val="36"/>
  </w:num>
  <w:num w:numId="13">
    <w:abstractNumId w:val="27"/>
  </w:num>
  <w:num w:numId="14">
    <w:abstractNumId w:val="34"/>
  </w:num>
  <w:num w:numId="15">
    <w:abstractNumId w:val="31"/>
  </w:num>
  <w:num w:numId="16">
    <w:abstractNumId w:val="10"/>
  </w:num>
  <w:num w:numId="17">
    <w:abstractNumId w:val="35"/>
  </w:num>
  <w:num w:numId="18">
    <w:abstractNumId w:val="37"/>
  </w:num>
  <w:num w:numId="19">
    <w:abstractNumId w:val="16"/>
  </w:num>
  <w:num w:numId="20">
    <w:abstractNumId w:val="42"/>
  </w:num>
  <w:num w:numId="21">
    <w:abstractNumId w:val="13"/>
  </w:num>
  <w:num w:numId="22">
    <w:abstractNumId w:val="1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0"/>
  </w:num>
  <w:num w:numId="34">
    <w:abstractNumId w:val="41"/>
  </w:num>
  <w:num w:numId="35">
    <w:abstractNumId w:val="11"/>
  </w:num>
  <w:num w:numId="36">
    <w:abstractNumId w:val="22"/>
  </w:num>
  <w:num w:numId="37">
    <w:abstractNumId w:val="33"/>
  </w:num>
  <w:num w:numId="38">
    <w:abstractNumId w:val="33"/>
  </w:num>
  <w:num w:numId="39">
    <w:abstractNumId w:val="33"/>
  </w:num>
  <w:num w:numId="40">
    <w:abstractNumId w:val="14"/>
  </w:num>
  <w:num w:numId="41">
    <w:abstractNumId w:val="18"/>
  </w:num>
  <w:num w:numId="42">
    <w:abstractNumId w:val="32"/>
  </w:num>
  <w:num w:numId="43">
    <w:abstractNumId w:val="17"/>
  </w:num>
  <w:num w:numId="44">
    <w:abstractNumId w:val="12"/>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SpringerVancouver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ffz9xpdrtvx0we95vsverr1xdszrsdepvvv&quot;&gt;Revlimid Manuscript References PHOpen&lt;record-ids&gt;&lt;item&gt;1&lt;/item&gt;&lt;item&gt;1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record-ids&gt;&lt;/item&gt;&lt;/Libraries&gt;"/>
  </w:docVars>
  <w:rsids>
    <w:rsidRoot w:val="00170100"/>
    <w:rsid w:val="00000CC6"/>
    <w:rsid w:val="00000D91"/>
    <w:rsid w:val="00000E88"/>
    <w:rsid w:val="000025E0"/>
    <w:rsid w:val="00002FAB"/>
    <w:rsid w:val="00007AF9"/>
    <w:rsid w:val="00010045"/>
    <w:rsid w:val="00014F00"/>
    <w:rsid w:val="0001716D"/>
    <w:rsid w:val="000176C1"/>
    <w:rsid w:val="00020B92"/>
    <w:rsid w:val="00022412"/>
    <w:rsid w:val="00022AA7"/>
    <w:rsid w:val="00030618"/>
    <w:rsid w:val="00033289"/>
    <w:rsid w:val="00033982"/>
    <w:rsid w:val="0003693B"/>
    <w:rsid w:val="00036ECF"/>
    <w:rsid w:val="00040C02"/>
    <w:rsid w:val="0004152F"/>
    <w:rsid w:val="00041665"/>
    <w:rsid w:val="000429C4"/>
    <w:rsid w:val="00044186"/>
    <w:rsid w:val="000449D3"/>
    <w:rsid w:val="00050185"/>
    <w:rsid w:val="00052A79"/>
    <w:rsid w:val="0005474C"/>
    <w:rsid w:val="00056EF1"/>
    <w:rsid w:val="0005799A"/>
    <w:rsid w:val="00064318"/>
    <w:rsid w:val="000675B3"/>
    <w:rsid w:val="000738AF"/>
    <w:rsid w:val="00080735"/>
    <w:rsid w:val="000810BA"/>
    <w:rsid w:val="00092A4E"/>
    <w:rsid w:val="00093DF3"/>
    <w:rsid w:val="00095080"/>
    <w:rsid w:val="0009685B"/>
    <w:rsid w:val="000A024D"/>
    <w:rsid w:val="000A0449"/>
    <w:rsid w:val="000A1766"/>
    <w:rsid w:val="000A1FFD"/>
    <w:rsid w:val="000A3813"/>
    <w:rsid w:val="000A5E57"/>
    <w:rsid w:val="000A7759"/>
    <w:rsid w:val="000B0454"/>
    <w:rsid w:val="000B0706"/>
    <w:rsid w:val="000B0F67"/>
    <w:rsid w:val="000B1329"/>
    <w:rsid w:val="000B16A7"/>
    <w:rsid w:val="000B1C8C"/>
    <w:rsid w:val="000B2FC6"/>
    <w:rsid w:val="000B301E"/>
    <w:rsid w:val="000B656E"/>
    <w:rsid w:val="000B6E72"/>
    <w:rsid w:val="000C68E9"/>
    <w:rsid w:val="000C7233"/>
    <w:rsid w:val="000C7838"/>
    <w:rsid w:val="000C7D59"/>
    <w:rsid w:val="000D30FB"/>
    <w:rsid w:val="000D7063"/>
    <w:rsid w:val="000E11DC"/>
    <w:rsid w:val="000E1309"/>
    <w:rsid w:val="000E2AF0"/>
    <w:rsid w:val="000E339C"/>
    <w:rsid w:val="000E5F11"/>
    <w:rsid w:val="000E68D2"/>
    <w:rsid w:val="000F2588"/>
    <w:rsid w:val="000F3AC3"/>
    <w:rsid w:val="000F4E71"/>
    <w:rsid w:val="00100067"/>
    <w:rsid w:val="00100122"/>
    <w:rsid w:val="001012EB"/>
    <w:rsid w:val="0010253B"/>
    <w:rsid w:val="0010422A"/>
    <w:rsid w:val="0010477B"/>
    <w:rsid w:val="00107135"/>
    <w:rsid w:val="00111161"/>
    <w:rsid w:val="001120F7"/>
    <w:rsid w:val="00112C46"/>
    <w:rsid w:val="00115D79"/>
    <w:rsid w:val="00116A8A"/>
    <w:rsid w:val="00120868"/>
    <w:rsid w:val="001265EA"/>
    <w:rsid w:val="00130D89"/>
    <w:rsid w:val="00134534"/>
    <w:rsid w:val="001355D2"/>
    <w:rsid w:val="00136DDB"/>
    <w:rsid w:val="00137B85"/>
    <w:rsid w:val="00141DA2"/>
    <w:rsid w:val="00143D4F"/>
    <w:rsid w:val="00143EA9"/>
    <w:rsid w:val="0014442B"/>
    <w:rsid w:val="00151EDB"/>
    <w:rsid w:val="001532C1"/>
    <w:rsid w:val="00156A81"/>
    <w:rsid w:val="00165CC1"/>
    <w:rsid w:val="00170100"/>
    <w:rsid w:val="00171309"/>
    <w:rsid w:val="00176F9A"/>
    <w:rsid w:val="00177FB5"/>
    <w:rsid w:val="0018412C"/>
    <w:rsid w:val="00184F0F"/>
    <w:rsid w:val="0019172C"/>
    <w:rsid w:val="00191D02"/>
    <w:rsid w:val="00191D98"/>
    <w:rsid w:val="001920C8"/>
    <w:rsid w:val="00192DD3"/>
    <w:rsid w:val="00196CD3"/>
    <w:rsid w:val="00197AE8"/>
    <w:rsid w:val="001B1A5A"/>
    <w:rsid w:val="001B27F4"/>
    <w:rsid w:val="001B3496"/>
    <w:rsid w:val="001B7D3E"/>
    <w:rsid w:val="001C2BB3"/>
    <w:rsid w:val="001C2CCD"/>
    <w:rsid w:val="001C37D4"/>
    <w:rsid w:val="001D0B70"/>
    <w:rsid w:val="001D21BE"/>
    <w:rsid w:val="001D310F"/>
    <w:rsid w:val="001D551C"/>
    <w:rsid w:val="001E348D"/>
    <w:rsid w:val="001E479A"/>
    <w:rsid w:val="001F0ED6"/>
    <w:rsid w:val="001F38C2"/>
    <w:rsid w:val="001F4443"/>
    <w:rsid w:val="001F7B34"/>
    <w:rsid w:val="00200089"/>
    <w:rsid w:val="0020586C"/>
    <w:rsid w:val="00206357"/>
    <w:rsid w:val="00210A88"/>
    <w:rsid w:val="00220FE3"/>
    <w:rsid w:val="002219D1"/>
    <w:rsid w:val="0022292C"/>
    <w:rsid w:val="00222D57"/>
    <w:rsid w:val="0022338C"/>
    <w:rsid w:val="00225895"/>
    <w:rsid w:val="002263E0"/>
    <w:rsid w:val="00240813"/>
    <w:rsid w:val="00241C31"/>
    <w:rsid w:val="00244FCE"/>
    <w:rsid w:val="00250903"/>
    <w:rsid w:val="002576AD"/>
    <w:rsid w:val="002601B2"/>
    <w:rsid w:val="002619ED"/>
    <w:rsid w:val="0026497B"/>
    <w:rsid w:val="00270C07"/>
    <w:rsid w:val="00270DD9"/>
    <w:rsid w:val="002769C7"/>
    <w:rsid w:val="00277307"/>
    <w:rsid w:val="00277AFE"/>
    <w:rsid w:val="00287B7B"/>
    <w:rsid w:val="0029361A"/>
    <w:rsid w:val="00295A52"/>
    <w:rsid w:val="00295B7B"/>
    <w:rsid w:val="002963F5"/>
    <w:rsid w:val="002A0971"/>
    <w:rsid w:val="002B1BF7"/>
    <w:rsid w:val="002B22C2"/>
    <w:rsid w:val="002B24E2"/>
    <w:rsid w:val="002B3222"/>
    <w:rsid w:val="002B371D"/>
    <w:rsid w:val="002B4D77"/>
    <w:rsid w:val="002B560F"/>
    <w:rsid w:val="002B6B2E"/>
    <w:rsid w:val="002C1D2F"/>
    <w:rsid w:val="002C7825"/>
    <w:rsid w:val="002D13EE"/>
    <w:rsid w:val="002D1405"/>
    <w:rsid w:val="002D1464"/>
    <w:rsid w:val="002D3BF0"/>
    <w:rsid w:val="002D4DEB"/>
    <w:rsid w:val="002D50C9"/>
    <w:rsid w:val="002D6C52"/>
    <w:rsid w:val="002D7F1A"/>
    <w:rsid w:val="002E0B7B"/>
    <w:rsid w:val="002E1411"/>
    <w:rsid w:val="002E24CB"/>
    <w:rsid w:val="002E5FDC"/>
    <w:rsid w:val="002E7F77"/>
    <w:rsid w:val="002F0AA3"/>
    <w:rsid w:val="002F278B"/>
    <w:rsid w:val="002F73BE"/>
    <w:rsid w:val="00310275"/>
    <w:rsid w:val="003119DF"/>
    <w:rsid w:val="00313044"/>
    <w:rsid w:val="003132FE"/>
    <w:rsid w:val="00314BC9"/>
    <w:rsid w:val="00314CE6"/>
    <w:rsid w:val="0031590B"/>
    <w:rsid w:val="00315E44"/>
    <w:rsid w:val="0031660F"/>
    <w:rsid w:val="00320873"/>
    <w:rsid w:val="00322A6E"/>
    <w:rsid w:val="00324609"/>
    <w:rsid w:val="00325B98"/>
    <w:rsid w:val="0033091E"/>
    <w:rsid w:val="00332345"/>
    <w:rsid w:val="003347A6"/>
    <w:rsid w:val="00343C3F"/>
    <w:rsid w:val="00344E3A"/>
    <w:rsid w:val="00345FB5"/>
    <w:rsid w:val="00346D8A"/>
    <w:rsid w:val="00347039"/>
    <w:rsid w:val="003602AE"/>
    <w:rsid w:val="00360500"/>
    <w:rsid w:val="0036369C"/>
    <w:rsid w:val="00363D0E"/>
    <w:rsid w:val="00363FDA"/>
    <w:rsid w:val="003713DE"/>
    <w:rsid w:val="003719EE"/>
    <w:rsid w:val="00373116"/>
    <w:rsid w:val="00373793"/>
    <w:rsid w:val="003750AB"/>
    <w:rsid w:val="003819DD"/>
    <w:rsid w:val="00384948"/>
    <w:rsid w:val="003874B9"/>
    <w:rsid w:val="003970F7"/>
    <w:rsid w:val="003A0EC7"/>
    <w:rsid w:val="003A1CE2"/>
    <w:rsid w:val="003B1935"/>
    <w:rsid w:val="003B1FFF"/>
    <w:rsid w:val="003B2375"/>
    <w:rsid w:val="003B2815"/>
    <w:rsid w:val="003B34E0"/>
    <w:rsid w:val="003B4B20"/>
    <w:rsid w:val="003B51A5"/>
    <w:rsid w:val="003C4EC4"/>
    <w:rsid w:val="003C515F"/>
    <w:rsid w:val="003C63F4"/>
    <w:rsid w:val="003C7136"/>
    <w:rsid w:val="003D1626"/>
    <w:rsid w:val="003D1EBD"/>
    <w:rsid w:val="003D2091"/>
    <w:rsid w:val="003D43E6"/>
    <w:rsid w:val="003D5307"/>
    <w:rsid w:val="003E130F"/>
    <w:rsid w:val="003E230D"/>
    <w:rsid w:val="003E2730"/>
    <w:rsid w:val="003E30F8"/>
    <w:rsid w:val="003E4E7B"/>
    <w:rsid w:val="003E63DE"/>
    <w:rsid w:val="003F1A9F"/>
    <w:rsid w:val="003F1C86"/>
    <w:rsid w:val="003F2A18"/>
    <w:rsid w:val="003F4B9A"/>
    <w:rsid w:val="00401313"/>
    <w:rsid w:val="00404278"/>
    <w:rsid w:val="00405DB1"/>
    <w:rsid w:val="00407619"/>
    <w:rsid w:val="00410F9F"/>
    <w:rsid w:val="004174E4"/>
    <w:rsid w:val="00420213"/>
    <w:rsid w:val="00423226"/>
    <w:rsid w:val="00423BBC"/>
    <w:rsid w:val="00424DFF"/>
    <w:rsid w:val="0042716D"/>
    <w:rsid w:val="00427791"/>
    <w:rsid w:val="0043393F"/>
    <w:rsid w:val="0043403B"/>
    <w:rsid w:val="004446CC"/>
    <w:rsid w:val="00445488"/>
    <w:rsid w:val="0044566D"/>
    <w:rsid w:val="004478FC"/>
    <w:rsid w:val="004512EA"/>
    <w:rsid w:val="00452207"/>
    <w:rsid w:val="00461541"/>
    <w:rsid w:val="00464911"/>
    <w:rsid w:val="004676D9"/>
    <w:rsid w:val="00470679"/>
    <w:rsid w:val="00474E84"/>
    <w:rsid w:val="00475DDA"/>
    <w:rsid w:val="00477E9E"/>
    <w:rsid w:val="0048228B"/>
    <w:rsid w:val="00482AC9"/>
    <w:rsid w:val="00483231"/>
    <w:rsid w:val="00484A77"/>
    <w:rsid w:val="00492345"/>
    <w:rsid w:val="00492A9A"/>
    <w:rsid w:val="00494832"/>
    <w:rsid w:val="00496780"/>
    <w:rsid w:val="004A1665"/>
    <w:rsid w:val="004A1CA6"/>
    <w:rsid w:val="004A4818"/>
    <w:rsid w:val="004A6099"/>
    <w:rsid w:val="004B1C10"/>
    <w:rsid w:val="004B1E9B"/>
    <w:rsid w:val="004B4E47"/>
    <w:rsid w:val="004C074D"/>
    <w:rsid w:val="004C246D"/>
    <w:rsid w:val="004C3C6C"/>
    <w:rsid w:val="004C664C"/>
    <w:rsid w:val="004C7A25"/>
    <w:rsid w:val="004D181D"/>
    <w:rsid w:val="004D42A4"/>
    <w:rsid w:val="004D630D"/>
    <w:rsid w:val="004D7B4E"/>
    <w:rsid w:val="004E0BC5"/>
    <w:rsid w:val="004E3D1F"/>
    <w:rsid w:val="004E3FEF"/>
    <w:rsid w:val="004F2FEE"/>
    <w:rsid w:val="004F4276"/>
    <w:rsid w:val="004F4359"/>
    <w:rsid w:val="004F5AF5"/>
    <w:rsid w:val="004F6762"/>
    <w:rsid w:val="00501946"/>
    <w:rsid w:val="005039B8"/>
    <w:rsid w:val="00507809"/>
    <w:rsid w:val="00507E28"/>
    <w:rsid w:val="00510828"/>
    <w:rsid w:val="00510DF8"/>
    <w:rsid w:val="00513143"/>
    <w:rsid w:val="005160F3"/>
    <w:rsid w:val="005210EB"/>
    <w:rsid w:val="00522E8B"/>
    <w:rsid w:val="005328FF"/>
    <w:rsid w:val="00533367"/>
    <w:rsid w:val="005355FD"/>
    <w:rsid w:val="00537367"/>
    <w:rsid w:val="0054098A"/>
    <w:rsid w:val="005435EC"/>
    <w:rsid w:val="00544A79"/>
    <w:rsid w:val="00544C7D"/>
    <w:rsid w:val="005517E6"/>
    <w:rsid w:val="00552A77"/>
    <w:rsid w:val="00552D86"/>
    <w:rsid w:val="00553841"/>
    <w:rsid w:val="00554687"/>
    <w:rsid w:val="00554739"/>
    <w:rsid w:val="00554FAA"/>
    <w:rsid w:val="00555C5F"/>
    <w:rsid w:val="00556A17"/>
    <w:rsid w:val="00556BD9"/>
    <w:rsid w:val="00560C2B"/>
    <w:rsid w:val="005612A9"/>
    <w:rsid w:val="005612F7"/>
    <w:rsid w:val="005613C0"/>
    <w:rsid w:val="00564B60"/>
    <w:rsid w:val="00570B32"/>
    <w:rsid w:val="00575867"/>
    <w:rsid w:val="00575D0B"/>
    <w:rsid w:val="005821DA"/>
    <w:rsid w:val="0058498D"/>
    <w:rsid w:val="00587F5A"/>
    <w:rsid w:val="0059073C"/>
    <w:rsid w:val="00590EF3"/>
    <w:rsid w:val="00591249"/>
    <w:rsid w:val="00593BB6"/>
    <w:rsid w:val="005971D1"/>
    <w:rsid w:val="005974A0"/>
    <w:rsid w:val="00597D0F"/>
    <w:rsid w:val="005A0386"/>
    <w:rsid w:val="005A2909"/>
    <w:rsid w:val="005A790C"/>
    <w:rsid w:val="005B2F87"/>
    <w:rsid w:val="005B3439"/>
    <w:rsid w:val="005B3B34"/>
    <w:rsid w:val="005B791B"/>
    <w:rsid w:val="005C35FE"/>
    <w:rsid w:val="005C532F"/>
    <w:rsid w:val="005C7908"/>
    <w:rsid w:val="005D2BDD"/>
    <w:rsid w:val="005D49F6"/>
    <w:rsid w:val="005D4A12"/>
    <w:rsid w:val="005D6B10"/>
    <w:rsid w:val="005D765E"/>
    <w:rsid w:val="005E20EF"/>
    <w:rsid w:val="005E4268"/>
    <w:rsid w:val="005E5206"/>
    <w:rsid w:val="005E53B5"/>
    <w:rsid w:val="005E578B"/>
    <w:rsid w:val="005E728E"/>
    <w:rsid w:val="005F083D"/>
    <w:rsid w:val="005F33E7"/>
    <w:rsid w:val="005F4240"/>
    <w:rsid w:val="005F79A9"/>
    <w:rsid w:val="00603C4C"/>
    <w:rsid w:val="00604EED"/>
    <w:rsid w:val="0061173F"/>
    <w:rsid w:val="00613259"/>
    <w:rsid w:val="00614E60"/>
    <w:rsid w:val="00617355"/>
    <w:rsid w:val="00617E6F"/>
    <w:rsid w:val="00620F8B"/>
    <w:rsid w:val="006234CB"/>
    <w:rsid w:val="006329D4"/>
    <w:rsid w:val="0063346E"/>
    <w:rsid w:val="006361E4"/>
    <w:rsid w:val="006379E6"/>
    <w:rsid w:val="00637C19"/>
    <w:rsid w:val="00640C4B"/>
    <w:rsid w:val="006416D9"/>
    <w:rsid w:val="00642E91"/>
    <w:rsid w:val="006474A2"/>
    <w:rsid w:val="006501F0"/>
    <w:rsid w:val="00655F5C"/>
    <w:rsid w:val="006564BB"/>
    <w:rsid w:val="00656F46"/>
    <w:rsid w:val="00656FB7"/>
    <w:rsid w:val="00657B87"/>
    <w:rsid w:val="0066193B"/>
    <w:rsid w:val="00661F11"/>
    <w:rsid w:val="00666836"/>
    <w:rsid w:val="00666A4B"/>
    <w:rsid w:val="006731DD"/>
    <w:rsid w:val="00673688"/>
    <w:rsid w:val="00674331"/>
    <w:rsid w:val="00675107"/>
    <w:rsid w:val="006756F6"/>
    <w:rsid w:val="00676898"/>
    <w:rsid w:val="00680650"/>
    <w:rsid w:val="0068234F"/>
    <w:rsid w:val="0068782A"/>
    <w:rsid w:val="00692042"/>
    <w:rsid w:val="00696CF4"/>
    <w:rsid w:val="006A4FC3"/>
    <w:rsid w:val="006A697A"/>
    <w:rsid w:val="006B18EF"/>
    <w:rsid w:val="006B41BE"/>
    <w:rsid w:val="006B5AE8"/>
    <w:rsid w:val="006C2631"/>
    <w:rsid w:val="006C26ED"/>
    <w:rsid w:val="006C3B87"/>
    <w:rsid w:val="006D1B0D"/>
    <w:rsid w:val="006D3BEC"/>
    <w:rsid w:val="006D4188"/>
    <w:rsid w:val="006D4CFE"/>
    <w:rsid w:val="006D6B3F"/>
    <w:rsid w:val="006E52E0"/>
    <w:rsid w:val="006E53F9"/>
    <w:rsid w:val="006F6BD8"/>
    <w:rsid w:val="006F77E2"/>
    <w:rsid w:val="00700359"/>
    <w:rsid w:val="00701AEE"/>
    <w:rsid w:val="007020CD"/>
    <w:rsid w:val="007037F7"/>
    <w:rsid w:val="00703D55"/>
    <w:rsid w:val="00704205"/>
    <w:rsid w:val="0070431D"/>
    <w:rsid w:val="00704E59"/>
    <w:rsid w:val="00706D9F"/>
    <w:rsid w:val="0070753A"/>
    <w:rsid w:val="00713506"/>
    <w:rsid w:val="00713880"/>
    <w:rsid w:val="00714BB9"/>
    <w:rsid w:val="00716978"/>
    <w:rsid w:val="00720727"/>
    <w:rsid w:val="007265FB"/>
    <w:rsid w:val="007267A7"/>
    <w:rsid w:val="00733AC9"/>
    <w:rsid w:val="0073468E"/>
    <w:rsid w:val="00737284"/>
    <w:rsid w:val="0074334E"/>
    <w:rsid w:val="007445B2"/>
    <w:rsid w:val="00747737"/>
    <w:rsid w:val="00750543"/>
    <w:rsid w:val="00750687"/>
    <w:rsid w:val="00751358"/>
    <w:rsid w:val="00751536"/>
    <w:rsid w:val="00753747"/>
    <w:rsid w:val="00754C06"/>
    <w:rsid w:val="0076033D"/>
    <w:rsid w:val="00761022"/>
    <w:rsid w:val="007618D1"/>
    <w:rsid w:val="0076571B"/>
    <w:rsid w:val="00771B7E"/>
    <w:rsid w:val="00772236"/>
    <w:rsid w:val="00773CE6"/>
    <w:rsid w:val="007745D4"/>
    <w:rsid w:val="00775139"/>
    <w:rsid w:val="0077625C"/>
    <w:rsid w:val="00776BBE"/>
    <w:rsid w:val="00777657"/>
    <w:rsid w:val="00783CB7"/>
    <w:rsid w:val="007852DD"/>
    <w:rsid w:val="00786397"/>
    <w:rsid w:val="007874D5"/>
    <w:rsid w:val="0078750C"/>
    <w:rsid w:val="00791818"/>
    <w:rsid w:val="00794CF4"/>
    <w:rsid w:val="00796593"/>
    <w:rsid w:val="00796A1E"/>
    <w:rsid w:val="007A3920"/>
    <w:rsid w:val="007A5F7B"/>
    <w:rsid w:val="007A733E"/>
    <w:rsid w:val="007B24C0"/>
    <w:rsid w:val="007B3167"/>
    <w:rsid w:val="007B48AC"/>
    <w:rsid w:val="007B63FC"/>
    <w:rsid w:val="007B6FEA"/>
    <w:rsid w:val="007C0D3F"/>
    <w:rsid w:val="007C205B"/>
    <w:rsid w:val="007C66E2"/>
    <w:rsid w:val="007D2D9E"/>
    <w:rsid w:val="007D3F2A"/>
    <w:rsid w:val="007D5CBB"/>
    <w:rsid w:val="007E0731"/>
    <w:rsid w:val="007E0BEA"/>
    <w:rsid w:val="007E29E9"/>
    <w:rsid w:val="007E4517"/>
    <w:rsid w:val="007E75C7"/>
    <w:rsid w:val="007E7DFF"/>
    <w:rsid w:val="007F3054"/>
    <w:rsid w:val="007F5131"/>
    <w:rsid w:val="007F6B2C"/>
    <w:rsid w:val="007F7798"/>
    <w:rsid w:val="00801BC7"/>
    <w:rsid w:val="00804EB5"/>
    <w:rsid w:val="00805220"/>
    <w:rsid w:val="008076A9"/>
    <w:rsid w:val="008115E3"/>
    <w:rsid w:val="008119A8"/>
    <w:rsid w:val="008172BC"/>
    <w:rsid w:val="0081795A"/>
    <w:rsid w:val="00820A07"/>
    <w:rsid w:val="00822300"/>
    <w:rsid w:val="00822480"/>
    <w:rsid w:val="008246FD"/>
    <w:rsid w:val="00824F77"/>
    <w:rsid w:val="00826C80"/>
    <w:rsid w:val="00830497"/>
    <w:rsid w:val="0083273F"/>
    <w:rsid w:val="00833FFF"/>
    <w:rsid w:val="00835108"/>
    <w:rsid w:val="0083681E"/>
    <w:rsid w:val="00840483"/>
    <w:rsid w:val="00840DE7"/>
    <w:rsid w:val="00847A27"/>
    <w:rsid w:val="008514D8"/>
    <w:rsid w:val="008536B6"/>
    <w:rsid w:val="0085572E"/>
    <w:rsid w:val="00856406"/>
    <w:rsid w:val="00857240"/>
    <w:rsid w:val="00857420"/>
    <w:rsid w:val="00857D02"/>
    <w:rsid w:val="0086140A"/>
    <w:rsid w:val="00866025"/>
    <w:rsid w:val="008661C9"/>
    <w:rsid w:val="00870021"/>
    <w:rsid w:val="008710E8"/>
    <w:rsid w:val="00873D41"/>
    <w:rsid w:val="00874739"/>
    <w:rsid w:val="00882486"/>
    <w:rsid w:val="00882CFE"/>
    <w:rsid w:val="00884F69"/>
    <w:rsid w:val="008862C8"/>
    <w:rsid w:val="0089068E"/>
    <w:rsid w:val="008912AF"/>
    <w:rsid w:val="008914BB"/>
    <w:rsid w:val="00892C56"/>
    <w:rsid w:val="008930F8"/>
    <w:rsid w:val="00893F5C"/>
    <w:rsid w:val="008943F5"/>
    <w:rsid w:val="00895076"/>
    <w:rsid w:val="008A53C7"/>
    <w:rsid w:val="008A6F72"/>
    <w:rsid w:val="008B0476"/>
    <w:rsid w:val="008B1084"/>
    <w:rsid w:val="008B4C61"/>
    <w:rsid w:val="008B5397"/>
    <w:rsid w:val="008B69D9"/>
    <w:rsid w:val="008B727F"/>
    <w:rsid w:val="008B7874"/>
    <w:rsid w:val="008B7E01"/>
    <w:rsid w:val="008C1343"/>
    <w:rsid w:val="008C1359"/>
    <w:rsid w:val="008C4F74"/>
    <w:rsid w:val="008C5B45"/>
    <w:rsid w:val="008D0791"/>
    <w:rsid w:val="008D364D"/>
    <w:rsid w:val="008D4BE8"/>
    <w:rsid w:val="008D6B7C"/>
    <w:rsid w:val="008E1552"/>
    <w:rsid w:val="008E1AE2"/>
    <w:rsid w:val="008E1D1E"/>
    <w:rsid w:val="008E2DC9"/>
    <w:rsid w:val="008E2FAB"/>
    <w:rsid w:val="008E5A07"/>
    <w:rsid w:val="008F1DE2"/>
    <w:rsid w:val="008F3047"/>
    <w:rsid w:val="008F6163"/>
    <w:rsid w:val="008F65BD"/>
    <w:rsid w:val="0090099B"/>
    <w:rsid w:val="00901595"/>
    <w:rsid w:val="0090338F"/>
    <w:rsid w:val="00903FDE"/>
    <w:rsid w:val="009070B8"/>
    <w:rsid w:val="009114DE"/>
    <w:rsid w:val="00912701"/>
    <w:rsid w:val="00913164"/>
    <w:rsid w:val="00915B80"/>
    <w:rsid w:val="00916AB4"/>
    <w:rsid w:val="009204D6"/>
    <w:rsid w:val="00927378"/>
    <w:rsid w:val="00932410"/>
    <w:rsid w:val="00933A46"/>
    <w:rsid w:val="00934E9B"/>
    <w:rsid w:val="0093542E"/>
    <w:rsid w:val="009377CA"/>
    <w:rsid w:val="009417E1"/>
    <w:rsid w:val="00941B3F"/>
    <w:rsid w:val="00941EDB"/>
    <w:rsid w:val="00945888"/>
    <w:rsid w:val="00953081"/>
    <w:rsid w:val="009530BF"/>
    <w:rsid w:val="00953A65"/>
    <w:rsid w:val="00954049"/>
    <w:rsid w:val="0096067B"/>
    <w:rsid w:val="00960995"/>
    <w:rsid w:val="00961844"/>
    <w:rsid w:val="00962C0F"/>
    <w:rsid w:val="00964591"/>
    <w:rsid w:val="0096562F"/>
    <w:rsid w:val="009659F5"/>
    <w:rsid w:val="009665DD"/>
    <w:rsid w:val="009704EC"/>
    <w:rsid w:val="009758A5"/>
    <w:rsid w:val="00981962"/>
    <w:rsid w:val="00983C20"/>
    <w:rsid w:val="00984EF4"/>
    <w:rsid w:val="00985CAB"/>
    <w:rsid w:val="009919C7"/>
    <w:rsid w:val="009A02F8"/>
    <w:rsid w:val="009A2D68"/>
    <w:rsid w:val="009A367D"/>
    <w:rsid w:val="009A4442"/>
    <w:rsid w:val="009A44D4"/>
    <w:rsid w:val="009A561B"/>
    <w:rsid w:val="009A6917"/>
    <w:rsid w:val="009B4C9F"/>
    <w:rsid w:val="009B7D20"/>
    <w:rsid w:val="009C0D31"/>
    <w:rsid w:val="009C2AF8"/>
    <w:rsid w:val="009C7414"/>
    <w:rsid w:val="009D003B"/>
    <w:rsid w:val="009D0405"/>
    <w:rsid w:val="009D2624"/>
    <w:rsid w:val="009D3E7F"/>
    <w:rsid w:val="009D55E3"/>
    <w:rsid w:val="009E1E6A"/>
    <w:rsid w:val="009E2525"/>
    <w:rsid w:val="009E598A"/>
    <w:rsid w:val="009F0327"/>
    <w:rsid w:val="009F154C"/>
    <w:rsid w:val="009F26FC"/>
    <w:rsid w:val="009F661C"/>
    <w:rsid w:val="009F6F23"/>
    <w:rsid w:val="009F70A1"/>
    <w:rsid w:val="00A019BA"/>
    <w:rsid w:val="00A030CE"/>
    <w:rsid w:val="00A05183"/>
    <w:rsid w:val="00A07E3C"/>
    <w:rsid w:val="00A11A5B"/>
    <w:rsid w:val="00A11BF0"/>
    <w:rsid w:val="00A163AC"/>
    <w:rsid w:val="00A207EC"/>
    <w:rsid w:val="00A20FEE"/>
    <w:rsid w:val="00A2307E"/>
    <w:rsid w:val="00A24C14"/>
    <w:rsid w:val="00A27542"/>
    <w:rsid w:val="00A3463F"/>
    <w:rsid w:val="00A353E5"/>
    <w:rsid w:val="00A357E8"/>
    <w:rsid w:val="00A378A7"/>
    <w:rsid w:val="00A431CF"/>
    <w:rsid w:val="00A46AC5"/>
    <w:rsid w:val="00A47251"/>
    <w:rsid w:val="00A515C0"/>
    <w:rsid w:val="00A538E8"/>
    <w:rsid w:val="00A543DD"/>
    <w:rsid w:val="00A578A1"/>
    <w:rsid w:val="00A6038D"/>
    <w:rsid w:val="00A60614"/>
    <w:rsid w:val="00A607EA"/>
    <w:rsid w:val="00A60F8D"/>
    <w:rsid w:val="00A620A4"/>
    <w:rsid w:val="00A64258"/>
    <w:rsid w:val="00A654E4"/>
    <w:rsid w:val="00A65ED3"/>
    <w:rsid w:val="00A700A6"/>
    <w:rsid w:val="00A7089F"/>
    <w:rsid w:val="00A70CE6"/>
    <w:rsid w:val="00A713FF"/>
    <w:rsid w:val="00A7222C"/>
    <w:rsid w:val="00A75A3D"/>
    <w:rsid w:val="00A7719F"/>
    <w:rsid w:val="00A778A7"/>
    <w:rsid w:val="00A80589"/>
    <w:rsid w:val="00A81A4F"/>
    <w:rsid w:val="00A82AA8"/>
    <w:rsid w:val="00A82B23"/>
    <w:rsid w:val="00A92A32"/>
    <w:rsid w:val="00A93D74"/>
    <w:rsid w:val="00A948B1"/>
    <w:rsid w:val="00A94981"/>
    <w:rsid w:val="00A96D51"/>
    <w:rsid w:val="00AA0E05"/>
    <w:rsid w:val="00AA1186"/>
    <w:rsid w:val="00AA52BC"/>
    <w:rsid w:val="00AB147F"/>
    <w:rsid w:val="00AB42A4"/>
    <w:rsid w:val="00AB47C6"/>
    <w:rsid w:val="00AB60B0"/>
    <w:rsid w:val="00AC4B32"/>
    <w:rsid w:val="00AC545C"/>
    <w:rsid w:val="00AC5530"/>
    <w:rsid w:val="00AC5B3A"/>
    <w:rsid w:val="00AC768B"/>
    <w:rsid w:val="00AC7E9B"/>
    <w:rsid w:val="00AD5102"/>
    <w:rsid w:val="00AD5BA0"/>
    <w:rsid w:val="00AE0DA3"/>
    <w:rsid w:val="00AE178D"/>
    <w:rsid w:val="00AE22AD"/>
    <w:rsid w:val="00AE35DC"/>
    <w:rsid w:val="00AE396D"/>
    <w:rsid w:val="00AE43FE"/>
    <w:rsid w:val="00AE55D4"/>
    <w:rsid w:val="00AF0EC7"/>
    <w:rsid w:val="00AF63A3"/>
    <w:rsid w:val="00AF7BC8"/>
    <w:rsid w:val="00B0380A"/>
    <w:rsid w:val="00B0468A"/>
    <w:rsid w:val="00B07693"/>
    <w:rsid w:val="00B10F7A"/>
    <w:rsid w:val="00B113B5"/>
    <w:rsid w:val="00B17C1D"/>
    <w:rsid w:val="00B2015D"/>
    <w:rsid w:val="00B22674"/>
    <w:rsid w:val="00B25CAE"/>
    <w:rsid w:val="00B2650B"/>
    <w:rsid w:val="00B27B91"/>
    <w:rsid w:val="00B27D29"/>
    <w:rsid w:val="00B30156"/>
    <w:rsid w:val="00B34C2B"/>
    <w:rsid w:val="00B34D34"/>
    <w:rsid w:val="00B35818"/>
    <w:rsid w:val="00B3690A"/>
    <w:rsid w:val="00B375B5"/>
    <w:rsid w:val="00B40EAA"/>
    <w:rsid w:val="00B4292D"/>
    <w:rsid w:val="00B5306D"/>
    <w:rsid w:val="00B55427"/>
    <w:rsid w:val="00B650CB"/>
    <w:rsid w:val="00B65426"/>
    <w:rsid w:val="00B670A1"/>
    <w:rsid w:val="00B7035C"/>
    <w:rsid w:val="00B71A89"/>
    <w:rsid w:val="00B77056"/>
    <w:rsid w:val="00B77AAF"/>
    <w:rsid w:val="00B77EAC"/>
    <w:rsid w:val="00B80DCB"/>
    <w:rsid w:val="00B875BE"/>
    <w:rsid w:val="00B902BD"/>
    <w:rsid w:val="00B91EC7"/>
    <w:rsid w:val="00B92557"/>
    <w:rsid w:val="00B94FD1"/>
    <w:rsid w:val="00BA0EFD"/>
    <w:rsid w:val="00BA3E00"/>
    <w:rsid w:val="00BA3E10"/>
    <w:rsid w:val="00BA68CA"/>
    <w:rsid w:val="00BA7926"/>
    <w:rsid w:val="00BB107B"/>
    <w:rsid w:val="00BB1A56"/>
    <w:rsid w:val="00BB3DEB"/>
    <w:rsid w:val="00BB5C48"/>
    <w:rsid w:val="00BB5F4E"/>
    <w:rsid w:val="00BC1328"/>
    <w:rsid w:val="00BC1540"/>
    <w:rsid w:val="00BC1B23"/>
    <w:rsid w:val="00BC2814"/>
    <w:rsid w:val="00BC4C62"/>
    <w:rsid w:val="00BC73E7"/>
    <w:rsid w:val="00BD0420"/>
    <w:rsid w:val="00BD0C31"/>
    <w:rsid w:val="00BD3958"/>
    <w:rsid w:val="00BD4AD6"/>
    <w:rsid w:val="00BD5D24"/>
    <w:rsid w:val="00BE251A"/>
    <w:rsid w:val="00BE3F81"/>
    <w:rsid w:val="00BE496E"/>
    <w:rsid w:val="00BE5E4E"/>
    <w:rsid w:val="00BE6B38"/>
    <w:rsid w:val="00BF3479"/>
    <w:rsid w:val="00BF445E"/>
    <w:rsid w:val="00BF47A2"/>
    <w:rsid w:val="00C02417"/>
    <w:rsid w:val="00C03D10"/>
    <w:rsid w:val="00C11A10"/>
    <w:rsid w:val="00C15F58"/>
    <w:rsid w:val="00C16068"/>
    <w:rsid w:val="00C1637B"/>
    <w:rsid w:val="00C20095"/>
    <w:rsid w:val="00C2093A"/>
    <w:rsid w:val="00C24011"/>
    <w:rsid w:val="00C30036"/>
    <w:rsid w:val="00C35B53"/>
    <w:rsid w:val="00C379BC"/>
    <w:rsid w:val="00C40421"/>
    <w:rsid w:val="00C41012"/>
    <w:rsid w:val="00C42CAE"/>
    <w:rsid w:val="00C45AE4"/>
    <w:rsid w:val="00C46937"/>
    <w:rsid w:val="00C47236"/>
    <w:rsid w:val="00C503EB"/>
    <w:rsid w:val="00C50E29"/>
    <w:rsid w:val="00C5115F"/>
    <w:rsid w:val="00C5142E"/>
    <w:rsid w:val="00C54A38"/>
    <w:rsid w:val="00C61A83"/>
    <w:rsid w:val="00C62845"/>
    <w:rsid w:val="00C6304A"/>
    <w:rsid w:val="00C700A7"/>
    <w:rsid w:val="00C70E6E"/>
    <w:rsid w:val="00C7554A"/>
    <w:rsid w:val="00C8035E"/>
    <w:rsid w:val="00C80C6E"/>
    <w:rsid w:val="00C8202D"/>
    <w:rsid w:val="00C8252F"/>
    <w:rsid w:val="00C82D4D"/>
    <w:rsid w:val="00C837F8"/>
    <w:rsid w:val="00C9167C"/>
    <w:rsid w:val="00C95528"/>
    <w:rsid w:val="00C9596A"/>
    <w:rsid w:val="00C97207"/>
    <w:rsid w:val="00CA13BD"/>
    <w:rsid w:val="00CA67AC"/>
    <w:rsid w:val="00CA68ED"/>
    <w:rsid w:val="00CA737E"/>
    <w:rsid w:val="00CB1AE0"/>
    <w:rsid w:val="00CB2BA2"/>
    <w:rsid w:val="00CB740D"/>
    <w:rsid w:val="00CC2A70"/>
    <w:rsid w:val="00CC461A"/>
    <w:rsid w:val="00CD5BCF"/>
    <w:rsid w:val="00CE090A"/>
    <w:rsid w:val="00CE60A6"/>
    <w:rsid w:val="00CE6E9A"/>
    <w:rsid w:val="00CE71F8"/>
    <w:rsid w:val="00CF3AD2"/>
    <w:rsid w:val="00CF42D1"/>
    <w:rsid w:val="00D015EA"/>
    <w:rsid w:val="00D03501"/>
    <w:rsid w:val="00D0386F"/>
    <w:rsid w:val="00D0531E"/>
    <w:rsid w:val="00D06A45"/>
    <w:rsid w:val="00D06B53"/>
    <w:rsid w:val="00D10441"/>
    <w:rsid w:val="00D148DB"/>
    <w:rsid w:val="00D1607A"/>
    <w:rsid w:val="00D17B9F"/>
    <w:rsid w:val="00D2233A"/>
    <w:rsid w:val="00D314F9"/>
    <w:rsid w:val="00D31D60"/>
    <w:rsid w:val="00D321F1"/>
    <w:rsid w:val="00D34DE7"/>
    <w:rsid w:val="00D35818"/>
    <w:rsid w:val="00D3610A"/>
    <w:rsid w:val="00D3756B"/>
    <w:rsid w:val="00D400B0"/>
    <w:rsid w:val="00D41019"/>
    <w:rsid w:val="00D4640F"/>
    <w:rsid w:val="00D470F4"/>
    <w:rsid w:val="00D51BE9"/>
    <w:rsid w:val="00D557ED"/>
    <w:rsid w:val="00D5645D"/>
    <w:rsid w:val="00D56EC1"/>
    <w:rsid w:val="00D64268"/>
    <w:rsid w:val="00D652E9"/>
    <w:rsid w:val="00D67B7B"/>
    <w:rsid w:val="00D700C5"/>
    <w:rsid w:val="00D72473"/>
    <w:rsid w:val="00D72F0F"/>
    <w:rsid w:val="00D7489E"/>
    <w:rsid w:val="00D75720"/>
    <w:rsid w:val="00D75B23"/>
    <w:rsid w:val="00D75B66"/>
    <w:rsid w:val="00D81085"/>
    <w:rsid w:val="00D928B1"/>
    <w:rsid w:val="00DA00F6"/>
    <w:rsid w:val="00DA4D6B"/>
    <w:rsid w:val="00DA5592"/>
    <w:rsid w:val="00DA63C7"/>
    <w:rsid w:val="00DA70DE"/>
    <w:rsid w:val="00DB73BA"/>
    <w:rsid w:val="00DB7736"/>
    <w:rsid w:val="00DC0837"/>
    <w:rsid w:val="00DC1864"/>
    <w:rsid w:val="00DC24FA"/>
    <w:rsid w:val="00DC2923"/>
    <w:rsid w:val="00DC358F"/>
    <w:rsid w:val="00DC5DC3"/>
    <w:rsid w:val="00DD0F54"/>
    <w:rsid w:val="00DD166D"/>
    <w:rsid w:val="00DD210D"/>
    <w:rsid w:val="00DD2FE0"/>
    <w:rsid w:val="00DD61E7"/>
    <w:rsid w:val="00DD70C1"/>
    <w:rsid w:val="00DE0BB5"/>
    <w:rsid w:val="00DE1626"/>
    <w:rsid w:val="00DE1D20"/>
    <w:rsid w:val="00DE6AA6"/>
    <w:rsid w:val="00DE7EB9"/>
    <w:rsid w:val="00DF1B92"/>
    <w:rsid w:val="00DF1D87"/>
    <w:rsid w:val="00DF2474"/>
    <w:rsid w:val="00DF5375"/>
    <w:rsid w:val="00E00442"/>
    <w:rsid w:val="00E00FBF"/>
    <w:rsid w:val="00E0281E"/>
    <w:rsid w:val="00E0289E"/>
    <w:rsid w:val="00E06072"/>
    <w:rsid w:val="00E15B82"/>
    <w:rsid w:val="00E20139"/>
    <w:rsid w:val="00E215C1"/>
    <w:rsid w:val="00E22358"/>
    <w:rsid w:val="00E2294E"/>
    <w:rsid w:val="00E23C87"/>
    <w:rsid w:val="00E23D5D"/>
    <w:rsid w:val="00E25A87"/>
    <w:rsid w:val="00E25A94"/>
    <w:rsid w:val="00E34D3F"/>
    <w:rsid w:val="00E37030"/>
    <w:rsid w:val="00E418D0"/>
    <w:rsid w:val="00E41E4F"/>
    <w:rsid w:val="00E43514"/>
    <w:rsid w:val="00E44842"/>
    <w:rsid w:val="00E44E51"/>
    <w:rsid w:val="00E50E7C"/>
    <w:rsid w:val="00E564E2"/>
    <w:rsid w:val="00E56796"/>
    <w:rsid w:val="00E64361"/>
    <w:rsid w:val="00E72002"/>
    <w:rsid w:val="00E75743"/>
    <w:rsid w:val="00E759C9"/>
    <w:rsid w:val="00E75A6E"/>
    <w:rsid w:val="00E770B3"/>
    <w:rsid w:val="00E77E10"/>
    <w:rsid w:val="00E80061"/>
    <w:rsid w:val="00E80412"/>
    <w:rsid w:val="00E846E2"/>
    <w:rsid w:val="00E86534"/>
    <w:rsid w:val="00E8697D"/>
    <w:rsid w:val="00E8792A"/>
    <w:rsid w:val="00E91143"/>
    <w:rsid w:val="00E91D96"/>
    <w:rsid w:val="00E92DF4"/>
    <w:rsid w:val="00E96D3E"/>
    <w:rsid w:val="00EA2040"/>
    <w:rsid w:val="00EA24B1"/>
    <w:rsid w:val="00EA2CED"/>
    <w:rsid w:val="00EA3925"/>
    <w:rsid w:val="00EA5100"/>
    <w:rsid w:val="00EA54B5"/>
    <w:rsid w:val="00EA6D6A"/>
    <w:rsid w:val="00EB2052"/>
    <w:rsid w:val="00EB5BCF"/>
    <w:rsid w:val="00EB5F70"/>
    <w:rsid w:val="00EB665E"/>
    <w:rsid w:val="00EC29B5"/>
    <w:rsid w:val="00EC41B2"/>
    <w:rsid w:val="00EC512E"/>
    <w:rsid w:val="00ED1B3A"/>
    <w:rsid w:val="00ED33FC"/>
    <w:rsid w:val="00ED4450"/>
    <w:rsid w:val="00ED6A4C"/>
    <w:rsid w:val="00EE0AE2"/>
    <w:rsid w:val="00EE58A7"/>
    <w:rsid w:val="00EE6953"/>
    <w:rsid w:val="00EF6E7F"/>
    <w:rsid w:val="00F00245"/>
    <w:rsid w:val="00F022DE"/>
    <w:rsid w:val="00F02AA6"/>
    <w:rsid w:val="00F02C2D"/>
    <w:rsid w:val="00F038CB"/>
    <w:rsid w:val="00F03C70"/>
    <w:rsid w:val="00F10095"/>
    <w:rsid w:val="00F1072B"/>
    <w:rsid w:val="00F12EEA"/>
    <w:rsid w:val="00F143CB"/>
    <w:rsid w:val="00F21675"/>
    <w:rsid w:val="00F21E64"/>
    <w:rsid w:val="00F22160"/>
    <w:rsid w:val="00F22D75"/>
    <w:rsid w:val="00F25D2B"/>
    <w:rsid w:val="00F262CF"/>
    <w:rsid w:val="00F26B6F"/>
    <w:rsid w:val="00F2705B"/>
    <w:rsid w:val="00F306C2"/>
    <w:rsid w:val="00F3193F"/>
    <w:rsid w:val="00F3225F"/>
    <w:rsid w:val="00F33283"/>
    <w:rsid w:val="00F33526"/>
    <w:rsid w:val="00F36A16"/>
    <w:rsid w:val="00F40076"/>
    <w:rsid w:val="00F4349C"/>
    <w:rsid w:val="00F43A0C"/>
    <w:rsid w:val="00F455C1"/>
    <w:rsid w:val="00F46790"/>
    <w:rsid w:val="00F51AF4"/>
    <w:rsid w:val="00F5312E"/>
    <w:rsid w:val="00F5764B"/>
    <w:rsid w:val="00F57E5A"/>
    <w:rsid w:val="00F62002"/>
    <w:rsid w:val="00F64BA5"/>
    <w:rsid w:val="00F72462"/>
    <w:rsid w:val="00F73590"/>
    <w:rsid w:val="00F83990"/>
    <w:rsid w:val="00F8722C"/>
    <w:rsid w:val="00F922EE"/>
    <w:rsid w:val="00F92D84"/>
    <w:rsid w:val="00F933F2"/>
    <w:rsid w:val="00F944B3"/>
    <w:rsid w:val="00F94864"/>
    <w:rsid w:val="00F94B7C"/>
    <w:rsid w:val="00FA0EA1"/>
    <w:rsid w:val="00FA4098"/>
    <w:rsid w:val="00FA488A"/>
    <w:rsid w:val="00FA69FB"/>
    <w:rsid w:val="00FA6F01"/>
    <w:rsid w:val="00FA78B4"/>
    <w:rsid w:val="00FB10EA"/>
    <w:rsid w:val="00FB1C66"/>
    <w:rsid w:val="00FB1F18"/>
    <w:rsid w:val="00FB254E"/>
    <w:rsid w:val="00FB282B"/>
    <w:rsid w:val="00FB6457"/>
    <w:rsid w:val="00FC0652"/>
    <w:rsid w:val="00FC0865"/>
    <w:rsid w:val="00FC401A"/>
    <w:rsid w:val="00FD0275"/>
    <w:rsid w:val="00FD40D2"/>
    <w:rsid w:val="00FD5609"/>
    <w:rsid w:val="00FE000B"/>
    <w:rsid w:val="00FE0088"/>
    <w:rsid w:val="00FE4546"/>
    <w:rsid w:val="00FE6BCB"/>
    <w:rsid w:val="00FF00E8"/>
    <w:rsid w:val="00FF0678"/>
    <w:rsid w:val="00FF0805"/>
    <w:rsid w:val="00FF2E75"/>
    <w:rsid w:val="00FF4E44"/>
    <w:rsid w:val="00FF6E9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E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74B9"/>
    <w:pPr>
      <w:spacing w:before="120" w:after="120" w:line="480" w:lineRule="auto"/>
    </w:pPr>
    <w:rPr>
      <w:color w:val="000000" w:themeColor="text1"/>
    </w:rPr>
  </w:style>
  <w:style w:type="paragraph" w:styleId="Heading1">
    <w:name w:val="heading 1"/>
    <w:basedOn w:val="Normal"/>
    <w:next w:val="Normal"/>
    <w:link w:val="Heading1Char"/>
    <w:uiPriority w:val="9"/>
    <w:qFormat/>
    <w:rsid w:val="003C4EC4"/>
    <w:pPr>
      <w:keepNext/>
      <w:spacing w:before="240"/>
      <w:outlineLvl w:val="0"/>
    </w:pPr>
    <w:rPr>
      <w:rFonts w:asciiTheme="majorHAnsi" w:eastAsiaTheme="majorEastAsia" w:hAnsiTheme="majorHAnsi" w:cstheme="majorBidi"/>
      <w:b/>
      <w:sz w:val="32"/>
      <w:szCs w:val="28"/>
      <w:lang w:bidi="en-US"/>
    </w:rPr>
  </w:style>
  <w:style w:type="paragraph" w:styleId="Heading2">
    <w:name w:val="heading 2"/>
    <w:basedOn w:val="Normal"/>
    <w:next w:val="Normal"/>
    <w:link w:val="Heading2Char"/>
    <w:uiPriority w:val="9"/>
    <w:qFormat/>
    <w:rsid w:val="003C4EC4"/>
    <w:pPr>
      <w:keepNext/>
      <w:spacing w:before="240" w:after="60"/>
      <w:outlineLvl w:val="1"/>
    </w:pPr>
    <w:rPr>
      <w:rFonts w:asciiTheme="majorHAnsi" w:eastAsiaTheme="majorEastAsia" w:hAnsiTheme="majorHAnsi" w:cstheme="majorBidi"/>
      <w:b/>
      <w:sz w:val="28"/>
      <w:szCs w:val="24"/>
      <w:lang w:bidi="en-US"/>
    </w:rPr>
  </w:style>
  <w:style w:type="paragraph" w:styleId="Heading3">
    <w:name w:val="heading 3"/>
    <w:basedOn w:val="Normal"/>
    <w:next w:val="Normal"/>
    <w:link w:val="Heading3Char"/>
    <w:uiPriority w:val="9"/>
    <w:qFormat/>
    <w:rsid w:val="003874B9"/>
    <w:pPr>
      <w:keepNext/>
      <w:numPr>
        <w:ilvl w:val="2"/>
        <w:numId w:val="39"/>
      </w:numPr>
      <w:spacing w:before="240" w:after="60"/>
      <w:outlineLvl w:val="2"/>
    </w:pPr>
    <w:rPr>
      <w:rFonts w:asciiTheme="majorHAnsi" w:eastAsiaTheme="majorEastAsia" w:hAnsiTheme="majorHAnsi" w:cstheme="majorBidi"/>
      <w:b/>
      <w:sz w:val="24"/>
      <w:szCs w:val="24"/>
      <w:lang w:bidi="en-US"/>
    </w:rPr>
  </w:style>
  <w:style w:type="paragraph" w:styleId="Heading4">
    <w:name w:val="heading 4"/>
    <w:basedOn w:val="Heading3"/>
    <w:next w:val="Normal"/>
    <w:link w:val="Heading4Char"/>
    <w:uiPriority w:val="9"/>
    <w:semiHidden/>
    <w:rsid w:val="003874B9"/>
    <w:pPr>
      <w:numPr>
        <w:ilvl w:val="0"/>
        <w:numId w:val="0"/>
      </w:numPr>
      <w:outlineLvl w:val="3"/>
    </w:pPr>
    <w:rPr>
      <w:u w:val="single"/>
    </w:rPr>
  </w:style>
  <w:style w:type="paragraph" w:styleId="Heading5">
    <w:name w:val="heading 5"/>
    <w:basedOn w:val="Normal"/>
    <w:next w:val="Normal"/>
    <w:link w:val="Heading5Char"/>
    <w:uiPriority w:val="9"/>
    <w:semiHidden/>
    <w:rsid w:val="003874B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rsid w:val="003874B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03B"/>
    <w:pPr>
      <w:ind w:left="720"/>
      <w:contextualSpacing/>
    </w:pPr>
  </w:style>
  <w:style w:type="paragraph" w:customStyle="1" w:styleId="Bulletedlist">
    <w:name w:val="Bulleted list"/>
    <w:basedOn w:val="Normal"/>
    <w:uiPriority w:val="99"/>
    <w:rsid w:val="00AB42A4"/>
    <w:pPr>
      <w:widowControl w:val="0"/>
      <w:tabs>
        <w:tab w:val="left" w:pos="480"/>
      </w:tabs>
      <w:autoSpaceDE w:val="0"/>
      <w:autoSpaceDN w:val="0"/>
      <w:adjustRightInd w:val="0"/>
      <w:spacing w:after="0" w:line="240" w:lineRule="atLeast"/>
      <w:ind w:left="240" w:hanging="240"/>
      <w:jc w:val="both"/>
      <w:textAlignment w:val="baseline"/>
    </w:pPr>
    <w:rPr>
      <w:rFonts w:ascii="Berling LT Std Roman" w:eastAsia="Times New Roman" w:hAnsi="Berling LT Std Roman" w:cs="Berling LT Std Roman"/>
      <w:color w:val="000000"/>
      <w:sz w:val="18"/>
      <w:szCs w:val="18"/>
      <w:lang w:eastAsia="en-GB"/>
    </w:rPr>
  </w:style>
  <w:style w:type="paragraph" w:customStyle="1" w:styleId="Bulletedlist2">
    <w:name w:val="Bulleted list 2"/>
    <w:basedOn w:val="Bulletedlist"/>
    <w:uiPriority w:val="99"/>
    <w:rsid w:val="00AB42A4"/>
  </w:style>
  <w:style w:type="paragraph" w:customStyle="1" w:styleId="Bulletedlist3">
    <w:name w:val="Bulleted list 3"/>
    <w:basedOn w:val="Bulletedlist2"/>
    <w:uiPriority w:val="99"/>
    <w:rsid w:val="00AB42A4"/>
    <w:pPr>
      <w:spacing w:before="60" w:after="60" w:line="180" w:lineRule="atLeast"/>
      <w:ind w:left="480"/>
    </w:pPr>
    <w:rPr>
      <w:sz w:val="14"/>
      <w:szCs w:val="14"/>
    </w:rPr>
  </w:style>
  <w:style w:type="character" w:customStyle="1" w:styleId="BodyItalic">
    <w:name w:val="Body Italic"/>
    <w:uiPriority w:val="99"/>
    <w:rsid w:val="00AB42A4"/>
    <w:rPr>
      <w:rFonts w:ascii="Berling LT Std Roman" w:hAnsi="Berling LT Std Roman"/>
      <w:i/>
    </w:rPr>
  </w:style>
  <w:style w:type="paragraph" w:customStyle="1" w:styleId="Default">
    <w:name w:val="Default"/>
    <w:rsid w:val="00AB42A4"/>
    <w:pPr>
      <w:widowControl w:val="0"/>
      <w:autoSpaceDE w:val="0"/>
      <w:autoSpaceDN w:val="0"/>
      <w:adjustRightInd w:val="0"/>
      <w:spacing w:after="0" w:line="240" w:lineRule="auto"/>
    </w:pPr>
    <w:rPr>
      <w:rFonts w:ascii="IHDGO G+ Adv Hel NLT Std" w:eastAsia="Times New Roman" w:hAnsi="IHDGO G+ Adv Hel NLT Std" w:cs="IHDGO G+ Adv Hel NLT Std"/>
      <w:color w:val="000000"/>
      <w:sz w:val="24"/>
      <w:szCs w:val="24"/>
      <w:lang w:eastAsia="en-GB"/>
    </w:rPr>
  </w:style>
  <w:style w:type="paragraph" w:customStyle="1" w:styleId="CM2">
    <w:name w:val="CM2"/>
    <w:basedOn w:val="Default"/>
    <w:next w:val="Default"/>
    <w:uiPriority w:val="99"/>
    <w:rsid w:val="00AB42A4"/>
    <w:pPr>
      <w:spacing w:line="263" w:lineRule="atLeast"/>
    </w:pPr>
    <w:rPr>
      <w:rFonts w:cs="Times New Roman"/>
      <w:color w:val="auto"/>
    </w:rPr>
  </w:style>
  <w:style w:type="character" w:styleId="CommentReference">
    <w:name w:val="annotation reference"/>
    <w:basedOn w:val="DefaultParagraphFont"/>
    <w:unhideWhenUsed/>
    <w:rsid w:val="003874B9"/>
    <w:rPr>
      <w:sz w:val="16"/>
      <w:szCs w:val="16"/>
    </w:rPr>
  </w:style>
  <w:style w:type="paragraph" w:styleId="CommentText">
    <w:name w:val="annotation text"/>
    <w:basedOn w:val="Normal"/>
    <w:link w:val="CommentTextChar"/>
    <w:unhideWhenUsed/>
    <w:rsid w:val="003874B9"/>
    <w:pPr>
      <w:spacing w:line="240" w:lineRule="auto"/>
    </w:pPr>
    <w:rPr>
      <w:sz w:val="20"/>
      <w:szCs w:val="20"/>
    </w:rPr>
  </w:style>
  <w:style w:type="character" w:customStyle="1" w:styleId="CommentTextChar">
    <w:name w:val="Comment Text Char"/>
    <w:basedOn w:val="DefaultParagraphFont"/>
    <w:link w:val="CommentText"/>
    <w:rsid w:val="003874B9"/>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874B9"/>
    <w:rPr>
      <w:b/>
      <w:bCs/>
    </w:rPr>
  </w:style>
  <w:style w:type="character" w:customStyle="1" w:styleId="CommentSubjectChar">
    <w:name w:val="Comment Subject Char"/>
    <w:basedOn w:val="CommentTextChar"/>
    <w:link w:val="CommentSubject"/>
    <w:uiPriority w:val="99"/>
    <w:semiHidden/>
    <w:rsid w:val="003874B9"/>
    <w:rPr>
      <w:b/>
      <w:bCs/>
      <w:color w:val="000000" w:themeColor="text1"/>
      <w:sz w:val="20"/>
      <w:szCs w:val="20"/>
    </w:rPr>
  </w:style>
  <w:style w:type="paragraph" w:styleId="BalloonText">
    <w:name w:val="Balloon Text"/>
    <w:basedOn w:val="Normal"/>
    <w:link w:val="BalloonTextChar"/>
    <w:uiPriority w:val="99"/>
    <w:semiHidden/>
    <w:unhideWhenUsed/>
    <w:rsid w:val="00387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4B9"/>
    <w:rPr>
      <w:rFonts w:ascii="Tahoma" w:hAnsi="Tahoma" w:cs="Tahoma"/>
      <w:color w:val="000000" w:themeColor="text1"/>
      <w:sz w:val="16"/>
      <w:szCs w:val="16"/>
    </w:rPr>
  </w:style>
  <w:style w:type="character" w:customStyle="1" w:styleId="apple-style-span">
    <w:name w:val="apple-style-span"/>
    <w:rsid w:val="006D6B3F"/>
    <w:rPr>
      <w:color w:val="000000"/>
      <w:sz w:val="22"/>
    </w:rPr>
  </w:style>
  <w:style w:type="character" w:styleId="Hyperlink">
    <w:name w:val="Hyperlink"/>
    <w:basedOn w:val="DefaultParagraphFont"/>
    <w:uiPriority w:val="99"/>
    <w:rsid w:val="003874B9"/>
    <w:rPr>
      <w:rFonts w:cs="Times New Roman"/>
      <w:color w:val="0000FF"/>
      <w:u w:val="single"/>
    </w:rPr>
  </w:style>
  <w:style w:type="paragraph" w:customStyle="1" w:styleId="ColorfulList-Accent11">
    <w:name w:val="Colorful List - Accent 11"/>
    <w:basedOn w:val="Normal"/>
    <w:uiPriority w:val="99"/>
    <w:qFormat/>
    <w:rsid w:val="007E7DFF"/>
    <w:pPr>
      <w:ind w:left="720"/>
    </w:pPr>
    <w:rPr>
      <w:rFonts w:ascii="Lucida Grande" w:eastAsia="Times New Roman" w:hAnsi="Lucida Grande" w:cs="Times New Roman"/>
      <w:color w:val="000000"/>
      <w:szCs w:val="20"/>
      <w:lang w:eastAsia="en-GB"/>
    </w:rPr>
  </w:style>
  <w:style w:type="paragraph" w:styleId="Revision">
    <w:name w:val="Revision"/>
    <w:hidden/>
    <w:uiPriority w:val="99"/>
    <w:semiHidden/>
    <w:rsid w:val="0022338C"/>
    <w:pPr>
      <w:spacing w:after="0" w:line="240" w:lineRule="auto"/>
    </w:pPr>
  </w:style>
  <w:style w:type="paragraph" w:styleId="Caption">
    <w:name w:val="caption"/>
    <w:aliases w:val="fig cadre,Caption Char Char,Caption Char Char Char Char,fig cadre Char2,Caption Char2,fig cadre Char Char,SMC Caption"/>
    <w:basedOn w:val="Normal"/>
    <w:next w:val="Normal"/>
    <w:link w:val="CaptionChar"/>
    <w:unhideWhenUsed/>
    <w:qFormat/>
    <w:rsid w:val="003874B9"/>
    <w:pPr>
      <w:keepNext/>
      <w:spacing w:after="60" w:line="240" w:lineRule="auto"/>
    </w:pPr>
    <w:rPr>
      <w:rFonts w:ascii="Arial" w:eastAsiaTheme="majorEastAsia" w:hAnsi="Arial" w:cstheme="majorBidi"/>
      <w:b/>
      <w:spacing w:val="10"/>
      <w:szCs w:val="18"/>
      <w:lang w:bidi="en-US"/>
    </w:rPr>
  </w:style>
  <w:style w:type="paragraph" w:styleId="Header">
    <w:name w:val="header"/>
    <w:basedOn w:val="Normal"/>
    <w:link w:val="HeaderChar"/>
    <w:uiPriority w:val="99"/>
    <w:unhideWhenUsed/>
    <w:rsid w:val="003874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4B9"/>
    <w:rPr>
      <w:color w:val="000000" w:themeColor="text1"/>
    </w:rPr>
  </w:style>
  <w:style w:type="paragraph" w:styleId="Footer">
    <w:name w:val="footer"/>
    <w:basedOn w:val="Normal"/>
    <w:link w:val="FooterChar"/>
    <w:uiPriority w:val="99"/>
    <w:unhideWhenUsed/>
    <w:rsid w:val="003874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4B9"/>
    <w:rPr>
      <w:color w:val="000000" w:themeColor="text1"/>
    </w:rPr>
  </w:style>
  <w:style w:type="paragraph" w:customStyle="1" w:styleId="Tabletext">
    <w:name w:val="Table text"/>
    <w:basedOn w:val="Normal"/>
    <w:link w:val="TabletextChar"/>
    <w:rsid w:val="004C246D"/>
    <w:pPr>
      <w:keepNext/>
      <w:spacing w:after="60" w:line="240" w:lineRule="auto"/>
    </w:pPr>
    <w:rPr>
      <w:rFonts w:ascii="Arial" w:eastAsia="Times New Roman" w:hAnsi="Arial" w:cs="Times New Roman"/>
      <w:szCs w:val="24"/>
      <w:lang w:val="en-US"/>
    </w:rPr>
  </w:style>
  <w:style w:type="character" w:customStyle="1" w:styleId="TabletextChar">
    <w:name w:val="Table text Char"/>
    <w:basedOn w:val="DefaultParagraphFont"/>
    <w:link w:val="Tabletext"/>
    <w:rsid w:val="004C246D"/>
    <w:rPr>
      <w:rFonts w:ascii="Arial" w:eastAsia="Times New Roman" w:hAnsi="Arial" w:cs="Times New Roman"/>
      <w:szCs w:val="24"/>
      <w:lang w:val="en-US"/>
    </w:rPr>
  </w:style>
  <w:style w:type="character" w:customStyle="1" w:styleId="CaptionChar">
    <w:name w:val="Caption Char"/>
    <w:aliases w:val="fig cadre Char,Caption Char Char Char,Caption Char Char Char Char Char,fig cadre Char2 Char,Caption Char2 Char,fig cadre Char Char Char,SMC Caption Char"/>
    <w:link w:val="Caption"/>
    <w:rsid w:val="003874B9"/>
    <w:rPr>
      <w:rFonts w:ascii="Arial" w:eastAsiaTheme="majorEastAsia" w:hAnsi="Arial" w:cstheme="majorBidi"/>
      <w:b/>
      <w:color w:val="000000" w:themeColor="text1"/>
      <w:spacing w:val="10"/>
      <w:szCs w:val="18"/>
      <w:lang w:bidi="en-US"/>
    </w:rPr>
  </w:style>
  <w:style w:type="paragraph" w:customStyle="1" w:styleId="NICEnormal">
    <w:name w:val="NICE normal"/>
    <w:link w:val="NICEnormalChar"/>
    <w:qFormat/>
    <w:rsid w:val="003874B9"/>
    <w:pPr>
      <w:spacing w:after="0" w:line="360" w:lineRule="auto"/>
    </w:pPr>
    <w:rPr>
      <w:rFonts w:ascii="Arial" w:eastAsia="Times New Roman" w:hAnsi="Arial" w:cs="Times New Roman"/>
      <w:sz w:val="24"/>
      <w:szCs w:val="24"/>
      <w:lang w:val="en-US"/>
    </w:rPr>
  </w:style>
  <w:style w:type="character" w:customStyle="1" w:styleId="NICEnormalChar">
    <w:name w:val="NICE normal Char"/>
    <w:link w:val="NICEnormal"/>
    <w:rsid w:val="003874B9"/>
    <w:rPr>
      <w:rFonts w:ascii="Arial" w:eastAsia="Times New Roman" w:hAnsi="Arial" w:cs="Times New Roman"/>
      <w:sz w:val="24"/>
      <w:szCs w:val="24"/>
      <w:lang w:val="en-US"/>
    </w:rPr>
  </w:style>
  <w:style w:type="paragraph" w:customStyle="1" w:styleId="HMCbullet1">
    <w:name w:val="HMC bullet 1"/>
    <w:basedOn w:val="Normal"/>
    <w:qFormat/>
    <w:rsid w:val="005B3439"/>
    <w:pPr>
      <w:numPr>
        <w:numId w:val="19"/>
      </w:numPr>
      <w:spacing w:after="0" w:line="360" w:lineRule="auto"/>
    </w:pPr>
    <w:rPr>
      <w:rFonts w:ascii="Arial" w:eastAsia="Times New Roman" w:hAnsi="Arial" w:cs="Times New Roman"/>
      <w:szCs w:val="24"/>
    </w:rPr>
  </w:style>
  <w:style w:type="character" w:customStyle="1" w:styleId="apple-converted-space">
    <w:name w:val="apple-converted-space"/>
    <w:basedOn w:val="DefaultParagraphFont"/>
    <w:rsid w:val="00D400B0"/>
  </w:style>
  <w:style w:type="character" w:customStyle="1" w:styleId="nlmsource">
    <w:name w:val="nlm_source"/>
    <w:basedOn w:val="DefaultParagraphFont"/>
    <w:rsid w:val="00D400B0"/>
  </w:style>
  <w:style w:type="paragraph" w:styleId="EndnoteText">
    <w:name w:val="endnote text"/>
    <w:basedOn w:val="Normal"/>
    <w:link w:val="EndnoteTextChar"/>
    <w:uiPriority w:val="99"/>
    <w:semiHidden/>
    <w:unhideWhenUsed/>
    <w:rsid w:val="003849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4948"/>
    <w:rPr>
      <w:sz w:val="20"/>
      <w:szCs w:val="20"/>
    </w:rPr>
  </w:style>
  <w:style w:type="character" w:styleId="EndnoteReference">
    <w:name w:val="endnote reference"/>
    <w:basedOn w:val="DefaultParagraphFont"/>
    <w:uiPriority w:val="99"/>
    <w:semiHidden/>
    <w:unhideWhenUsed/>
    <w:rsid w:val="00384948"/>
    <w:rPr>
      <w:vertAlign w:val="superscript"/>
    </w:rPr>
  </w:style>
  <w:style w:type="paragraph" w:styleId="FootnoteText">
    <w:name w:val="footnote text"/>
    <w:basedOn w:val="Normal"/>
    <w:link w:val="FootnoteTextChar"/>
    <w:uiPriority w:val="99"/>
    <w:semiHidden/>
    <w:unhideWhenUsed/>
    <w:rsid w:val="003849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4948"/>
    <w:rPr>
      <w:sz w:val="20"/>
      <w:szCs w:val="20"/>
    </w:rPr>
  </w:style>
  <w:style w:type="character" w:styleId="FootnoteReference">
    <w:name w:val="footnote reference"/>
    <w:basedOn w:val="DefaultParagraphFont"/>
    <w:uiPriority w:val="99"/>
    <w:semiHidden/>
    <w:unhideWhenUsed/>
    <w:rsid w:val="00384948"/>
    <w:rPr>
      <w:vertAlign w:val="superscript"/>
    </w:rPr>
  </w:style>
  <w:style w:type="character" w:styleId="Emphasis">
    <w:name w:val="Emphasis"/>
    <w:basedOn w:val="DefaultParagraphFont"/>
    <w:uiPriority w:val="20"/>
    <w:qFormat/>
    <w:rsid w:val="003874B9"/>
    <w:rPr>
      <w:i/>
      <w:iCs/>
    </w:rPr>
  </w:style>
  <w:style w:type="paragraph" w:customStyle="1" w:styleId="EndNoteBibliographyTitle">
    <w:name w:val="EndNote Bibliography Title"/>
    <w:basedOn w:val="Normal"/>
    <w:link w:val="EndNoteBibliographyTitleChar"/>
    <w:rsid w:val="00F0024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00245"/>
    <w:rPr>
      <w:rFonts w:ascii="Calibri" w:hAnsi="Calibri" w:cs="Calibri"/>
      <w:noProof/>
      <w:color w:val="000000" w:themeColor="text1"/>
      <w:lang w:val="en-US"/>
    </w:rPr>
  </w:style>
  <w:style w:type="paragraph" w:customStyle="1" w:styleId="EndNoteBibliography">
    <w:name w:val="EndNote Bibliography"/>
    <w:basedOn w:val="Normal"/>
    <w:link w:val="EndNoteBibliographyChar"/>
    <w:rsid w:val="003874B9"/>
    <w:pPr>
      <w:spacing w:after="240"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874B9"/>
    <w:rPr>
      <w:rFonts w:ascii="Calibri" w:hAnsi="Calibri" w:cs="Calibri"/>
      <w:noProof/>
      <w:color w:val="000000" w:themeColor="text1"/>
    </w:rPr>
  </w:style>
  <w:style w:type="table" w:styleId="TableGrid">
    <w:name w:val="Table Grid"/>
    <w:basedOn w:val="TableNormal"/>
    <w:uiPriority w:val="59"/>
    <w:rsid w:val="00D41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74B9"/>
    <w:pPr>
      <w:spacing w:after="0" w:line="240" w:lineRule="auto"/>
    </w:pPr>
  </w:style>
  <w:style w:type="character" w:styleId="LineNumber">
    <w:name w:val="line number"/>
    <w:basedOn w:val="DefaultParagraphFont"/>
    <w:uiPriority w:val="99"/>
    <w:semiHidden/>
    <w:unhideWhenUsed/>
    <w:rsid w:val="003874B9"/>
    <w:rPr>
      <w:rFonts w:ascii="Arial" w:hAnsi="Arial"/>
      <w:sz w:val="22"/>
    </w:rPr>
  </w:style>
  <w:style w:type="paragraph" w:customStyle="1" w:styleId="Bullet1">
    <w:name w:val="Bullet 1"/>
    <w:basedOn w:val="Normal"/>
    <w:link w:val="Bullet1Char"/>
    <w:qFormat/>
    <w:rsid w:val="003874B9"/>
    <w:pPr>
      <w:numPr>
        <w:numId w:val="34"/>
      </w:numPr>
      <w:contextualSpacing/>
    </w:pPr>
    <w:rPr>
      <w:rFonts w:asciiTheme="majorHAnsi" w:eastAsia="Times New Roman" w:hAnsiTheme="majorHAnsi" w:cstheme="majorBidi"/>
      <w:lang w:eastAsia="en-GB" w:bidi="en-US"/>
    </w:rPr>
  </w:style>
  <w:style w:type="character" w:customStyle="1" w:styleId="Bullet1Char">
    <w:name w:val="Bullet 1 Char"/>
    <w:basedOn w:val="DefaultParagraphFont"/>
    <w:link w:val="Bullet1"/>
    <w:rsid w:val="003874B9"/>
    <w:rPr>
      <w:rFonts w:asciiTheme="majorHAnsi" w:eastAsia="Times New Roman" w:hAnsiTheme="majorHAnsi" w:cstheme="majorBidi"/>
      <w:color w:val="000000" w:themeColor="text1"/>
      <w:lang w:eastAsia="en-GB" w:bidi="en-US"/>
    </w:rPr>
  </w:style>
  <w:style w:type="paragraph" w:customStyle="1" w:styleId="Bullet2">
    <w:name w:val="Bullet 2"/>
    <w:basedOn w:val="Normal"/>
    <w:link w:val="Bullet2Char"/>
    <w:qFormat/>
    <w:rsid w:val="003874B9"/>
    <w:pPr>
      <w:numPr>
        <w:numId w:val="35"/>
      </w:numPr>
    </w:pPr>
    <w:rPr>
      <w:rFonts w:ascii="Arial" w:eastAsia="Times New Roman" w:hAnsi="Arial" w:cs="Times New Roman"/>
      <w:szCs w:val="24"/>
    </w:rPr>
  </w:style>
  <w:style w:type="character" w:customStyle="1" w:styleId="Bullet2Char">
    <w:name w:val="Bullet 2 Char"/>
    <w:basedOn w:val="DefaultParagraphFont"/>
    <w:link w:val="Bullet2"/>
    <w:rsid w:val="003874B9"/>
    <w:rPr>
      <w:rFonts w:ascii="Arial" w:eastAsia="Times New Roman" w:hAnsi="Arial" w:cs="Times New Roman"/>
      <w:color w:val="000000" w:themeColor="text1"/>
      <w:szCs w:val="24"/>
    </w:rPr>
  </w:style>
  <w:style w:type="paragraph" w:customStyle="1" w:styleId="Bullet3">
    <w:name w:val="Bullet 3"/>
    <w:basedOn w:val="Bullet2"/>
    <w:link w:val="Bullet3Char"/>
    <w:qFormat/>
    <w:rsid w:val="003874B9"/>
    <w:pPr>
      <w:numPr>
        <w:numId w:val="36"/>
      </w:numPr>
    </w:pPr>
  </w:style>
  <w:style w:type="character" w:customStyle="1" w:styleId="Bullet3Char">
    <w:name w:val="Bullet 3 Char"/>
    <w:basedOn w:val="Bullet2Char"/>
    <w:link w:val="Bullet3"/>
    <w:rsid w:val="003874B9"/>
    <w:rPr>
      <w:rFonts w:ascii="Arial" w:eastAsia="Times New Roman" w:hAnsi="Arial" w:cs="Times New Roman"/>
      <w:color w:val="000000" w:themeColor="text1"/>
      <w:szCs w:val="24"/>
    </w:rPr>
  </w:style>
  <w:style w:type="character" w:customStyle="1" w:styleId="Heading1Char">
    <w:name w:val="Heading 1 Char"/>
    <w:basedOn w:val="DefaultParagraphFont"/>
    <w:link w:val="Heading1"/>
    <w:uiPriority w:val="9"/>
    <w:rsid w:val="003874B9"/>
    <w:rPr>
      <w:rFonts w:asciiTheme="majorHAnsi" w:eastAsiaTheme="majorEastAsia" w:hAnsiTheme="majorHAnsi" w:cstheme="majorBidi"/>
      <w:b/>
      <w:color w:val="000000" w:themeColor="text1"/>
      <w:sz w:val="32"/>
      <w:szCs w:val="28"/>
      <w:lang w:bidi="en-US"/>
    </w:rPr>
  </w:style>
  <w:style w:type="paragraph" w:customStyle="1" w:styleId="Heading1notincontents">
    <w:name w:val="Heading 1  (not in contents)"/>
    <w:basedOn w:val="Heading1"/>
    <w:next w:val="Normal"/>
    <w:qFormat/>
    <w:rsid w:val="003874B9"/>
    <w:pPr>
      <w:outlineLvl w:val="9"/>
    </w:pPr>
    <w:rPr>
      <w:rFonts w:ascii="Arial" w:hAnsi="Arial"/>
    </w:rPr>
  </w:style>
  <w:style w:type="character" w:customStyle="1" w:styleId="Heading2Char">
    <w:name w:val="Heading 2 Char"/>
    <w:basedOn w:val="DefaultParagraphFont"/>
    <w:link w:val="Heading2"/>
    <w:uiPriority w:val="9"/>
    <w:rsid w:val="003874B9"/>
    <w:rPr>
      <w:rFonts w:asciiTheme="majorHAnsi" w:eastAsiaTheme="majorEastAsia" w:hAnsiTheme="majorHAnsi" w:cstheme="majorBidi"/>
      <w:b/>
      <w:color w:val="000000" w:themeColor="text1"/>
      <w:sz w:val="28"/>
      <w:szCs w:val="24"/>
      <w:lang w:bidi="en-US"/>
    </w:rPr>
  </w:style>
  <w:style w:type="character" w:customStyle="1" w:styleId="Heading3Char">
    <w:name w:val="Heading 3 Char"/>
    <w:basedOn w:val="DefaultParagraphFont"/>
    <w:link w:val="Heading3"/>
    <w:uiPriority w:val="9"/>
    <w:rsid w:val="003874B9"/>
    <w:rPr>
      <w:rFonts w:asciiTheme="majorHAnsi" w:eastAsiaTheme="majorEastAsia" w:hAnsiTheme="majorHAnsi" w:cstheme="majorBidi"/>
      <w:b/>
      <w:color w:val="000000" w:themeColor="text1"/>
      <w:sz w:val="24"/>
      <w:szCs w:val="24"/>
      <w:lang w:bidi="en-US"/>
    </w:rPr>
  </w:style>
  <w:style w:type="character" w:customStyle="1" w:styleId="Heading4Char">
    <w:name w:val="Heading 4 Char"/>
    <w:basedOn w:val="DefaultParagraphFont"/>
    <w:link w:val="Heading4"/>
    <w:uiPriority w:val="9"/>
    <w:semiHidden/>
    <w:rsid w:val="003874B9"/>
    <w:rPr>
      <w:rFonts w:asciiTheme="majorHAnsi" w:eastAsiaTheme="majorEastAsia" w:hAnsiTheme="majorHAnsi" w:cstheme="majorBidi"/>
      <w:b/>
      <w:color w:val="000000" w:themeColor="text1"/>
      <w:sz w:val="24"/>
      <w:szCs w:val="24"/>
      <w:u w:val="single"/>
      <w:lang w:bidi="en-US"/>
    </w:rPr>
  </w:style>
  <w:style w:type="character" w:customStyle="1" w:styleId="Heading5Char">
    <w:name w:val="Heading 5 Char"/>
    <w:basedOn w:val="DefaultParagraphFont"/>
    <w:link w:val="Heading5"/>
    <w:uiPriority w:val="9"/>
    <w:semiHidden/>
    <w:rsid w:val="003874B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874B9"/>
    <w:rPr>
      <w:rFonts w:asciiTheme="majorHAnsi" w:eastAsiaTheme="majorEastAsia" w:hAnsiTheme="majorHAnsi" w:cstheme="majorBidi"/>
      <w:i/>
      <w:iCs/>
      <w:color w:val="243F60" w:themeColor="accent1" w:themeShade="7F"/>
    </w:rPr>
  </w:style>
  <w:style w:type="character" w:styleId="IntenseEmphasis">
    <w:name w:val="Intense Emphasis"/>
    <w:basedOn w:val="DefaultParagraphFont"/>
    <w:uiPriority w:val="21"/>
    <w:qFormat/>
    <w:rsid w:val="003874B9"/>
    <w:rPr>
      <w:b/>
      <w:bCs/>
      <w:i/>
      <w:iCs/>
      <w:color w:val="4F81BD" w:themeColor="accent1"/>
    </w:rPr>
  </w:style>
  <w:style w:type="paragraph" w:styleId="IntenseQuote">
    <w:name w:val="Intense Quote"/>
    <w:basedOn w:val="Normal"/>
    <w:next w:val="Normal"/>
    <w:link w:val="IntenseQuoteChar"/>
    <w:uiPriority w:val="30"/>
    <w:qFormat/>
    <w:rsid w:val="003874B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874B9"/>
    <w:rPr>
      <w:b/>
      <w:bCs/>
      <w:i/>
      <w:iCs/>
      <w:color w:val="4F81BD" w:themeColor="accent1"/>
    </w:rPr>
  </w:style>
  <w:style w:type="character" w:styleId="IntenseReference">
    <w:name w:val="Intense Reference"/>
    <w:basedOn w:val="DefaultParagraphFont"/>
    <w:uiPriority w:val="32"/>
    <w:qFormat/>
    <w:rsid w:val="003874B9"/>
    <w:rPr>
      <w:b/>
      <w:bCs/>
      <w:smallCaps/>
      <w:color w:val="C0504D" w:themeColor="accent2"/>
      <w:spacing w:val="5"/>
      <w:u w:val="single"/>
    </w:rPr>
  </w:style>
  <w:style w:type="paragraph" w:customStyle="1" w:styleId="Legend">
    <w:name w:val="Legend"/>
    <w:basedOn w:val="Normal"/>
    <w:link w:val="LegendChar"/>
    <w:qFormat/>
    <w:rsid w:val="008F1DE2"/>
    <w:pPr>
      <w:spacing w:before="60" w:after="60"/>
    </w:pPr>
    <w:rPr>
      <w:rFonts w:ascii="Arial" w:hAnsi="Arial" w:cs="Arial"/>
      <w:sz w:val="18"/>
      <w:szCs w:val="18"/>
    </w:rPr>
  </w:style>
  <w:style w:type="character" w:customStyle="1" w:styleId="LegendChar">
    <w:name w:val="Legend Char"/>
    <w:basedOn w:val="DefaultParagraphFont"/>
    <w:link w:val="Legend"/>
    <w:rsid w:val="008F1DE2"/>
    <w:rPr>
      <w:rFonts w:ascii="Arial" w:hAnsi="Arial" w:cs="Arial"/>
      <w:color w:val="000000" w:themeColor="text1"/>
      <w:sz w:val="18"/>
      <w:szCs w:val="18"/>
    </w:rPr>
  </w:style>
  <w:style w:type="paragraph" w:styleId="NormalWeb">
    <w:name w:val="Normal (Web)"/>
    <w:basedOn w:val="Normal"/>
    <w:uiPriority w:val="99"/>
    <w:semiHidden/>
    <w:unhideWhenUsed/>
    <w:rsid w:val="003874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MCTabletext">
    <w:name w:val="SMC Table text"/>
    <w:basedOn w:val="Normal"/>
    <w:link w:val="SMCTabletextChar"/>
    <w:qFormat/>
    <w:rsid w:val="003874B9"/>
    <w:pPr>
      <w:keepNext/>
      <w:spacing w:before="60" w:after="60" w:line="240" w:lineRule="auto"/>
    </w:pPr>
    <w:rPr>
      <w:rFonts w:ascii="Arial" w:eastAsia="Times New Roman" w:hAnsi="Arial" w:cs="Times New Roman"/>
      <w:color w:val="auto"/>
      <w:sz w:val="20"/>
      <w:szCs w:val="24"/>
      <w:lang w:val="en-US"/>
    </w:rPr>
  </w:style>
  <w:style w:type="character" w:customStyle="1" w:styleId="SMCTabletextChar">
    <w:name w:val="SMC Table text Char"/>
    <w:link w:val="SMCTabletext"/>
    <w:rsid w:val="003874B9"/>
    <w:rPr>
      <w:rFonts w:ascii="Arial" w:eastAsia="Times New Roman" w:hAnsi="Arial" w:cs="Times New Roman"/>
      <w:sz w:val="20"/>
      <w:szCs w:val="24"/>
      <w:lang w:val="en-US"/>
    </w:rPr>
  </w:style>
  <w:style w:type="character" w:styleId="Strong">
    <w:name w:val="Strong"/>
    <w:basedOn w:val="DefaultParagraphFont"/>
    <w:uiPriority w:val="22"/>
    <w:qFormat/>
    <w:rsid w:val="003874B9"/>
    <w:rPr>
      <w:b/>
      <w:bCs/>
    </w:rPr>
  </w:style>
  <w:style w:type="paragraph" w:styleId="Subtitle">
    <w:name w:val="Subtitle"/>
    <w:basedOn w:val="Normal"/>
    <w:next w:val="Normal"/>
    <w:link w:val="SubtitleChar"/>
    <w:uiPriority w:val="11"/>
    <w:qFormat/>
    <w:rsid w:val="003874B9"/>
    <w:pPr>
      <w:numPr>
        <w:ilvl w:val="1"/>
      </w:numPr>
    </w:pPr>
    <w:rPr>
      <w:rFonts w:asciiTheme="majorHAnsi" w:eastAsiaTheme="majorEastAsia" w:hAnsiTheme="majorHAnsi" w:cstheme="majorBidi"/>
      <w:iCs/>
      <w:sz w:val="40"/>
      <w:szCs w:val="24"/>
    </w:rPr>
  </w:style>
  <w:style w:type="character" w:customStyle="1" w:styleId="SubtitleChar">
    <w:name w:val="Subtitle Char"/>
    <w:basedOn w:val="DefaultParagraphFont"/>
    <w:link w:val="Subtitle"/>
    <w:uiPriority w:val="11"/>
    <w:rsid w:val="003874B9"/>
    <w:rPr>
      <w:rFonts w:asciiTheme="majorHAnsi" w:eastAsiaTheme="majorEastAsia" w:hAnsiTheme="majorHAnsi" w:cstheme="majorBidi"/>
      <w:iCs/>
      <w:color w:val="000000" w:themeColor="text1"/>
      <w:sz w:val="40"/>
      <w:szCs w:val="24"/>
    </w:rPr>
  </w:style>
  <w:style w:type="character" w:styleId="SubtleEmphasis">
    <w:name w:val="Subtle Emphasis"/>
    <w:basedOn w:val="DefaultParagraphFont"/>
    <w:uiPriority w:val="19"/>
    <w:qFormat/>
    <w:rsid w:val="003874B9"/>
    <w:rPr>
      <w:i/>
      <w:iCs/>
      <w:color w:val="808080" w:themeColor="text1" w:themeTint="7F"/>
    </w:rPr>
  </w:style>
  <w:style w:type="character" w:styleId="SubtleReference">
    <w:name w:val="Subtle Reference"/>
    <w:basedOn w:val="DefaultParagraphFont"/>
    <w:uiPriority w:val="31"/>
    <w:qFormat/>
    <w:rsid w:val="003874B9"/>
    <w:rPr>
      <w:smallCaps/>
      <w:color w:val="C0504D" w:themeColor="accent2"/>
      <w:u w:val="single"/>
    </w:rPr>
  </w:style>
  <w:style w:type="paragraph" w:customStyle="1" w:styleId="TableHeading">
    <w:name w:val="Table Heading"/>
    <w:basedOn w:val="Normal"/>
    <w:link w:val="TableHeadingChar"/>
    <w:qFormat/>
    <w:rsid w:val="003874B9"/>
    <w:pPr>
      <w:keepNext/>
      <w:tabs>
        <w:tab w:val="left" w:pos="268"/>
      </w:tabs>
      <w:spacing w:before="60" w:after="60" w:line="240" w:lineRule="auto"/>
      <w:jc w:val="center"/>
    </w:pPr>
    <w:rPr>
      <w:rFonts w:ascii="Arial" w:eastAsiaTheme="majorEastAsia" w:hAnsi="Arial" w:cs="Arial"/>
      <w:b/>
      <w:sz w:val="20"/>
      <w:szCs w:val="20"/>
      <w:lang w:bidi="en-US"/>
    </w:rPr>
  </w:style>
  <w:style w:type="character" w:customStyle="1" w:styleId="TableHeadingChar">
    <w:name w:val="Table Heading Char"/>
    <w:basedOn w:val="DefaultParagraphFont"/>
    <w:link w:val="TableHeading"/>
    <w:rsid w:val="003874B9"/>
    <w:rPr>
      <w:rFonts w:ascii="Arial" w:eastAsiaTheme="majorEastAsia" w:hAnsi="Arial" w:cs="Arial"/>
      <w:b/>
      <w:color w:val="000000" w:themeColor="text1"/>
      <w:sz w:val="20"/>
      <w:szCs w:val="20"/>
      <w:lang w:bidi="en-US"/>
    </w:rPr>
  </w:style>
  <w:style w:type="paragraph" w:customStyle="1" w:styleId="TableText0">
    <w:name w:val="Table Text"/>
    <w:basedOn w:val="Normal"/>
    <w:link w:val="TableTextChar0"/>
    <w:qFormat/>
    <w:rsid w:val="003874B9"/>
    <w:pPr>
      <w:tabs>
        <w:tab w:val="left" w:pos="0"/>
      </w:tabs>
      <w:spacing w:before="60" w:after="60" w:line="240" w:lineRule="auto"/>
    </w:pPr>
    <w:rPr>
      <w:rFonts w:ascii="Arial" w:hAnsi="Arial" w:cs="Arial"/>
      <w:sz w:val="20"/>
      <w:szCs w:val="20"/>
    </w:rPr>
  </w:style>
  <w:style w:type="character" w:customStyle="1" w:styleId="TableTextChar0">
    <w:name w:val="Table Text Char"/>
    <w:basedOn w:val="DefaultParagraphFont"/>
    <w:link w:val="TableText0"/>
    <w:rsid w:val="003874B9"/>
    <w:rPr>
      <w:rFonts w:ascii="Arial" w:hAnsi="Arial" w:cs="Arial"/>
      <w:color w:val="000000" w:themeColor="text1"/>
      <w:sz w:val="20"/>
      <w:szCs w:val="20"/>
    </w:rPr>
  </w:style>
  <w:style w:type="paragraph" w:styleId="Title">
    <w:name w:val="Title"/>
    <w:basedOn w:val="Normal"/>
    <w:next w:val="Normal"/>
    <w:link w:val="TitleChar"/>
    <w:uiPriority w:val="10"/>
    <w:qFormat/>
    <w:rsid w:val="003874B9"/>
    <w:pPr>
      <w:spacing w:after="300" w:line="240" w:lineRule="auto"/>
      <w:contextualSpacing/>
    </w:pPr>
    <w:rPr>
      <w:rFonts w:asciiTheme="majorHAnsi" w:eastAsiaTheme="majorEastAsia" w:hAnsiTheme="majorHAnsi" w:cstheme="majorBidi"/>
      <w:kern w:val="28"/>
      <w:sz w:val="52"/>
      <w:szCs w:val="52"/>
    </w:rPr>
  </w:style>
  <w:style w:type="character" w:customStyle="1" w:styleId="TitleChar">
    <w:name w:val="Title Char"/>
    <w:basedOn w:val="DefaultParagraphFont"/>
    <w:link w:val="Title"/>
    <w:uiPriority w:val="10"/>
    <w:rsid w:val="003874B9"/>
    <w:rPr>
      <w:rFonts w:asciiTheme="majorHAnsi" w:eastAsiaTheme="majorEastAsia" w:hAnsiTheme="majorHAnsi" w:cstheme="majorBidi"/>
      <w:color w:val="000000" w:themeColor="text1"/>
      <w:kern w:val="28"/>
      <w:sz w:val="52"/>
      <w:szCs w:val="52"/>
    </w:rPr>
  </w:style>
  <w:style w:type="paragraph" w:styleId="TOC1">
    <w:name w:val="toc 1"/>
    <w:basedOn w:val="Normal"/>
    <w:next w:val="Normal"/>
    <w:autoRedefine/>
    <w:uiPriority w:val="39"/>
    <w:unhideWhenUsed/>
    <w:qFormat/>
    <w:rsid w:val="003874B9"/>
    <w:pPr>
      <w:tabs>
        <w:tab w:val="left" w:pos="440"/>
        <w:tab w:val="right" w:leader="dot" w:pos="9016"/>
      </w:tabs>
      <w:spacing w:before="0" w:after="60" w:line="240" w:lineRule="auto"/>
    </w:pPr>
    <w:rPr>
      <w:rFonts w:eastAsiaTheme="majorEastAsia" w:cstheme="minorHAnsi"/>
      <w:bCs/>
      <w:szCs w:val="20"/>
      <w:lang w:bidi="en-US"/>
    </w:rPr>
  </w:style>
  <w:style w:type="paragraph" w:styleId="TOC2">
    <w:name w:val="toc 2"/>
    <w:basedOn w:val="Normal"/>
    <w:next w:val="Normal"/>
    <w:autoRedefine/>
    <w:uiPriority w:val="39"/>
    <w:unhideWhenUsed/>
    <w:qFormat/>
    <w:rsid w:val="003874B9"/>
    <w:pPr>
      <w:tabs>
        <w:tab w:val="left" w:pos="442"/>
        <w:tab w:val="left" w:pos="1009"/>
        <w:tab w:val="right" w:leader="dot" w:pos="9016"/>
      </w:tabs>
      <w:spacing w:before="60" w:after="60" w:line="240" w:lineRule="auto"/>
      <w:ind w:left="454"/>
    </w:pPr>
    <w:rPr>
      <w:rFonts w:eastAsiaTheme="majorEastAsia" w:cstheme="minorHAnsi"/>
      <w:iCs/>
      <w:szCs w:val="20"/>
      <w:lang w:bidi="en-US"/>
    </w:rPr>
  </w:style>
  <w:style w:type="paragraph" w:styleId="TOC3">
    <w:name w:val="toc 3"/>
    <w:basedOn w:val="Normal"/>
    <w:next w:val="Normal"/>
    <w:autoRedefine/>
    <w:uiPriority w:val="39"/>
    <w:unhideWhenUsed/>
    <w:rsid w:val="003874B9"/>
    <w:pPr>
      <w:tabs>
        <w:tab w:val="left" w:pos="612"/>
        <w:tab w:val="right" w:leader="dot" w:pos="9015"/>
      </w:tabs>
      <w:spacing w:before="0"/>
    </w:pPr>
  </w:style>
  <w:style w:type="character" w:customStyle="1" w:styleId="UnresolvedMention1">
    <w:name w:val="Unresolved Mention1"/>
    <w:basedOn w:val="DefaultParagraphFont"/>
    <w:uiPriority w:val="99"/>
    <w:semiHidden/>
    <w:unhideWhenUsed/>
    <w:rsid w:val="00895076"/>
    <w:rPr>
      <w:color w:val="808080"/>
      <w:shd w:val="clear" w:color="auto" w:fill="E6E6E6"/>
    </w:rPr>
  </w:style>
  <w:style w:type="character" w:customStyle="1" w:styleId="UnresolvedMention2">
    <w:name w:val="Unresolved Mention2"/>
    <w:basedOn w:val="DefaultParagraphFont"/>
    <w:uiPriority w:val="99"/>
    <w:semiHidden/>
    <w:unhideWhenUsed/>
    <w:rsid w:val="009D3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7572">
      <w:bodyDiv w:val="1"/>
      <w:marLeft w:val="0"/>
      <w:marRight w:val="0"/>
      <w:marTop w:val="0"/>
      <w:marBottom w:val="0"/>
      <w:divBdr>
        <w:top w:val="none" w:sz="0" w:space="0" w:color="auto"/>
        <w:left w:val="none" w:sz="0" w:space="0" w:color="auto"/>
        <w:bottom w:val="none" w:sz="0" w:space="0" w:color="auto"/>
        <w:right w:val="none" w:sz="0" w:space="0" w:color="auto"/>
      </w:divBdr>
    </w:div>
    <w:div w:id="177624161">
      <w:bodyDiv w:val="1"/>
      <w:marLeft w:val="0"/>
      <w:marRight w:val="0"/>
      <w:marTop w:val="0"/>
      <w:marBottom w:val="0"/>
      <w:divBdr>
        <w:top w:val="none" w:sz="0" w:space="0" w:color="auto"/>
        <w:left w:val="none" w:sz="0" w:space="0" w:color="auto"/>
        <w:bottom w:val="none" w:sz="0" w:space="0" w:color="auto"/>
        <w:right w:val="none" w:sz="0" w:space="0" w:color="auto"/>
      </w:divBdr>
    </w:div>
    <w:div w:id="200024405">
      <w:bodyDiv w:val="1"/>
      <w:marLeft w:val="0"/>
      <w:marRight w:val="0"/>
      <w:marTop w:val="0"/>
      <w:marBottom w:val="0"/>
      <w:divBdr>
        <w:top w:val="none" w:sz="0" w:space="0" w:color="auto"/>
        <w:left w:val="none" w:sz="0" w:space="0" w:color="auto"/>
        <w:bottom w:val="none" w:sz="0" w:space="0" w:color="auto"/>
        <w:right w:val="none" w:sz="0" w:space="0" w:color="auto"/>
      </w:divBdr>
    </w:div>
    <w:div w:id="238294598">
      <w:bodyDiv w:val="1"/>
      <w:marLeft w:val="0"/>
      <w:marRight w:val="0"/>
      <w:marTop w:val="0"/>
      <w:marBottom w:val="0"/>
      <w:divBdr>
        <w:top w:val="none" w:sz="0" w:space="0" w:color="auto"/>
        <w:left w:val="none" w:sz="0" w:space="0" w:color="auto"/>
        <w:bottom w:val="none" w:sz="0" w:space="0" w:color="auto"/>
        <w:right w:val="none" w:sz="0" w:space="0" w:color="auto"/>
      </w:divBdr>
    </w:div>
    <w:div w:id="456535885">
      <w:bodyDiv w:val="1"/>
      <w:marLeft w:val="0"/>
      <w:marRight w:val="0"/>
      <w:marTop w:val="0"/>
      <w:marBottom w:val="0"/>
      <w:divBdr>
        <w:top w:val="none" w:sz="0" w:space="0" w:color="auto"/>
        <w:left w:val="none" w:sz="0" w:space="0" w:color="auto"/>
        <w:bottom w:val="none" w:sz="0" w:space="0" w:color="auto"/>
        <w:right w:val="none" w:sz="0" w:space="0" w:color="auto"/>
      </w:divBdr>
    </w:div>
    <w:div w:id="551188666">
      <w:bodyDiv w:val="1"/>
      <w:marLeft w:val="0"/>
      <w:marRight w:val="0"/>
      <w:marTop w:val="0"/>
      <w:marBottom w:val="0"/>
      <w:divBdr>
        <w:top w:val="none" w:sz="0" w:space="0" w:color="auto"/>
        <w:left w:val="none" w:sz="0" w:space="0" w:color="auto"/>
        <w:bottom w:val="none" w:sz="0" w:space="0" w:color="auto"/>
        <w:right w:val="none" w:sz="0" w:space="0" w:color="auto"/>
      </w:divBdr>
    </w:div>
    <w:div w:id="751005924">
      <w:bodyDiv w:val="1"/>
      <w:marLeft w:val="0"/>
      <w:marRight w:val="0"/>
      <w:marTop w:val="0"/>
      <w:marBottom w:val="0"/>
      <w:divBdr>
        <w:top w:val="none" w:sz="0" w:space="0" w:color="auto"/>
        <w:left w:val="none" w:sz="0" w:space="0" w:color="auto"/>
        <w:bottom w:val="none" w:sz="0" w:space="0" w:color="auto"/>
        <w:right w:val="none" w:sz="0" w:space="0" w:color="auto"/>
      </w:divBdr>
    </w:div>
    <w:div w:id="778716833">
      <w:bodyDiv w:val="1"/>
      <w:marLeft w:val="0"/>
      <w:marRight w:val="0"/>
      <w:marTop w:val="0"/>
      <w:marBottom w:val="0"/>
      <w:divBdr>
        <w:top w:val="none" w:sz="0" w:space="0" w:color="auto"/>
        <w:left w:val="none" w:sz="0" w:space="0" w:color="auto"/>
        <w:bottom w:val="none" w:sz="0" w:space="0" w:color="auto"/>
        <w:right w:val="none" w:sz="0" w:space="0" w:color="auto"/>
      </w:divBdr>
    </w:div>
    <w:div w:id="781539172">
      <w:bodyDiv w:val="1"/>
      <w:marLeft w:val="0"/>
      <w:marRight w:val="0"/>
      <w:marTop w:val="0"/>
      <w:marBottom w:val="0"/>
      <w:divBdr>
        <w:top w:val="none" w:sz="0" w:space="0" w:color="auto"/>
        <w:left w:val="none" w:sz="0" w:space="0" w:color="auto"/>
        <w:bottom w:val="none" w:sz="0" w:space="0" w:color="auto"/>
        <w:right w:val="none" w:sz="0" w:space="0" w:color="auto"/>
      </w:divBdr>
    </w:div>
    <w:div w:id="787546567">
      <w:bodyDiv w:val="1"/>
      <w:marLeft w:val="0"/>
      <w:marRight w:val="0"/>
      <w:marTop w:val="0"/>
      <w:marBottom w:val="0"/>
      <w:divBdr>
        <w:top w:val="none" w:sz="0" w:space="0" w:color="auto"/>
        <w:left w:val="none" w:sz="0" w:space="0" w:color="auto"/>
        <w:bottom w:val="none" w:sz="0" w:space="0" w:color="auto"/>
        <w:right w:val="none" w:sz="0" w:space="0" w:color="auto"/>
      </w:divBdr>
    </w:div>
    <w:div w:id="870609138">
      <w:bodyDiv w:val="1"/>
      <w:marLeft w:val="0"/>
      <w:marRight w:val="0"/>
      <w:marTop w:val="0"/>
      <w:marBottom w:val="0"/>
      <w:divBdr>
        <w:top w:val="none" w:sz="0" w:space="0" w:color="auto"/>
        <w:left w:val="none" w:sz="0" w:space="0" w:color="auto"/>
        <w:bottom w:val="none" w:sz="0" w:space="0" w:color="auto"/>
        <w:right w:val="none" w:sz="0" w:space="0" w:color="auto"/>
      </w:divBdr>
    </w:div>
    <w:div w:id="943196560">
      <w:bodyDiv w:val="1"/>
      <w:marLeft w:val="0"/>
      <w:marRight w:val="0"/>
      <w:marTop w:val="0"/>
      <w:marBottom w:val="0"/>
      <w:divBdr>
        <w:top w:val="none" w:sz="0" w:space="0" w:color="auto"/>
        <w:left w:val="none" w:sz="0" w:space="0" w:color="auto"/>
        <w:bottom w:val="none" w:sz="0" w:space="0" w:color="auto"/>
        <w:right w:val="none" w:sz="0" w:space="0" w:color="auto"/>
      </w:divBdr>
    </w:div>
    <w:div w:id="1000045328">
      <w:bodyDiv w:val="1"/>
      <w:marLeft w:val="0"/>
      <w:marRight w:val="0"/>
      <w:marTop w:val="0"/>
      <w:marBottom w:val="0"/>
      <w:divBdr>
        <w:top w:val="none" w:sz="0" w:space="0" w:color="auto"/>
        <w:left w:val="none" w:sz="0" w:space="0" w:color="auto"/>
        <w:bottom w:val="none" w:sz="0" w:space="0" w:color="auto"/>
        <w:right w:val="none" w:sz="0" w:space="0" w:color="auto"/>
      </w:divBdr>
    </w:div>
    <w:div w:id="1093630164">
      <w:bodyDiv w:val="1"/>
      <w:marLeft w:val="0"/>
      <w:marRight w:val="0"/>
      <w:marTop w:val="0"/>
      <w:marBottom w:val="0"/>
      <w:divBdr>
        <w:top w:val="none" w:sz="0" w:space="0" w:color="auto"/>
        <w:left w:val="none" w:sz="0" w:space="0" w:color="auto"/>
        <w:bottom w:val="none" w:sz="0" w:space="0" w:color="auto"/>
        <w:right w:val="none" w:sz="0" w:space="0" w:color="auto"/>
      </w:divBdr>
    </w:div>
    <w:div w:id="1139032354">
      <w:bodyDiv w:val="1"/>
      <w:marLeft w:val="0"/>
      <w:marRight w:val="0"/>
      <w:marTop w:val="0"/>
      <w:marBottom w:val="0"/>
      <w:divBdr>
        <w:top w:val="none" w:sz="0" w:space="0" w:color="auto"/>
        <w:left w:val="none" w:sz="0" w:space="0" w:color="auto"/>
        <w:bottom w:val="none" w:sz="0" w:space="0" w:color="auto"/>
        <w:right w:val="none" w:sz="0" w:space="0" w:color="auto"/>
      </w:divBdr>
    </w:div>
    <w:div w:id="1147552035">
      <w:bodyDiv w:val="1"/>
      <w:marLeft w:val="0"/>
      <w:marRight w:val="0"/>
      <w:marTop w:val="0"/>
      <w:marBottom w:val="0"/>
      <w:divBdr>
        <w:top w:val="none" w:sz="0" w:space="0" w:color="auto"/>
        <w:left w:val="none" w:sz="0" w:space="0" w:color="auto"/>
        <w:bottom w:val="none" w:sz="0" w:space="0" w:color="auto"/>
        <w:right w:val="none" w:sz="0" w:space="0" w:color="auto"/>
      </w:divBdr>
    </w:div>
    <w:div w:id="1153520327">
      <w:bodyDiv w:val="1"/>
      <w:marLeft w:val="0"/>
      <w:marRight w:val="0"/>
      <w:marTop w:val="0"/>
      <w:marBottom w:val="0"/>
      <w:divBdr>
        <w:top w:val="none" w:sz="0" w:space="0" w:color="auto"/>
        <w:left w:val="none" w:sz="0" w:space="0" w:color="auto"/>
        <w:bottom w:val="none" w:sz="0" w:space="0" w:color="auto"/>
        <w:right w:val="none" w:sz="0" w:space="0" w:color="auto"/>
      </w:divBdr>
    </w:div>
    <w:div w:id="1168863130">
      <w:bodyDiv w:val="1"/>
      <w:marLeft w:val="0"/>
      <w:marRight w:val="0"/>
      <w:marTop w:val="0"/>
      <w:marBottom w:val="0"/>
      <w:divBdr>
        <w:top w:val="none" w:sz="0" w:space="0" w:color="auto"/>
        <w:left w:val="none" w:sz="0" w:space="0" w:color="auto"/>
        <w:bottom w:val="none" w:sz="0" w:space="0" w:color="auto"/>
        <w:right w:val="none" w:sz="0" w:space="0" w:color="auto"/>
      </w:divBdr>
    </w:div>
    <w:div w:id="1246695015">
      <w:bodyDiv w:val="1"/>
      <w:marLeft w:val="0"/>
      <w:marRight w:val="0"/>
      <w:marTop w:val="0"/>
      <w:marBottom w:val="0"/>
      <w:divBdr>
        <w:top w:val="none" w:sz="0" w:space="0" w:color="auto"/>
        <w:left w:val="none" w:sz="0" w:space="0" w:color="auto"/>
        <w:bottom w:val="none" w:sz="0" w:space="0" w:color="auto"/>
        <w:right w:val="none" w:sz="0" w:space="0" w:color="auto"/>
      </w:divBdr>
    </w:div>
    <w:div w:id="1477333111">
      <w:bodyDiv w:val="1"/>
      <w:marLeft w:val="0"/>
      <w:marRight w:val="0"/>
      <w:marTop w:val="0"/>
      <w:marBottom w:val="0"/>
      <w:divBdr>
        <w:top w:val="none" w:sz="0" w:space="0" w:color="auto"/>
        <w:left w:val="none" w:sz="0" w:space="0" w:color="auto"/>
        <w:bottom w:val="none" w:sz="0" w:space="0" w:color="auto"/>
        <w:right w:val="none" w:sz="0" w:space="0" w:color="auto"/>
      </w:divBdr>
    </w:div>
    <w:div w:id="1555894983">
      <w:bodyDiv w:val="1"/>
      <w:marLeft w:val="0"/>
      <w:marRight w:val="0"/>
      <w:marTop w:val="0"/>
      <w:marBottom w:val="0"/>
      <w:divBdr>
        <w:top w:val="none" w:sz="0" w:space="0" w:color="auto"/>
        <w:left w:val="none" w:sz="0" w:space="0" w:color="auto"/>
        <w:bottom w:val="none" w:sz="0" w:space="0" w:color="auto"/>
        <w:right w:val="none" w:sz="0" w:space="0" w:color="auto"/>
      </w:divBdr>
    </w:div>
    <w:div w:id="1562861764">
      <w:bodyDiv w:val="1"/>
      <w:marLeft w:val="0"/>
      <w:marRight w:val="0"/>
      <w:marTop w:val="0"/>
      <w:marBottom w:val="0"/>
      <w:divBdr>
        <w:top w:val="none" w:sz="0" w:space="0" w:color="auto"/>
        <w:left w:val="none" w:sz="0" w:space="0" w:color="auto"/>
        <w:bottom w:val="none" w:sz="0" w:space="0" w:color="auto"/>
        <w:right w:val="none" w:sz="0" w:space="0" w:color="auto"/>
      </w:divBdr>
    </w:div>
    <w:div w:id="1562905954">
      <w:bodyDiv w:val="1"/>
      <w:marLeft w:val="0"/>
      <w:marRight w:val="0"/>
      <w:marTop w:val="0"/>
      <w:marBottom w:val="0"/>
      <w:divBdr>
        <w:top w:val="none" w:sz="0" w:space="0" w:color="auto"/>
        <w:left w:val="none" w:sz="0" w:space="0" w:color="auto"/>
        <w:bottom w:val="none" w:sz="0" w:space="0" w:color="auto"/>
        <w:right w:val="none" w:sz="0" w:space="0" w:color="auto"/>
      </w:divBdr>
    </w:div>
    <w:div w:id="1600675536">
      <w:bodyDiv w:val="1"/>
      <w:marLeft w:val="0"/>
      <w:marRight w:val="0"/>
      <w:marTop w:val="0"/>
      <w:marBottom w:val="0"/>
      <w:divBdr>
        <w:top w:val="none" w:sz="0" w:space="0" w:color="auto"/>
        <w:left w:val="none" w:sz="0" w:space="0" w:color="auto"/>
        <w:bottom w:val="none" w:sz="0" w:space="0" w:color="auto"/>
        <w:right w:val="none" w:sz="0" w:space="0" w:color="auto"/>
      </w:divBdr>
    </w:div>
    <w:div w:id="1602836557">
      <w:bodyDiv w:val="1"/>
      <w:marLeft w:val="0"/>
      <w:marRight w:val="0"/>
      <w:marTop w:val="0"/>
      <w:marBottom w:val="0"/>
      <w:divBdr>
        <w:top w:val="none" w:sz="0" w:space="0" w:color="auto"/>
        <w:left w:val="none" w:sz="0" w:space="0" w:color="auto"/>
        <w:bottom w:val="none" w:sz="0" w:space="0" w:color="auto"/>
        <w:right w:val="none" w:sz="0" w:space="0" w:color="auto"/>
      </w:divBdr>
    </w:div>
    <w:div w:id="1628121878">
      <w:bodyDiv w:val="1"/>
      <w:marLeft w:val="0"/>
      <w:marRight w:val="0"/>
      <w:marTop w:val="0"/>
      <w:marBottom w:val="0"/>
      <w:divBdr>
        <w:top w:val="none" w:sz="0" w:space="0" w:color="auto"/>
        <w:left w:val="none" w:sz="0" w:space="0" w:color="auto"/>
        <w:bottom w:val="none" w:sz="0" w:space="0" w:color="auto"/>
        <w:right w:val="none" w:sz="0" w:space="0" w:color="auto"/>
      </w:divBdr>
    </w:div>
    <w:div w:id="1886137048">
      <w:bodyDiv w:val="1"/>
      <w:marLeft w:val="0"/>
      <w:marRight w:val="0"/>
      <w:marTop w:val="0"/>
      <w:marBottom w:val="0"/>
      <w:divBdr>
        <w:top w:val="none" w:sz="0" w:space="0" w:color="auto"/>
        <w:left w:val="none" w:sz="0" w:space="0" w:color="auto"/>
        <w:bottom w:val="none" w:sz="0" w:space="0" w:color="auto"/>
        <w:right w:val="none" w:sz="0" w:space="0" w:color="auto"/>
      </w:divBdr>
    </w:div>
    <w:div w:id="1906649431">
      <w:bodyDiv w:val="1"/>
      <w:marLeft w:val="0"/>
      <w:marRight w:val="0"/>
      <w:marTop w:val="0"/>
      <w:marBottom w:val="0"/>
      <w:divBdr>
        <w:top w:val="none" w:sz="0" w:space="0" w:color="auto"/>
        <w:left w:val="none" w:sz="0" w:space="0" w:color="auto"/>
        <w:bottom w:val="none" w:sz="0" w:space="0" w:color="auto"/>
        <w:right w:val="none" w:sz="0" w:space="0" w:color="auto"/>
      </w:divBdr>
    </w:div>
    <w:div w:id="1933127956">
      <w:bodyDiv w:val="1"/>
      <w:marLeft w:val="0"/>
      <w:marRight w:val="0"/>
      <w:marTop w:val="0"/>
      <w:marBottom w:val="0"/>
      <w:divBdr>
        <w:top w:val="none" w:sz="0" w:space="0" w:color="auto"/>
        <w:left w:val="none" w:sz="0" w:space="0" w:color="auto"/>
        <w:bottom w:val="none" w:sz="0" w:space="0" w:color="auto"/>
        <w:right w:val="none" w:sz="0" w:space="0" w:color="auto"/>
      </w:divBdr>
    </w:div>
    <w:div w:id="1996031200">
      <w:bodyDiv w:val="1"/>
      <w:marLeft w:val="0"/>
      <w:marRight w:val="0"/>
      <w:marTop w:val="0"/>
      <w:marBottom w:val="0"/>
      <w:divBdr>
        <w:top w:val="none" w:sz="0" w:space="0" w:color="auto"/>
        <w:left w:val="none" w:sz="0" w:space="0" w:color="auto"/>
        <w:bottom w:val="none" w:sz="0" w:space="0" w:color="auto"/>
        <w:right w:val="none" w:sz="0" w:space="0" w:color="auto"/>
      </w:divBdr>
    </w:div>
    <w:div w:id="212522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hs-reference-costs-financial-year-2011-to-2012"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ssru.ac.uk/project-pages/unit-costs/unit-costs-2016/"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F0BA2-F98F-4439-8F17-4983B1AFD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4383</Words>
  <Characters>24985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2018-11-05T18:11:00Z</dcterms:created>
  <dcterms:modified xsi:type="dcterms:W3CDTF">2018-11-20T08:00:00Z</dcterms:modified>
</cp:coreProperties>
</file>