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E69" w:rsidRPr="00294094" w:rsidRDefault="00670E69" w:rsidP="00777D0C">
      <w:bookmarkStart w:id="0" w:name="_Toc536522039"/>
      <w:bookmarkStart w:id="1" w:name="_Toc2007149"/>
      <w:r>
        <w:rPr>
          <w:rStyle w:val="Heading1Char"/>
        </w:rPr>
        <w:t>Title</w:t>
      </w:r>
      <w:bookmarkEnd w:id="0"/>
      <w:bookmarkEnd w:id="1"/>
      <w:r w:rsidRPr="00294094">
        <w:rPr>
          <w:b/>
        </w:rPr>
        <w:t xml:space="preserve">: </w:t>
      </w:r>
      <w:r w:rsidRPr="00294094">
        <w:t xml:space="preserve">Cost-effectiveness of once-weekly </w:t>
      </w:r>
      <w:proofErr w:type="spellStart"/>
      <w:r w:rsidRPr="00294094">
        <w:t>semaglutide</w:t>
      </w:r>
      <w:proofErr w:type="spellEnd"/>
      <w:r w:rsidRPr="00294094">
        <w:t xml:space="preserve"> versus once-weekly </w:t>
      </w:r>
      <w:proofErr w:type="spellStart"/>
      <w:r w:rsidRPr="00294094">
        <w:t>dulaglutide</w:t>
      </w:r>
      <w:proofErr w:type="spellEnd"/>
      <w:r w:rsidRPr="00294094">
        <w:t xml:space="preserve"> in the treatme</w:t>
      </w:r>
      <w:r>
        <w:t>nt of type 2 diabetes in Canada</w:t>
      </w:r>
    </w:p>
    <w:p w:rsidR="00670E69" w:rsidRPr="00294094" w:rsidRDefault="006F3E4C" w:rsidP="00777D0C">
      <w:pPr>
        <w:rPr>
          <w:b/>
        </w:rPr>
      </w:pPr>
      <w:bookmarkStart w:id="2" w:name="_Toc536522041"/>
      <w:bookmarkStart w:id="3" w:name="_Toc2007150"/>
      <w:r>
        <w:rPr>
          <w:rStyle w:val="Heading1Char"/>
        </w:rPr>
        <w:t>Journal</w:t>
      </w:r>
      <w:bookmarkEnd w:id="2"/>
      <w:bookmarkEnd w:id="3"/>
      <w:r w:rsidR="00670E69" w:rsidRPr="00294094">
        <w:rPr>
          <w:b/>
        </w:rPr>
        <w:t xml:space="preserve">: </w:t>
      </w:r>
      <w:proofErr w:type="spellStart"/>
      <w:r>
        <w:t>PharmacoEconomics</w:t>
      </w:r>
      <w:proofErr w:type="spellEnd"/>
      <w:r>
        <w:t xml:space="preserve"> Open</w:t>
      </w:r>
    </w:p>
    <w:p w:rsidR="00670E69" w:rsidRPr="00670E69" w:rsidRDefault="00670E69" w:rsidP="00777D0C">
      <w:bookmarkStart w:id="4" w:name="_Toc536522042"/>
      <w:bookmarkStart w:id="5" w:name="_Toc2007151"/>
      <w:r w:rsidRPr="00670E69">
        <w:rPr>
          <w:rStyle w:val="Heading1Char"/>
        </w:rPr>
        <w:t>Authors:</w:t>
      </w:r>
      <w:bookmarkEnd w:id="4"/>
      <w:bookmarkEnd w:id="5"/>
      <w:r w:rsidRPr="00670E69">
        <w:t xml:space="preserve"> </w:t>
      </w:r>
      <w:r w:rsidRPr="00670E69">
        <w:rPr>
          <w:rStyle w:val="CommentReference"/>
          <w:sz w:val="24"/>
          <w:szCs w:val="24"/>
        </w:rPr>
        <w:t>Pierre Johansen</w:t>
      </w:r>
      <w:proofErr w:type="gramStart"/>
      <w:r w:rsidRPr="00670E69">
        <w:rPr>
          <w:rStyle w:val="CommentReference"/>
          <w:sz w:val="24"/>
          <w:szCs w:val="24"/>
        </w:rPr>
        <w:t>,</w:t>
      </w:r>
      <w:r w:rsidRPr="00670E69">
        <w:rPr>
          <w:rStyle w:val="CommentReference"/>
          <w:sz w:val="24"/>
          <w:szCs w:val="24"/>
          <w:vertAlign w:val="superscript"/>
        </w:rPr>
        <w:t>1</w:t>
      </w:r>
      <w:proofErr w:type="gramEnd"/>
      <w:r w:rsidRPr="00670E69">
        <w:rPr>
          <w:rStyle w:val="CommentReference"/>
          <w:sz w:val="24"/>
          <w:szCs w:val="24"/>
        </w:rPr>
        <w:t xml:space="preserve"> Jonas Håkan-Bloch,</w:t>
      </w:r>
      <w:r w:rsidRPr="00670E69">
        <w:rPr>
          <w:rStyle w:val="CommentReference"/>
          <w:sz w:val="24"/>
          <w:szCs w:val="24"/>
          <w:vertAlign w:val="superscript"/>
        </w:rPr>
        <w:t>1</w:t>
      </w:r>
      <w:r w:rsidRPr="00670E69">
        <w:rPr>
          <w:rStyle w:val="CommentReference"/>
          <w:sz w:val="24"/>
          <w:szCs w:val="24"/>
        </w:rPr>
        <w:t xml:space="preserve"> Aiden R. Liu,</w:t>
      </w:r>
      <w:r w:rsidRPr="00670E69">
        <w:rPr>
          <w:rStyle w:val="CommentReference"/>
          <w:sz w:val="24"/>
          <w:szCs w:val="24"/>
          <w:vertAlign w:val="superscript"/>
        </w:rPr>
        <w:t>2</w:t>
      </w:r>
      <w:r w:rsidRPr="00670E69">
        <w:rPr>
          <w:rStyle w:val="CommentReference"/>
          <w:sz w:val="24"/>
          <w:szCs w:val="24"/>
        </w:rPr>
        <w:t xml:space="preserve"> Peter Bech,</w:t>
      </w:r>
      <w:r w:rsidRPr="00670E69">
        <w:rPr>
          <w:rStyle w:val="CommentReference"/>
          <w:sz w:val="24"/>
          <w:szCs w:val="24"/>
          <w:vertAlign w:val="superscript"/>
        </w:rPr>
        <w:t>2</w:t>
      </w:r>
      <w:r w:rsidRPr="00670E69">
        <w:rPr>
          <w:rStyle w:val="CommentReference"/>
          <w:sz w:val="24"/>
          <w:szCs w:val="24"/>
        </w:rPr>
        <w:t xml:space="preserve"> Sofie Persson,</w:t>
      </w:r>
      <w:r w:rsidRPr="00670E69">
        <w:rPr>
          <w:rStyle w:val="CommentReference"/>
          <w:sz w:val="24"/>
          <w:szCs w:val="24"/>
          <w:vertAlign w:val="superscript"/>
        </w:rPr>
        <w:t>3</w:t>
      </w:r>
      <w:r w:rsidRPr="00670E69">
        <w:rPr>
          <w:rStyle w:val="CommentReference"/>
          <w:sz w:val="24"/>
          <w:szCs w:val="24"/>
        </w:rPr>
        <w:t xml:space="preserve"> Lawrence A. Leiter</w:t>
      </w:r>
      <w:r w:rsidRPr="00670E69">
        <w:rPr>
          <w:rStyle w:val="CommentReference"/>
          <w:sz w:val="24"/>
          <w:szCs w:val="24"/>
          <w:vertAlign w:val="superscript"/>
        </w:rPr>
        <w:t>4</w:t>
      </w:r>
    </w:p>
    <w:p w:rsidR="00670E69" w:rsidRDefault="00670E69" w:rsidP="00777D0C">
      <w:pPr>
        <w:rPr>
          <w:rStyle w:val="Heading1Char"/>
        </w:rPr>
      </w:pPr>
    </w:p>
    <w:p w:rsidR="00670E69" w:rsidRPr="00670E69" w:rsidRDefault="00670E69" w:rsidP="00777D0C">
      <w:bookmarkStart w:id="6" w:name="_Toc536522044"/>
      <w:bookmarkStart w:id="7" w:name="_Toc2007152"/>
      <w:r w:rsidRPr="00294094">
        <w:rPr>
          <w:rStyle w:val="Heading1Char"/>
        </w:rPr>
        <w:t>Contact details for corresponding author:</w:t>
      </w:r>
      <w:bookmarkEnd w:id="6"/>
      <w:bookmarkEnd w:id="7"/>
      <w:r w:rsidRPr="00294094">
        <w:rPr>
          <w:i/>
        </w:rPr>
        <w:t xml:space="preserve"> </w:t>
      </w:r>
      <w:r>
        <w:tab/>
      </w:r>
      <w:r w:rsidRPr="00670E69">
        <w:rPr>
          <w:rStyle w:val="CommentReference"/>
          <w:sz w:val="24"/>
          <w:szCs w:val="24"/>
        </w:rPr>
        <w:t>Pierre Johansen</w:t>
      </w:r>
      <w:r w:rsidRPr="00670E69">
        <w:t xml:space="preserve"> </w:t>
      </w:r>
    </w:p>
    <w:p w:rsidR="00670E69" w:rsidRPr="00746D4D" w:rsidRDefault="00670E69" w:rsidP="006F3E4C">
      <w:pPr>
        <w:ind w:left="4320" w:firstLine="720"/>
        <w:rPr>
          <w:lang w:val="da-DK"/>
        </w:rPr>
      </w:pPr>
      <w:r w:rsidRPr="00746D4D">
        <w:rPr>
          <w:lang w:val="da-DK"/>
        </w:rPr>
        <w:t xml:space="preserve">Novo Nordisk A/S, </w:t>
      </w:r>
    </w:p>
    <w:p w:rsidR="00670E69" w:rsidRPr="00746D4D" w:rsidRDefault="00670E69" w:rsidP="006F3E4C">
      <w:pPr>
        <w:ind w:left="4320" w:firstLine="720"/>
        <w:rPr>
          <w:lang w:val="da-DK"/>
        </w:rPr>
      </w:pPr>
      <w:r w:rsidRPr="00746D4D">
        <w:rPr>
          <w:lang w:val="da-DK"/>
        </w:rPr>
        <w:t>Vandtårnsvej 108</w:t>
      </w:r>
    </w:p>
    <w:p w:rsidR="00670E69" w:rsidRPr="00746D4D" w:rsidRDefault="00670E69" w:rsidP="006F3E4C">
      <w:pPr>
        <w:ind w:left="4320" w:firstLine="720"/>
        <w:rPr>
          <w:lang w:val="da-DK"/>
        </w:rPr>
      </w:pPr>
      <w:r w:rsidRPr="00746D4D">
        <w:rPr>
          <w:lang w:val="da-DK"/>
        </w:rPr>
        <w:t>2860 Søborg, Denmark</w:t>
      </w:r>
    </w:p>
    <w:p w:rsidR="00670E69" w:rsidRPr="00746D4D" w:rsidRDefault="00670E69" w:rsidP="006F3E4C">
      <w:pPr>
        <w:ind w:left="4320" w:firstLine="720"/>
        <w:rPr>
          <w:lang w:val="fr-FR"/>
        </w:rPr>
      </w:pPr>
      <w:r w:rsidRPr="00746D4D">
        <w:rPr>
          <w:lang w:val="fr-FR"/>
        </w:rPr>
        <w:t xml:space="preserve">Email: </w:t>
      </w:r>
      <w:r w:rsidRPr="00B84250">
        <w:rPr>
          <w:lang w:val="fr-FR"/>
        </w:rPr>
        <w:t>pirj@novonordisk.com</w:t>
      </w:r>
    </w:p>
    <w:p w:rsidR="00670E69" w:rsidRPr="00746D4D" w:rsidRDefault="00670E69" w:rsidP="006F3E4C">
      <w:pPr>
        <w:ind w:left="4320" w:firstLine="720"/>
        <w:rPr>
          <w:lang w:val="fr-FR"/>
        </w:rPr>
      </w:pPr>
      <w:r w:rsidRPr="00746D4D">
        <w:rPr>
          <w:lang w:val="fr-FR"/>
        </w:rPr>
        <w:t>Tel: +45 4444 8888</w:t>
      </w:r>
    </w:p>
    <w:p w:rsidR="00670E69" w:rsidRPr="00746D4D" w:rsidRDefault="00670E69" w:rsidP="00777D0C">
      <w:pPr>
        <w:rPr>
          <w:lang w:val="fr-FR"/>
        </w:rPr>
      </w:pPr>
      <w:r w:rsidRPr="00746D4D">
        <w:rPr>
          <w:lang w:val="fr-FR"/>
        </w:rPr>
        <w:br w:type="page"/>
      </w:r>
    </w:p>
    <w:p w:rsidR="00670E69" w:rsidRDefault="00670E69" w:rsidP="00F323D1">
      <w:pPr>
        <w:pStyle w:val="Heading1"/>
        <w:ind w:left="0" w:firstLine="0"/>
      </w:pPr>
      <w:bookmarkStart w:id="8" w:name="_Toc530388113"/>
      <w:bookmarkStart w:id="9" w:name="_Toc536522045"/>
      <w:bookmarkStart w:id="10" w:name="_Toc2007153"/>
      <w:r w:rsidRPr="00B61103">
        <w:lastRenderedPageBreak/>
        <w:t>Electronic Supplementary Materials</w:t>
      </w:r>
      <w:bookmarkEnd w:id="8"/>
      <w:bookmarkEnd w:id="9"/>
      <w:bookmarkEnd w:id="10"/>
    </w:p>
    <w:p w:rsidR="000C7C92" w:rsidRPr="000C7C92" w:rsidRDefault="000C7C92" w:rsidP="000C7C92"/>
    <w:p w:rsidR="00777D0C" w:rsidRDefault="00777D0C" w:rsidP="00777D0C">
      <w:pPr>
        <w:pStyle w:val="Heading1"/>
        <w:ind w:left="0" w:firstLine="0"/>
      </w:pPr>
      <w:bookmarkStart w:id="11" w:name="_Toc536522046"/>
      <w:bookmarkStart w:id="12" w:name="_Toc2007154"/>
      <w:r>
        <w:t>Table of Contents</w:t>
      </w:r>
      <w:bookmarkEnd w:id="11"/>
      <w:bookmarkEnd w:id="12"/>
    </w:p>
    <w:sdt>
      <w:sdtPr>
        <w:id w:val="-1612036796"/>
        <w:docPartObj>
          <w:docPartGallery w:val="Table of Contents"/>
          <w:docPartUnique/>
        </w:docPartObj>
      </w:sdtPr>
      <w:sdtEndPr>
        <w:rPr>
          <w:b/>
          <w:bCs/>
          <w:noProof/>
        </w:rPr>
      </w:sdtEndPr>
      <w:sdtContent>
        <w:p w:rsidR="000A7C65" w:rsidRDefault="00777D0C" w:rsidP="008A23BA">
          <w:pPr>
            <w:pStyle w:val="TOC1"/>
            <w:tabs>
              <w:tab w:val="right" w:leader="dot" w:pos="9350"/>
            </w:tabs>
            <w:spacing w:line="276" w:lineRule="auto"/>
            <w:rPr>
              <w:rFonts w:asciiTheme="minorHAnsi" w:hAnsiTheme="minorHAnsi" w:cstheme="minorBidi"/>
              <w:noProof/>
              <w:sz w:val="22"/>
              <w:szCs w:val="22"/>
              <w:lang w:val="en-GB" w:eastAsia="en-GB"/>
            </w:rPr>
          </w:pPr>
          <w:r>
            <w:rPr>
              <w:rFonts w:asciiTheme="majorHAnsi" w:eastAsiaTheme="majorEastAsia" w:hAnsiTheme="majorHAnsi" w:cstheme="majorBidi"/>
              <w:b/>
              <w:bCs/>
              <w:noProof/>
              <w:color w:val="2E74B5" w:themeColor="accent1" w:themeShade="BF"/>
              <w:sz w:val="32"/>
              <w:szCs w:val="32"/>
            </w:rPr>
            <w:fldChar w:fldCharType="begin"/>
          </w:r>
          <w:r>
            <w:rPr>
              <w:b/>
              <w:bCs/>
              <w:noProof/>
            </w:rPr>
            <w:instrText xml:space="preserve"> TOC \o "1-3" \h \z \u </w:instrText>
          </w:r>
          <w:r>
            <w:rPr>
              <w:rFonts w:asciiTheme="majorHAnsi" w:eastAsiaTheme="majorEastAsia" w:hAnsiTheme="majorHAnsi" w:cstheme="majorBidi"/>
              <w:b/>
              <w:bCs/>
              <w:noProof/>
              <w:color w:val="2E74B5" w:themeColor="accent1" w:themeShade="BF"/>
              <w:sz w:val="32"/>
              <w:szCs w:val="32"/>
            </w:rPr>
            <w:fldChar w:fldCharType="separate"/>
          </w:r>
          <w:hyperlink w:anchor="_Toc2007155" w:history="1">
            <w:r w:rsidR="000A7C65" w:rsidRPr="009344F0">
              <w:rPr>
                <w:rStyle w:val="Hyperlink"/>
                <w:noProof/>
              </w:rPr>
              <w:t>Online Resource 1: Description of the IHE Cohort Model of Type 2 Diabetes [18]</w:t>
            </w:r>
            <w:r w:rsidR="000A7C65">
              <w:rPr>
                <w:noProof/>
                <w:webHidden/>
              </w:rPr>
              <w:tab/>
            </w:r>
            <w:r w:rsidR="000A7C65">
              <w:rPr>
                <w:noProof/>
                <w:webHidden/>
              </w:rPr>
              <w:fldChar w:fldCharType="begin"/>
            </w:r>
            <w:r w:rsidR="000A7C65">
              <w:rPr>
                <w:noProof/>
                <w:webHidden/>
              </w:rPr>
              <w:instrText xml:space="preserve"> PAGEREF _Toc2007155 \h </w:instrText>
            </w:r>
            <w:r w:rsidR="000A7C65">
              <w:rPr>
                <w:noProof/>
                <w:webHidden/>
              </w:rPr>
            </w:r>
            <w:r w:rsidR="000A7C65">
              <w:rPr>
                <w:noProof/>
                <w:webHidden/>
              </w:rPr>
              <w:fldChar w:fldCharType="separate"/>
            </w:r>
            <w:r w:rsidR="000A7C65">
              <w:rPr>
                <w:noProof/>
                <w:webHidden/>
              </w:rPr>
              <w:t>4</w:t>
            </w:r>
            <w:r w:rsidR="000A7C65">
              <w:rPr>
                <w:noProof/>
                <w:webHidden/>
              </w:rPr>
              <w:fldChar w:fldCharType="end"/>
            </w:r>
          </w:hyperlink>
        </w:p>
        <w:p w:rsidR="000A7C65" w:rsidRDefault="00F57B57" w:rsidP="008A23BA">
          <w:pPr>
            <w:pStyle w:val="TOC2"/>
            <w:tabs>
              <w:tab w:val="right" w:leader="dot" w:pos="9350"/>
            </w:tabs>
            <w:spacing w:line="276" w:lineRule="auto"/>
            <w:rPr>
              <w:rFonts w:asciiTheme="minorHAnsi" w:hAnsiTheme="minorHAnsi" w:cstheme="minorBidi"/>
              <w:noProof/>
              <w:sz w:val="22"/>
              <w:szCs w:val="22"/>
              <w:lang w:val="en-GB" w:eastAsia="en-GB"/>
            </w:rPr>
          </w:pPr>
          <w:hyperlink w:anchor="_Toc2007156" w:history="1">
            <w:r w:rsidR="000A7C65" w:rsidRPr="009344F0">
              <w:rPr>
                <w:rStyle w:val="Hyperlink"/>
                <w:noProof/>
              </w:rPr>
              <w:t>Overview</w:t>
            </w:r>
            <w:r w:rsidR="000A7C65">
              <w:rPr>
                <w:noProof/>
                <w:webHidden/>
              </w:rPr>
              <w:tab/>
            </w:r>
            <w:r w:rsidR="000A7C65">
              <w:rPr>
                <w:noProof/>
                <w:webHidden/>
              </w:rPr>
              <w:fldChar w:fldCharType="begin"/>
            </w:r>
            <w:r w:rsidR="000A7C65">
              <w:rPr>
                <w:noProof/>
                <w:webHidden/>
              </w:rPr>
              <w:instrText xml:space="preserve"> PAGEREF _Toc2007156 \h </w:instrText>
            </w:r>
            <w:r w:rsidR="000A7C65">
              <w:rPr>
                <w:noProof/>
                <w:webHidden/>
              </w:rPr>
            </w:r>
            <w:r w:rsidR="000A7C65">
              <w:rPr>
                <w:noProof/>
                <w:webHidden/>
              </w:rPr>
              <w:fldChar w:fldCharType="separate"/>
            </w:r>
            <w:r w:rsidR="000A7C65">
              <w:rPr>
                <w:noProof/>
                <w:webHidden/>
              </w:rPr>
              <w:t>4</w:t>
            </w:r>
            <w:r w:rsidR="000A7C65">
              <w:rPr>
                <w:noProof/>
                <w:webHidden/>
              </w:rPr>
              <w:fldChar w:fldCharType="end"/>
            </w:r>
          </w:hyperlink>
        </w:p>
        <w:p w:rsidR="000A7C65" w:rsidRDefault="00F57B57" w:rsidP="008A23BA">
          <w:pPr>
            <w:pStyle w:val="TOC2"/>
            <w:tabs>
              <w:tab w:val="right" w:leader="dot" w:pos="9350"/>
            </w:tabs>
            <w:spacing w:line="276" w:lineRule="auto"/>
            <w:rPr>
              <w:rFonts w:asciiTheme="minorHAnsi" w:hAnsiTheme="minorHAnsi" w:cstheme="minorBidi"/>
              <w:noProof/>
              <w:sz w:val="22"/>
              <w:szCs w:val="22"/>
              <w:lang w:val="en-GB" w:eastAsia="en-GB"/>
            </w:rPr>
          </w:pPr>
          <w:hyperlink w:anchor="_Toc2007157" w:history="1">
            <w:r w:rsidR="000A7C65" w:rsidRPr="009344F0">
              <w:rPr>
                <w:rStyle w:val="Hyperlink"/>
                <w:noProof/>
              </w:rPr>
              <w:t>Generation of a cohort of hypothetical patients</w:t>
            </w:r>
            <w:r w:rsidR="000A7C65">
              <w:rPr>
                <w:noProof/>
                <w:webHidden/>
              </w:rPr>
              <w:tab/>
            </w:r>
            <w:r w:rsidR="000A7C65">
              <w:rPr>
                <w:noProof/>
                <w:webHidden/>
              </w:rPr>
              <w:fldChar w:fldCharType="begin"/>
            </w:r>
            <w:r w:rsidR="000A7C65">
              <w:rPr>
                <w:noProof/>
                <w:webHidden/>
              </w:rPr>
              <w:instrText xml:space="preserve"> PAGEREF _Toc2007157 \h </w:instrText>
            </w:r>
            <w:r w:rsidR="000A7C65">
              <w:rPr>
                <w:noProof/>
                <w:webHidden/>
              </w:rPr>
            </w:r>
            <w:r w:rsidR="000A7C65">
              <w:rPr>
                <w:noProof/>
                <w:webHidden/>
              </w:rPr>
              <w:fldChar w:fldCharType="separate"/>
            </w:r>
            <w:r w:rsidR="000A7C65">
              <w:rPr>
                <w:noProof/>
                <w:webHidden/>
              </w:rPr>
              <w:t>5</w:t>
            </w:r>
            <w:r w:rsidR="000A7C65">
              <w:rPr>
                <w:noProof/>
                <w:webHidden/>
              </w:rPr>
              <w:fldChar w:fldCharType="end"/>
            </w:r>
          </w:hyperlink>
        </w:p>
        <w:p w:rsidR="000A7C65" w:rsidRDefault="00F57B57" w:rsidP="008A23BA">
          <w:pPr>
            <w:pStyle w:val="TOC2"/>
            <w:tabs>
              <w:tab w:val="right" w:leader="dot" w:pos="9350"/>
            </w:tabs>
            <w:spacing w:line="276" w:lineRule="auto"/>
            <w:rPr>
              <w:rFonts w:asciiTheme="minorHAnsi" w:hAnsiTheme="minorHAnsi" w:cstheme="minorBidi"/>
              <w:noProof/>
              <w:sz w:val="22"/>
              <w:szCs w:val="22"/>
              <w:lang w:val="en-GB" w:eastAsia="en-GB"/>
            </w:rPr>
          </w:pPr>
          <w:hyperlink w:anchor="_Toc2007158" w:history="1">
            <w:r w:rsidR="000A7C65" w:rsidRPr="009344F0">
              <w:rPr>
                <w:rStyle w:val="Hyperlink"/>
                <w:noProof/>
              </w:rPr>
              <w:t>Microvascular complications, mortality and risk equations</w:t>
            </w:r>
            <w:r w:rsidR="000A7C65">
              <w:rPr>
                <w:noProof/>
                <w:webHidden/>
              </w:rPr>
              <w:tab/>
            </w:r>
            <w:r w:rsidR="000A7C65">
              <w:rPr>
                <w:noProof/>
                <w:webHidden/>
              </w:rPr>
              <w:fldChar w:fldCharType="begin"/>
            </w:r>
            <w:r w:rsidR="000A7C65">
              <w:rPr>
                <w:noProof/>
                <w:webHidden/>
              </w:rPr>
              <w:instrText xml:space="preserve"> PAGEREF _Toc2007158 \h </w:instrText>
            </w:r>
            <w:r w:rsidR="000A7C65">
              <w:rPr>
                <w:noProof/>
                <w:webHidden/>
              </w:rPr>
            </w:r>
            <w:r w:rsidR="000A7C65">
              <w:rPr>
                <w:noProof/>
                <w:webHidden/>
              </w:rPr>
              <w:fldChar w:fldCharType="separate"/>
            </w:r>
            <w:r w:rsidR="000A7C65">
              <w:rPr>
                <w:noProof/>
                <w:webHidden/>
              </w:rPr>
              <w:t>6</w:t>
            </w:r>
            <w:r w:rsidR="000A7C65">
              <w:rPr>
                <w:noProof/>
                <w:webHidden/>
              </w:rPr>
              <w:fldChar w:fldCharType="end"/>
            </w:r>
          </w:hyperlink>
        </w:p>
        <w:p w:rsidR="000A7C65" w:rsidRDefault="00F57B57" w:rsidP="008A23BA">
          <w:pPr>
            <w:pStyle w:val="TOC2"/>
            <w:tabs>
              <w:tab w:val="right" w:leader="dot" w:pos="9350"/>
            </w:tabs>
            <w:spacing w:line="276" w:lineRule="auto"/>
            <w:rPr>
              <w:rFonts w:asciiTheme="minorHAnsi" w:hAnsiTheme="minorHAnsi" w:cstheme="minorBidi"/>
              <w:noProof/>
              <w:sz w:val="22"/>
              <w:szCs w:val="22"/>
              <w:lang w:val="en-GB" w:eastAsia="en-GB"/>
            </w:rPr>
          </w:pPr>
          <w:hyperlink w:anchor="_Toc2007159" w:history="1">
            <w:r w:rsidR="000A7C65" w:rsidRPr="009344F0">
              <w:rPr>
                <w:rStyle w:val="Hyperlink"/>
                <w:noProof/>
              </w:rPr>
              <w:t>Treatment algorithm</w:t>
            </w:r>
            <w:r w:rsidR="000A7C65">
              <w:rPr>
                <w:noProof/>
                <w:webHidden/>
              </w:rPr>
              <w:tab/>
            </w:r>
            <w:r w:rsidR="000A7C65">
              <w:rPr>
                <w:noProof/>
                <w:webHidden/>
              </w:rPr>
              <w:fldChar w:fldCharType="begin"/>
            </w:r>
            <w:r w:rsidR="000A7C65">
              <w:rPr>
                <w:noProof/>
                <w:webHidden/>
              </w:rPr>
              <w:instrText xml:space="preserve"> PAGEREF _Toc2007159 \h </w:instrText>
            </w:r>
            <w:r w:rsidR="000A7C65">
              <w:rPr>
                <w:noProof/>
                <w:webHidden/>
              </w:rPr>
            </w:r>
            <w:r w:rsidR="000A7C65">
              <w:rPr>
                <w:noProof/>
                <w:webHidden/>
              </w:rPr>
              <w:fldChar w:fldCharType="separate"/>
            </w:r>
            <w:r w:rsidR="000A7C65">
              <w:rPr>
                <w:noProof/>
                <w:webHidden/>
              </w:rPr>
              <w:t>6</w:t>
            </w:r>
            <w:r w:rsidR="000A7C65">
              <w:rPr>
                <w:noProof/>
                <w:webHidden/>
              </w:rPr>
              <w:fldChar w:fldCharType="end"/>
            </w:r>
          </w:hyperlink>
        </w:p>
        <w:p w:rsidR="000A7C65" w:rsidRDefault="00F57B57" w:rsidP="008A23BA">
          <w:pPr>
            <w:pStyle w:val="TOC2"/>
            <w:tabs>
              <w:tab w:val="right" w:leader="dot" w:pos="9350"/>
            </w:tabs>
            <w:spacing w:line="276" w:lineRule="auto"/>
            <w:rPr>
              <w:rFonts w:asciiTheme="minorHAnsi" w:hAnsiTheme="minorHAnsi" w:cstheme="minorBidi"/>
              <w:noProof/>
              <w:sz w:val="22"/>
              <w:szCs w:val="22"/>
              <w:lang w:val="en-GB" w:eastAsia="en-GB"/>
            </w:rPr>
          </w:pPr>
          <w:hyperlink w:anchor="_Toc2007160" w:history="1">
            <w:r w:rsidR="000A7C65" w:rsidRPr="009344F0">
              <w:rPr>
                <w:rStyle w:val="Hyperlink"/>
                <w:noProof/>
              </w:rPr>
              <w:t>Quality of life</w:t>
            </w:r>
            <w:r w:rsidR="000A7C65">
              <w:rPr>
                <w:noProof/>
                <w:webHidden/>
              </w:rPr>
              <w:tab/>
            </w:r>
            <w:r w:rsidR="000A7C65">
              <w:rPr>
                <w:noProof/>
                <w:webHidden/>
              </w:rPr>
              <w:fldChar w:fldCharType="begin"/>
            </w:r>
            <w:r w:rsidR="000A7C65">
              <w:rPr>
                <w:noProof/>
                <w:webHidden/>
              </w:rPr>
              <w:instrText xml:space="preserve"> PAGEREF _Toc2007160 \h </w:instrText>
            </w:r>
            <w:r w:rsidR="000A7C65">
              <w:rPr>
                <w:noProof/>
                <w:webHidden/>
              </w:rPr>
            </w:r>
            <w:r w:rsidR="000A7C65">
              <w:rPr>
                <w:noProof/>
                <w:webHidden/>
              </w:rPr>
              <w:fldChar w:fldCharType="separate"/>
            </w:r>
            <w:r w:rsidR="000A7C65">
              <w:rPr>
                <w:noProof/>
                <w:webHidden/>
              </w:rPr>
              <w:t>7</w:t>
            </w:r>
            <w:r w:rsidR="000A7C65">
              <w:rPr>
                <w:noProof/>
                <w:webHidden/>
              </w:rPr>
              <w:fldChar w:fldCharType="end"/>
            </w:r>
          </w:hyperlink>
        </w:p>
        <w:p w:rsidR="000A7C65" w:rsidRDefault="00F57B57" w:rsidP="008A23BA">
          <w:pPr>
            <w:pStyle w:val="TOC2"/>
            <w:tabs>
              <w:tab w:val="right" w:leader="dot" w:pos="9350"/>
            </w:tabs>
            <w:spacing w:line="276" w:lineRule="auto"/>
            <w:rPr>
              <w:rFonts w:asciiTheme="minorHAnsi" w:hAnsiTheme="minorHAnsi" w:cstheme="minorBidi"/>
              <w:noProof/>
              <w:sz w:val="22"/>
              <w:szCs w:val="22"/>
              <w:lang w:val="en-GB" w:eastAsia="en-GB"/>
            </w:rPr>
          </w:pPr>
          <w:hyperlink w:anchor="_Toc2007161" w:history="1">
            <w:r w:rsidR="000A7C65" w:rsidRPr="009344F0">
              <w:rPr>
                <w:rStyle w:val="Hyperlink"/>
                <w:noProof/>
              </w:rPr>
              <w:t>Costs</w:t>
            </w:r>
            <w:r w:rsidR="000A7C65">
              <w:rPr>
                <w:noProof/>
                <w:webHidden/>
              </w:rPr>
              <w:tab/>
            </w:r>
            <w:r w:rsidR="000A7C65">
              <w:rPr>
                <w:noProof/>
                <w:webHidden/>
              </w:rPr>
              <w:fldChar w:fldCharType="begin"/>
            </w:r>
            <w:r w:rsidR="000A7C65">
              <w:rPr>
                <w:noProof/>
                <w:webHidden/>
              </w:rPr>
              <w:instrText xml:space="preserve"> PAGEREF _Toc2007161 \h </w:instrText>
            </w:r>
            <w:r w:rsidR="000A7C65">
              <w:rPr>
                <w:noProof/>
                <w:webHidden/>
              </w:rPr>
            </w:r>
            <w:r w:rsidR="000A7C65">
              <w:rPr>
                <w:noProof/>
                <w:webHidden/>
              </w:rPr>
              <w:fldChar w:fldCharType="separate"/>
            </w:r>
            <w:r w:rsidR="000A7C65">
              <w:rPr>
                <w:noProof/>
                <w:webHidden/>
              </w:rPr>
              <w:t>7</w:t>
            </w:r>
            <w:r w:rsidR="000A7C65">
              <w:rPr>
                <w:noProof/>
                <w:webHidden/>
              </w:rPr>
              <w:fldChar w:fldCharType="end"/>
            </w:r>
          </w:hyperlink>
        </w:p>
        <w:p w:rsidR="000A7C65" w:rsidRDefault="00F57B57" w:rsidP="008A23BA">
          <w:pPr>
            <w:pStyle w:val="TOC2"/>
            <w:tabs>
              <w:tab w:val="right" w:leader="dot" w:pos="9350"/>
            </w:tabs>
            <w:spacing w:line="276" w:lineRule="auto"/>
            <w:rPr>
              <w:rFonts w:asciiTheme="minorHAnsi" w:hAnsiTheme="minorHAnsi" w:cstheme="minorBidi"/>
              <w:noProof/>
              <w:sz w:val="22"/>
              <w:szCs w:val="22"/>
              <w:lang w:val="en-GB" w:eastAsia="en-GB"/>
            </w:rPr>
          </w:pPr>
          <w:hyperlink w:anchor="_Toc2007162" w:history="1">
            <w:r w:rsidR="000A7C65" w:rsidRPr="009344F0">
              <w:rPr>
                <w:rStyle w:val="Hyperlink"/>
                <w:noProof/>
              </w:rPr>
              <w:t>Model outcomes</w:t>
            </w:r>
            <w:r w:rsidR="000A7C65">
              <w:rPr>
                <w:noProof/>
                <w:webHidden/>
              </w:rPr>
              <w:tab/>
            </w:r>
            <w:r w:rsidR="000A7C65">
              <w:rPr>
                <w:noProof/>
                <w:webHidden/>
              </w:rPr>
              <w:fldChar w:fldCharType="begin"/>
            </w:r>
            <w:r w:rsidR="000A7C65">
              <w:rPr>
                <w:noProof/>
                <w:webHidden/>
              </w:rPr>
              <w:instrText xml:space="preserve"> PAGEREF _Toc2007162 \h </w:instrText>
            </w:r>
            <w:r w:rsidR="000A7C65">
              <w:rPr>
                <w:noProof/>
                <w:webHidden/>
              </w:rPr>
            </w:r>
            <w:r w:rsidR="000A7C65">
              <w:rPr>
                <w:noProof/>
                <w:webHidden/>
              </w:rPr>
              <w:fldChar w:fldCharType="separate"/>
            </w:r>
            <w:r w:rsidR="000A7C65">
              <w:rPr>
                <w:noProof/>
                <w:webHidden/>
              </w:rPr>
              <w:t>8</w:t>
            </w:r>
            <w:r w:rsidR="000A7C65">
              <w:rPr>
                <w:noProof/>
                <w:webHidden/>
              </w:rPr>
              <w:fldChar w:fldCharType="end"/>
            </w:r>
          </w:hyperlink>
        </w:p>
        <w:p w:rsidR="000A7C65" w:rsidRDefault="00F57B57" w:rsidP="008A23BA">
          <w:pPr>
            <w:pStyle w:val="TOC2"/>
            <w:tabs>
              <w:tab w:val="right" w:leader="dot" w:pos="9350"/>
            </w:tabs>
            <w:spacing w:line="276" w:lineRule="auto"/>
            <w:rPr>
              <w:rFonts w:asciiTheme="minorHAnsi" w:hAnsiTheme="minorHAnsi" w:cstheme="minorBidi"/>
              <w:noProof/>
              <w:sz w:val="22"/>
              <w:szCs w:val="22"/>
              <w:lang w:val="en-GB" w:eastAsia="en-GB"/>
            </w:rPr>
          </w:pPr>
          <w:hyperlink w:anchor="_Toc2007163" w:history="1">
            <w:r w:rsidR="000A7C65" w:rsidRPr="009344F0">
              <w:rPr>
                <w:rStyle w:val="Hyperlink"/>
                <w:noProof/>
              </w:rPr>
              <w:t>Probabilistic sensitivity analysis</w:t>
            </w:r>
            <w:r w:rsidR="000A7C65">
              <w:rPr>
                <w:noProof/>
                <w:webHidden/>
              </w:rPr>
              <w:tab/>
            </w:r>
            <w:r w:rsidR="000A7C65">
              <w:rPr>
                <w:noProof/>
                <w:webHidden/>
              </w:rPr>
              <w:fldChar w:fldCharType="begin"/>
            </w:r>
            <w:r w:rsidR="000A7C65">
              <w:rPr>
                <w:noProof/>
                <w:webHidden/>
              </w:rPr>
              <w:instrText xml:space="preserve"> PAGEREF _Toc2007163 \h </w:instrText>
            </w:r>
            <w:r w:rsidR="000A7C65">
              <w:rPr>
                <w:noProof/>
                <w:webHidden/>
              </w:rPr>
            </w:r>
            <w:r w:rsidR="000A7C65">
              <w:rPr>
                <w:noProof/>
                <w:webHidden/>
              </w:rPr>
              <w:fldChar w:fldCharType="separate"/>
            </w:r>
            <w:r w:rsidR="000A7C65">
              <w:rPr>
                <w:noProof/>
                <w:webHidden/>
              </w:rPr>
              <w:t>8</w:t>
            </w:r>
            <w:r w:rsidR="000A7C65">
              <w:rPr>
                <w:noProof/>
                <w:webHidden/>
              </w:rPr>
              <w:fldChar w:fldCharType="end"/>
            </w:r>
          </w:hyperlink>
        </w:p>
        <w:p w:rsidR="000A7C65" w:rsidRDefault="00F57B57" w:rsidP="008A23BA">
          <w:pPr>
            <w:pStyle w:val="TOC1"/>
            <w:tabs>
              <w:tab w:val="right" w:leader="dot" w:pos="9350"/>
            </w:tabs>
            <w:spacing w:line="276" w:lineRule="auto"/>
            <w:rPr>
              <w:rFonts w:asciiTheme="minorHAnsi" w:hAnsiTheme="minorHAnsi" w:cstheme="minorBidi"/>
              <w:noProof/>
              <w:sz w:val="22"/>
              <w:szCs w:val="22"/>
              <w:lang w:val="en-GB" w:eastAsia="en-GB"/>
            </w:rPr>
          </w:pPr>
          <w:hyperlink w:anchor="_Toc2007164" w:history="1">
            <w:r w:rsidR="000A7C65" w:rsidRPr="009344F0">
              <w:rPr>
                <w:rStyle w:val="Hyperlink"/>
                <w:noProof/>
              </w:rPr>
              <w:t>Online Resource 2. Treatment effects based on the SUSTAIN 7 trial [23]</w:t>
            </w:r>
            <w:r w:rsidR="000A7C65">
              <w:rPr>
                <w:noProof/>
                <w:webHidden/>
              </w:rPr>
              <w:tab/>
            </w:r>
            <w:r w:rsidR="000A7C65">
              <w:rPr>
                <w:noProof/>
                <w:webHidden/>
              </w:rPr>
              <w:fldChar w:fldCharType="begin"/>
            </w:r>
            <w:r w:rsidR="000A7C65">
              <w:rPr>
                <w:noProof/>
                <w:webHidden/>
              </w:rPr>
              <w:instrText xml:space="preserve"> PAGEREF _Toc2007164 \h </w:instrText>
            </w:r>
            <w:r w:rsidR="000A7C65">
              <w:rPr>
                <w:noProof/>
                <w:webHidden/>
              </w:rPr>
            </w:r>
            <w:r w:rsidR="000A7C65">
              <w:rPr>
                <w:noProof/>
                <w:webHidden/>
              </w:rPr>
              <w:fldChar w:fldCharType="separate"/>
            </w:r>
            <w:r w:rsidR="000A7C65">
              <w:rPr>
                <w:noProof/>
                <w:webHidden/>
              </w:rPr>
              <w:t>10</w:t>
            </w:r>
            <w:r w:rsidR="000A7C65">
              <w:rPr>
                <w:noProof/>
                <w:webHidden/>
              </w:rPr>
              <w:fldChar w:fldCharType="end"/>
            </w:r>
          </w:hyperlink>
        </w:p>
        <w:p w:rsidR="000A7C65" w:rsidRDefault="00F57B57" w:rsidP="008A23BA">
          <w:pPr>
            <w:pStyle w:val="TOC1"/>
            <w:tabs>
              <w:tab w:val="right" w:leader="dot" w:pos="9350"/>
            </w:tabs>
            <w:spacing w:line="276" w:lineRule="auto"/>
            <w:rPr>
              <w:rFonts w:asciiTheme="minorHAnsi" w:hAnsiTheme="minorHAnsi" w:cstheme="minorBidi"/>
              <w:noProof/>
              <w:sz w:val="22"/>
              <w:szCs w:val="22"/>
              <w:lang w:val="en-GB" w:eastAsia="en-GB"/>
            </w:rPr>
          </w:pPr>
          <w:hyperlink w:anchor="_Toc2007165" w:history="1">
            <w:r w:rsidR="000A7C65" w:rsidRPr="009344F0">
              <w:rPr>
                <w:rStyle w:val="Hyperlink"/>
                <w:noProof/>
              </w:rPr>
              <w:t>Online Resource 3. HRQoL decrements from various complications</w:t>
            </w:r>
            <w:r w:rsidR="000A7C65">
              <w:rPr>
                <w:noProof/>
                <w:webHidden/>
              </w:rPr>
              <w:tab/>
            </w:r>
            <w:r w:rsidR="000A7C65">
              <w:rPr>
                <w:noProof/>
                <w:webHidden/>
              </w:rPr>
              <w:fldChar w:fldCharType="begin"/>
            </w:r>
            <w:r w:rsidR="000A7C65">
              <w:rPr>
                <w:noProof/>
                <w:webHidden/>
              </w:rPr>
              <w:instrText xml:space="preserve"> PAGEREF _Toc2007165 \h </w:instrText>
            </w:r>
            <w:r w:rsidR="000A7C65">
              <w:rPr>
                <w:noProof/>
                <w:webHidden/>
              </w:rPr>
            </w:r>
            <w:r w:rsidR="000A7C65">
              <w:rPr>
                <w:noProof/>
                <w:webHidden/>
              </w:rPr>
              <w:fldChar w:fldCharType="separate"/>
            </w:r>
            <w:r w:rsidR="000A7C65">
              <w:rPr>
                <w:noProof/>
                <w:webHidden/>
              </w:rPr>
              <w:t>11</w:t>
            </w:r>
            <w:r w:rsidR="000A7C65">
              <w:rPr>
                <w:noProof/>
                <w:webHidden/>
              </w:rPr>
              <w:fldChar w:fldCharType="end"/>
            </w:r>
          </w:hyperlink>
        </w:p>
        <w:p w:rsidR="000A7C65" w:rsidRDefault="00F57B57" w:rsidP="008A23BA">
          <w:pPr>
            <w:pStyle w:val="TOC1"/>
            <w:tabs>
              <w:tab w:val="right" w:leader="dot" w:pos="9350"/>
            </w:tabs>
            <w:spacing w:line="276" w:lineRule="auto"/>
            <w:rPr>
              <w:rFonts w:asciiTheme="minorHAnsi" w:hAnsiTheme="minorHAnsi" w:cstheme="minorBidi"/>
              <w:noProof/>
              <w:sz w:val="22"/>
              <w:szCs w:val="22"/>
              <w:lang w:val="en-GB" w:eastAsia="en-GB"/>
            </w:rPr>
          </w:pPr>
          <w:hyperlink w:anchor="_Toc2007166" w:history="1">
            <w:r w:rsidR="000A7C65" w:rsidRPr="009344F0">
              <w:rPr>
                <w:rStyle w:val="Hyperlink"/>
                <w:noProof/>
              </w:rPr>
              <w:t>Online Resource 4. Cost for diabetes-related complications in first and subsequent years</w:t>
            </w:r>
            <w:r w:rsidR="000A7C65">
              <w:rPr>
                <w:noProof/>
                <w:webHidden/>
              </w:rPr>
              <w:tab/>
            </w:r>
            <w:r w:rsidR="000A7C65">
              <w:rPr>
                <w:noProof/>
                <w:webHidden/>
              </w:rPr>
              <w:fldChar w:fldCharType="begin"/>
            </w:r>
            <w:r w:rsidR="000A7C65">
              <w:rPr>
                <w:noProof/>
                <w:webHidden/>
              </w:rPr>
              <w:instrText xml:space="preserve"> PAGEREF _Toc2007166 \h </w:instrText>
            </w:r>
            <w:r w:rsidR="000A7C65">
              <w:rPr>
                <w:noProof/>
                <w:webHidden/>
              </w:rPr>
            </w:r>
            <w:r w:rsidR="000A7C65">
              <w:rPr>
                <w:noProof/>
                <w:webHidden/>
              </w:rPr>
              <w:fldChar w:fldCharType="separate"/>
            </w:r>
            <w:r w:rsidR="000A7C65">
              <w:rPr>
                <w:noProof/>
                <w:webHidden/>
              </w:rPr>
              <w:t>12</w:t>
            </w:r>
            <w:r w:rsidR="000A7C65">
              <w:rPr>
                <w:noProof/>
                <w:webHidden/>
              </w:rPr>
              <w:fldChar w:fldCharType="end"/>
            </w:r>
          </w:hyperlink>
        </w:p>
        <w:p w:rsidR="000A7C65" w:rsidRDefault="00F57B57" w:rsidP="008A23BA">
          <w:pPr>
            <w:pStyle w:val="TOC1"/>
            <w:tabs>
              <w:tab w:val="right" w:leader="dot" w:pos="9350"/>
            </w:tabs>
            <w:spacing w:line="276" w:lineRule="auto"/>
            <w:rPr>
              <w:rFonts w:asciiTheme="minorHAnsi" w:hAnsiTheme="minorHAnsi" w:cstheme="minorBidi"/>
              <w:noProof/>
              <w:sz w:val="22"/>
              <w:szCs w:val="22"/>
              <w:lang w:val="en-GB" w:eastAsia="en-GB"/>
            </w:rPr>
          </w:pPr>
          <w:hyperlink w:anchor="_Toc2007167" w:history="1">
            <w:r w:rsidR="000A7C65" w:rsidRPr="009344F0">
              <w:rPr>
                <w:rStyle w:val="Hyperlink"/>
                <w:noProof/>
              </w:rPr>
              <w:t>Online Resource 5. Cost per hypoglycemic event [67]</w:t>
            </w:r>
            <w:r w:rsidR="000A7C65">
              <w:rPr>
                <w:noProof/>
                <w:webHidden/>
              </w:rPr>
              <w:tab/>
            </w:r>
            <w:r w:rsidR="000A7C65">
              <w:rPr>
                <w:noProof/>
                <w:webHidden/>
              </w:rPr>
              <w:fldChar w:fldCharType="begin"/>
            </w:r>
            <w:r w:rsidR="000A7C65">
              <w:rPr>
                <w:noProof/>
                <w:webHidden/>
              </w:rPr>
              <w:instrText xml:space="preserve"> PAGEREF _Toc2007167 \h </w:instrText>
            </w:r>
            <w:r w:rsidR="000A7C65">
              <w:rPr>
                <w:noProof/>
                <w:webHidden/>
              </w:rPr>
            </w:r>
            <w:r w:rsidR="000A7C65">
              <w:rPr>
                <w:noProof/>
                <w:webHidden/>
              </w:rPr>
              <w:fldChar w:fldCharType="separate"/>
            </w:r>
            <w:r w:rsidR="000A7C65">
              <w:rPr>
                <w:noProof/>
                <w:webHidden/>
              </w:rPr>
              <w:t>13</w:t>
            </w:r>
            <w:r w:rsidR="000A7C65">
              <w:rPr>
                <w:noProof/>
                <w:webHidden/>
              </w:rPr>
              <w:fldChar w:fldCharType="end"/>
            </w:r>
          </w:hyperlink>
        </w:p>
        <w:p w:rsidR="000A7C65" w:rsidRDefault="00F57B57" w:rsidP="008A23BA">
          <w:pPr>
            <w:pStyle w:val="TOC1"/>
            <w:tabs>
              <w:tab w:val="right" w:leader="dot" w:pos="9350"/>
            </w:tabs>
            <w:spacing w:line="276" w:lineRule="auto"/>
            <w:rPr>
              <w:rFonts w:asciiTheme="minorHAnsi" w:hAnsiTheme="minorHAnsi" w:cstheme="minorBidi"/>
              <w:noProof/>
              <w:sz w:val="22"/>
              <w:szCs w:val="22"/>
              <w:lang w:val="en-GB" w:eastAsia="en-GB"/>
            </w:rPr>
          </w:pPr>
          <w:hyperlink w:anchor="_Toc2007168" w:history="1">
            <w:r w:rsidR="000A7C65" w:rsidRPr="009344F0">
              <w:rPr>
                <w:rStyle w:val="Hyperlink"/>
                <w:noProof/>
              </w:rPr>
              <w:t>Online Resource 6. Average treatment cost per patient per year</w:t>
            </w:r>
            <w:r w:rsidR="000A7C65">
              <w:rPr>
                <w:noProof/>
                <w:webHidden/>
              </w:rPr>
              <w:tab/>
            </w:r>
            <w:r w:rsidR="000A7C65">
              <w:rPr>
                <w:noProof/>
                <w:webHidden/>
              </w:rPr>
              <w:fldChar w:fldCharType="begin"/>
            </w:r>
            <w:r w:rsidR="000A7C65">
              <w:rPr>
                <w:noProof/>
                <w:webHidden/>
              </w:rPr>
              <w:instrText xml:space="preserve"> PAGEREF _Toc2007168 \h </w:instrText>
            </w:r>
            <w:r w:rsidR="000A7C65">
              <w:rPr>
                <w:noProof/>
                <w:webHidden/>
              </w:rPr>
            </w:r>
            <w:r w:rsidR="000A7C65">
              <w:rPr>
                <w:noProof/>
                <w:webHidden/>
              </w:rPr>
              <w:fldChar w:fldCharType="separate"/>
            </w:r>
            <w:r w:rsidR="000A7C65">
              <w:rPr>
                <w:noProof/>
                <w:webHidden/>
              </w:rPr>
              <w:t>14</w:t>
            </w:r>
            <w:r w:rsidR="000A7C65">
              <w:rPr>
                <w:noProof/>
                <w:webHidden/>
              </w:rPr>
              <w:fldChar w:fldCharType="end"/>
            </w:r>
          </w:hyperlink>
        </w:p>
        <w:p w:rsidR="000A7C65" w:rsidRDefault="00F57B57" w:rsidP="008A23BA">
          <w:pPr>
            <w:pStyle w:val="TOC1"/>
            <w:tabs>
              <w:tab w:val="right" w:leader="dot" w:pos="9350"/>
            </w:tabs>
            <w:spacing w:line="276" w:lineRule="auto"/>
            <w:rPr>
              <w:rFonts w:asciiTheme="minorHAnsi" w:hAnsiTheme="minorHAnsi" w:cstheme="minorBidi"/>
              <w:noProof/>
              <w:sz w:val="22"/>
              <w:szCs w:val="22"/>
              <w:lang w:val="en-GB" w:eastAsia="en-GB"/>
            </w:rPr>
          </w:pPr>
          <w:hyperlink w:anchor="_Toc2007169" w:history="1">
            <w:r w:rsidR="000A7C65" w:rsidRPr="009344F0">
              <w:rPr>
                <w:rStyle w:val="Hyperlink"/>
                <w:noProof/>
              </w:rPr>
              <w:t>Online Resource 7. Production loss assumptions for diabetic complications</w:t>
            </w:r>
            <w:r w:rsidR="000A7C65">
              <w:rPr>
                <w:noProof/>
                <w:webHidden/>
              </w:rPr>
              <w:tab/>
            </w:r>
            <w:r w:rsidR="000A7C65">
              <w:rPr>
                <w:noProof/>
                <w:webHidden/>
              </w:rPr>
              <w:fldChar w:fldCharType="begin"/>
            </w:r>
            <w:r w:rsidR="000A7C65">
              <w:rPr>
                <w:noProof/>
                <w:webHidden/>
              </w:rPr>
              <w:instrText xml:space="preserve"> PAGEREF _Toc2007169 \h </w:instrText>
            </w:r>
            <w:r w:rsidR="000A7C65">
              <w:rPr>
                <w:noProof/>
                <w:webHidden/>
              </w:rPr>
            </w:r>
            <w:r w:rsidR="000A7C65">
              <w:rPr>
                <w:noProof/>
                <w:webHidden/>
              </w:rPr>
              <w:fldChar w:fldCharType="separate"/>
            </w:r>
            <w:r w:rsidR="000A7C65">
              <w:rPr>
                <w:noProof/>
                <w:webHidden/>
              </w:rPr>
              <w:t>15</w:t>
            </w:r>
            <w:r w:rsidR="000A7C65">
              <w:rPr>
                <w:noProof/>
                <w:webHidden/>
              </w:rPr>
              <w:fldChar w:fldCharType="end"/>
            </w:r>
          </w:hyperlink>
        </w:p>
        <w:p w:rsidR="000A7C65" w:rsidRDefault="00F57B57" w:rsidP="008A23BA">
          <w:pPr>
            <w:pStyle w:val="TOC1"/>
            <w:tabs>
              <w:tab w:val="right" w:leader="dot" w:pos="9350"/>
            </w:tabs>
            <w:spacing w:line="276" w:lineRule="auto"/>
            <w:rPr>
              <w:rFonts w:asciiTheme="minorHAnsi" w:hAnsiTheme="minorHAnsi" w:cstheme="minorBidi"/>
              <w:noProof/>
              <w:sz w:val="22"/>
              <w:szCs w:val="22"/>
              <w:lang w:val="en-GB" w:eastAsia="en-GB"/>
            </w:rPr>
          </w:pPr>
          <w:hyperlink w:anchor="_Toc2007170" w:history="1">
            <w:r w:rsidR="000A7C65" w:rsidRPr="009344F0">
              <w:rPr>
                <w:rStyle w:val="Hyperlink"/>
                <w:noProof/>
              </w:rPr>
              <w:t>Online Resource 8. Expected full-time salary and expected employment ratio by gender and age group</w:t>
            </w:r>
            <w:r w:rsidR="000A7C65">
              <w:rPr>
                <w:noProof/>
                <w:webHidden/>
              </w:rPr>
              <w:tab/>
            </w:r>
            <w:r w:rsidR="000A7C65">
              <w:rPr>
                <w:noProof/>
                <w:webHidden/>
              </w:rPr>
              <w:fldChar w:fldCharType="begin"/>
            </w:r>
            <w:r w:rsidR="000A7C65">
              <w:rPr>
                <w:noProof/>
                <w:webHidden/>
              </w:rPr>
              <w:instrText xml:space="preserve"> PAGEREF _Toc2007170 \h </w:instrText>
            </w:r>
            <w:r w:rsidR="000A7C65">
              <w:rPr>
                <w:noProof/>
                <w:webHidden/>
              </w:rPr>
            </w:r>
            <w:r w:rsidR="000A7C65">
              <w:rPr>
                <w:noProof/>
                <w:webHidden/>
              </w:rPr>
              <w:fldChar w:fldCharType="separate"/>
            </w:r>
            <w:r w:rsidR="000A7C65">
              <w:rPr>
                <w:noProof/>
                <w:webHidden/>
              </w:rPr>
              <w:t>16</w:t>
            </w:r>
            <w:r w:rsidR="000A7C65">
              <w:rPr>
                <w:noProof/>
                <w:webHidden/>
              </w:rPr>
              <w:fldChar w:fldCharType="end"/>
            </w:r>
          </w:hyperlink>
        </w:p>
        <w:p w:rsidR="000A7C65" w:rsidRDefault="00F57B57" w:rsidP="008A23BA">
          <w:pPr>
            <w:pStyle w:val="TOC1"/>
            <w:tabs>
              <w:tab w:val="right" w:leader="dot" w:pos="9350"/>
            </w:tabs>
            <w:spacing w:line="276" w:lineRule="auto"/>
            <w:rPr>
              <w:rFonts w:asciiTheme="minorHAnsi" w:hAnsiTheme="minorHAnsi" w:cstheme="minorBidi"/>
              <w:noProof/>
              <w:sz w:val="22"/>
              <w:szCs w:val="22"/>
              <w:lang w:val="en-GB" w:eastAsia="en-GB"/>
            </w:rPr>
          </w:pPr>
          <w:hyperlink w:anchor="_Toc2007171" w:history="1">
            <w:r w:rsidR="000A7C65" w:rsidRPr="009344F0">
              <w:rPr>
                <w:rStyle w:val="Hyperlink"/>
                <w:noProof/>
              </w:rPr>
              <w:t>Online Resource 9. Treatment effects associated with initiation of basal insulin</w:t>
            </w:r>
            <w:r w:rsidR="000A7C65">
              <w:rPr>
                <w:noProof/>
                <w:webHidden/>
              </w:rPr>
              <w:tab/>
            </w:r>
            <w:r w:rsidR="000A7C65">
              <w:rPr>
                <w:noProof/>
                <w:webHidden/>
              </w:rPr>
              <w:fldChar w:fldCharType="begin"/>
            </w:r>
            <w:r w:rsidR="000A7C65">
              <w:rPr>
                <w:noProof/>
                <w:webHidden/>
              </w:rPr>
              <w:instrText xml:space="preserve"> PAGEREF _Toc2007171 \h </w:instrText>
            </w:r>
            <w:r w:rsidR="000A7C65">
              <w:rPr>
                <w:noProof/>
                <w:webHidden/>
              </w:rPr>
            </w:r>
            <w:r w:rsidR="000A7C65">
              <w:rPr>
                <w:noProof/>
                <w:webHidden/>
              </w:rPr>
              <w:fldChar w:fldCharType="separate"/>
            </w:r>
            <w:r w:rsidR="000A7C65">
              <w:rPr>
                <w:noProof/>
                <w:webHidden/>
              </w:rPr>
              <w:t>17</w:t>
            </w:r>
            <w:r w:rsidR="000A7C65">
              <w:rPr>
                <w:noProof/>
                <w:webHidden/>
              </w:rPr>
              <w:fldChar w:fldCharType="end"/>
            </w:r>
          </w:hyperlink>
        </w:p>
        <w:p w:rsidR="000A7C65" w:rsidRDefault="00F57B57" w:rsidP="008A23BA">
          <w:pPr>
            <w:pStyle w:val="TOC1"/>
            <w:tabs>
              <w:tab w:val="right" w:leader="dot" w:pos="9350"/>
            </w:tabs>
            <w:spacing w:line="276" w:lineRule="auto"/>
            <w:rPr>
              <w:rFonts w:asciiTheme="minorHAnsi" w:hAnsiTheme="minorHAnsi" w:cstheme="minorBidi"/>
              <w:noProof/>
              <w:sz w:val="22"/>
              <w:szCs w:val="22"/>
              <w:lang w:val="en-GB" w:eastAsia="en-GB"/>
            </w:rPr>
          </w:pPr>
          <w:hyperlink w:anchor="_Toc2007172" w:history="1">
            <w:r w:rsidR="000A7C65" w:rsidRPr="009344F0">
              <w:rPr>
                <w:rStyle w:val="Hyperlink"/>
                <w:noProof/>
              </w:rPr>
              <w:t>Online Resource 10. Cumulative incidences of micro- and macrovascular complications at the end of the simulation</w:t>
            </w:r>
            <w:r w:rsidR="000A7C65">
              <w:rPr>
                <w:noProof/>
                <w:webHidden/>
              </w:rPr>
              <w:tab/>
            </w:r>
            <w:r w:rsidR="000A7C65">
              <w:rPr>
                <w:noProof/>
                <w:webHidden/>
              </w:rPr>
              <w:fldChar w:fldCharType="begin"/>
            </w:r>
            <w:r w:rsidR="000A7C65">
              <w:rPr>
                <w:noProof/>
                <w:webHidden/>
              </w:rPr>
              <w:instrText xml:space="preserve"> PAGEREF _Toc2007172 \h </w:instrText>
            </w:r>
            <w:r w:rsidR="000A7C65">
              <w:rPr>
                <w:noProof/>
                <w:webHidden/>
              </w:rPr>
            </w:r>
            <w:r w:rsidR="000A7C65">
              <w:rPr>
                <w:noProof/>
                <w:webHidden/>
              </w:rPr>
              <w:fldChar w:fldCharType="separate"/>
            </w:r>
            <w:r w:rsidR="000A7C65">
              <w:rPr>
                <w:noProof/>
                <w:webHidden/>
              </w:rPr>
              <w:t>18</w:t>
            </w:r>
            <w:r w:rsidR="000A7C65">
              <w:rPr>
                <w:noProof/>
                <w:webHidden/>
              </w:rPr>
              <w:fldChar w:fldCharType="end"/>
            </w:r>
          </w:hyperlink>
        </w:p>
        <w:p w:rsidR="000A7C65" w:rsidRDefault="00F57B57" w:rsidP="008A23BA">
          <w:pPr>
            <w:pStyle w:val="TOC1"/>
            <w:tabs>
              <w:tab w:val="right" w:leader="dot" w:pos="9350"/>
            </w:tabs>
            <w:spacing w:line="276" w:lineRule="auto"/>
            <w:rPr>
              <w:rFonts w:asciiTheme="minorHAnsi" w:hAnsiTheme="minorHAnsi" w:cstheme="minorBidi"/>
              <w:noProof/>
              <w:sz w:val="22"/>
              <w:szCs w:val="22"/>
              <w:lang w:val="en-GB" w:eastAsia="en-GB"/>
            </w:rPr>
          </w:pPr>
          <w:hyperlink w:anchor="_Toc2007173" w:history="1">
            <w:r w:rsidR="000A7C65" w:rsidRPr="009344F0">
              <w:rPr>
                <w:rStyle w:val="Hyperlink"/>
                <w:noProof/>
              </w:rPr>
              <w:t>Online Resource 11. Diabetes Modeling Input Checklist [40]</w:t>
            </w:r>
            <w:r w:rsidR="000A7C65">
              <w:rPr>
                <w:noProof/>
                <w:webHidden/>
              </w:rPr>
              <w:tab/>
            </w:r>
            <w:r w:rsidR="000A7C65">
              <w:rPr>
                <w:noProof/>
                <w:webHidden/>
              </w:rPr>
              <w:fldChar w:fldCharType="begin"/>
            </w:r>
            <w:r w:rsidR="000A7C65">
              <w:rPr>
                <w:noProof/>
                <w:webHidden/>
              </w:rPr>
              <w:instrText xml:space="preserve"> PAGEREF _Toc2007173 \h </w:instrText>
            </w:r>
            <w:r w:rsidR="000A7C65">
              <w:rPr>
                <w:noProof/>
                <w:webHidden/>
              </w:rPr>
            </w:r>
            <w:r w:rsidR="000A7C65">
              <w:rPr>
                <w:noProof/>
                <w:webHidden/>
              </w:rPr>
              <w:fldChar w:fldCharType="separate"/>
            </w:r>
            <w:r w:rsidR="000A7C65">
              <w:rPr>
                <w:noProof/>
                <w:webHidden/>
              </w:rPr>
              <w:t>19</w:t>
            </w:r>
            <w:r w:rsidR="000A7C65">
              <w:rPr>
                <w:noProof/>
                <w:webHidden/>
              </w:rPr>
              <w:fldChar w:fldCharType="end"/>
            </w:r>
          </w:hyperlink>
        </w:p>
        <w:p w:rsidR="00777D0C" w:rsidRDefault="00F57B57" w:rsidP="008A23BA">
          <w:pPr>
            <w:pStyle w:val="TOC1"/>
            <w:tabs>
              <w:tab w:val="right" w:leader="dot" w:pos="9350"/>
            </w:tabs>
            <w:spacing w:line="276" w:lineRule="auto"/>
          </w:pPr>
          <w:hyperlink w:anchor="_Toc2007174" w:history="1">
            <w:r w:rsidR="000A7C65" w:rsidRPr="009344F0">
              <w:rPr>
                <w:rStyle w:val="Hyperlink"/>
                <w:noProof/>
              </w:rPr>
              <w:t>Online Resource 12. CHEERS checklist [41]</w:t>
            </w:r>
            <w:r w:rsidR="000A7C65">
              <w:rPr>
                <w:noProof/>
                <w:webHidden/>
              </w:rPr>
              <w:tab/>
            </w:r>
            <w:r w:rsidR="000A7C65">
              <w:rPr>
                <w:noProof/>
                <w:webHidden/>
              </w:rPr>
              <w:fldChar w:fldCharType="begin"/>
            </w:r>
            <w:r w:rsidR="000A7C65">
              <w:rPr>
                <w:noProof/>
                <w:webHidden/>
              </w:rPr>
              <w:instrText xml:space="preserve"> PAGEREF _Toc2007174 \h </w:instrText>
            </w:r>
            <w:r w:rsidR="000A7C65">
              <w:rPr>
                <w:noProof/>
                <w:webHidden/>
              </w:rPr>
            </w:r>
            <w:r w:rsidR="000A7C65">
              <w:rPr>
                <w:noProof/>
                <w:webHidden/>
              </w:rPr>
              <w:fldChar w:fldCharType="separate"/>
            </w:r>
            <w:r w:rsidR="000A7C65">
              <w:rPr>
                <w:noProof/>
                <w:webHidden/>
              </w:rPr>
              <w:t>21</w:t>
            </w:r>
            <w:r w:rsidR="000A7C65">
              <w:rPr>
                <w:noProof/>
                <w:webHidden/>
              </w:rPr>
              <w:fldChar w:fldCharType="end"/>
            </w:r>
          </w:hyperlink>
          <w:r w:rsidR="00777D0C">
            <w:rPr>
              <w:b/>
              <w:bCs/>
              <w:noProof/>
            </w:rPr>
            <w:fldChar w:fldCharType="end"/>
          </w:r>
        </w:p>
      </w:sdtContent>
    </w:sdt>
    <w:p w:rsidR="00F323D1" w:rsidRPr="00F323D1" w:rsidRDefault="00F323D1" w:rsidP="00F323D1"/>
    <w:p w:rsidR="00777D0C" w:rsidRDefault="00777D0C">
      <w:pPr>
        <w:spacing w:after="160" w:line="259" w:lineRule="auto"/>
        <w:rPr>
          <w:b/>
        </w:rPr>
      </w:pPr>
      <w:bookmarkStart w:id="13" w:name="_Toc530388331"/>
      <w:r>
        <w:br w:type="page"/>
      </w:r>
    </w:p>
    <w:p w:rsidR="00670E69" w:rsidRPr="00294094" w:rsidRDefault="00670E69" w:rsidP="00F323D1">
      <w:pPr>
        <w:pStyle w:val="Heading1"/>
        <w:ind w:left="0" w:firstLine="0"/>
      </w:pPr>
      <w:bookmarkStart w:id="14" w:name="_Toc2007155"/>
      <w:r>
        <w:lastRenderedPageBreak/>
        <w:t xml:space="preserve">Online Resource </w:t>
      </w:r>
      <w:r w:rsidRPr="00294094">
        <w:t xml:space="preserve">1: Description of the IHE Cohort Model of Type 2 Diabetes </w:t>
      </w:r>
      <w:r>
        <w:rPr>
          <w:noProof/>
        </w:rPr>
        <w:t>[18]</w:t>
      </w:r>
      <w:bookmarkEnd w:id="13"/>
      <w:bookmarkEnd w:id="14"/>
    </w:p>
    <w:p w:rsidR="00670E69" w:rsidRPr="00294094" w:rsidRDefault="00670E69" w:rsidP="00F323D1">
      <w:pPr>
        <w:pStyle w:val="Heading2"/>
        <w:numPr>
          <w:ilvl w:val="0"/>
          <w:numId w:val="0"/>
        </w:numPr>
      </w:pPr>
      <w:bookmarkStart w:id="15" w:name="_Toc530388332"/>
      <w:bookmarkStart w:id="16" w:name="_Toc2007156"/>
      <w:r w:rsidRPr="00294094">
        <w:t>Overview</w:t>
      </w:r>
      <w:bookmarkEnd w:id="15"/>
      <w:bookmarkEnd w:id="16"/>
    </w:p>
    <w:p w:rsidR="00670E69" w:rsidRPr="00294094" w:rsidRDefault="00670E69" w:rsidP="00777D0C">
      <w:r w:rsidRPr="00294094">
        <w:t xml:space="preserve">The IHE Cohort Model of T2D was developed to estimate the cost-effectiveness of treatment intervention in T2D. It uses Markov health states to capture </w:t>
      </w:r>
      <w:r>
        <w:t xml:space="preserve">the </w:t>
      </w:r>
      <w:r w:rsidRPr="00294094">
        <w:t xml:space="preserve">important micro-and </w:t>
      </w:r>
      <w:proofErr w:type="spellStart"/>
      <w:r w:rsidRPr="00294094">
        <w:t>macrovascular</w:t>
      </w:r>
      <w:proofErr w:type="spellEnd"/>
      <w:r w:rsidRPr="00294094">
        <w:t xml:space="preserve"> complications and the premature mortality that may result from T2D. The cycle length is 1 year and the maximum time horizon is 40 years. The model is highly flexible because most model parameters are defined by the user in the input sheet. It can be run with either deterministic settings or stochastic settings in order to account for second-order uncertainty regarding the value of the underlying parameters.</w:t>
      </w:r>
    </w:p>
    <w:p w:rsidR="00670E69" w:rsidRPr="00294094" w:rsidRDefault="00670E69" w:rsidP="00777D0C">
      <w:r w:rsidRPr="00294094">
        <w:t>The model was constructed in Microsoft</w:t>
      </w:r>
      <w:r w:rsidRPr="00294094">
        <w:rPr>
          <w:vertAlign w:val="superscript"/>
        </w:rPr>
        <w:t>®</w:t>
      </w:r>
      <w:r w:rsidRPr="00294094">
        <w:t xml:space="preserve"> Excel 2013 with the aid of the built-in VBA. To enhance the flexibility of the model, the input sheet contains a large number of parameters, which need to be defined by the user in order to run the model. These include baseline characteristics of the cohort, a treatment algorithm, unit costs, </w:t>
      </w:r>
      <w:proofErr w:type="spellStart"/>
      <w:r w:rsidRPr="00294094">
        <w:t>QoL</w:t>
      </w:r>
      <w:proofErr w:type="spellEnd"/>
      <w:r w:rsidRPr="00294094">
        <w:t xml:space="preserve"> weights, choice of risk equations and a number of supporting parameters.</w:t>
      </w:r>
    </w:p>
    <w:p w:rsidR="00670E69" w:rsidRPr="00294094" w:rsidRDefault="00670E69" w:rsidP="00777D0C">
      <w:r w:rsidRPr="00294094">
        <w:t xml:space="preserve">The baseline characteristics of the cohort are demographics (e.g., age, gender, </w:t>
      </w:r>
      <w:proofErr w:type="gramStart"/>
      <w:r w:rsidRPr="00294094">
        <w:t>ethnicity</w:t>
      </w:r>
      <w:proofErr w:type="gramEnd"/>
      <w:r w:rsidRPr="00294094">
        <w:t>), biomarkers (such as HbA</w:t>
      </w:r>
      <w:r w:rsidRPr="00294094">
        <w:rPr>
          <w:vertAlign w:val="subscript"/>
        </w:rPr>
        <w:t>1c</w:t>
      </w:r>
      <w:r w:rsidRPr="00294094">
        <w:t>, blood pressure, blood lipids and BMI) and pre-existing complications (for example, microalbuminuria or stroke), all of which are risk factors for complications and premature mortality.</w:t>
      </w:r>
    </w:p>
    <w:p w:rsidR="00670E69" w:rsidRPr="00294094" w:rsidRDefault="00670E69" w:rsidP="00777D0C">
      <w:r w:rsidRPr="00294094">
        <w:t>The progression of biomarkers over time is driven by a user-defined treatment algorithm. When medications fail to control HbA</w:t>
      </w:r>
      <w:r w:rsidRPr="00294094">
        <w:rPr>
          <w:vertAlign w:val="subscript"/>
        </w:rPr>
        <w:t>1c</w:t>
      </w:r>
      <w:r w:rsidRPr="00294094">
        <w:t xml:space="preserve"> adequately, doses can be altered and new medications added. The algorithm also includes possible medications for blood pressure, blood lipids and overweight.</w:t>
      </w:r>
    </w:p>
    <w:p w:rsidR="00670E69" w:rsidRPr="00294094" w:rsidRDefault="00670E69" w:rsidP="00777D0C">
      <w:r w:rsidRPr="00294094">
        <w:t xml:space="preserve">The micro- and </w:t>
      </w:r>
      <w:proofErr w:type="spellStart"/>
      <w:r w:rsidRPr="00294094">
        <w:t>macrovascular</w:t>
      </w:r>
      <w:proofErr w:type="spellEnd"/>
      <w:r w:rsidRPr="00294094">
        <w:t xml:space="preserve"> health states in the model were selected to include the most important micro- and </w:t>
      </w:r>
      <w:proofErr w:type="spellStart"/>
      <w:r w:rsidRPr="00294094">
        <w:t>macrovascular</w:t>
      </w:r>
      <w:proofErr w:type="spellEnd"/>
      <w:r w:rsidRPr="00294094">
        <w:t xml:space="preserve"> complications related to T2D. The model uses two parallel Markov chains. The first Markov chain consists of 120 different microvascular health states, which are combinations of stages of retinopathy, nephropathy, and neuropathy. The second Markov chain comprises 100 different </w:t>
      </w:r>
      <w:proofErr w:type="spellStart"/>
      <w:r w:rsidRPr="00294094">
        <w:t>macrovascular</w:t>
      </w:r>
      <w:proofErr w:type="spellEnd"/>
      <w:r w:rsidRPr="00294094">
        <w:t xml:space="preserve"> health states, which are combinations of stages of IHD, MI, stroke and CHF. </w:t>
      </w:r>
    </w:p>
    <w:p w:rsidR="00670E69" w:rsidRPr="00294094" w:rsidRDefault="00670E69" w:rsidP="00777D0C">
      <w:r w:rsidRPr="00294094">
        <w:lastRenderedPageBreak/>
        <w:t xml:space="preserve">Two identical cohorts are created from the user-defined baseline characteristics. Each cohort is assigned a separate treatment. Treatment effects are applied to the biomarkers and the evolution of biomarkers is modeled annually until the predefined time horizon is reached. The development and progression of complications and mortality is modeled alongside the evolution of biomarkers. Time-varying, annual transition probabilities govern the progression of the cohorts between different health states. The transition probabilities are calculated from the characteristics of the cohort (diabetes duration, demographics, biomarkers, etc.); mortality risk equations from </w:t>
      </w:r>
      <w:r>
        <w:t>UKPDS 68</w:t>
      </w:r>
      <w:r w:rsidRPr="00294094">
        <w:t xml:space="preserve"> or </w:t>
      </w:r>
      <w:r>
        <w:t>UKPDS 82</w:t>
      </w:r>
      <w:r w:rsidRPr="00294094">
        <w:t xml:space="preserve">; </w:t>
      </w:r>
      <w:proofErr w:type="spellStart"/>
      <w:r w:rsidRPr="00294094">
        <w:t>macrovascular</w:t>
      </w:r>
      <w:proofErr w:type="spellEnd"/>
      <w:r w:rsidRPr="00294094">
        <w:t xml:space="preserve"> risk equations from NDR, </w:t>
      </w:r>
      <w:r>
        <w:t>UKPDS 68</w:t>
      </w:r>
      <w:r w:rsidRPr="00294094">
        <w:t xml:space="preserve"> or </w:t>
      </w:r>
      <w:r>
        <w:t>UKPDS 82</w:t>
      </w:r>
      <w:r w:rsidRPr="00294094">
        <w:t xml:space="preserve">; and microvascular risk equations </w:t>
      </w:r>
      <w:r>
        <w:rPr>
          <w:noProof/>
        </w:rPr>
        <w:t>[13, 14, 28-31]</w:t>
      </w:r>
      <w:r w:rsidRPr="00294094">
        <w:t>.</w:t>
      </w:r>
    </w:p>
    <w:p w:rsidR="00670E69" w:rsidRPr="00294094" w:rsidRDefault="00670E69" w:rsidP="00777D0C">
      <w:r w:rsidRPr="00294094">
        <w:t xml:space="preserve">Outcome measures are applied to the cohort in each cycle. Outcomes include survival, life-years, QALYs, direct costs and production losses. Both health gains and costs may be discounted in order to address the time preference for money and health. The treatment algorithm is common to the whole cohort and outcomes related to the treatment algorithm are applied to the entire cohort. Outcomes related to micro- and </w:t>
      </w:r>
      <w:proofErr w:type="spellStart"/>
      <w:r w:rsidRPr="00294094">
        <w:t>macrovascular</w:t>
      </w:r>
      <w:proofErr w:type="spellEnd"/>
      <w:r w:rsidRPr="00294094">
        <w:t xml:space="preserve"> complications are applied separately to each proportion of the cohort. </w:t>
      </w:r>
    </w:p>
    <w:p w:rsidR="00670E69" w:rsidRPr="00294094" w:rsidRDefault="00670E69" w:rsidP="00F323D1">
      <w:pPr>
        <w:pStyle w:val="Heading2"/>
        <w:numPr>
          <w:ilvl w:val="0"/>
          <w:numId w:val="0"/>
        </w:numPr>
      </w:pPr>
      <w:bookmarkStart w:id="17" w:name="_Toc530388333"/>
      <w:bookmarkStart w:id="18" w:name="_Toc2007157"/>
      <w:r w:rsidRPr="00294094">
        <w:t>Generation of a cohort of hypothetical patients</w:t>
      </w:r>
      <w:bookmarkEnd w:id="17"/>
      <w:bookmarkEnd w:id="18"/>
    </w:p>
    <w:p w:rsidR="00670E69" w:rsidRPr="00294094" w:rsidRDefault="00670E69" w:rsidP="00777D0C">
      <w:r w:rsidRPr="00294094">
        <w:t xml:space="preserve">The user should define a hypothetical cohort of T2D patients by assigning a number of baseline characteristics: demographics, biomarkers, history of complications before diagnosis of diabetes, prevalent diabetes-related microvascular complications and prevalent diabetes related </w:t>
      </w:r>
      <w:proofErr w:type="spellStart"/>
      <w:r w:rsidRPr="00294094">
        <w:t>macrovascular</w:t>
      </w:r>
      <w:proofErr w:type="spellEnd"/>
      <w:r w:rsidRPr="00294094">
        <w:t xml:space="preserve"> complications.</w:t>
      </w:r>
    </w:p>
    <w:p w:rsidR="00670E69" w:rsidRPr="00294094" w:rsidRDefault="00670E69" w:rsidP="00777D0C">
      <w:r w:rsidRPr="00294094">
        <w:t>The baseline demographic variables are baseline age, gender, ethnicity distribution (Caucasian, Black, Hispanic and American Indian), smoker and baseline diabetes duration. The baseline biomarkers are HbA</w:t>
      </w:r>
      <w:r w:rsidRPr="00294094">
        <w:rPr>
          <w:vertAlign w:val="subscript"/>
        </w:rPr>
        <w:t>1c</w:t>
      </w:r>
      <w:r w:rsidRPr="00294094">
        <w:t xml:space="preserve">, SBP, TC, LDL, HDL, triglycerides, BMI, HR, WBC and </w:t>
      </w:r>
      <w:proofErr w:type="spellStart"/>
      <w:r w:rsidRPr="00294094">
        <w:t>eGFR</w:t>
      </w:r>
      <w:proofErr w:type="spellEnd"/>
      <w:r w:rsidRPr="00294094">
        <w:t xml:space="preserve">. </w:t>
      </w:r>
    </w:p>
    <w:p w:rsidR="00670E69" w:rsidRPr="00294094" w:rsidRDefault="00670E69" w:rsidP="00777D0C">
      <w:r w:rsidRPr="00294094">
        <w:t xml:space="preserve">The baseline complications before diagnosis are measured as percentages and consist of IHD history, MI history, stroke history, CHF history and atrial fibrillation history. The baseline prevalence of stages of micro- and </w:t>
      </w:r>
      <w:proofErr w:type="spellStart"/>
      <w:r w:rsidRPr="00294094">
        <w:t>macrovascular</w:t>
      </w:r>
      <w:proofErr w:type="spellEnd"/>
      <w:r w:rsidRPr="00294094">
        <w:t xml:space="preserve"> complications related to diabetes are all measured as percentages. The baseline cohort is distributed over the 120 possible microvascular health states and 100 possible </w:t>
      </w:r>
      <w:proofErr w:type="spellStart"/>
      <w:r w:rsidRPr="00294094">
        <w:t>macrovascular</w:t>
      </w:r>
      <w:proofErr w:type="spellEnd"/>
      <w:r w:rsidRPr="00294094">
        <w:t xml:space="preserve"> health states by unweighted multiplication.</w:t>
      </w:r>
    </w:p>
    <w:p w:rsidR="00670E69" w:rsidRPr="00294094" w:rsidRDefault="00670E69" w:rsidP="00F323D1">
      <w:pPr>
        <w:pStyle w:val="Heading2"/>
        <w:numPr>
          <w:ilvl w:val="0"/>
          <w:numId w:val="0"/>
        </w:numPr>
      </w:pPr>
      <w:bookmarkStart w:id="19" w:name="_Toc530388334"/>
      <w:bookmarkStart w:id="20" w:name="_Toc2007158"/>
      <w:r w:rsidRPr="00294094">
        <w:t>Microvascular complications, mortality and risk equations</w:t>
      </w:r>
      <w:bookmarkEnd w:id="19"/>
      <w:bookmarkEnd w:id="20"/>
    </w:p>
    <w:p w:rsidR="00670E69" w:rsidRPr="00294094" w:rsidRDefault="00670E69" w:rsidP="00777D0C">
      <w:r w:rsidRPr="00294094">
        <w:t xml:space="preserve">The microvascular complications are divided into three groups: retinopathy, neuropathy and nephropathy. The model contains six stages of retinopathy (none, BDR, PDR, ME, PDR &amp; ME, SVL), five stages of neuropathy (none, symptomatic neuropathy, PVD [included among the neuropathy health states even though clinically it is a </w:t>
      </w:r>
      <w:proofErr w:type="spellStart"/>
      <w:r w:rsidRPr="00294094">
        <w:t>macrovascular</w:t>
      </w:r>
      <w:proofErr w:type="spellEnd"/>
      <w:r w:rsidRPr="00294094">
        <w:t xml:space="preserve"> health complication], LEA and post LEA) and four stages of nephropathy (none, microalbuminuria, </w:t>
      </w:r>
      <w:proofErr w:type="spellStart"/>
      <w:r w:rsidRPr="00294094">
        <w:t>macroalbuminuria</w:t>
      </w:r>
      <w:proofErr w:type="spellEnd"/>
      <w:r w:rsidRPr="00294094">
        <w:t>, ESRD). In total there are 120 microvascular health states, which are defined as combinations of the microvascular complications.</w:t>
      </w:r>
    </w:p>
    <w:p w:rsidR="00670E69" w:rsidRPr="00294094" w:rsidRDefault="00670E69" w:rsidP="00777D0C">
      <w:r w:rsidRPr="00294094">
        <w:t xml:space="preserve">The cohort can begin with stages of microvascular complications at baseline and it can develop them during the course of the model. Transition from one health state to another is governed by microvascular risk equations. The model uses separate risk equations for each stage of retinopathy, nephropathy and neuropathy IHD, first MI, subsequent MIs, first stroke, subsequent strokes and CHF, either NDR, </w:t>
      </w:r>
      <w:r>
        <w:t>UKPDS 68</w:t>
      </w:r>
      <w:r w:rsidRPr="00294094">
        <w:t xml:space="preserve"> or </w:t>
      </w:r>
      <w:r>
        <w:t xml:space="preserve">UKPDS 82 </w:t>
      </w:r>
      <w:r>
        <w:rPr>
          <w:noProof/>
        </w:rPr>
        <w:t>[29-31]</w:t>
      </w:r>
      <w:r w:rsidRPr="00294094">
        <w:t xml:space="preserve">. While the microvascular complications differ across the cohort, the demographic characteristics and biomarkers are the same for the entire cohort. The user can choose between two sets of mortality risk equations – either </w:t>
      </w:r>
      <w:r>
        <w:t>UKPDS 68</w:t>
      </w:r>
      <w:r w:rsidRPr="00294094">
        <w:t xml:space="preserve"> or </w:t>
      </w:r>
      <w:r>
        <w:t>UKPDS 82</w:t>
      </w:r>
      <w:r w:rsidRPr="00294094">
        <w:t xml:space="preserve"> </w:t>
      </w:r>
      <w:r>
        <w:rPr>
          <w:noProof/>
        </w:rPr>
        <w:t>[13, 14]</w:t>
      </w:r>
      <w:r w:rsidRPr="00294094">
        <w:t>.</w:t>
      </w:r>
    </w:p>
    <w:p w:rsidR="00670E69" w:rsidRPr="00294094" w:rsidRDefault="00670E69" w:rsidP="00F323D1">
      <w:pPr>
        <w:pStyle w:val="Heading2"/>
        <w:numPr>
          <w:ilvl w:val="0"/>
          <w:numId w:val="0"/>
        </w:numPr>
      </w:pPr>
      <w:bookmarkStart w:id="21" w:name="_Toc530388335"/>
      <w:bookmarkStart w:id="22" w:name="_Toc2007159"/>
      <w:r w:rsidRPr="00294094">
        <w:t>Treatment algorithm</w:t>
      </w:r>
      <w:bookmarkEnd w:id="21"/>
      <w:bookmarkEnd w:id="22"/>
    </w:p>
    <w:p w:rsidR="00670E69" w:rsidRPr="00294094" w:rsidRDefault="00670E69" w:rsidP="00777D0C">
      <w:r w:rsidRPr="00294094">
        <w:t>A valid treatment algorithm must be assigned to each of the treatment arms. The key feature of the treatment algorithm is to define a sequence of treatments that will be initiated successively to maintain HbA</w:t>
      </w:r>
      <w:r w:rsidRPr="00294094">
        <w:rPr>
          <w:vertAlign w:val="subscript"/>
        </w:rPr>
        <w:t>1c</w:t>
      </w:r>
      <w:r w:rsidRPr="00294094">
        <w:t xml:space="preserve"> below a user-defined threshold level. The treatment steps in the sequence are defined by an HbA</w:t>
      </w:r>
      <w:r w:rsidRPr="00294094">
        <w:rPr>
          <w:vertAlign w:val="subscript"/>
        </w:rPr>
        <w:t>1c</w:t>
      </w:r>
      <w:r w:rsidRPr="00294094">
        <w:t xml:space="preserve"> switch threshold (when the next treatment step is initiated), initial absolute treatment effects on all biomarkers levels (at the start of each treatment step) and annual ‘drift’ of the biomarker levels (while the treatment is continued). The HbA</w:t>
      </w:r>
      <w:r w:rsidRPr="00294094">
        <w:rPr>
          <w:vertAlign w:val="subscript"/>
        </w:rPr>
        <w:t>1c</w:t>
      </w:r>
      <w:r w:rsidRPr="00294094">
        <w:t xml:space="preserve"> treatment steps also have annual event rates for up to three user-specified grades of hypoglycemia and five other user-specified adverse events. </w:t>
      </w:r>
    </w:p>
    <w:p w:rsidR="00670E69" w:rsidRPr="00294094" w:rsidRDefault="00670E69" w:rsidP="00777D0C">
      <w:r w:rsidRPr="00294094">
        <w:t xml:space="preserve">In addition, there are separate simpler treatment algorithms for management of blood pressure, blood lipids and obesity. Each of these are defined by a biomarker switch threshold (when the treatment is initiated), initial absolute treatment effects on relevant biomarker levels (at the start </w:t>
      </w:r>
      <w:r w:rsidRPr="005C75FE">
        <w:t>of the treatment), and relative treatment effects on the relevant biomarker levels (while the</w:t>
      </w:r>
      <w:r w:rsidRPr="00294094">
        <w:t xml:space="preserve"> treatment is continued).</w:t>
      </w:r>
    </w:p>
    <w:p w:rsidR="00670E69" w:rsidRPr="00294094" w:rsidRDefault="00670E69" w:rsidP="00F323D1">
      <w:pPr>
        <w:pStyle w:val="Heading2"/>
        <w:numPr>
          <w:ilvl w:val="0"/>
          <w:numId w:val="0"/>
        </w:numPr>
      </w:pPr>
      <w:bookmarkStart w:id="23" w:name="_Toc530388336"/>
      <w:bookmarkStart w:id="24" w:name="_Toc2007160"/>
      <w:r w:rsidRPr="00294094">
        <w:t>Quality of life</w:t>
      </w:r>
      <w:bookmarkEnd w:id="23"/>
      <w:bookmarkEnd w:id="24"/>
    </w:p>
    <w:p w:rsidR="00670E69" w:rsidRPr="00294094" w:rsidRDefault="00670E69" w:rsidP="00777D0C">
      <w:r w:rsidRPr="00294094">
        <w:t xml:space="preserve">The </w:t>
      </w:r>
      <w:proofErr w:type="spellStart"/>
      <w:r w:rsidRPr="00294094">
        <w:t>QoL</w:t>
      </w:r>
      <w:proofErr w:type="spellEnd"/>
      <w:r w:rsidRPr="00294094">
        <w:t xml:space="preserve"> function in the model was influenced by the modeling of </w:t>
      </w:r>
      <w:proofErr w:type="spellStart"/>
      <w:r w:rsidRPr="00294094">
        <w:t>QoL</w:t>
      </w:r>
      <w:proofErr w:type="spellEnd"/>
      <w:r w:rsidRPr="00294094">
        <w:t xml:space="preserve"> values that was </w:t>
      </w:r>
      <w:bookmarkStart w:id="25" w:name="_GoBack"/>
      <w:bookmarkEnd w:id="25"/>
      <w:r w:rsidRPr="00294094">
        <w:t xml:space="preserve">conducted using data </w:t>
      </w:r>
      <w:bookmarkStart w:id="26" w:name="_Hlk522524711"/>
      <w:r w:rsidRPr="00294094">
        <w:t xml:space="preserve">from the CODE-2 study </w:t>
      </w:r>
      <w:r>
        <w:rPr>
          <w:noProof/>
        </w:rPr>
        <w:t>[</w:t>
      </w:r>
      <w:r w:rsidR="008A23BA">
        <w:rPr>
          <w:noProof/>
        </w:rPr>
        <w:t>51</w:t>
      </w:r>
      <w:r>
        <w:rPr>
          <w:noProof/>
        </w:rPr>
        <w:t>]</w:t>
      </w:r>
      <w:r w:rsidRPr="00294094">
        <w:t xml:space="preserve">, in which multivariate regression techniques and a data set of 4,461 T2DM patients were used to attribute </w:t>
      </w:r>
      <w:proofErr w:type="spellStart"/>
      <w:r w:rsidRPr="00294094">
        <w:t>QoL</w:t>
      </w:r>
      <w:proofErr w:type="spellEnd"/>
      <w:r w:rsidRPr="00294094">
        <w:t xml:space="preserve"> decrements to specific individual patient characteristics, treatment, and health complications</w:t>
      </w:r>
      <w:bookmarkEnd w:id="26"/>
      <w:r w:rsidRPr="00294094">
        <w:t xml:space="preserve">. The original equation allowed for separate decrements for a number of micro- and </w:t>
      </w:r>
      <w:proofErr w:type="spellStart"/>
      <w:r w:rsidRPr="00294094">
        <w:t>macrovascular</w:t>
      </w:r>
      <w:proofErr w:type="spellEnd"/>
      <w:r w:rsidRPr="00294094">
        <w:t xml:space="preserve"> complications. There were also decrements for age (per 10 years), diabetes duration (per 10 years), overweight (per BMI over 25) and female gender. The original equation also had decrements for tablet and insulin treatment.</w:t>
      </w:r>
    </w:p>
    <w:p w:rsidR="00670E69" w:rsidRPr="00294094" w:rsidRDefault="00670E69" w:rsidP="00777D0C">
      <w:bookmarkStart w:id="27" w:name="_Hlk522524525"/>
      <w:r w:rsidRPr="00294094">
        <w:t xml:space="preserve">In addition, the model equation includes decrements for the micro- and </w:t>
      </w:r>
      <w:proofErr w:type="spellStart"/>
      <w:r w:rsidRPr="00294094">
        <w:t>macrovascular</w:t>
      </w:r>
      <w:proofErr w:type="spellEnd"/>
      <w:r w:rsidRPr="00294094">
        <w:t xml:space="preserve"> complications not included in the original equation</w:t>
      </w:r>
      <w:bookmarkEnd w:id="27"/>
      <w:r w:rsidRPr="00294094">
        <w:t>. It also includes separate decrements for each HbA</w:t>
      </w:r>
      <w:r w:rsidRPr="00294094">
        <w:rPr>
          <w:vertAlign w:val="subscript"/>
        </w:rPr>
        <w:t>1c</w:t>
      </w:r>
      <w:r w:rsidRPr="00294094">
        <w:t xml:space="preserve"> treatment step, in addition to decrements for tablet and insulin treatment. Decrements for foot ulcers, depression and the combination of symptomatic neuropathy are included in the original equation but not in the model equation. </w:t>
      </w:r>
      <w:bookmarkStart w:id="28" w:name="_Hlk522524221"/>
      <w:r w:rsidRPr="00294094">
        <w:t xml:space="preserve">The baseline </w:t>
      </w:r>
      <w:proofErr w:type="spellStart"/>
      <w:r w:rsidRPr="00294094">
        <w:t>QoL</w:t>
      </w:r>
      <w:proofErr w:type="spellEnd"/>
      <w:r w:rsidRPr="00294094">
        <w:t xml:space="preserve"> and the size of decrements are user-defined. Finally, the model subtracts direct user-specified QALY decrements for each episode of the three user-specified grades of hypoglycemia, as well as for each episode of the five user-specified adverse events.</w:t>
      </w:r>
    </w:p>
    <w:p w:rsidR="00670E69" w:rsidRPr="00294094" w:rsidRDefault="00670E69" w:rsidP="00F323D1">
      <w:pPr>
        <w:pStyle w:val="Heading2"/>
        <w:numPr>
          <w:ilvl w:val="0"/>
          <w:numId w:val="0"/>
        </w:numPr>
      </w:pPr>
      <w:bookmarkStart w:id="29" w:name="_Toc530388337"/>
      <w:bookmarkStart w:id="30" w:name="_Toc2007161"/>
      <w:bookmarkEnd w:id="28"/>
      <w:r w:rsidRPr="00294094">
        <w:t>Costs</w:t>
      </w:r>
      <w:bookmarkEnd w:id="29"/>
      <w:bookmarkEnd w:id="30"/>
    </w:p>
    <w:p w:rsidR="00670E69" w:rsidRPr="00294094" w:rsidRDefault="00670E69" w:rsidP="00777D0C">
      <w:r w:rsidRPr="00294094">
        <w:t xml:space="preserve">For each stage of the micro- and </w:t>
      </w:r>
      <w:proofErr w:type="spellStart"/>
      <w:r w:rsidRPr="00294094">
        <w:t>macrovascular</w:t>
      </w:r>
      <w:proofErr w:type="spellEnd"/>
      <w:r w:rsidRPr="00294094">
        <w:t xml:space="preserve"> complication there is a parameter for the direct cost in the first year. If the duration of a stage is longer than 1 year there is another parameter for the direct cost applied during each subsequent year. Each treatment (HbA</w:t>
      </w:r>
      <w:r w:rsidRPr="00294094">
        <w:rPr>
          <w:vertAlign w:val="subscript"/>
        </w:rPr>
        <w:t>1c</w:t>
      </w:r>
      <w:r w:rsidRPr="00294094">
        <w:t xml:space="preserve">, blood pressure, blood lipids and obesity) also has a parameter for the yearly direct cost. In addition, there are parameters for episode-based direct costs for mild, moderate and severe hypoglycemia, as well as each of the five user-specified adverse events. </w:t>
      </w:r>
    </w:p>
    <w:p w:rsidR="00670E69" w:rsidRPr="00294094" w:rsidRDefault="00670E69" w:rsidP="00777D0C">
      <w:r w:rsidRPr="00294094">
        <w:t>In order to calculate indirect costs, each complication also has a parameter for a reduction in the proportion of people working, measured as a percentage. There are also parameters for episode-based indirect costs for mild, moderate and severe hypoglycemia, as well as each of the five adverse events. The model also allows for the possibility of including net consumption to expand the scope of the societal perspective.</w:t>
      </w:r>
    </w:p>
    <w:p w:rsidR="00670E69" w:rsidRPr="00294094" w:rsidRDefault="00670E69" w:rsidP="00F323D1">
      <w:pPr>
        <w:pStyle w:val="Heading2"/>
        <w:numPr>
          <w:ilvl w:val="0"/>
          <w:numId w:val="0"/>
        </w:numPr>
      </w:pPr>
      <w:bookmarkStart w:id="31" w:name="_Toc530388338"/>
      <w:bookmarkStart w:id="32" w:name="_Toc2007162"/>
      <w:r w:rsidRPr="00294094">
        <w:t>Model outcomes</w:t>
      </w:r>
      <w:bookmarkEnd w:id="31"/>
      <w:bookmarkEnd w:id="32"/>
    </w:p>
    <w:p w:rsidR="00670E69" w:rsidRPr="00294094" w:rsidRDefault="00670E69" w:rsidP="00777D0C">
      <w:r w:rsidRPr="00294094">
        <w:t>The model generates a number of different outcomes. Life-years, QALYs and total costs are reported for both treatment strategies and for the increment between the treatments strategies (both with and without discounting). In addition to the total costs, the costs are reported separately for HbA</w:t>
      </w:r>
      <w:r w:rsidRPr="00294094">
        <w:rPr>
          <w:vertAlign w:val="subscript"/>
        </w:rPr>
        <w:t>1c</w:t>
      </w:r>
      <w:r w:rsidRPr="00294094">
        <w:t xml:space="preserve"> treatment, blood pressure treatment, blood lipid treatment, obesity treatment, hypoglycemia, other adverse events, retinopathy, neuropathy and nephropathy, IHD, MI, stroke, CHF, production loss and net consumption.</w:t>
      </w:r>
    </w:p>
    <w:p w:rsidR="00670E69" w:rsidRPr="00294094" w:rsidRDefault="00670E69" w:rsidP="00777D0C">
      <w:r w:rsidRPr="00294094">
        <w:t xml:space="preserve">The incremental cost effectiveness ratio (ICER) for life-years and QALYs is calculated by comparing the incremental cost with the incremental gain. The NMB is calculated by multiplying the incremental QALYs by the WTP per QALY and subtracting the incremental cost. </w:t>
      </w:r>
    </w:p>
    <w:p w:rsidR="00670E69" w:rsidRPr="00294094" w:rsidRDefault="00670E69" w:rsidP="00777D0C">
      <w:r w:rsidRPr="00294094">
        <w:t xml:space="preserve">Within the model output, the biomarker levels in each cycle for both treatment arms are shown in separate diagrams. The cumulative incidence rates of micro- and </w:t>
      </w:r>
      <w:proofErr w:type="spellStart"/>
      <w:r w:rsidRPr="00294094">
        <w:t>macrovascular</w:t>
      </w:r>
      <w:proofErr w:type="spellEnd"/>
      <w:r w:rsidRPr="00294094">
        <w:t xml:space="preserve"> complications for each treatment strategy are shown in a table and as separate diagrams for each set of complications (together with the cumulative survival). While the diagrams show the cumulative incidence for all cycles the table only displays one cycle at a time. Event rates of hypoglycemia and other adverse events in each cycle for both treatment arms are illustrated in separate diagrams for the resulting adverse events.</w:t>
      </w:r>
    </w:p>
    <w:p w:rsidR="00670E69" w:rsidRPr="00294094" w:rsidRDefault="00670E69" w:rsidP="00F323D1">
      <w:pPr>
        <w:pStyle w:val="Heading2"/>
        <w:numPr>
          <w:ilvl w:val="0"/>
          <w:numId w:val="0"/>
        </w:numPr>
      </w:pPr>
      <w:bookmarkStart w:id="33" w:name="_Toc530388339"/>
      <w:bookmarkStart w:id="34" w:name="_Toc2007163"/>
      <w:r w:rsidRPr="00294094">
        <w:t>Probabilistic sensitivity analysis</w:t>
      </w:r>
      <w:bookmarkEnd w:id="33"/>
      <w:bookmarkEnd w:id="34"/>
    </w:p>
    <w:p w:rsidR="00670E69" w:rsidRPr="00294094" w:rsidRDefault="00670E69" w:rsidP="00777D0C">
      <w:r w:rsidRPr="00294094">
        <w:t xml:space="preserve">The model uses second-order PSA to account for uncertainty in several of the parameters. Note that the second-order PSA does not vary the baseline characteristics of the cohort, namely the demographics, biomarkers, history of complications before diagnosis of diabetes, prevalent diabetes-related microvascular complications or prevalent diabetes-related </w:t>
      </w:r>
      <w:proofErr w:type="spellStart"/>
      <w:r w:rsidRPr="00294094">
        <w:t>macrovascular</w:t>
      </w:r>
      <w:proofErr w:type="spellEnd"/>
      <w:r w:rsidRPr="00294094">
        <w:t xml:space="preserve"> complications.</w:t>
      </w:r>
    </w:p>
    <w:p w:rsidR="00670E69" w:rsidRPr="00294094" w:rsidRDefault="00670E69" w:rsidP="00777D0C">
      <w:r w:rsidRPr="00294094">
        <w:t>In the PSA analysis, survival, life-years, QALYs, costs, ICERs and net monetary benefit (NMB) are reported as the mean value with standard errors. In addition, a cost-effectiveness plane, showing the distribution of incremental costs and utilities, relative to the comparator, is also reported. Finally, a cost-effectiveness acceptability curve, illustrating the probability that the intervention arm is a cost-effective alternative to the comparator arm, versus different values for the willingness-to-pay for a QALY, is also reported.</w:t>
      </w:r>
    </w:p>
    <w:p w:rsidR="00670E69" w:rsidRPr="00D976AF" w:rsidRDefault="00670E69" w:rsidP="00777D0C">
      <w:pPr>
        <w:spacing w:line="276" w:lineRule="auto"/>
        <w:rPr>
          <w:sz w:val="22"/>
          <w:szCs w:val="22"/>
        </w:rPr>
        <w:sectPr w:rsidR="00670E69" w:rsidRPr="00D976AF" w:rsidSect="00777D0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9" w:footer="709" w:gutter="0"/>
          <w:cols w:space="708"/>
          <w:docGrid w:linePitch="360"/>
        </w:sectPr>
      </w:pPr>
      <w:r w:rsidRPr="00D976AF">
        <w:rPr>
          <w:sz w:val="22"/>
          <w:szCs w:val="22"/>
        </w:rPr>
        <w:t xml:space="preserve">BMI, body mass index; CHF, congestive heart failure; </w:t>
      </w:r>
      <w:proofErr w:type="spellStart"/>
      <w:r w:rsidRPr="00D976AF">
        <w:rPr>
          <w:sz w:val="22"/>
          <w:szCs w:val="22"/>
        </w:rPr>
        <w:t>eGFR</w:t>
      </w:r>
      <w:proofErr w:type="spellEnd"/>
      <w:r w:rsidRPr="00D976AF">
        <w:rPr>
          <w:sz w:val="22"/>
          <w:szCs w:val="22"/>
        </w:rPr>
        <w:t>, estimated glomerular filtration rate; HBA</w:t>
      </w:r>
      <w:r w:rsidRPr="00D976AF">
        <w:rPr>
          <w:sz w:val="22"/>
          <w:szCs w:val="22"/>
          <w:vertAlign w:val="subscript"/>
        </w:rPr>
        <w:t>1c</w:t>
      </w:r>
      <w:r w:rsidRPr="00D976AF">
        <w:rPr>
          <w:sz w:val="22"/>
          <w:szCs w:val="22"/>
        </w:rPr>
        <w:t xml:space="preserve">, glycated hemoglobin; HDL, high-density lipoprotein; HR, heart rate; IHD, ischemic heart disease; LDL, low-density lipoprotein; MI, myocardial infarction; NMB, net monetary benefit; PSA, probabilistic sensitivity analysis; QALY, quality-adjusted life-year; </w:t>
      </w:r>
      <w:proofErr w:type="spellStart"/>
      <w:r w:rsidRPr="00D976AF">
        <w:rPr>
          <w:sz w:val="22"/>
          <w:szCs w:val="22"/>
        </w:rPr>
        <w:t>QoL</w:t>
      </w:r>
      <w:proofErr w:type="spellEnd"/>
      <w:r w:rsidRPr="00D976AF">
        <w:rPr>
          <w:sz w:val="22"/>
          <w:szCs w:val="22"/>
        </w:rPr>
        <w:t>, quality of life; SBP, systolic blood pressure; TC, total cholesterol; UKPDS, UK Prospective Diabetes Study; VBA, Visual Basic for Applications; WBC, white blood cell count; WTP, willingness-to-pay</w:t>
      </w:r>
    </w:p>
    <w:p w:rsidR="00670E69" w:rsidRPr="00294094" w:rsidRDefault="00670E69" w:rsidP="00777D0C"/>
    <w:p w:rsidR="00670E69" w:rsidRPr="00294094" w:rsidRDefault="00670E69" w:rsidP="00F323D1">
      <w:pPr>
        <w:pStyle w:val="Heading1"/>
        <w:ind w:left="0" w:firstLine="0"/>
      </w:pPr>
      <w:bookmarkStart w:id="35" w:name="_Toc530388340"/>
      <w:bookmarkStart w:id="36" w:name="_Toc2007164"/>
      <w:r>
        <w:t>Online Resource 2</w:t>
      </w:r>
      <w:r w:rsidRPr="00294094">
        <w:t xml:space="preserve">. Treatment effects based on the SUSTAIN 7 trial </w:t>
      </w:r>
      <w:r>
        <w:rPr>
          <w:noProof/>
        </w:rPr>
        <w:t>[23]</w:t>
      </w:r>
      <w:bookmarkEnd w:id="35"/>
      <w:bookmarkEnd w:id="36"/>
    </w:p>
    <w:tbl>
      <w:tblPr>
        <w:tblW w:w="13608" w:type="dxa"/>
        <w:tblLook w:val="04A0" w:firstRow="1" w:lastRow="0" w:firstColumn="1" w:lastColumn="0" w:noHBand="0" w:noVBand="1"/>
      </w:tblPr>
      <w:tblGrid>
        <w:gridCol w:w="5529"/>
        <w:gridCol w:w="2019"/>
        <w:gridCol w:w="2020"/>
        <w:gridCol w:w="2020"/>
        <w:gridCol w:w="2020"/>
      </w:tblGrid>
      <w:tr w:rsidR="00670E69" w:rsidRPr="00D976AF" w:rsidTr="00777D0C">
        <w:trPr>
          <w:trHeight w:val="270"/>
        </w:trPr>
        <w:tc>
          <w:tcPr>
            <w:tcW w:w="5529" w:type="dxa"/>
            <w:tcBorders>
              <w:top w:val="single" w:sz="12" w:space="0" w:color="002060"/>
              <w:left w:val="nil"/>
              <w:bottom w:val="single" w:sz="8" w:space="0" w:color="auto"/>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rPr>
                <w:b/>
              </w:rPr>
            </w:pPr>
            <w:r w:rsidRPr="00D976AF">
              <w:rPr>
                <w:b/>
              </w:rPr>
              <w:t> Treatment effects</w:t>
            </w:r>
          </w:p>
        </w:tc>
        <w:tc>
          <w:tcPr>
            <w:tcW w:w="4039" w:type="dxa"/>
            <w:gridSpan w:val="2"/>
            <w:tcBorders>
              <w:top w:val="single" w:sz="12" w:space="0" w:color="002060"/>
              <w:left w:val="dashed" w:sz="4" w:space="0" w:color="AEAAAA" w:themeColor="background2" w:themeShade="BF"/>
              <w:bottom w:val="single" w:sz="8" w:space="0" w:color="auto"/>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jc w:val="center"/>
              <w:rPr>
                <w:b/>
              </w:rPr>
            </w:pPr>
            <w:proofErr w:type="spellStart"/>
            <w:r w:rsidRPr="00D976AF">
              <w:rPr>
                <w:b/>
              </w:rPr>
              <w:t>Semaglutide</w:t>
            </w:r>
            <w:proofErr w:type="spellEnd"/>
          </w:p>
        </w:tc>
        <w:tc>
          <w:tcPr>
            <w:tcW w:w="4040" w:type="dxa"/>
            <w:gridSpan w:val="2"/>
            <w:tcBorders>
              <w:top w:val="single" w:sz="12" w:space="0" w:color="002060"/>
              <w:left w:val="dashed" w:sz="4" w:space="0" w:color="AEAAAA" w:themeColor="background2" w:themeShade="BF"/>
              <w:bottom w:val="single" w:sz="8" w:space="0" w:color="auto"/>
              <w:right w:val="nil"/>
            </w:tcBorders>
            <w:shd w:val="clear" w:color="auto" w:fill="auto"/>
            <w:vAlign w:val="center"/>
            <w:hideMark/>
          </w:tcPr>
          <w:p w:rsidR="00670E69" w:rsidRPr="00D976AF" w:rsidRDefault="00670E69" w:rsidP="00777D0C">
            <w:pPr>
              <w:spacing w:after="0" w:line="240" w:lineRule="auto"/>
              <w:jc w:val="center"/>
              <w:rPr>
                <w:b/>
              </w:rPr>
            </w:pPr>
            <w:proofErr w:type="spellStart"/>
            <w:r w:rsidRPr="00D976AF">
              <w:rPr>
                <w:b/>
              </w:rPr>
              <w:t>Dulaglutide</w:t>
            </w:r>
            <w:proofErr w:type="spellEnd"/>
          </w:p>
        </w:tc>
      </w:tr>
      <w:tr w:rsidR="00670E69" w:rsidRPr="00D976AF" w:rsidTr="00777D0C">
        <w:trPr>
          <w:trHeight w:val="280"/>
        </w:trPr>
        <w:tc>
          <w:tcPr>
            <w:tcW w:w="5529" w:type="dxa"/>
            <w:tcBorders>
              <w:top w:val="single" w:sz="8" w:space="0" w:color="auto"/>
              <w:left w:val="nil"/>
              <w:bottom w:val="single" w:sz="8" w:space="0" w:color="auto"/>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rPr>
                <w:b/>
              </w:rPr>
            </w:pPr>
          </w:p>
        </w:tc>
        <w:tc>
          <w:tcPr>
            <w:tcW w:w="2019" w:type="dxa"/>
            <w:tcBorders>
              <w:top w:val="single" w:sz="8" w:space="0" w:color="auto"/>
              <w:left w:val="dashed" w:sz="4" w:space="0" w:color="AEAAAA" w:themeColor="background2" w:themeShade="BF"/>
              <w:bottom w:val="single" w:sz="8" w:space="0" w:color="auto"/>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jc w:val="center"/>
              <w:rPr>
                <w:b/>
              </w:rPr>
            </w:pPr>
            <w:r w:rsidRPr="00D976AF">
              <w:rPr>
                <w:b/>
              </w:rPr>
              <w:t>0.5 mg</w:t>
            </w:r>
          </w:p>
        </w:tc>
        <w:tc>
          <w:tcPr>
            <w:tcW w:w="2020" w:type="dxa"/>
            <w:tcBorders>
              <w:top w:val="single" w:sz="8" w:space="0" w:color="auto"/>
              <w:left w:val="dashed" w:sz="4" w:space="0" w:color="AEAAAA" w:themeColor="background2" w:themeShade="BF"/>
              <w:bottom w:val="single" w:sz="8" w:space="0" w:color="auto"/>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jc w:val="center"/>
              <w:rPr>
                <w:b/>
              </w:rPr>
            </w:pPr>
            <w:r w:rsidRPr="00D976AF">
              <w:rPr>
                <w:b/>
              </w:rPr>
              <w:t>1.0 mg</w:t>
            </w:r>
          </w:p>
        </w:tc>
        <w:tc>
          <w:tcPr>
            <w:tcW w:w="2020" w:type="dxa"/>
            <w:tcBorders>
              <w:top w:val="single" w:sz="8" w:space="0" w:color="auto"/>
              <w:left w:val="dashed" w:sz="4" w:space="0" w:color="AEAAAA" w:themeColor="background2" w:themeShade="BF"/>
              <w:bottom w:val="single" w:sz="8" w:space="0" w:color="auto"/>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jc w:val="center"/>
              <w:rPr>
                <w:b/>
              </w:rPr>
            </w:pPr>
            <w:r w:rsidRPr="00D976AF">
              <w:rPr>
                <w:b/>
              </w:rPr>
              <w:t>0.75 mg</w:t>
            </w:r>
          </w:p>
        </w:tc>
        <w:tc>
          <w:tcPr>
            <w:tcW w:w="2020" w:type="dxa"/>
            <w:tcBorders>
              <w:top w:val="single" w:sz="8" w:space="0" w:color="auto"/>
              <w:left w:val="dashed" w:sz="4" w:space="0" w:color="AEAAAA" w:themeColor="background2" w:themeShade="BF"/>
              <w:bottom w:val="single" w:sz="8" w:space="0" w:color="auto"/>
              <w:right w:val="nil"/>
            </w:tcBorders>
            <w:shd w:val="clear" w:color="auto" w:fill="auto"/>
            <w:vAlign w:val="center"/>
            <w:hideMark/>
          </w:tcPr>
          <w:p w:rsidR="00670E69" w:rsidRPr="00D976AF" w:rsidRDefault="00670E69" w:rsidP="00777D0C">
            <w:pPr>
              <w:spacing w:after="0" w:line="240" w:lineRule="auto"/>
              <w:jc w:val="center"/>
              <w:rPr>
                <w:b/>
              </w:rPr>
            </w:pPr>
            <w:r w:rsidRPr="00D976AF">
              <w:rPr>
                <w:b/>
              </w:rPr>
              <w:t>1.5 mg</w:t>
            </w:r>
          </w:p>
        </w:tc>
      </w:tr>
      <w:tr w:rsidR="00670E69" w:rsidRPr="00294094" w:rsidTr="00777D0C">
        <w:trPr>
          <w:trHeight w:val="325"/>
        </w:trPr>
        <w:tc>
          <w:tcPr>
            <w:tcW w:w="5529" w:type="dxa"/>
            <w:tcBorders>
              <w:top w:val="single" w:sz="8" w:space="0" w:color="auto"/>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pPr>
            <w:r w:rsidRPr="00294094">
              <w:t>HbA</w:t>
            </w:r>
            <w:r w:rsidRPr="00294094">
              <w:rPr>
                <w:vertAlign w:val="subscript"/>
              </w:rPr>
              <w:t>1c</w:t>
            </w:r>
            <w:r w:rsidRPr="00294094">
              <w:t>, %</w:t>
            </w:r>
          </w:p>
        </w:tc>
        <w:tc>
          <w:tcPr>
            <w:tcW w:w="2019" w:type="dxa"/>
            <w:tcBorders>
              <w:top w:val="single" w:sz="8" w:space="0" w:color="auto"/>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–1.51 (0.06)</w:t>
            </w:r>
          </w:p>
        </w:tc>
        <w:tc>
          <w:tcPr>
            <w:tcW w:w="2020" w:type="dxa"/>
            <w:tcBorders>
              <w:top w:val="single" w:sz="8" w:space="0" w:color="auto"/>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–1.78 (0.06)</w:t>
            </w:r>
          </w:p>
        </w:tc>
        <w:tc>
          <w:tcPr>
            <w:tcW w:w="2020" w:type="dxa"/>
            <w:tcBorders>
              <w:top w:val="single" w:sz="8" w:space="0" w:color="auto"/>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–1.11 (0.05)</w:t>
            </w:r>
          </w:p>
        </w:tc>
        <w:tc>
          <w:tcPr>
            <w:tcW w:w="2020" w:type="dxa"/>
            <w:tcBorders>
              <w:top w:val="single" w:sz="8" w:space="0" w:color="auto"/>
              <w:left w:val="dashed" w:sz="4" w:space="0" w:color="AEAAAA" w:themeColor="background2" w:themeShade="BF"/>
              <w:bottom w:val="nil"/>
              <w:right w:val="nil"/>
            </w:tcBorders>
            <w:shd w:val="clear" w:color="auto" w:fill="auto"/>
            <w:vAlign w:val="center"/>
            <w:hideMark/>
          </w:tcPr>
          <w:p w:rsidR="00670E69" w:rsidRPr="00294094" w:rsidRDefault="00670E69" w:rsidP="00777D0C">
            <w:pPr>
              <w:spacing w:after="0" w:line="240" w:lineRule="auto"/>
              <w:jc w:val="center"/>
            </w:pPr>
            <w:r w:rsidRPr="00294094">
              <w:t>–1.37 (0.06)</w:t>
            </w:r>
          </w:p>
        </w:tc>
      </w:tr>
      <w:tr w:rsidR="00670E69" w:rsidRPr="00294094" w:rsidTr="00777D0C">
        <w:trPr>
          <w:trHeight w:val="325"/>
        </w:trPr>
        <w:tc>
          <w:tcPr>
            <w:tcW w:w="5529"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pPr>
            <w:r w:rsidRPr="00294094">
              <w:t>SBP, mmHg</w:t>
            </w:r>
          </w:p>
        </w:tc>
        <w:tc>
          <w:tcPr>
            <w:tcW w:w="2019"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–2.44 (0.76)</w:t>
            </w:r>
          </w:p>
        </w:tc>
        <w:tc>
          <w:tcPr>
            <w:tcW w:w="2020"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–4.88 (0.77)</w:t>
            </w:r>
          </w:p>
        </w:tc>
        <w:tc>
          <w:tcPr>
            <w:tcW w:w="2020"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–2.16 (0.75)</w:t>
            </w:r>
          </w:p>
        </w:tc>
        <w:tc>
          <w:tcPr>
            <w:tcW w:w="2020" w:type="dxa"/>
            <w:tcBorders>
              <w:top w:val="nil"/>
              <w:left w:val="dashed" w:sz="4" w:space="0" w:color="AEAAAA" w:themeColor="background2" w:themeShade="BF"/>
              <w:bottom w:val="nil"/>
              <w:right w:val="nil"/>
            </w:tcBorders>
            <w:shd w:val="clear" w:color="auto" w:fill="auto"/>
            <w:vAlign w:val="center"/>
            <w:hideMark/>
          </w:tcPr>
          <w:p w:rsidR="00670E69" w:rsidRPr="00294094" w:rsidRDefault="00670E69" w:rsidP="00777D0C">
            <w:pPr>
              <w:spacing w:after="0" w:line="240" w:lineRule="auto"/>
              <w:jc w:val="center"/>
            </w:pPr>
            <w:r w:rsidRPr="00294094">
              <w:t>–2.86 (0.75)</w:t>
            </w:r>
          </w:p>
        </w:tc>
      </w:tr>
      <w:tr w:rsidR="00670E69" w:rsidRPr="00294094" w:rsidTr="00777D0C">
        <w:trPr>
          <w:trHeight w:val="325"/>
        </w:trPr>
        <w:tc>
          <w:tcPr>
            <w:tcW w:w="5529" w:type="dxa"/>
            <w:tcBorders>
              <w:top w:val="nil"/>
              <w:left w:val="nil"/>
              <w:bottom w:val="nil"/>
              <w:right w:val="dashed" w:sz="4" w:space="0" w:color="AEAAAA" w:themeColor="background2" w:themeShade="BF"/>
            </w:tcBorders>
            <w:shd w:val="clear" w:color="auto" w:fill="auto"/>
            <w:vAlign w:val="center"/>
            <w:hideMark/>
          </w:tcPr>
          <w:p w:rsidR="00670E69" w:rsidRPr="00E00294" w:rsidRDefault="00670E69" w:rsidP="00777D0C">
            <w:pPr>
              <w:spacing w:after="0" w:line="240" w:lineRule="auto"/>
              <w:rPr>
                <w:vertAlign w:val="superscript"/>
              </w:rPr>
            </w:pPr>
            <w:r w:rsidRPr="00294094">
              <w:t xml:space="preserve">TC, </w:t>
            </w:r>
            <w:proofErr w:type="spellStart"/>
            <w:r w:rsidRPr="00294094">
              <w:t>mmol</w:t>
            </w:r>
            <w:proofErr w:type="spellEnd"/>
            <w:r w:rsidRPr="00294094">
              <w:t>/L</w:t>
            </w:r>
            <w:r>
              <w:rPr>
                <w:vertAlign w:val="superscript"/>
              </w:rPr>
              <w:t>a</w:t>
            </w:r>
          </w:p>
        </w:tc>
        <w:tc>
          <w:tcPr>
            <w:tcW w:w="2019"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–0.18 (0.04)</w:t>
            </w:r>
            <w:r>
              <w:rPr>
                <w:vertAlign w:val="superscript"/>
              </w:rPr>
              <w:t>b</w:t>
            </w:r>
          </w:p>
        </w:tc>
        <w:tc>
          <w:tcPr>
            <w:tcW w:w="2020"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–0.14 (0.05)</w:t>
            </w:r>
            <w:r>
              <w:rPr>
                <w:vertAlign w:val="superscript"/>
              </w:rPr>
              <w:t>b</w:t>
            </w:r>
          </w:p>
        </w:tc>
        <w:tc>
          <w:tcPr>
            <w:tcW w:w="2020"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–0.07 (0.05)</w:t>
            </w:r>
            <w:r>
              <w:rPr>
                <w:vertAlign w:val="superscript"/>
              </w:rPr>
              <w:t>b</w:t>
            </w:r>
          </w:p>
        </w:tc>
        <w:tc>
          <w:tcPr>
            <w:tcW w:w="2020" w:type="dxa"/>
            <w:tcBorders>
              <w:top w:val="nil"/>
              <w:left w:val="dashed" w:sz="4" w:space="0" w:color="AEAAAA" w:themeColor="background2" w:themeShade="BF"/>
              <w:bottom w:val="nil"/>
              <w:right w:val="nil"/>
            </w:tcBorders>
            <w:shd w:val="clear" w:color="auto" w:fill="auto"/>
            <w:vAlign w:val="center"/>
            <w:hideMark/>
          </w:tcPr>
          <w:p w:rsidR="00670E69" w:rsidRPr="00294094" w:rsidRDefault="00670E69" w:rsidP="00777D0C">
            <w:pPr>
              <w:spacing w:after="0" w:line="240" w:lineRule="auto"/>
              <w:jc w:val="center"/>
            </w:pPr>
            <w:r w:rsidRPr="00294094">
              <w:t>–0.07 (0.05)</w:t>
            </w:r>
            <w:r>
              <w:rPr>
                <w:vertAlign w:val="superscript"/>
              </w:rPr>
              <w:t>b</w:t>
            </w:r>
          </w:p>
        </w:tc>
      </w:tr>
      <w:tr w:rsidR="00670E69" w:rsidRPr="00294094" w:rsidTr="00777D0C">
        <w:trPr>
          <w:trHeight w:val="325"/>
        </w:trPr>
        <w:tc>
          <w:tcPr>
            <w:tcW w:w="5529"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pPr>
            <w:r w:rsidRPr="00294094">
              <w:t xml:space="preserve">LDL, </w:t>
            </w:r>
            <w:proofErr w:type="spellStart"/>
            <w:r w:rsidRPr="00294094">
              <w:t>mmol</w:t>
            </w:r>
            <w:proofErr w:type="spellEnd"/>
            <w:r w:rsidRPr="00294094">
              <w:t>/L</w:t>
            </w:r>
            <w:r>
              <w:rPr>
                <w:vertAlign w:val="superscript"/>
              </w:rPr>
              <w:t>a</w:t>
            </w:r>
          </w:p>
        </w:tc>
        <w:tc>
          <w:tcPr>
            <w:tcW w:w="2019"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–0.08 (0.04)</w:t>
            </w:r>
            <w:r>
              <w:rPr>
                <w:vertAlign w:val="superscript"/>
              </w:rPr>
              <w:t>b</w:t>
            </w:r>
          </w:p>
        </w:tc>
        <w:tc>
          <w:tcPr>
            <w:tcW w:w="2020"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–0.01 (0.04)</w:t>
            </w:r>
            <w:r>
              <w:rPr>
                <w:vertAlign w:val="superscript"/>
              </w:rPr>
              <w:t>b</w:t>
            </w:r>
          </w:p>
        </w:tc>
        <w:tc>
          <w:tcPr>
            <w:tcW w:w="2020"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0.02 (0.04)</w:t>
            </w:r>
            <w:r>
              <w:rPr>
                <w:vertAlign w:val="superscript"/>
              </w:rPr>
              <w:t>b</w:t>
            </w:r>
          </w:p>
        </w:tc>
        <w:tc>
          <w:tcPr>
            <w:tcW w:w="2020" w:type="dxa"/>
            <w:tcBorders>
              <w:top w:val="nil"/>
              <w:left w:val="dashed" w:sz="4" w:space="0" w:color="AEAAAA" w:themeColor="background2" w:themeShade="BF"/>
              <w:bottom w:val="nil"/>
              <w:right w:val="nil"/>
            </w:tcBorders>
            <w:shd w:val="clear" w:color="auto" w:fill="auto"/>
            <w:vAlign w:val="center"/>
            <w:hideMark/>
          </w:tcPr>
          <w:p w:rsidR="00670E69" w:rsidRPr="00294094" w:rsidRDefault="00670E69" w:rsidP="00777D0C">
            <w:pPr>
              <w:spacing w:after="0" w:line="240" w:lineRule="auto"/>
              <w:jc w:val="center"/>
            </w:pPr>
            <w:r w:rsidRPr="00294094">
              <w:t>0.02 (0.04)</w:t>
            </w:r>
            <w:r>
              <w:rPr>
                <w:vertAlign w:val="superscript"/>
              </w:rPr>
              <w:t>b</w:t>
            </w:r>
          </w:p>
        </w:tc>
      </w:tr>
      <w:tr w:rsidR="00670E69" w:rsidRPr="00294094" w:rsidTr="00777D0C">
        <w:trPr>
          <w:trHeight w:val="325"/>
        </w:trPr>
        <w:tc>
          <w:tcPr>
            <w:tcW w:w="5529"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pPr>
            <w:r w:rsidRPr="00294094">
              <w:t xml:space="preserve">HDL, </w:t>
            </w:r>
            <w:proofErr w:type="spellStart"/>
            <w:r w:rsidRPr="00294094">
              <w:t>mmol</w:t>
            </w:r>
            <w:proofErr w:type="spellEnd"/>
            <w:r w:rsidRPr="00294094">
              <w:t>/L</w:t>
            </w:r>
            <w:r>
              <w:rPr>
                <w:vertAlign w:val="superscript"/>
              </w:rPr>
              <w:t>a</w:t>
            </w:r>
          </w:p>
        </w:tc>
        <w:tc>
          <w:tcPr>
            <w:tcW w:w="2019"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–0.01 (0.01)</w:t>
            </w:r>
            <w:r>
              <w:rPr>
                <w:vertAlign w:val="superscript"/>
              </w:rPr>
              <w:t>b</w:t>
            </w:r>
          </w:p>
        </w:tc>
        <w:tc>
          <w:tcPr>
            <w:tcW w:w="2020"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0.02 (0.01)</w:t>
            </w:r>
            <w:r>
              <w:rPr>
                <w:vertAlign w:val="superscript"/>
              </w:rPr>
              <w:t>b</w:t>
            </w:r>
          </w:p>
        </w:tc>
        <w:tc>
          <w:tcPr>
            <w:tcW w:w="2020"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0.02 (0.01)</w:t>
            </w:r>
            <w:r>
              <w:rPr>
                <w:vertAlign w:val="superscript"/>
              </w:rPr>
              <w:t>b</w:t>
            </w:r>
          </w:p>
        </w:tc>
        <w:tc>
          <w:tcPr>
            <w:tcW w:w="2020" w:type="dxa"/>
            <w:tcBorders>
              <w:top w:val="nil"/>
              <w:left w:val="dashed" w:sz="4" w:space="0" w:color="AEAAAA" w:themeColor="background2" w:themeShade="BF"/>
              <w:bottom w:val="nil"/>
              <w:right w:val="nil"/>
            </w:tcBorders>
            <w:shd w:val="clear" w:color="auto" w:fill="auto"/>
            <w:vAlign w:val="center"/>
            <w:hideMark/>
          </w:tcPr>
          <w:p w:rsidR="00670E69" w:rsidRPr="00294094" w:rsidRDefault="00670E69" w:rsidP="00777D0C">
            <w:pPr>
              <w:spacing w:after="0" w:line="240" w:lineRule="auto"/>
              <w:jc w:val="center"/>
            </w:pPr>
            <w:r w:rsidRPr="00294094">
              <w:t>0.02 (0.01)</w:t>
            </w:r>
            <w:r>
              <w:rPr>
                <w:vertAlign w:val="superscript"/>
              </w:rPr>
              <w:t>b</w:t>
            </w:r>
          </w:p>
        </w:tc>
      </w:tr>
      <w:tr w:rsidR="00670E69" w:rsidRPr="00294094" w:rsidTr="00777D0C">
        <w:trPr>
          <w:trHeight w:val="325"/>
        </w:trPr>
        <w:tc>
          <w:tcPr>
            <w:tcW w:w="5529"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pPr>
            <w:r w:rsidRPr="00294094">
              <w:t xml:space="preserve">TG, </w:t>
            </w:r>
            <w:proofErr w:type="spellStart"/>
            <w:r w:rsidRPr="00294094">
              <w:t>mmol</w:t>
            </w:r>
            <w:proofErr w:type="spellEnd"/>
            <w:r w:rsidRPr="00294094">
              <w:t>/L</w:t>
            </w:r>
            <w:r>
              <w:rPr>
                <w:vertAlign w:val="superscript"/>
              </w:rPr>
              <w:t>a</w:t>
            </w:r>
          </w:p>
        </w:tc>
        <w:tc>
          <w:tcPr>
            <w:tcW w:w="2019"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–0.16 (0.03)</w:t>
            </w:r>
            <w:r>
              <w:rPr>
                <w:vertAlign w:val="superscript"/>
              </w:rPr>
              <w:t>b</w:t>
            </w:r>
          </w:p>
        </w:tc>
        <w:tc>
          <w:tcPr>
            <w:tcW w:w="2020"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–0.25 (0.03)</w:t>
            </w:r>
            <w:r>
              <w:rPr>
                <w:vertAlign w:val="superscript"/>
              </w:rPr>
              <w:t>b</w:t>
            </w:r>
          </w:p>
        </w:tc>
        <w:tc>
          <w:tcPr>
            <w:tcW w:w="2020"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–0.16 (0.03)</w:t>
            </w:r>
            <w:r>
              <w:rPr>
                <w:vertAlign w:val="superscript"/>
              </w:rPr>
              <w:t>b</w:t>
            </w:r>
          </w:p>
        </w:tc>
        <w:tc>
          <w:tcPr>
            <w:tcW w:w="2020" w:type="dxa"/>
            <w:tcBorders>
              <w:top w:val="nil"/>
              <w:left w:val="dashed" w:sz="4" w:space="0" w:color="AEAAAA" w:themeColor="background2" w:themeShade="BF"/>
              <w:bottom w:val="nil"/>
              <w:right w:val="nil"/>
            </w:tcBorders>
            <w:shd w:val="clear" w:color="auto" w:fill="auto"/>
            <w:vAlign w:val="center"/>
            <w:hideMark/>
          </w:tcPr>
          <w:p w:rsidR="00670E69" w:rsidRPr="00294094" w:rsidRDefault="00670E69" w:rsidP="00777D0C">
            <w:pPr>
              <w:spacing w:after="0" w:line="240" w:lineRule="auto"/>
              <w:jc w:val="center"/>
            </w:pPr>
            <w:r w:rsidRPr="00294094">
              <w:t>–0.16 (0.03)</w:t>
            </w:r>
            <w:r>
              <w:rPr>
                <w:vertAlign w:val="superscript"/>
              </w:rPr>
              <w:t>b</w:t>
            </w:r>
          </w:p>
        </w:tc>
      </w:tr>
      <w:tr w:rsidR="00670E69" w:rsidRPr="00294094" w:rsidTr="00777D0C">
        <w:trPr>
          <w:trHeight w:val="325"/>
        </w:trPr>
        <w:tc>
          <w:tcPr>
            <w:tcW w:w="5529"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pPr>
            <w:r w:rsidRPr="00294094">
              <w:t>BMI, kg/m</w:t>
            </w:r>
            <w:r w:rsidRPr="00294094">
              <w:rPr>
                <w:vertAlign w:val="superscript"/>
              </w:rPr>
              <w:t>2</w:t>
            </w:r>
          </w:p>
        </w:tc>
        <w:tc>
          <w:tcPr>
            <w:tcW w:w="2019"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–1.63 (0.10)</w:t>
            </w:r>
          </w:p>
        </w:tc>
        <w:tc>
          <w:tcPr>
            <w:tcW w:w="2020"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–2.33 (0.10)</w:t>
            </w:r>
          </w:p>
        </w:tc>
        <w:tc>
          <w:tcPr>
            <w:tcW w:w="2020"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–0.82 (0.10)</w:t>
            </w:r>
          </w:p>
        </w:tc>
        <w:tc>
          <w:tcPr>
            <w:tcW w:w="2020" w:type="dxa"/>
            <w:tcBorders>
              <w:top w:val="nil"/>
              <w:left w:val="dashed" w:sz="4" w:space="0" w:color="AEAAAA" w:themeColor="background2" w:themeShade="BF"/>
              <w:bottom w:val="nil"/>
              <w:right w:val="nil"/>
            </w:tcBorders>
            <w:shd w:val="clear" w:color="auto" w:fill="auto"/>
            <w:vAlign w:val="center"/>
            <w:hideMark/>
          </w:tcPr>
          <w:p w:rsidR="00670E69" w:rsidRPr="00294094" w:rsidRDefault="00670E69" w:rsidP="00777D0C">
            <w:pPr>
              <w:spacing w:after="0" w:line="240" w:lineRule="auto"/>
              <w:jc w:val="center"/>
            </w:pPr>
            <w:r w:rsidRPr="00294094">
              <w:t>–1.08 (0.10)</w:t>
            </w:r>
          </w:p>
        </w:tc>
      </w:tr>
      <w:tr w:rsidR="00670E69" w:rsidRPr="00294094" w:rsidTr="00777D0C">
        <w:trPr>
          <w:trHeight w:val="325"/>
        </w:trPr>
        <w:tc>
          <w:tcPr>
            <w:tcW w:w="5529"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pPr>
            <w:proofErr w:type="spellStart"/>
            <w:r w:rsidRPr="00294094">
              <w:t>eGFR</w:t>
            </w:r>
            <w:proofErr w:type="spellEnd"/>
            <w:r w:rsidRPr="00294094">
              <w:t>, mL/min/1.73m</w:t>
            </w:r>
            <w:r w:rsidRPr="00294094">
              <w:rPr>
                <w:vertAlign w:val="superscript"/>
              </w:rPr>
              <w:t>2</w:t>
            </w:r>
          </w:p>
        </w:tc>
        <w:tc>
          <w:tcPr>
            <w:tcW w:w="2019"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–2.42 (0.48)</w:t>
            </w:r>
            <w:r>
              <w:rPr>
                <w:vertAlign w:val="superscript"/>
              </w:rPr>
              <w:t>b</w:t>
            </w:r>
          </w:p>
        </w:tc>
        <w:tc>
          <w:tcPr>
            <w:tcW w:w="2020"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–2.80 (0.49)</w:t>
            </w:r>
            <w:r>
              <w:rPr>
                <w:vertAlign w:val="superscript"/>
              </w:rPr>
              <w:t>b</w:t>
            </w:r>
          </w:p>
        </w:tc>
        <w:tc>
          <w:tcPr>
            <w:tcW w:w="2020"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–3.51 (0.47)</w:t>
            </w:r>
            <w:r>
              <w:rPr>
                <w:vertAlign w:val="superscript"/>
              </w:rPr>
              <w:t>b</w:t>
            </w:r>
          </w:p>
        </w:tc>
        <w:tc>
          <w:tcPr>
            <w:tcW w:w="2020" w:type="dxa"/>
            <w:tcBorders>
              <w:top w:val="nil"/>
              <w:left w:val="dashed" w:sz="4" w:space="0" w:color="AEAAAA" w:themeColor="background2" w:themeShade="BF"/>
              <w:bottom w:val="nil"/>
              <w:right w:val="nil"/>
            </w:tcBorders>
            <w:shd w:val="clear" w:color="auto" w:fill="auto"/>
            <w:vAlign w:val="center"/>
            <w:hideMark/>
          </w:tcPr>
          <w:p w:rsidR="00670E69" w:rsidRPr="00294094" w:rsidRDefault="00670E69" w:rsidP="00777D0C">
            <w:pPr>
              <w:spacing w:after="0" w:line="240" w:lineRule="auto"/>
              <w:jc w:val="center"/>
            </w:pPr>
            <w:r w:rsidRPr="00294094">
              <w:t>–3.51 (0.47)</w:t>
            </w:r>
            <w:r>
              <w:rPr>
                <w:vertAlign w:val="superscript"/>
              </w:rPr>
              <w:t>b</w:t>
            </w:r>
          </w:p>
        </w:tc>
      </w:tr>
      <w:tr w:rsidR="00670E69" w:rsidRPr="00294094" w:rsidTr="00777D0C">
        <w:trPr>
          <w:trHeight w:val="325"/>
        </w:trPr>
        <w:tc>
          <w:tcPr>
            <w:tcW w:w="5529" w:type="dxa"/>
            <w:tcBorders>
              <w:top w:val="nil"/>
              <w:left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pPr>
            <w:r w:rsidRPr="00294094">
              <w:t>Non-severe hypoglycemic events, per patient-year</w:t>
            </w:r>
          </w:p>
        </w:tc>
        <w:tc>
          <w:tcPr>
            <w:tcW w:w="2019" w:type="dxa"/>
            <w:tcBorders>
              <w:top w:val="nil"/>
              <w:left w:val="dashed"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0.01 (0.001</w:t>
            </w:r>
            <w:r>
              <w:rPr>
                <w:vertAlign w:val="superscript"/>
              </w:rPr>
              <w:t>c</w:t>
            </w:r>
            <w:r w:rsidRPr="00294094">
              <w:t>)</w:t>
            </w:r>
            <w:r>
              <w:rPr>
                <w:vertAlign w:val="superscript"/>
              </w:rPr>
              <w:t>b</w:t>
            </w:r>
          </w:p>
        </w:tc>
        <w:tc>
          <w:tcPr>
            <w:tcW w:w="2020" w:type="dxa"/>
            <w:tcBorders>
              <w:top w:val="nil"/>
              <w:left w:val="dashed"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0.03 (0.003</w:t>
            </w:r>
            <w:r>
              <w:rPr>
                <w:vertAlign w:val="superscript"/>
              </w:rPr>
              <w:t>c</w:t>
            </w:r>
            <w:r w:rsidRPr="00294094">
              <w:t>)</w:t>
            </w:r>
            <w:r>
              <w:rPr>
                <w:vertAlign w:val="superscript"/>
              </w:rPr>
              <w:t>b</w:t>
            </w:r>
          </w:p>
        </w:tc>
        <w:tc>
          <w:tcPr>
            <w:tcW w:w="2020" w:type="dxa"/>
            <w:tcBorders>
              <w:top w:val="nil"/>
              <w:left w:val="dashed"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0.01 (0.001</w:t>
            </w:r>
            <w:r>
              <w:rPr>
                <w:vertAlign w:val="superscript"/>
              </w:rPr>
              <w:t>c</w:t>
            </w:r>
            <w:r w:rsidRPr="00294094">
              <w:t>)</w:t>
            </w:r>
            <w:r>
              <w:rPr>
                <w:vertAlign w:val="superscript"/>
              </w:rPr>
              <w:t>b</w:t>
            </w:r>
          </w:p>
        </w:tc>
        <w:tc>
          <w:tcPr>
            <w:tcW w:w="2020" w:type="dxa"/>
            <w:tcBorders>
              <w:top w:val="nil"/>
              <w:left w:val="dashed" w:sz="4" w:space="0" w:color="AEAAAA" w:themeColor="background2" w:themeShade="BF"/>
              <w:right w:val="nil"/>
            </w:tcBorders>
            <w:shd w:val="clear" w:color="auto" w:fill="auto"/>
            <w:vAlign w:val="center"/>
            <w:hideMark/>
          </w:tcPr>
          <w:p w:rsidR="00670E69" w:rsidRPr="00294094" w:rsidRDefault="00670E69" w:rsidP="00777D0C">
            <w:pPr>
              <w:spacing w:after="0" w:line="240" w:lineRule="auto"/>
              <w:jc w:val="center"/>
            </w:pPr>
            <w:r w:rsidRPr="00294094">
              <w:t>0.01 (0.001</w:t>
            </w:r>
            <w:r>
              <w:rPr>
                <w:vertAlign w:val="superscript"/>
              </w:rPr>
              <w:t>c</w:t>
            </w:r>
            <w:r w:rsidRPr="00294094">
              <w:t>)</w:t>
            </w:r>
            <w:r>
              <w:rPr>
                <w:vertAlign w:val="superscript"/>
              </w:rPr>
              <w:t>b</w:t>
            </w:r>
          </w:p>
        </w:tc>
      </w:tr>
      <w:tr w:rsidR="00670E69" w:rsidRPr="00294094" w:rsidTr="00777D0C">
        <w:trPr>
          <w:trHeight w:val="325"/>
        </w:trPr>
        <w:tc>
          <w:tcPr>
            <w:tcW w:w="5529" w:type="dxa"/>
            <w:tcBorders>
              <w:top w:val="nil"/>
              <w:left w:val="nil"/>
              <w:bottom w:val="single" w:sz="12" w:space="0" w:color="002060"/>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pPr>
            <w:r w:rsidRPr="00294094">
              <w:t>Severe hypoglycemic events, per patient-year</w:t>
            </w:r>
          </w:p>
        </w:tc>
        <w:tc>
          <w:tcPr>
            <w:tcW w:w="2019" w:type="dxa"/>
            <w:tcBorders>
              <w:top w:val="nil"/>
              <w:left w:val="dashed" w:sz="4" w:space="0" w:color="AEAAAA" w:themeColor="background2" w:themeShade="BF"/>
              <w:bottom w:val="single" w:sz="12" w:space="0" w:color="002060"/>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 (0)</w:t>
            </w:r>
            <w:r>
              <w:rPr>
                <w:vertAlign w:val="superscript"/>
              </w:rPr>
              <w:t>b</w:t>
            </w:r>
          </w:p>
        </w:tc>
        <w:tc>
          <w:tcPr>
            <w:tcW w:w="2020" w:type="dxa"/>
            <w:tcBorders>
              <w:top w:val="nil"/>
              <w:left w:val="dashed" w:sz="4" w:space="0" w:color="AEAAAA" w:themeColor="background2" w:themeShade="BF"/>
              <w:bottom w:val="single" w:sz="12" w:space="0" w:color="002060"/>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0.004 (&lt;0.001</w:t>
            </w:r>
            <w:r>
              <w:rPr>
                <w:vertAlign w:val="superscript"/>
              </w:rPr>
              <w:t>c</w:t>
            </w:r>
            <w:r w:rsidRPr="00294094">
              <w:t>)</w:t>
            </w:r>
            <w:r>
              <w:rPr>
                <w:vertAlign w:val="superscript"/>
              </w:rPr>
              <w:t>b</w:t>
            </w:r>
          </w:p>
        </w:tc>
        <w:tc>
          <w:tcPr>
            <w:tcW w:w="2020" w:type="dxa"/>
            <w:tcBorders>
              <w:top w:val="nil"/>
              <w:left w:val="dashed" w:sz="4" w:space="0" w:color="AEAAAA" w:themeColor="background2" w:themeShade="BF"/>
              <w:bottom w:val="single" w:sz="12" w:space="0" w:color="002060"/>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 (0)</w:t>
            </w:r>
            <w:r>
              <w:rPr>
                <w:vertAlign w:val="superscript"/>
              </w:rPr>
              <w:t>b</w:t>
            </w:r>
          </w:p>
        </w:tc>
        <w:tc>
          <w:tcPr>
            <w:tcW w:w="2020" w:type="dxa"/>
            <w:tcBorders>
              <w:top w:val="nil"/>
              <w:left w:val="dashed" w:sz="4" w:space="0" w:color="AEAAAA" w:themeColor="background2" w:themeShade="BF"/>
              <w:bottom w:val="single" w:sz="12" w:space="0" w:color="002060"/>
              <w:right w:val="nil"/>
            </w:tcBorders>
            <w:shd w:val="clear" w:color="auto" w:fill="auto"/>
            <w:vAlign w:val="center"/>
            <w:hideMark/>
          </w:tcPr>
          <w:p w:rsidR="00670E69" w:rsidRPr="00294094" w:rsidRDefault="00670E69" w:rsidP="00777D0C">
            <w:pPr>
              <w:spacing w:after="0" w:line="240" w:lineRule="auto"/>
              <w:jc w:val="center"/>
            </w:pPr>
            <w:r w:rsidRPr="00294094">
              <w:t>0.008 (&lt;0.001</w:t>
            </w:r>
            <w:r>
              <w:rPr>
                <w:vertAlign w:val="superscript"/>
              </w:rPr>
              <w:t>c</w:t>
            </w:r>
            <w:r w:rsidRPr="00294094">
              <w:t>)</w:t>
            </w:r>
            <w:r>
              <w:rPr>
                <w:vertAlign w:val="superscript"/>
              </w:rPr>
              <w:t>b</w:t>
            </w:r>
          </w:p>
        </w:tc>
      </w:tr>
    </w:tbl>
    <w:p w:rsidR="00670E69" w:rsidRPr="00D976AF" w:rsidRDefault="00670E69" w:rsidP="00777D0C">
      <w:pPr>
        <w:spacing w:line="276" w:lineRule="auto"/>
        <w:rPr>
          <w:sz w:val="22"/>
          <w:szCs w:val="22"/>
        </w:rPr>
      </w:pPr>
      <w:proofErr w:type="spellStart"/>
      <w:proofErr w:type="gramStart"/>
      <w:r w:rsidRPr="00D976AF">
        <w:rPr>
          <w:sz w:val="22"/>
          <w:szCs w:val="22"/>
          <w:vertAlign w:val="superscript"/>
        </w:rPr>
        <w:t>a</w:t>
      </w:r>
      <w:r w:rsidRPr="00D976AF">
        <w:rPr>
          <w:sz w:val="22"/>
          <w:szCs w:val="22"/>
        </w:rPr>
        <w:t>Values</w:t>
      </w:r>
      <w:proofErr w:type="spellEnd"/>
      <w:proofErr w:type="gramEnd"/>
      <w:r w:rsidRPr="00D976AF">
        <w:rPr>
          <w:sz w:val="22"/>
          <w:szCs w:val="22"/>
        </w:rPr>
        <w:t xml:space="preserve"> have been converted from mg/</w:t>
      </w:r>
      <w:proofErr w:type="spellStart"/>
      <w:r w:rsidRPr="00D976AF">
        <w:rPr>
          <w:sz w:val="22"/>
          <w:szCs w:val="22"/>
        </w:rPr>
        <w:t>dL</w:t>
      </w:r>
      <w:proofErr w:type="spellEnd"/>
      <w:r w:rsidRPr="00D976AF">
        <w:rPr>
          <w:sz w:val="22"/>
          <w:szCs w:val="22"/>
        </w:rPr>
        <w:t xml:space="preserve"> to </w:t>
      </w:r>
      <w:proofErr w:type="spellStart"/>
      <w:r w:rsidRPr="00D976AF">
        <w:rPr>
          <w:sz w:val="22"/>
          <w:szCs w:val="22"/>
        </w:rPr>
        <w:t>mmol</w:t>
      </w:r>
      <w:proofErr w:type="spellEnd"/>
      <w:r w:rsidRPr="00D976AF">
        <w:rPr>
          <w:sz w:val="22"/>
          <w:szCs w:val="22"/>
        </w:rPr>
        <w:t>/L by multiplying the mg/</w:t>
      </w:r>
      <w:proofErr w:type="spellStart"/>
      <w:r w:rsidRPr="00D976AF">
        <w:rPr>
          <w:sz w:val="22"/>
          <w:szCs w:val="22"/>
        </w:rPr>
        <w:t>dL</w:t>
      </w:r>
      <w:proofErr w:type="spellEnd"/>
      <w:r w:rsidRPr="00D976AF">
        <w:rPr>
          <w:sz w:val="22"/>
          <w:szCs w:val="22"/>
        </w:rPr>
        <w:t xml:space="preserve"> values with 0.0259 (TC, HDL, LDL) and 0.0113 (TG). </w:t>
      </w:r>
      <w:proofErr w:type="spellStart"/>
      <w:proofErr w:type="gramStart"/>
      <w:r w:rsidRPr="00D976AF">
        <w:rPr>
          <w:sz w:val="22"/>
          <w:szCs w:val="22"/>
          <w:vertAlign w:val="superscript"/>
        </w:rPr>
        <w:t>b</w:t>
      </w:r>
      <w:r w:rsidRPr="00D976AF">
        <w:rPr>
          <w:sz w:val="22"/>
          <w:szCs w:val="22"/>
        </w:rPr>
        <w:t>Source</w:t>
      </w:r>
      <w:proofErr w:type="spellEnd"/>
      <w:proofErr w:type="gramEnd"/>
      <w:r w:rsidRPr="00D976AF">
        <w:rPr>
          <w:sz w:val="22"/>
          <w:szCs w:val="22"/>
        </w:rPr>
        <w:t xml:space="preserve"> data on file. </w:t>
      </w:r>
      <w:proofErr w:type="spellStart"/>
      <w:proofErr w:type="gramStart"/>
      <w:r w:rsidRPr="00D976AF">
        <w:rPr>
          <w:sz w:val="22"/>
          <w:szCs w:val="22"/>
          <w:vertAlign w:val="superscript"/>
        </w:rPr>
        <w:t>c</w:t>
      </w:r>
      <w:r w:rsidRPr="00D976AF">
        <w:rPr>
          <w:sz w:val="22"/>
          <w:szCs w:val="22"/>
        </w:rPr>
        <w:t>SE</w:t>
      </w:r>
      <w:proofErr w:type="spellEnd"/>
      <w:proofErr w:type="gramEnd"/>
      <w:r w:rsidRPr="00D976AF">
        <w:rPr>
          <w:sz w:val="22"/>
          <w:szCs w:val="22"/>
        </w:rPr>
        <w:t xml:space="preserve"> unavailable, assumed to be 10% of the mean value. Treatment effects are based on a 40-week treatment period and 5-week follow-up period. BMI, body mass index; </w:t>
      </w:r>
      <w:proofErr w:type="spellStart"/>
      <w:r w:rsidRPr="00D976AF">
        <w:rPr>
          <w:sz w:val="22"/>
          <w:szCs w:val="22"/>
        </w:rPr>
        <w:t>eGFR</w:t>
      </w:r>
      <w:proofErr w:type="spellEnd"/>
      <w:r w:rsidRPr="00D976AF">
        <w:rPr>
          <w:sz w:val="22"/>
          <w:szCs w:val="22"/>
        </w:rPr>
        <w:t xml:space="preserve">, estimated glomerular filtration rate; </w:t>
      </w:r>
      <w:r w:rsidRPr="00D976AF">
        <w:rPr>
          <w:rFonts w:eastAsia="Times New Roman"/>
          <w:color w:val="000000"/>
          <w:sz w:val="22"/>
          <w:szCs w:val="22"/>
        </w:rPr>
        <w:t>HbA</w:t>
      </w:r>
      <w:r w:rsidRPr="00D976AF">
        <w:rPr>
          <w:rFonts w:eastAsia="Times New Roman"/>
          <w:color w:val="000000"/>
          <w:sz w:val="22"/>
          <w:szCs w:val="22"/>
          <w:vertAlign w:val="subscript"/>
        </w:rPr>
        <w:t>1c</w:t>
      </w:r>
      <w:r w:rsidRPr="00D976AF">
        <w:rPr>
          <w:rFonts w:eastAsia="Times New Roman"/>
          <w:color w:val="000000"/>
          <w:sz w:val="22"/>
          <w:szCs w:val="22"/>
        </w:rPr>
        <w:t xml:space="preserve">, glycated hemoglobin; </w:t>
      </w:r>
      <w:r w:rsidRPr="00D976AF">
        <w:rPr>
          <w:sz w:val="22"/>
          <w:szCs w:val="22"/>
        </w:rPr>
        <w:t>HDL, high density lipoprotein; LDL, low density lipoprotein; SE, standard error; SBP, systolic blood pressure; TC, total cholesterol; TG, triglycerides.</w:t>
      </w:r>
    </w:p>
    <w:p w:rsidR="00670E69" w:rsidRPr="00294094" w:rsidRDefault="00670E69" w:rsidP="00777D0C">
      <w:r w:rsidRPr="00294094">
        <w:br w:type="page"/>
      </w:r>
    </w:p>
    <w:p w:rsidR="00670E69" w:rsidRPr="00294094" w:rsidRDefault="00670E69" w:rsidP="00777D0C">
      <w:pPr>
        <w:sectPr w:rsidR="00670E69" w:rsidRPr="00294094" w:rsidSect="00777D0C">
          <w:headerReference w:type="default" r:id="rId14"/>
          <w:pgSz w:w="15840" w:h="12240" w:orient="landscape"/>
          <w:pgMar w:top="1440" w:right="1440" w:bottom="1440" w:left="1440" w:header="709" w:footer="709" w:gutter="0"/>
          <w:cols w:space="708"/>
          <w:docGrid w:linePitch="360"/>
        </w:sectPr>
      </w:pPr>
    </w:p>
    <w:p w:rsidR="00670E69" w:rsidRPr="00294094" w:rsidRDefault="00670E69" w:rsidP="00F323D1">
      <w:pPr>
        <w:pStyle w:val="Heading1"/>
        <w:ind w:left="0" w:firstLine="0"/>
      </w:pPr>
      <w:bookmarkStart w:id="37" w:name="_Toc530388341"/>
      <w:bookmarkStart w:id="38" w:name="_Toc2007165"/>
      <w:r>
        <w:t>Online Resource</w:t>
      </w:r>
      <w:r w:rsidRPr="00294094">
        <w:t xml:space="preserve"> </w:t>
      </w:r>
      <w:r>
        <w:t>3</w:t>
      </w:r>
      <w:r w:rsidRPr="00294094">
        <w:t xml:space="preserve">. </w:t>
      </w:r>
      <w:proofErr w:type="spellStart"/>
      <w:r w:rsidRPr="00294094">
        <w:t>HRQoL</w:t>
      </w:r>
      <w:proofErr w:type="spellEnd"/>
      <w:r w:rsidRPr="00294094">
        <w:t xml:space="preserve"> decrements from various complications</w:t>
      </w:r>
      <w:bookmarkEnd w:id="37"/>
      <w:bookmarkEnd w:id="38"/>
    </w:p>
    <w:tbl>
      <w:tblPr>
        <w:tblW w:w="4922" w:type="pct"/>
        <w:tblLook w:val="04A0" w:firstRow="1" w:lastRow="0" w:firstColumn="1" w:lastColumn="0" w:noHBand="0" w:noVBand="1"/>
      </w:tblPr>
      <w:tblGrid>
        <w:gridCol w:w="6369"/>
        <w:gridCol w:w="1859"/>
        <w:gridCol w:w="986"/>
      </w:tblGrid>
      <w:tr w:rsidR="00670E69" w:rsidRPr="00D976AF" w:rsidTr="00777D0C">
        <w:trPr>
          <w:trHeight w:val="280"/>
        </w:trPr>
        <w:tc>
          <w:tcPr>
            <w:tcW w:w="3456" w:type="pct"/>
            <w:tcBorders>
              <w:top w:val="single" w:sz="12" w:space="0" w:color="002060"/>
              <w:left w:val="nil"/>
              <w:bottom w:val="single" w:sz="8" w:space="0" w:color="000000" w:themeColor="text1"/>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rPr>
                <w:b/>
              </w:rPr>
            </w:pPr>
            <w:r w:rsidRPr="00D976AF">
              <w:rPr>
                <w:b/>
              </w:rPr>
              <w:t>Type</w:t>
            </w:r>
          </w:p>
        </w:tc>
        <w:tc>
          <w:tcPr>
            <w:tcW w:w="1009" w:type="pct"/>
            <w:tcBorders>
              <w:top w:val="single" w:sz="12" w:space="0" w:color="002060"/>
              <w:left w:val="dashed" w:sz="4" w:space="0" w:color="AEAAAA" w:themeColor="background2" w:themeShade="BF"/>
              <w:bottom w:val="single" w:sz="8" w:space="0" w:color="000000" w:themeColor="text1"/>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jc w:val="center"/>
              <w:rPr>
                <w:b/>
              </w:rPr>
            </w:pPr>
            <w:proofErr w:type="spellStart"/>
            <w:r w:rsidRPr="00D976AF">
              <w:rPr>
                <w:b/>
              </w:rPr>
              <w:t>HRQoL</w:t>
            </w:r>
            <w:proofErr w:type="spellEnd"/>
          </w:p>
        </w:tc>
        <w:tc>
          <w:tcPr>
            <w:tcW w:w="535" w:type="pct"/>
            <w:tcBorders>
              <w:top w:val="single" w:sz="12" w:space="0" w:color="002060"/>
              <w:left w:val="dashed" w:sz="4" w:space="0" w:color="AEAAAA" w:themeColor="background2" w:themeShade="BF"/>
              <w:bottom w:val="single" w:sz="8" w:space="0" w:color="000000" w:themeColor="text1"/>
              <w:right w:val="nil"/>
            </w:tcBorders>
            <w:shd w:val="clear" w:color="auto" w:fill="auto"/>
            <w:vAlign w:val="center"/>
            <w:hideMark/>
          </w:tcPr>
          <w:p w:rsidR="00670E69" w:rsidRPr="00D976AF" w:rsidRDefault="00670E69" w:rsidP="00777D0C">
            <w:pPr>
              <w:spacing w:after="0" w:line="240" w:lineRule="auto"/>
              <w:jc w:val="center"/>
              <w:rPr>
                <w:b/>
              </w:rPr>
            </w:pPr>
            <w:r w:rsidRPr="00D976AF">
              <w:rPr>
                <w:b/>
              </w:rPr>
              <w:t>Source</w:t>
            </w:r>
          </w:p>
        </w:tc>
      </w:tr>
      <w:tr w:rsidR="00670E69" w:rsidRPr="00294094" w:rsidTr="00777D0C">
        <w:trPr>
          <w:trHeight w:val="270"/>
        </w:trPr>
        <w:tc>
          <w:tcPr>
            <w:tcW w:w="3456" w:type="pct"/>
            <w:tcBorders>
              <w:top w:val="single" w:sz="8" w:space="0" w:color="000000" w:themeColor="text1"/>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9B520C" w:rsidRDefault="00670E69" w:rsidP="00777D0C">
            <w:pPr>
              <w:spacing w:after="0" w:line="240" w:lineRule="auto"/>
            </w:pPr>
            <w:r w:rsidRPr="009B520C">
              <w:t xml:space="preserve">Baseline </w:t>
            </w:r>
            <w:proofErr w:type="spellStart"/>
            <w:r w:rsidRPr="009B520C">
              <w:t>HRQoL</w:t>
            </w:r>
            <w:proofErr w:type="spellEnd"/>
            <w:r w:rsidRPr="009B520C">
              <w:t xml:space="preserve"> level </w:t>
            </w:r>
          </w:p>
        </w:tc>
        <w:tc>
          <w:tcPr>
            <w:tcW w:w="1009" w:type="pct"/>
            <w:tcBorders>
              <w:top w:val="single" w:sz="8" w:space="0" w:color="000000" w:themeColor="text1"/>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1.027 (0.027)</w:t>
            </w:r>
          </w:p>
        </w:tc>
        <w:tc>
          <w:tcPr>
            <w:tcW w:w="535" w:type="pct"/>
            <w:tcBorders>
              <w:top w:val="single" w:sz="8" w:space="0" w:color="000000" w:themeColor="text1"/>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8A23BA">
            <w:pPr>
              <w:spacing w:after="0" w:line="240" w:lineRule="auto"/>
              <w:jc w:val="center"/>
            </w:pPr>
            <w:r>
              <w:rPr>
                <w:noProof/>
              </w:rPr>
              <w:t>[</w:t>
            </w:r>
            <w:r w:rsidR="008A23BA">
              <w:rPr>
                <w:noProof/>
              </w:rPr>
              <w:t>51</w:t>
            </w:r>
            <w:r>
              <w:rPr>
                <w:noProof/>
              </w:rPr>
              <w:t>]</w:t>
            </w:r>
          </w:p>
        </w:tc>
      </w:tr>
      <w:tr w:rsidR="00670E69" w:rsidRPr="00D976AF"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rPr>
                <w:b/>
              </w:rPr>
            </w:pPr>
            <w:proofErr w:type="spellStart"/>
            <w:r w:rsidRPr="00D976AF">
              <w:rPr>
                <w:b/>
              </w:rPr>
              <w:t>HRQoL</w:t>
            </w:r>
            <w:proofErr w:type="spellEnd"/>
            <w:r w:rsidRPr="00D976AF">
              <w:rPr>
                <w:b/>
              </w:rPr>
              <w:t xml:space="preserve"> decrements</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jc w:val="center"/>
              <w:rPr>
                <w:b/>
              </w:rPr>
            </w:pP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D976AF" w:rsidRDefault="00670E69" w:rsidP="00777D0C">
            <w:pPr>
              <w:spacing w:after="0" w:line="240" w:lineRule="auto"/>
              <w:jc w:val="center"/>
              <w:rPr>
                <w:b/>
              </w:rPr>
            </w:pPr>
          </w:p>
        </w:tc>
      </w:tr>
      <w:tr w:rsidR="00670E69" w:rsidRPr="00C04C99"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C04C99" w:rsidRDefault="00670E69" w:rsidP="00777D0C">
            <w:pPr>
              <w:spacing w:after="0" w:line="240" w:lineRule="auto"/>
              <w:ind w:left="179"/>
              <w:rPr>
                <w:i/>
              </w:rPr>
            </w:pPr>
            <w:r w:rsidRPr="00C04C99">
              <w:rPr>
                <w:i/>
              </w:rPr>
              <w:t>Diabetic complication</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C04C99" w:rsidRDefault="00670E69" w:rsidP="00777D0C">
            <w:pPr>
              <w:spacing w:after="0" w:line="240" w:lineRule="auto"/>
              <w:jc w:val="center"/>
              <w:rPr>
                <w:i/>
              </w:rPr>
            </w:pP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C04C99" w:rsidRDefault="00670E69" w:rsidP="00777D0C">
            <w:pPr>
              <w:spacing w:after="0" w:line="240" w:lineRule="auto"/>
              <w:jc w:val="center"/>
              <w:rPr>
                <w:i/>
              </w:rPr>
            </w:pP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Retinopathy − background, and ME</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−0.040 (0.004)</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777D0C">
            <w:pPr>
              <w:spacing w:after="0" w:line="240" w:lineRule="auto"/>
              <w:jc w:val="center"/>
              <w:rPr>
                <w:color w:val="009FDA"/>
              </w:rPr>
            </w:pPr>
            <w:r>
              <w:rPr>
                <w:noProof/>
              </w:rPr>
              <w:t>[68]</w:t>
            </w: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Retinopathy − PDR</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−0.070 (0.007)</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777D0C">
            <w:pPr>
              <w:spacing w:after="0" w:line="240" w:lineRule="auto"/>
              <w:jc w:val="center"/>
              <w:rPr>
                <w:color w:val="009FDA"/>
                <w:u w:val="single"/>
              </w:rPr>
            </w:pPr>
            <w:r>
              <w:rPr>
                <w:noProof/>
              </w:rPr>
              <w:t>[68]</w:t>
            </w:r>
          </w:p>
        </w:tc>
      </w:tr>
      <w:tr w:rsidR="00670E69" w:rsidRPr="00294094" w:rsidTr="00777D0C">
        <w:trPr>
          <w:trHeight w:val="31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Severe visual loss</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−0.050</w:t>
            </w:r>
            <w:r w:rsidRPr="00294094">
              <w:rPr>
                <w:vertAlign w:val="superscript"/>
              </w:rPr>
              <w:t>a</w:t>
            </w:r>
            <w:r w:rsidRPr="00294094">
              <w:t xml:space="preserve"> (0.005)</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8A23BA">
            <w:pPr>
              <w:spacing w:after="0" w:line="240" w:lineRule="auto"/>
              <w:jc w:val="center"/>
              <w:rPr>
                <w:rFonts w:eastAsia="Times New Roman"/>
                <w:color w:val="000000"/>
              </w:rPr>
            </w:pPr>
            <w:r>
              <w:rPr>
                <w:noProof/>
              </w:rPr>
              <w:t>[</w:t>
            </w:r>
            <w:r w:rsidR="008A23BA">
              <w:rPr>
                <w:noProof/>
              </w:rPr>
              <w:t>39</w:t>
            </w:r>
            <w:r>
              <w:rPr>
                <w:noProof/>
              </w:rPr>
              <w:t>, 69]</w:t>
            </w: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Symptomatic neuropathy</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−0.084 (0.014)</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8A23BA">
            <w:pPr>
              <w:spacing w:after="0" w:line="240" w:lineRule="auto"/>
              <w:jc w:val="center"/>
              <w:rPr>
                <w:color w:val="009FDA"/>
                <w:u w:val="single"/>
              </w:rPr>
            </w:pPr>
            <w:r>
              <w:rPr>
                <w:noProof/>
              </w:rPr>
              <w:t>[</w:t>
            </w:r>
            <w:r w:rsidR="008A23BA">
              <w:rPr>
                <w:noProof/>
              </w:rPr>
              <w:t>51</w:t>
            </w:r>
            <w:r>
              <w:rPr>
                <w:noProof/>
              </w:rPr>
              <w:t>]</w:t>
            </w: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Peripheral vascular disease</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−0.061 (0.015)</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8A23BA">
            <w:pPr>
              <w:spacing w:after="0" w:line="240" w:lineRule="auto"/>
              <w:jc w:val="center"/>
              <w:rPr>
                <w:color w:val="009FDA"/>
                <w:u w:val="single"/>
              </w:rPr>
            </w:pPr>
            <w:r>
              <w:rPr>
                <w:noProof/>
              </w:rPr>
              <w:t>[</w:t>
            </w:r>
            <w:r w:rsidR="008A23BA">
              <w:rPr>
                <w:noProof/>
              </w:rPr>
              <w:t>51</w:t>
            </w:r>
            <w:r>
              <w:rPr>
                <w:noProof/>
              </w:rPr>
              <w:t>]</w:t>
            </w: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LEA (current + subsequent years)</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−0.272 (0.029)</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8A23BA">
            <w:pPr>
              <w:spacing w:after="0" w:line="240" w:lineRule="auto"/>
              <w:jc w:val="center"/>
              <w:rPr>
                <w:rFonts w:eastAsia="Times New Roman"/>
                <w:color w:val="000000"/>
              </w:rPr>
            </w:pPr>
            <w:r>
              <w:rPr>
                <w:noProof/>
              </w:rPr>
              <w:t>[</w:t>
            </w:r>
            <w:r w:rsidR="008A23BA">
              <w:rPr>
                <w:noProof/>
              </w:rPr>
              <w:t>39</w:t>
            </w:r>
            <w:r>
              <w:rPr>
                <w:noProof/>
              </w:rPr>
              <w:t>, 69]</w:t>
            </w: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Microalbuminuria</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8A23BA">
            <w:pPr>
              <w:spacing w:after="0" w:line="240" w:lineRule="auto"/>
              <w:jc w:val="center"/>
              <w:rPr>
                <w:color w:val="009FDA"/>
                <w:u w:val="single"/>
              </w:rPr>
            </w:pPr>
            <w:r>
              <w:rPr>
                <w:noProof/>
              </w:rPr>
              <w:t>[</w:t>
            </w:r>
            <w:r w:rsidR="008A23BA">
              <w:rPr>
                <w:noProof/>
              </w:rPr>
              <w:t>51</w:t>
            </w:r>
            <w:r>
              <w:rPr>
                <w:noProof/>
              </w:rPr>
              <w:t>]</w:t>
            </w: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proofErr w:type="spellStart"/>
            <w:r w:rsidRPr="00294094">
              <w:t>Macroalbuminuria</w:t>
            </w:r>
            <w:proofErr w:type="spellEnd"/>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−0.048 (0.022)</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8A23BA">
            <w:pPr>
              <w:spacing w:after="0" w:line="240" w:lineRule="auto"/>
              <w:jc w:val="center"/>
              <w:rPr>
                <w:color w:val="009FDA"/>
                <w:u w:val="single"/>
              </w:rPr>
            </w:pPr>
            <w:r>
              <w:rPr>
                <w:noProof/>
              </w:rPr>
              <w:t>[</w:t>
            </w:r>
            <w:r w:rsidR="008A23BA">
              <w:rPr>
                <w:noProof/>
              </w:rPr>
              <w:t>51</w:t>
            </w:r>
            <w:r>
              <w:rPr>
                <w:noProof/>
              </w:rPr>
              <w:t>]</w:t>
            </w:r>
          </w:p>
        </w:tc>
      </w:tr>
      <w:tr w:rsidR="00670E69" w:rsidRPr="00294094" w:rsidTr="00777D0C">
        <w:trPr>
          <w:trHeight w:val="31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End-stage renal disease</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−0.263</w:t>
            </w:r>
            <w:r w:rsidRPr="00294094">
              <w:rPr>
                <w:vertAlign w:val="superscript"/>
              </w:rPr>
              <w:t>b</w:t>
            </w:r>
            <w:r w:rsidRPr="00294094">
              <w:t xml:space="preserve"> (0.026)</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8A23BA">
            <w:pPr>
              <w:spacing w:after="0" w:line="240" w:lineRule="auto"/>
              <w:jc w:val="center"/>
              <w:rPr>
                <w:rFonts w:eastAsia="Times New Roman"/>
                <w:color w:val="000000"/>
              </w:rPr>
            </w:pPr>
            <w:r>
              <w:rPr>
                <w:noProof/>
              </w:rPr>
              <w:t>[</w:t>
            </w:r>
            <w:r w:rsidR="008A23BA">
              <w:rPr>
                <w:noProof/>
              </w:rPr>
              <w:t>39</w:t>
            </w:r>
            <w:r>
              <w:rPr>
                <w:noProof/>
              </w:rPr>
              <w:t>, 69]</w:t>
            </w: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 xml:space="preserve">IHD </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−0.041 (0.004)</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hideMark/>
          </w:tcPr>
          <w:p w:rsidR="00670E69" w:rsidRPr="00294094" w:rsidRDefault="00670E69" w:rsidP="008A23BA">
            <w:pPr>
              <w:spacing w:after="0" w:line="240" w:lineRule="auto"/>
              <w:jc w:val="center"/>
              <w:rPr>
                <w:rFonts w:eastAsia="Times New Roman"/>
                <w:color w:val="009FDA"/>
                <w:u w:val="single"/>
              </w:rPr>
            </w:pPr>
            <w:r>
              <w:rPr>
                <w:noProof/>
              </w:rPr>
              <w:t>[</w:t>
            </w:r>
            <w:r w:rsidR="008A23BA">
              <w:rPr>
                <w:noProof/>
              </w:rPr>
              <w:t>39</w:t>
            </w:r>
            <w:r>
              <w:rPr>
                <w:noProof/>
              </w:rPr>
              <w:t>]</w:t>
            </w: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MI (initial year)</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−0.041 (0.004)</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hideMark/>
          </w:tcPr>
          <w:p w:rsidR="00670E69" w:rsidRPr="00294094" w:rsidRDefault="00670E69" w:rsidP="00777D0C">
            <w:pPr>
              <w:spacing w:after="0" w:line="240" w:lineRule="auto"/>
              <w:jc w:val="center"/>
              <w:rPr>
                <w:rFonts w:eastAsia="Times New Roman"/>
                <w:color w:val="009FDA"/>
                <w:u w:val="single"/>
              </w:rPr>
            </w:pPr>
            <w:r>
              <w:rPr>
                <w:noProof/>
              </w:rPr>
              <w:t>[</w:t>
            </w:r>
            <w:r w:rsidR="008A23BA">
              <w:rPr>
                <w:noProof/>
              </w:rPr>
              <w:t>39</w:t>
            </w:r>
            <w:r>
              <w:rPr>
                <w:noProof/>
              </w:rPr>
              <w:t>]</w:t>
            </w: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MI (subsequent years)</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−0.0012 (0.000)</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hideMark/>
          </w:tcPr>
          <w:p w:rsidR="00670E69" w:rsidRPr="00294094" w:rsidRDefault="00670E69" w:rsidP="00777D0C">
            <w:pPr>
              <w:spacing w:after="0" w:line="240" w:lineRule="auto"/>
              <w:jc w:val="center"/>
              <w:rPr>
                <w:rFonts w:eastAsia="Times New Roman"/>
                <w:color w:val="009FDA"/>
                <w:u w:val="single"/>
              </w:rPr>
            </w:pPr>
            <w:r>
              <w:rPr>
                <w:noProof/>
              </w:rPr>
              <w:t>[</w:t>
            </w:r>
            <w:r w:rsidR="008A23BA">
              <w:rPr>
                <w:noProof/>
              </w:rPr>
              <w:t>39</w:t>
            </w:r>
            <w:r>
              <w:rPr>
                <w:noProof/>
              </w:rPr>
              <w:t>]</w:t>
            </w: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Stroke (initial year)</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−0.052 (0.005)</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hideMark/>
          </w:tcPr>
          <w:p w:rsidR="00670E69" w:rsidRPr="00294094" w:rsidRDefault="00670E69" w:rsidP="00777D0C">
            <w:pPr>
              <w:spacing w:after="0" w:line="240" w:lineRule="auto"/>
              <w:jc w:val="center"/>
              <w:rPr>
                <w:rFonts w:eastAsia="Times New Roman"/>
                <w:color w:val="009FDA"/>
                <w:u w:val="single"/>
              </w:rPr>
            </w:pPr>
            <w:r>
              <w:rPr>
                <w:noProof/>
              </w:rPr>
              <w:t>[</w:t>
            </w:r>
            <w:r w:rsidR="008A23BA">
              <w:rPr>
                <w:noProof/>
              </w:rPr>
              <w:t>39</w:t>
            </w:r>
            <w:r>
              <w:rPr>
                <w:noProof/>
              </w:rPr>
              <w:t>]</w:t>
            </w: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Stroke (subsequent years)</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−0.040 (0.004)</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hideMark/>
          </w:tcPr>
          <w:p w:rsidR="00670E69" w:rsidRPr="00294094" w:rsidRDefault="00670E69" w:rsidP="00777D0C">
            <w:pPr>
              <w:spacing w:after="0" w:line="240" w:lineRule="auto"/>
              <w:jc w:val="center"/>
              <w:rPr>
                <w:rFonts w:eastAsia="Times New Roman"/>
                <w:color w:val="009FDA"/>
                <w:u w:val="single"/>
              </w:rPr>
            </w:pPr>
            <w:r>
              <w:rPr>
                <w:noProof/>
              </w:rPr>
              <w:t>[</w:t>
            </w:r>
            <w:r w:rsidR="008A23BA">
              <w:rPr>
                <w:noProof/>
              </w:rPr>
              <w:t>39</w:t>
            </w:r>
            <w:r>
              <w:rPr>
                <w:noProof/>
              </w:rPr>
              <w:t>]</w:t>
            </w: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CHF</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−0.064 (0.006)</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hideMark/>
          </w:tcPr>
          <w:p w:rsidR="00670E69" w:rsidRPr="00294094" w:rsidRDefault="00670E69" w:rsidP="00777D0C">
            <w:pPr>
              <w:spacing w:after="0" w:line="240" w:lineRule="auto"/>
              <w:jc w:val="center"/>
              <w:rPr>
                <w:rFonts w:eastAsia="Times New Roman"/>
                <w:color w:val="009FDA"/>
                <w:u w:val="single"/>
              </w:rPr>
            </w:pPr>
            <w:r>
              <w:rPr>
                <w:noProof/>
              </w:rPr>
              <w:t>[</w:t>
            </w:r>
            <w:r w:rsidR="008A23BA">
              <w:rPr>
                <w:noProof/>
              </w:rPr>
              <w:t>39</w:t>
            </w:r>
            <w:r>
              <w:rPr>
                <w:noProof/>
              </w:rPr>
              <w:t>]</w:t>
            </w:r>
          </w:p>
        </w:tc>
      </w:tr>
      <w:tr w:rsidR="00670E69" w:rsidRPr="00C04C99" w:rsidTr="00777D0C">
        <w:trPr>
          <w:trHeight w:val="341"/>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C04C99" w:rsidRDefault="00670E69" w:rsidP="00777D0C">
            <w:pPr>
              <w:spacing w:after="0" w:line="240" w:lineRule="auto"/>
              <w:ind w:left="179"/>
              <w:rPr>
                <w:i/>
              </w:rPr>
            </w:pPr>
            <w:r w:rsidRPr="00C04C99">
              <w:rPr>
                <w:i/>
              </w:rPr>
              <w:t>Population characteristics</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C04C99" w:rsidRDefault="00670E69" w:rsidP="00777D0C">
            <w:pPr>
              <w:spacing w:after="0" w:line="240" w:lineRule="auto"/>
              <w:jc w:val="center"/>
              <w:rPr>
                <w:i/>
              </w:rPr>
            </w:pP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C04C99" w:rsidRDefault="00670E69" w:rsidP="00777D0C">
            <w:pPr>
              <w:spacing w:after="0" w:line="240" w:lineRule="auto"/>
              <w:jc w:val="center"/>
              <w:rPr>
                <w:i/>
              </w:rPr>
            </w:pP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Per every 10 years increase in age</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−0.024 (&lt;0.001)</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8A23BA">
            <w:pPr>
              <w:spacing w:after="0" w:line="240" w:lineRule="auto"/>
              <w:jc w:val="center"/>
              <w:rPr>
                <w:color w:val="009FDA"/>
                <w:u w:val="single"/>
              </w:rPr>
            </w:pPr>
            <w:r>
              <w:rPr>
                <w:noProof/>
              </w:rPr>
              <w:t>[</w:t>
            </w:r>
            <w:r w:rsidR="008A23BA">
              <w:rPr>
                <w:noProof/>
              </w:rPr>
              <w:t>51</w:t>
            </w:r>
            <w:r>
              <w:rPr>
                <w:noProof/>
              </w:rPr>
              <w:t>]</w:t>
            </w: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Female</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−0.093 (0.009)</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777D0C">
            <w:pPr>
              <w:spacing w:after="0" w:line="240" w:lineRule="auto"/>
              <w:jc w:val="center"/>
              <w:rPr>
                <w:color w:val="009FDA"/>
                <w:u w:val="single"/>
              </w:rPr>
            </w:pPr>
            <w:r>
              <w:rPr>
                <w:noProof/>
              </w:rPr>
              <w:t>[</w:t>
            </w:r>
            <w:r w:rsidR="008A23BA">
              <w:rPr>
                <w:noProof/>
              </w:rPr>
              <w:t>51</w:t>
            </w:r>
            <w:r>
              <w:rPr>
                <w:noProof/>
              </w:rPr>
              <w:t>]</w:t>
            </w: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 xml:space="preserve">Per every additional 10 years of diabetes </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−0.016 (0.001)</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777D0C">
            <w:pPr>
              <w:spacing w:after="0" w:line="240" w:lineRule="auto"/>
              <w:jc w:val="center"/>
              <w:rPr>
                <w:color w:val="009FDA"/>
                <w:u w:val="single"/>
              </w:rPr>
            </w:pPr>
            <w:r>
              <w:rPr>
                <w:noProof/>
              </w:rPr>
              <w:t>[</w:t>
            </w:r>
            <w:r w:rsidR="008A23BA">
              <w:rPr>
                <w:noProof/>
              </w:rPr>
              <w:t>51</w:t>
            </w:r>
            <w:r>
              <w:rPr>
                <w:noProof/>
              </w:rPr>
              <w:t>]</w:t>
            </w: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 xml:space="preserve">Per unit increase in BMI over 25 </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−0.006 (0.001)</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777D0C">
            <w:pPr>
              <w:spacing w:after="0" w:line="240" w:lineRule="auto"/>
              <w:jc w:val="center"/>
              <w:rPr>
                <w:color w:val="009FDA"/>
                <w:u w:val="single"/>
              </w:rPr>
            </w:pPr>
            <w:r>
              <w:rPr>
                <w:noProof/>
              </w:rPr>
              <w:t>[</w:t>
            </w:r>
            <w:r w:rsidR="008A23BA">
              <w:rPr>
                <w:noProof/>
              </w:rPr>
              <w:t>51</w:t>
            </w:r>
            <w:r>
              <w:rPr>
                <w:noProof/>
              </w:rPr>
              <w:t>]</w:t>
            </w:r>
          </w:p>
        </w:tc>
      </w:tr>
      <w:tr w:rsidR="00670E69" w:rsidRPr="00C04C99" w:rsidTr="00777D0C">
        <w:trPr>
          <w:trHeight w:val="28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C04C99" w:rsidRDefault="00670E69" w:rsidP="00777D0C">
            <w:pPr>
              <w:spacing w:after="0" w:line="240" w:lineRule="auto"/>
              <w:ind w:left="179"/>
              <w:rPr>
                <w:i/>
              </w:rPr>
            </w:pPr>
            <w:r w:rsidRPr="00C04C99">
              <w:rPr>
                <w:i/>
              </w:rPr>
              <w:t xml:space="preserve">Hypoglycemic events </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hideMark/>
          </w:tcPr>
          <w:p w:rsidR="00670E69" w:rsidRPr="00C04C99" w:rsidRDefault="00670E69" w:rsidP="00777D0C">
            <w:pPr>
              <w:spacing w:after="0" w:line="240" w:lineRule="auto"/>
              <w:jc w:val="center"/>
              <w:rPr>
                <w:i/>
              </w:rPr>
            </w:pP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C04C99" w:rsidRDefault="00670E69" w:rsidP="00777D0C">
            <w:pPr>
              <w:spacing w:after="0" w:line="240" w:lineRule="auto"/>
              <w:jc w:val="center"/>
              <w:rPr>
                <w:i/>
              </w:rPr>
            </w:pPr>
          </w:p>
        </w:tc>
      </w:tr>
      <w:tr w:rsidR="00670E69" w:rsidRPr="00294094" w:rsidTr="00777D0C">
        <w:trPr>
          <w:trHeight w:val="270"/>
        </w:trPr>
        <w:tc>
          <w:tcPr>
            <w:tcW w:w="3456" w:type="pct"/>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Non-severe hypoglycemia</w:t>
            </w:r>
          </w:p>
        </w:tc>
        <w:tc>
          <w:tcPr>
            <w:tcW w:w="1009" w:type="pct"/>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−0.014 (0.001)</w:t>
            </w:r>
          </w:p>
        </w:tc>
        <w:tc>
          <w:tcPr>
            <w:tcW w:w="535" w:type="pct"/>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8A23BA">
            <w:pPr>
              <w:spacing w:after="0" w:line="240" w:lineRule="auto"/>
              <w:jc w:val="center"/>
              <w:rPr>
                <w:rFonts w:eastAsia="Times New Roman"/>
                <w:color w:val="000000"/>
              </w:rPr>
            </w:pPr>
            <w:r>
              <w:rPr>
                <w:noProof/>
              </w:rPr>
              <w:t>[</w:t>
            </w:r>
            <w:r w:rsidR="008A23BA">
              <w:rPr>
                <w:noProof/>
              </w:rPr>
              <w:t>39</w:t>
            </w:r>
            <w:r>
              <w:rPr>
                <w:noProof/>
              </w:rPr>
              <w:t>, 69]</w:t>
            </w:r>
          </w:p>
        </w:tc>
      </w:tr>
      <w:tr w:rsidR="00670E69" w:rsidRPr="00294094" w:rsidTr="00777D0C">
        <w:trPr>
          <w:trHeight w:val="280"/>
        </w:trPr>
        <w:tc>
          <w:tcPr>
            <w:tcW w:w="3456" w:type="pct"/>
            <w:tcBorders>
              <w:top w:val="single" w:sz="4" w:space="0" w:color="AEAAAA" w:themeColor="background2" w:themeShade="BF"/>
              <w:left w:val="nil"/>
              <w:bottom w:val="single" w:sz="12" w:space="0" w:color="002060"/>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321"/>
            </w:pPr>
            <w:r w:rsidRPr="00294094">
              <w:t>Severe hypoglycemia</w:t>
            </w:r>
          </w:p>
        </w:tc>
        <w:tc>
          <w:tcPr>
            <w:tcW w:w="1009" w:type="pct"/>
            <w:tcBorders>
              <w:top w:val="single" w:sz="4" w:space="0" w:color="AEAAAA" w:themeColor="background2" w:themeShade="BF"/>
              <w:left w:val="dashed" w:sz="4" w:space="0" w:color="AEAAAA" w:themeColor="background2" w:themeShade="BF"/>
              <w:bottom w:val="single" w:sz="12" w:space="0" w:color="002060"/>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−0.047 (0.005)</w:t>
            </w:r>
          </w:p>
        </w:tc>
        <w:tc>
          <w:tcPr>
            <w:tcW w:w="535" w:type="pct"/>
            <w:tcBorders>
              <w:top w:val="single" w:sz="4" w:space="0" w:color="AEAAAA" w:themeColor="background2" w:themeShade="BF"/>
              <w:left w:val="dashed" w:sz="4" w:space="0" w:color="AEAAAA" w:themeColor="background2" w:themeShade="BF"/>
              <w:bottom w:val="single" w:sz="12" w:space="0" w:color="002060"/>
              <w:right w:val="nil"/>
            </w:tcBorders>
            <w:shd w:val="clear" w:color="auto" w:fill="auto"/>
            <w:vAlign w:val="center"/>
            <w:hideMark/>
          </w:tcPr>
          <w:p w:rsidR="00670E69" w:rsidRPr="00294094" w:rsidRDefault="00670E69" w:rsidP="008A23BA">
            <w:pPr>
              <w:spacing w:after="0" w:line="240" w:lineRule="auto"/>
              <w:jc w:val="center"/>
              <w:rPr>
                <w:rFonts w:eastAsia="Times New Roman"/>
                <w:color w:val="000000"/>
              </w:rPr>
            </w:pPr>
            <w:r>
              <w:rPr>
                <w:noProof/>
              </w:rPr>
              <w:t>[</w:t>
            </w:r>
            <w:r w:rsidR="008A23BA">
              <w:rPr>
                <w:noProof/>
              </w:rPr>
              <w:t>39</w:t>
            </w:r>
            <w:r>
              <w:rPr>
                <w:noProof/>
              </w:rPr>
              <w:t>, 69]</w:t>
            </w:r>
          </w:p>
        </w:tc>
      </w:tr>
    </w:tbl>
    <w:p w:rsidR="00670E69" w:rsidRPr="00D976AF" w:rsidRDefault="00670E69" w:rsidP="00777D0C">
      <w:pPr>
        <w:spacing w:line="276" w:lineRule="auto"/>
        <w:rPr>
          <w:sz w:val="22"/>
          <w:szCs w:val="22"/>
        </w:rPr>
        <w:sectPr w:rsidR="00670E69" w:rsidRPr="00D976AF" w:rsidSect="00777D0C">
          <w:pgSz w:w="12240" w:h="15840"/>
          <w:pgMar w:top="1440" w:right="1440" w:bottom="1440" w:left="1440" w:header="709" w:footer="709" w:gutter="0"/>
          <w:cols w:space="708"/>
          <w:docGrid w:linePitch="360"/>
        </w:sectPr>
      </w:pPr>
      <w:proofErr w:type="spellStart"/>
      <w:proofErr w:type="gramStart"/>
      <w:r w:rsidRPr="00D976AF">
        <w:rPr>
          <w:sz w:val="22"/>
          <w:szCs w:val="22"/>
          <w:vertAlign w:val="superscript"/>
        </w:rPr>
        <w:t>a</w:t>
      </w:r>
      <w:r w:rsidRPr="00D976AF">
        <w:rPr>
          <w:sz w:val="22"/>
          <w:szCs w:val="22"/>
        </w:rPr>
        <w:t>Utility</w:t>
      </w:r>
      <w:proofErr w:type="spellEnd"/>
      <w:proofErr w:type="gramEnd"/>
      <w:r w:rsidRPr="00D976AF">
        <w:rPr>
          <w:sz w:val="22"/>
          <w:szCs w:val="22"/>
        </w:rPr>
        <w:t xml:space="preserve"> decrement associated with blindness. </w:t>
      </w:r>
      <w:proofErr w:type="spellStart"/>
      <w:proofErr w:type="gramStart"/>
      <w:r w:rsidRPr="00D976AF">
        <w:rPr>
          <w:sz w:val="22"/>
          <w:szCs w:val="22"/>
          <w:vertAlign w:val="superscript"/>
        </w:rPr>
        <w:t>b</w:t>
      </w:r>
      <w:r w:rsidRPr="00D976AF">
        <w:rPr>
          <w:sz w:val="22"/>
          <w:szCs w:val="22"/>
        </w:rPr>
        <w:t>Utility</w:t>
      </w:r>
      <w:proofErr w:type="spellEnd"/>
      <w:proofErr w:type="gramEnd"/>
      <w:r w:rsidRPr="00D976AF">
        <w:rPr>
          <w:sz w:val="22"/>
          <w:szCs w:val="22"/>
        </w:rPr>
        <w:t xml:space="preserve"> decrement associated with renal failure. </w:t>
      </w:r>
      <w:proofErr w:type="spellStart"/>
      <w:r w:rsidRPr="00D976AF">
        <w:rPr>
          <w:sz w:val="22"/>
          <w:szCs w:val="22"/>
        </w:rPr>
        <w:t>HRQoL</w:t>
      </w:r>
      <w:proofErr w:type="spellEnd"/>
      <w:r w:rsidRPr="00D976AF">
        <w:rPr>
          <w:sz w:val="22"/>
          <w:szCs w:val="22"/>
        </w:rPr>
        <w:t xml:space="preserve"> is reported as a baseline </w:t>
      </w:r>
      <w:proofErr w:type="spellStart"/>
      <w:r w:rsidRPr="00D976AF">
        <w:rPr>
          <w:sz w:val="22"/>
          <w:szCs w:val="22"/>
        </w:rPr>
        <w:t>HRQoL</w:t>
      </w:r>
      <w:proofErr w:type="spellEnd"/>
      <w:r w:rsidRPr="00D976AF">
        <w:rPr>
          <w:sz w:val="22"/>
          <w:szCs w:val="22"/>
        </w:rPr>
        <w:t xml:space="preserve"> value minus the totality of </w:t>
      </w:r>
      <w:proofErr w:type="spellStart"/>
      <w:r w:rsidRPr="00D976AF">
        <w:rPr>
          <w:sz w:val="22"/>
          <w:szCs w:val="22"/>
        </w:rPr>
        <w:t>HRQoL</w:t>
      </w:r>
      <w:proofErr w:type="spellEnd"/>
      <w:r w:rsidRPr="00D976AF">
        <w:rPr>
          <w:sz w:val="22"/>
          <w:szCs w:val="22"/>
        </w:rPr>
        <w:t xml:space="preserve"> decrements resulting from micro- and </w:t>
      </w:r>
      <w:proofErr w:type="spellStart"/>
      <w:r w:rsidRPr="00D976AF">
        <w:rPr>
          <w:sz w:val="22"/>
          <w:szCs w:val="22"/>
        </w:rPr>
        <w:t>macrovascular</w:t>
      </w:r>
      <w:proofErr w:type="spellEnd"/>
      <w:r w:rsidRPr="00D976AF">
        <w:rPr>
          <w:sz w:val="22"/>
          <w:szCs w:val="22"/>
        </w:rPr>
        <w:t xml:space="preserve"> complications, age, gender, diabetes duration and obesity. Values reported are means (10% standard error). In addition, QALY decrements, based on data from the study by Currie et al. </w:t>
      </w:r>
      <w:r w:rsidRPr="00D976AF">
        <w:rPr>
          <w:noProof/>
          <w:sz w:val="22"/>
          <w:szCs w:val="22"/>
        </w:rPr>
        <w:t>[70]</w:t>
      </w:r>
      <w:r w:rsidRPr="00D976AF">
        <w:rPr>
          <w:sz w:val="22"/>
          <w:szCs w:val="22"/>
        </w:rPr>
        <w:t xml:space="preserve">, were assumed for each type of hypoglycemia (non-severe and severe) and multiplied by the number of events. Costs and </w:t>
      </w:r>
      <w:proofErr w:type="spellStart"/>
      <w:r w:rsidRPr="00D976AF">
        <w:rPr>
          <w:sz w:val="22"/>
          <w:szCs w:val="22"/>
        </w:rPr>
        <w:t>HRQoL</w:t>
      </w:r>
      <w:proofErr w:type="spellEnd"/>
      <w:r w:rsidRPr="00D976AF">
        <w:rPr>
          <w:sz w:val="22"/>
          <w:szCs w:val="22"/>
        </w:rPr>
        <w:t xml:space="preserve"> weights were applied to the cohort in each cycle. The decrement incurred from a complication occurring during one cycle was assumed to remain throughout the model’s time horizon. The combination of </w:t>
      </w:r>
      <w:proofErr w:type="spellStart"/>
      <w:r w:rsidRPr="00D976AF">
        <w:rPr>
          <w:sz w:val="22"/>
          <w:szCs w:val="22"/>
        </w:rPr>
        <w:t>disutilities</w:t>
      </w:r>
      <w:proofErr w:type="spellEnd"/>
      <w:r w:rsidRPr="00D976AF">
        <w:rPr>
          <w:sz w:val="22"/>
          <w:szCs w:val="22"/>
        </w:rPr>
        <w:t xml:space="preserve"> from differing complications is additive (not multiplicative), because the disutility values from the various disutility studies are often derived with linear regression analysis, e.g. in the frequently used CODE-2 study </w:t>
      </w:r>
      <w:r w:rsidRPr="00D976AF">
        <w:rPr>
          <w:noProof/>
          <w:sz w:val="22"/>
          <w:szCs w:val="22"/>
        </w:rPr>
        <w:t>[</w:t>
      </w:r>
      <w:r w:rsidR="008A23BA">
        <w:rPr>
          <w:noProof/>
          <w:sz w:val="22"/>
          <w:szCs w:val="22"/>
        </w:rPr>
        <w:t>51</w:t>
      </w:r>
      <w:r w:rsidRPr="00D976AF">
        <w:rPr>
          <w:noProof/>
          <w:sz w:val="22"/>
          <w:szCs w:val="22"/>
        </w:rPr>
        <w:t>]</w:t>
      </w:r>
      <w:r w:rsidRPr="00D976AF">
        <w:rPr>
          <w:sz w:val="22"/>
          <w:szCs w:val="22"/>
        </w:rPr>
        <w:t xml:space="preserve">. A similar methodology was applied in the UKPDS economic model </w:t>
      </w:r>
      <w:r w:rsidRPr="00D976AF">
        <w:rPr>
          <w:noProof/>
          <w:sz w:val="22"/>
          <w:szCs w:val="22"/>
        </w:rPr>
        <w:t>[13]</w:t>
      </w:r>
      <w:r w:rsidRPr="00D976AF">
        <w:rPr>
          <w:sz w:val="22"/>
          <w:szCs w:val="22"/>
        </w:rPr>
        <w:t xml:space="preserve">. CHF, congestive heart failure; </w:t>
      </w:r>
      <w:r w:rsidRPr="00D976AF">
        <w:rPr>
          <w:rFonts w:eastAsia="Times New Roman"/>
          <w:color w:val="000000"/>
          <w:sz w:val="22"/>
          <w:szCs w:val="22"/>
        </w:rPr>
        <w:t>HbA</w:t>
      </w:r>
      <w:r w:rsidRPr="00D976AF">
        <w:rPr>
          <w:rFonts w:eastAsia="Times New Roman"/>
          <w:color w:val="000000"/>
          <w:sz w:val="22"/>
          <w:szCs w:val="22"/>
          <w:vertAlign w:val="subscript"/>
        </w:rPr>
        <w:t>1c</w:t>
      </w:r>
      <w:r w:rsidRPr="00D976AF">
        <w:rPr>
          <w:rFonts w:eastAsia="Times New Roman"/>
          <w:color w:val="000000"/>
          <w:sz w:val="22"/>
          <w:szCs w:val="22"/>
        </w:rPr>
        <w:t xml:space="preserve">, glycated hemoglobin; </w:t>
      </w:r>
      <w:proofErr w:type="spellStart"/>
      <w:r w:rsidRPr="00D976AF">
        <w:rPr>
          <w:sz w:val="22"/>
          <w:szCs w:val="22"/>
        </w:rPr>
        <w:t>HRQoL</w:t>
      </w:r>
      <w:proofErr w:type="spellEnd"/>
      <w:r w:rsidRPr="00D976AF">
        <w:rPr>
          <w:sz w:val="22"/>
          <w:szCs w:val="22"/>
        </w:rPr>
        <w:t>, health-related quality of life; IHD, ischemic heart disease; LEA, lower-extremity amputation; ME, macular edema; MI, myocardial infarction; PDR, proliferative diabetic retinopathy; QALY, quality-adjusted life-years; UKPDS, United Kingdom Prospective Diabetes Study</w:t>
      </w:r>
    </w:p>
    <w:p w:rsidR="00670E69" w:rsidRPr="00294094" w:rsidRDefault="00670E69" w:rsidP="00F323D1">
      <w:pPr>
        <w:pStyle w:val="Heading1"/>
        <w:ind w:left="0" w:firstLine="0"/>
      </w:pPr>
      <w:bookmarkStart w:id="39" w:name="_Toc530388342"/>
      <w:bookmarkStart w:id="40" w:name="_Toc2007166"/>
      <w:r>
        <w:t>Online Resource 4</w:t>
      </w:r>
      <w:r w:rsidRPr="00294094">
        <w:t>. Cost for diabetes-related complications in first and subsequent years</w:t>
      </w:r>
      <w:bookmarkEnd w:id="39"/>
      <w:bookmarkEnd w:id="40"/>
    </w:p>
    <w:tbl>
      <w:tblPr>
        <w:tblW w:w="9356" w:type="dxa"/>
        <w:tblLook w:val="04A0" w:firstRow="1" w:lastRow="0" w:firstColumn="1" w:lastColumn="0" w:noHBand="0" w:noVBand="1"/>
      </w:tblPr>
      <w:tblGrid>
        <w:gridCol w:w="3402"/>
        <w:gridCol w:w="2268"/>
        <w:gridCol w:w="2268"/>
        <w:gridCol w:w="1418"/>
      </w:tblGrid>
      <w:tr w:rsidR="00670E69" w:rsidRPr="00D976AF" w:rsidTr="00777D0C">
        <w:trPr>
          <w:trHeight w:val="270"/>
        </w:trPr>
        <w:tc>
          <w:tcPr>
            <w:tcW w:w="3402" w:type="dxa"/>
            <w:tcBorders>
              <w:top w:val="single" w:sz="12" w:space="0" w:color="002060"/>
              <w:left w:val="nil"/>
              <w:bottom w:val="single" w:sz="8" w:space="0" w:color="auto"/>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rPr>
                <w:b/>
              </w:rPr>
            </w:pPr>
            <w:r w:rsidRPr="00D976AF">
              <w:rPr>
                <w:b/>
              </w:rPr>
              <w:t>State of complication</w:t>
            </w:r>
          </w:p>
        </w:tc>
        <w:tc>
          <w:tcPr>
            <w:tcW w:w="4536" w:type="dxa"/>
            <w:gridSpan w:val="2"/>
            <w:tcBorders>
              <w:top w:val="single" w:sz="12" w:space="0" w:color="002060"/>
              <w:left w:val="dashed" w:sz="4" w:space="0" w:color="AEAAAA" w:themeColor="background2" w:themeShade="BF"/>
              <w:bottom w:val="single" w:sz="8" w:space="0" w:color="auto"/>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jc w:val="center"/>
              <w:rPr>
                <w:b/>
              </w:rPr>
            </w:pPr>
            <w:r w:rsidRPr="00D976AF">
              <w:rPr>
                <w:b/>
              </w:rPr>
              <w:t>Costs, CAD</w:t>
            </w:r>
          </w:p>
        </w:tc>
        <w:tc>
          <w:tcPr>
            <w:tcW w:w="1418" w:type="dxa"/>
            <w:tcBorders>
              <w:top w:val="single" w:sz="12" w:space="0" w:color="002060"/>
              <w:left w:val="dashed" w:sz="4" w:space="0" w:color="AEAAAA" w:themeColor="background2" w:themeShade="BF"/>
              <w:bottom w:val="single" w:sz="8" w:space="0" w:color="auto"/>
              <w:right w:val="nil"/>
            </w:tcBorders>
            <w:shd w:val="clear" w:color="auto" w:fill="auto"/>
            <w:vAlign w:val="center"/>
            <w:hideMark/>
          </w:tcPr>
          <w:p w:rsidR="00670E69" w:rsidRPr="00D976AF" w:rsidRDefault="00670E69" w:rsidP="00777D0C">
            <w:pPr>
              <w:spacing w:after="0" w:line="240" w:lineRule="auto"/>
              <w:jc w:val="center"/>
              <w:rPr>
                <w:b/>
              </w:rPr>
            </w:pPr>
            <w:r w:rsidRPr="00D976AF">
              <w:rPr>
                <w:b/>
              </w:rPr>
              <w:t>Source</w:t>
            </w:r>
          </w:p>
        </w:tc>
      </w:tr>
      <w:tr w:rsidR="00670E69" w:rsidRPr="00D976AF" w:rsidTr="00777D0C">
        <w:trPr>
          <w:trHeight w:val="136"/>
        </w:trPr>
        <w:tc>
          <w:tcPr>
            <w:tcW w:w="3402" w:type="dxa"/>
            <w:tcBorders>
              <w:top w:val="single" w:sz="8" w:space="0" w:color="auto"/>
              <w:left w:val="nil"/>
              <w:bottom w:val="single" w:sz="8" w:space="0" w:color="auto"/>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rPr>
                <w:b/>
              </w:rPr>
            </w:pPr>
          </w:p>
        </w:tc>
        <w:tc>
          <w:tcPr>
            <w:tcW w:w="2268" w:type="dxa"/>
            <w:tcBorders>
              <w:top w:val="single" w:sz="8" w:space="0" w:color="auto"/>
              <w:left w:val="dashed" w:sz="4" w:space="0" w:color="AEAAAA" w:themeColor="background2" w:themeShade="BF"/>
              <w:bottom w:val="single" w:sz="8" w:space="0" w:color="auto"/>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jc w:val="center"/>
              <w:rPr>
                <w:b/>
              </w:rPr>
            </w:pPr>
            <w:r w:rsidRPr="00D976AF">
              <w:rPr>
                <w:b/>
              </w:rPr>
              <w:t>First year</w:t>
            </w:r>
          </w:p>
        </w:tc>
        <w:tc>
          <w:tcPr>
            <w:tcW w:w="2268" w:type="dxa"/>
            <w:tcBorders>
              <w:top w:val="single" w:sz="8" w:space="0" w:color="auto"/>
              <w:left w:val="dashed" w:sz="4" w:space="0" w:color="AEAAAA" w:themeColor="background2" w:themeShade="BF"/>
              <w:bottom w:val="single" w:sz="8" w:space="0" w:color="auto"/>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jc w:val="center"/>
              <w:rPr>
                <w:b/>
              </w:rPr>
            </w:pPr>
            <w:r w:rsidRPr="00D976AF">
              <w:rPr>
                <w:b/>
              </w:rPr>
              <w:t>Subsequent years</w:t>
            </w:r>
          </w:p>
        </w:tc>
        <w:tc>
          <w:tcPr>
            <w:tcW w:w="1418" w:type="dxa"/>
            <w:tcBorders>
              <w:top w:val="single" w:sz="8" w:space="0" w:color="auto"/>
              <w:left w:val="dashed" w:sz="4" w:space="0" w:color="AEAAAA" w:themeColor="background2" w:themeShade="BF"/>
              <w:bottom w:val="single" w:sz="8" w:space="0" w:color="auto"/>
              <w:right w:val="nil"/>
            </w:tcBorders>
            <w:shd w:val="clear" w:color="auto" w:fill="auto"/>
            <w:vAlign w:val="center"/>
            <w:hideMark/>
          </w:tcPr>
          <w:p w:rsidR="00670E69" w:rsidRPr="00D976AF" w:rsidRDefault="00670E69" w:rsidP="00777D0C">
            <w:pPr>
              <w:spacing w:after="0" w:line="240" w:lineRule="auto"/>
              <w:jc w:val="center"/>
              <w:rPr>
                <w:b/>
              </w:rPr>
            </w:pPr>
          </w:p>
        </w:tc>
      </w:tr>
      <w:tr w:rsidR="00670E69" w:rsidRPr="00D976AF" w:rsidTr="00777D0C">
        <w:trPr>
          <w:trHeight w:val="136"/>
        </w:trPr>
        <w:tc>
          <w:tcPr>
            <w:tcW w:w="3402" w:type="dxa"/>
            <w:tcBorders>
              <w:top w:val="single" w:sz="8" w:space="0" w:color="auto"/>
              <w:left w:val="nil"/>
              <w:bottom w:val="nil"/>
              <w:right w:val="dashed" w:sz="4" w:space="0" w:color="AEAAAA" w:themeColor="background2" w:themeShade="BF"/>
            </w:tcBorders>
            <w:shd w:val="clear" w:color="auto" w:fill="auto"/>
            <w:vAlign w:val="center"/>
          </w:tcPr>
          <w:p w:rsidR="00670E69" w:rsidRPr="00D976AF" w:rsidRDefault="00670E69" w:rsidP="00777D0C">
            <w:pPr>
              <w:spacing w:after="0" w:line="240" w:lineRule="auto"/>
              <w:rPr>
                <w:b/>
              </w:rPr>
            </w:pPr>
            <w:r w:rsidRPr="00D976AF">
              <w:rPr>
                <w:b/>
              </w:rPr>
              <w:t>Stages of retinopathy</w:t>
            </w:r>
          </w:p>
        </w:tc>
        <w:tc>
          <w:tcPr>
            <w:tcW w:w="2268" w:type="dxa"/>
            <w:tcBorders>
              <w:top w:val="single" w:sz="8" w:space="0" w:color="auto"/>
              <w:left w:val="dashed" w:sz="4" w:space="0" w:color="AEAAAA" w:themeColor="background2" w:themeShade="BF"/>
              <w:bottom w:val="nil"/>
              <w:right w:val="dashed" w:sz="4" w:space="0" w:color="AEAAAA" w:themeColor="background2" w:themeShade="BF"/>
            </w:tcBorders>
            <w:shd w:val="clear" w:color="auto" w:fill="auto"/>
            <w:vAlign w:val="center"/>
          </w:tcPr>
          <w:p w:rsidR="00670E69" w:rsidRPr="00D976AF" w:rsidRDefault="00670E69" w:rsidP="00777D0C">
            <w:pPr>
              <w:spacing w:after="0" w:line="240" w:lineRule="auto"/>
              <w:jc w:val="center"/>
              <w:rPr>
                <w:b/>
              </w:rPr>
            </w:pPr>
          </w:p>
        </w:tc>
        <w:tc>
          <w:tcPr>
            <w:tcW w:w="2268" w:type="dxa"/>
            <w:tcBorders>
              <w:top w:val="single" w:sz="8" w:space="0" w:color="auto"/>
              <w:left w:val="dashed" w:sz="4" w:space="0" w:color="AEAAAA" w:themeColor="background2" w:themeShade="BF"/>
              <w:bottom w:val="nil"/>
              <w:right w:val="dashed" w:sz="4" w:space="0" w:color="AEAAAA" w:themeColor="background2" w:themeShade="BF"/>
            </w:tcBorders>
            <w:shd w:val="clear" w:color="auto" w:fill="auto"/>
            <w:vAlign w:val="center"/>
          </w:tcPr>
          <w:p w:rsidR="00670E69" w:rsidRPr="00D976AF" w:rsidRDefault="00670E69" w:rsidP="00777D0C">
            <w:pPr>
              <w:spacing w:after="0" w:line="240" w:lineRule="auto"/>
              <w:jc w:val="center"/>
              <w:rPr>
                <w:b/>
              </w:rPr>
            </w:pPr>
          </w:p>
        </w:tc>
        <w:tc>
          <w:tcPr>
            <w:tcW w:w="1418" w:type="dxa"/>
            <w:tcBorders>
              <w:top w:val="single" w:sz="8" w:space="0" w:color="auto"/>
              <w:left w:val="dashed" w:sz="4" w:space="0" w:color="AEAAAA" w:themeColor="background2" w:themeShade="BF"/>
              <w:bottom w:val="nil"/>
              <w:right w:val="nil"/>
            </w:tcBorders>
            <w:shd w:val="clear" w:color="auto" w:fill="auto"/>
            <w:vAlign w:val="center"/>
          </w:tcPr>
          <w:p w:rsidR="00670E69" w:rsidRPr="00D976AF" w:rsidRDefault="00670E69" w:rsidP="00777D0C">
            <w:pPr>
              <w:spacing w:after="0" w:line="240" w:lineRule="auto"/>
              <w:jc w:val="center"/>
              <w:rPr>
                <w:b/>
              </w:rPr>
            </w:pPr>
          </w:p>
        </w:tc>
      </w:tr>
      <w:tr w:rsidR="00670E69" w:rsidRPr="00294094" w:rsidTr="00777D0C">
        <w:trPr>
          <w:trHeight w:val="354"/>
        </w:trPr>
        <w:tc>
          <w:tcPr>
            <w:tcW w:w="3402"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Background DR</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640</w:t>
            </w:r>
            <w:r w:rsidRPr="00294094">
              <w:rPr>
                <w:vertAlign w:val="superscript"/>
              </w:rPr>
              <w:t>a</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73</w:t>
            </w:r>
            <w:r w:rsidRPr="00294094">
              <w:rPr>
                <w:vertAlign w:val="superscript"/>
              </w:rPr>
              <w:t>a</w:t>
            </w:r>
          </w:p>
        </w:tc>
        <w:tc>
          <w:tcPr>
            <w:tcW w:w="1418" w:type="dxa"/>
            <w:tcBorders>
              <w:top w:val="nil"/>
              <w:left w:val="dashed" w:sz="4" w:space="0" w:color="AEAAAA" w:themeColor="background2" w:themeShade="BF"/>
              <w:bottom w:val="nil"/>
              <w:right w:val="nil"/>
            </w:tcBorders>
            <w:shd w:val="clear" w:color="auto" w:fill="auto"/>
            <w:vAlign w:val="center"/>
            <w:hideMark/>
          </w:tcPr>
          <w:p w:rsidR="00670E69" w:rsidRPr="00294094" w:rsidRDefault="00670E69" w:rsidP="00777D0C">
            <w:pPr>
              <w:spacing w:after="0" w:line="240" w:lineRule="auto"/>
              <w:jc w:val="center"/>
              <w:rPr>
                <w:rFonts w:eastAsia="Times New Roman"/>
                <w:color w:val="009FDA"/>
                <w:u w:val="single"/>
              </w:rPr>
            </w:pPr>
            <w:r>
              <w:rPr>
                <w:noProof/>
              </w:rPr>
              <w:t>[52]</w:t>
            </w:r>
          </w:p>
        </w:tc>
      </w:tr>
      <w:tr w:rsidR="00670E69" w:rsidRPr="00294094" w:rsidTr="00777D0C">
        <w:trPr>
          <w:trHeight w:val="354"/>
        </w:trPr>
        <w:tc>
          <w:tcPr>
            <w:tcW w:w="3402"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PDR</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640</w:t>
            </w:r>
            <w:r w:rsidRPr="00294094">
              <w:rPr>
                <w:vertAlign w:val="superscript"/>
              </w:rPr>
              <w:t>a</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73</w:t>
            </w:r>
            <w:r w:rsidRPr="00294094">
              <w:rPr>
                <w:vertAlign w:val="superscript"/>
              </w:rPr>
              <w:t>a</w:t>
            </w:r>
          </w:p>
        </w:tc>
        <w:tc>
          <w:tcPr>
            <w:tcW w:w="1418" w:type="dxa"/>
            <w:tcBorders>
              <w:top w:val="nil"/>
              <w:left w:val="dashed" w:sz="4" w:space="0" w:color="AEAAAA" w:themeColor="background2" w:themeShade="BF"/>
              <w:bottom w:val="nil"/>
              <w:right w:val="nil"/>
            </w:tcBorders>
            <w:shd w:val="clear" w:color="auto" w:fill="auto"/>
            <w:vAlign w:val="center"/>
          </w:tcPr>
          <w:p w:rsidR="00670E69" w:rsidRPr="00294094" w:rsidRDefault="00670E69" w:rsidP="00777D0C">
            <w:pPr>
              <w:spacing w:after="0" w:line="240" w:lineRule="auto"/>
              <w:jc w:val="center"/>
              <w:rPr>
                <w:rFonts w:eastAsia="Times New Roman"/>
                <w:color w:val="009FDA"/>
                <w:u w:val="single"/>
              </w:rPr>
            </w:pPr>
            <w:r>
              <w:rPr>
                <w:noProof/>
              </w:rPr>
              <w:t>[52]</w:t>
            </w:r>
          </w:p>
        </w:tc>
      </w:tr>
      <w:tr w:rsidR="00670E69" w:rsidRPr="00294094" w:rsidTr="00777D0C">
        <w:trPr>
          <w:trHeight w:val="354"/>
        </w:trPr>
        <w:tc>
          <w:tcPr>
            <w:tcW w:w="3402"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ME</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832</w:t>
            </w:r>
            <w:r w:rsidRPr="00294094">
              <w:rPr>
                <w:vertAlign w:val="superscript"/>
              </w:rPr>
              <w:t>a</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73</w:t>
            </w:r>
            <w:r w:rsidRPr="00294094">
              <w:rPr>
                <w:vertAlign w:val="superscript"/>
              </w:rPr>
              <w:t>a</w:t>
            </w:r>
          </w:p>
        </w:tc>
        <w:tc>
          <w:tcPr>
            <w:tcW w:w="1418" w:type="dxa"/>
            <w:tcBorders>
              <w:top w:val="nil"/>
              <w:left w:val="dashed" w:sz="4" w:space="0" w:color="AEAAAA" w:themeColor="background2" w:themeShade="BF"/>
              <w:bottom w:val="nil"/>
              <w:right w:val="nil"/>
            </w:tcBorders>
            <w:shd w:val="clear" w:color="auto" w:fill="auto"/>
            <w:vAlign w:val="center"/>
          </w:tcPr>
          <w:p w:rsidR="00670E69" w:rsidRPr="00294094" w:rsidRDefault="00670E69" w:rsidP="00777D0C">
            <w:pPr>
              <w:spacing w:after="0" w:line="240" w:lineRule="auto"/>
              <w:jc w:val="center"/>
              <w:rPr>
                <w:rFonts w:eastAsia="Times New Roman"/>
                <w:color w:val="009FDA"/>
                <w:u w:val="single"/>
              </w:rPr>
            </w:pPr>
            <w:r>
              <w:rPr>
                <w:noProof/>
              </w:rPr>
              <w:t>[52]</w:t>
            </w:r>
          </w:p>
        </w:tc>
      </w:tr>
      <w:tr w:rsidR="00670E69" w:rsidRPr="00294094" w:rsidTr="00777D0C">
        <w:trPr>
          <w:trHeight w:val="354"/>
        </w:trPr>
        <w:tc>
          <w:tcPr>
            <w:tcW w:w="3402"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Proliferative DR and ME</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832</w:t>
            </w:r>
            <w:r w:rsidRPr="00294094">
              <w:rPr>
                <w:vertAlign w:val="superscript"/>
              </w:rPr>
              <w:t>a</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73</w:t>
            </w:r>
            <w:r w:rsidRPr="00294094">
              <w:rPr>
                <w:vertAlign w:val="superscript"/>
              </w:rPr>
              <w:t>a</w:t>
            </w:r>
          </w:p>
        </w:tc>
        <w:tc>
          <w:tcPr>
            <w:tcW w:w="1418" w:type="dxa"/>
            <w:tcBorders>
              <w:top w:val="nil"/>
              <w:left w:val="dashed" w:sz="4" w:space="0" w:color="AEAAAA" w:themeColor="background2" w:themeShade="BF"/>
              <w:bottom w:val="nil"/>
              <w:right w:val="nil"/>
            </w:tcBorders>
            <w:shd w:val="clear" w:color="auto" w:fill="auto"/>
            <w:vAlign w:val="center"/>
          </w:tcPr>
          <w:p w:rsidR="00670E69" w:rsidRPr="00294094" w:rsidRDefault="00670E69" w:rsidP="00777D0C">
            <w:pPr>
              <w:spacing w:after="0" w:line="240" w:lineRule="auto"/>
              <w:jc w:val="center"/>
              <w:rPr>
                <w:rFonts w:eastAsia="Times New Roman"/>
                <w:color w:val="009FDA"/>
                <w:u w:val="single"/>
              </w:rPr>
            </w:pPr>
            <w:r>
              <w:rPr>
                <w:noProof/>
              </w:rPr>
              <w:t>[52]</w:t>
            </w:r>
          </w:p>
        </w:tc>
      </w:tr>
      <w:tr w:rsidR="00670E69" w:rsidRPr="00294094" w:rsidTr="00777D0C">
        <w:trPr>
          <w:trHeight w:val="354"/>
        </w:trPr>
        <w:tc>
          <w:tcPr>
            <w:tcW w:w="3402"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Severe vision loss</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3,258</w:t>
            </w:r>
            <w:r w:rsidRPr="00294094">
              <w:rPr>
                <w:vertAlign w:val="superscript"/>
              </w:rPr>
              <w:t>b</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2,322</w:t>
            </w:r>
            <w:r w:rsidRPr="00294094">
              <w:rPr>
                <w:vertAlign w:val="superscript"/>
              </w:rPr>
              <w:t>b</w:t>
            </w:r>
          </w:p>
        </w:tc>
        <w:tc>
          <w:tcPr>
            <w:tcW w:w="1418" w:type="dxa"/>
            <w:tcBorders>
              <w:top w:val="nil"/>
              <w:left w:val="dashed" w:sz="4" w:space="0" w:color="AEAAAA" w:themeColor="background2" w:themeShade="BF"/>
              <w:bottom w:val="nil"/>
              <w:right w:val="nil"/>
            </w:tcBorders>
            <w:shd w:val="clear" w:color="auto" w:fill="auto"/>
            <w:hideMark/>
          </w:tcPr>
          <w:p w:rsidR="00670E69" w:rsidRPr="00294094" w:rsidRDefault="00670E69" w:rsidP="008A23BA">
            <w:pPr>
              <w:spacing w:after="0" w:line="240" w:lineRule="auto"/>
              <w:jc w:val="center"/>
              <w:rPr>
                <w:rFonts w:eastAsia="Times New Roman"/>
                <w:color w:val="009FDA"/>
                <w:u w:val="single"/>
              </w:rPr>
            </w:pPr>
            <w:r>
              <w:rPr>
                <w:noProof/>
              </w:rPr>
              <w:t>[</w:t>
            </w:r>
            <w:r w:rsidR="008A23BA">
              <w:rPr>
                <w:noProof/>
              </w:rPr>
              <w:t>39</w:t>
            </w:r>
            <w:r>
              <w:rPr>
                <w:noProof/>
              </w:rPr>
              <w:t>]</w:t>
            </w:r>
          </w:p>
        </w:tc>
      </w:tr>
      <w:tr w:rsidR="00670E69" w:rsidRPr="00D976AF" w:rsidTr="00777D0C">
        <w:trPr>
          <w:trHeight w:val="270"/>
        </w:trPr>
        <w:tc>
          <w:tcPr>
            <w:tcW w:w="3402" w:type="dxa"/>
            <w:tcBorders>
              <w:top w:val="nil"/>
              <w:left w:val="nil"/>
              <w:bottom w:val="nil"/>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rPr>
                <w:b/>
              </w:rPr>
            </w:pPr>
            <w:r w:rsidRPr="00D976AF">
              <w:rPr>
                <w:b/>
              </w:rPr>
              <w:t>States of neuropathy</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tcPr>
          <w:p w:rsidR="00670E69" w:rsidRPr="00D976AF" w:rsidRDefault="00670E69" w:rsidP="00777D0C">
            <w:pPr>
              <w:spacing w:after="0" w:line="240" w:lineRule="auto"/>
              <w:jc w:val="center"/>
              <w:rPr>
                <w:b/>
              </w:rPr>
            </w:pP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tcPr>
          <w:p w:rsidR="00670E69" w:rsidRPr="00D976AF" w:rsidRDefault="00670E69" w:rsidP="00777D0C">
            <w:pPr>
              <w:spacing w:after="0" w:line="240" w:lineRule="auto"/>
              <w:jc w:val="center"/>
              <w:rPr>
                <w:b/>
              </w:rPr>
            </w:pPr>
          </w:p>
        </w:tc>
        <w:tc>
          <w:tcPr>
            <w:tcW w:w="1418" w:type="dxa"/>
            <w:tcBorders>
              <w:top w:val="nil"/>
              <w:left w:val="dashed" w:sz="4" w:space="0" w:color="AEAAAA" w:themeColor="background2" w:themeShade="BF"/>
              <w:bottom w:val="nil"/>
              <w:right w:val="nil"/>
            </w:tcBorders>
            <w:shd w:val="clear" w:color="auto" w:fill="auto"/>
            <w:vAlign w:val="center"/>
          </w:tcPr>
          <w:p w:rsidR="00670E69" w:rsidRPr="00D976AF" w:rsidRDefault="00670E69" w:rsidP="00777D0C">
            <w:pPr>
              <w:spacing w:after="0" w:line="240" w:lineRule="auto"/>
              <w:jc w:val="center"/>
              <w:rPr>
                <w:b/>
              </w:rPr>
            </w:pPr>
          </w:p>
        </w:tc>
      </w:tr>
      <w:tr w:rsidR="00670E69" w:rsidRPr="00294094" w:rsidTr="00777D0C">
        <w:trPr>
          <w:trHeight w:val="315"/>
        </w:trPr>
        <w:tc>
          <w:tcPr>
            <w:tcW w:w="3402"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Symptomatic neuropathy</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915</w:t>
            </w:r>
            <w:r w:rsidRPr="00294094">
              <w:rPr>
                <w:vertAlign w:val="superscript"/>
              </w:rPr>
              <w:t>a</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1,147</w:t>
            </w:r>
            <w:r w:rsidRPr="00294094">
              <w:rPr>
                <w:vertAlign w:val="superscript"/>
              </w:rPr>
              <w:t>a</w:t>
            </w:r>
          </w:p>
        </w:tc>
        <w:tc>
          <w:tcPr>
            <w:tcW w:w="1418" w:type="dxa"/>
            <w:tcBorders>
              <w:top w:val="nil"/>
              <w:left w:val="dashed" w:sz="4" w:space="0" w:color="AEAAAA" w:themeColor="background2" w:themeShade="BF"/>
              <w:bottom w:val="nil"/>
              <w:right w:val="nil"/>
            </w:tcBorders>
            <w:shd w:val="clear" w:color="auto" w:fill="auto"/>
            <w:vAlign w:val="center"/>
          </w:tcPr>
          <w:p w:rsidR="00670E69" w:rsidRPr="00294094" w:rsidRDefault="00670E69" w:rsidP="00777D0C">
            <w:pPr>
              <w:spacing w:after="0" w:line="240" w:lineRule="auto"/>
              <w:jc w:val="center"/>
              <w:rPr>
                <w:rFonts w:eastAsia="Times New Roman"/>
                <w:color w:val="009FDA"/>
                <w:u w:val="single"/>
              </w:rPr>
            </w:pPr>
            <w:r>
              <w:rPr>
                <w:noProof/>
              </w:rPr>
              <w:t>[52]</w:t>
            </w:r>
          </w:p>
        </w:tc>
      </w:tr>
      <w:tr w:rsidR="00670E69" w:rsidRPr="00294094" w:rsidTr="00777D0C">
        <w:trPr>
          <w:trHeight w:val="315"/>
        </w:trPr>
        <w:tc>
          <w:tcPr>
            <w:tcW w:w="3402"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PVD</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131</w:t>
            </w:r>
            <w:r w:rsidRPr="00294094">
              <w:rPr>
                <w:vertAlign w:val="superscript"/>
              </w:rPr>
              <w:t>a</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131</w:t>
            </w:r>
            <w:r w:rsidRPr="00294094">
              <w:rPr>
                <w:vertAlign w:val="superscript"/>
              </w:rPr>
              <w:t>a</w:t>
            </w:r>
          </w:p>
        </w:tc>
        <w:tc>
          <w:tcPr>
            <w:tcW w:w="1418" w:type="dxa"/>
            <w:tcBorders>
              <w:top w:val="nil"/>
              <w:left w:val="dashed" w:sz="4" w:space="0" w:color="AEAAAA" w:themeColor="background2" w:themeShade="BF"/>
              <w:bottom w:val="nil"/>
              <w:right w:val="nil"/>
            </w:tcBorders>
            <w:shd w:val="clear" w:color="auto" w:fill="auto"/>
            <w:vAlign w:val="center"/>
          </w:tcPr>
          <w:p w:rsidR="00670E69" w:rsidRPr="00294094" w:rsidRDefault="00670E69" w:rsidP="00777D0C">
            <w:pPr>
              <w:spacing w:after="0" w:line="240" w:lineRule="auto"/>
              <w:jc w:val="center"/>
              <w:rPr>
                <w:rFonts w:eastAsia="Times New Roman"/>
                <w:color w:val="009FDA"/>
                <w:u w:val="single"/>
              </w:rPr>
            </w:pPr>
            <w:r>
              <w:rPr>
                <w:noProof/>
              </w:rPr>
              <w:t>[52]</w:t>
            </w:r>
          </w:p>
        </w:tc>
      </w:tr>
      <w:tr w:rsidR="00670E69" w:rsidRPr="00294094" w:rsidTr="00777D0C">
        <w:trPr>
          <w:trHeight w:val="315"/>
        </w:trPr>
        <w:tc>
          <w:tcPr>
            <w:tcW w:w="3402"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LEA</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41,143</w:t>
            </w:r>
            <w:r w:rsidRPr="00294094">
              <w:rPr>
                <w:vertAlign w:val="superscript"/>
              </w:rPr>
              <w:t>c</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5,635</w:t>
            </w:r>
            <w:r w:rsidRPr="00294094">
              <w:rPr>
                <w:vertAlign w:val="superscript"/>
              </w:rPr>
              <w:t>c</w:t>
            </w:r>
          </w:p>
        </w:tc>
        <w:tc>
          <w:tcPr>
            <w:tcW w:w="1418" w:type="dxa"/>
            <w:tcBorders>
              <w:top w:val="nil"/>
              <w:left w:val="dashed" w:sz="4" w:space="0" w:color="AEAAAA" w:themeColor="background2" w:themeShade="BF"/>
              <w:bottom w:val="nil"/>
              <w:right w:val="nil"/>
            </w:tcBorders>
            <w:shd w:val="clear" w:color="auto" w:fill="auto"/>
            <w:hideMark/>
          </w:tcPr>
          <w:p w:rsidR="00670E69" w:rsidRPr="00294094" w:rsidRDefault="00670E69" w:rsidP="008A23BA">
            <w:pPr>
              <w:spacing w:after="0" w:line="240" w:lineRule="auto"/>
              <w:jc w:val="center"/>
              <w:rPr>
                <w:rFonts w:eastAsia="Times New Roman"/>
                <w:color w:val="009FDA"/>
                <w:u w:val="single"/>
              </w:rPr>
            </w:pPr>
            <w:r>
              <w:rPr>
                <w:noProof/>
              </w:rPr>
              <w:t>[</w:t>
            </w:r>
            <w:r w:rsidR="008A23BA">
              <w:rPr>
                <w:noProof/>
              </w:rPr>
              <w:t>39</w:t>
            </w:r>
            <w:r>
              <w:rPr>
                <w:noProof/>
              </w:rPr>
              <w:t>]</w:t>
            </w:r>
          </w:p>
        </w:tc>
      </w:tr>
      <w:tr w:rsidR="00670E69" w:rsidRPr="00D976AF" w:rsidTr="00777D0C">
        <w:trPr>
          <w:trHeight w:val="270"/>
        </w:trPr>
        <w:tc>
          <w:tcPr>
            <w:tcW w:w="3402" w:type="dxa"/>
            <w:tcBorders>
              <w:top w:val="nil"/>
              <w:left w:val="nil"/>
              <w:bottom w:val="nil"/>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rPr>
                <w:b/>
              </w:rPr>
            </w:pPr>
            <w:r w:rsidRPr="00D976AF">
              <w:rPr>
                <w:b/>
              </w:rPr>
              <w:t>States of nephropathy</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tcPr>
          <w:p w:rsidR="00670E69" w:rsidRPr="00D976AF" w:rsidRDefault="00670E69" w:rsidP="00777D0C">
            <w:pPr>
              <w:spacing w:after="0" w:line="240" w:lineRule="auto"/>
              <w:jc w:val="center"/>
              <w:rPr>
                <w:b/>
              </w:rPr>
            </w:pP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tcPr>
          <w:p w:rsidR="00670E69" w:rsidRPr="00D976AF" w:rsidRDefault="00670E69" w:rsidP="00777D0C">
            <w:pPr>
              <w:spacing w:after="0" w:line="240" w:lineRule="auto"/>
              <w:jc w:val="center"/>
              <w:rPr>
                <w:b/>
              </w:rPr>
            </w:pPr>
          </w:p>
        </w:tc>
        <w:tc>
          <w:tcPr>
            <w:tcW w:w="1418" w:type="dxa"/>
            <w:tcBorders>
              <w:top w:val="nil"/>
              <w:left w:val="dashed" w:sz="4" w:space="0" w:color="AEAAAA" w:themeColor="background2" w:themeShade="BF"/>
              <w:bottom w:val="nil"/>
              <w:right w:val="nil"/>
            </w:tcBorders>
            <w:shd w:val="clear" w:color="auto" w:fill="auto"/>
            <w:vAlign w:val="center"/>
          </w:tcPr>
          <w:p w:rsidR="00670E69" w:rsidRPr="00D976AF" w:rsidRDefault="00670E69" w:rsidP="00777D0C">
            <w:pPr>
              <w:spacing w:after="0" w:line="240" w:lineRule="auto"/>
              <w:jc w:val="center"/>
              <w:rPr>
                <w:b/>
              </w:rPr>
            </w:pPr>
          </w:p>
        </w:tc>
      </w:tr>
      <w:tr w:rsidR="00670E69" w:rsidRPr="00294094" w:rsidTr="00777D0C">
        <w:trPr>
          <w:trHeight w:val="315"/>
        </w:trPr>
        <w:tc>
          <w:tcPr>
            <w:tcW w:w="3402"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Microalbuminuria</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82</w:t>
            </w:r>
            <w:r w:rsidRPr="00294094">
              <w:rPr>
                <w:vertAlign w:val="superscript"/>
              </w:rPr>
              <w:t>a</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w:t>
            </w:r>
          </w:p>
        </w:tc>
        <w:tc>
          <w:tcPr>
            <w:tcW w:w="1418" w:type="dxa"/>
            <w:tcBorders>
              <w:top w:val="nil"/>
              <w:left w:val="dashed" w:sz="4" w:space="0" w:color="AEAAAA" w:themeColor="background2" w:themeShade="BF"/>
              <w:bottom w:val="nil"/>
              <w:right w:val="nil"/>
            </w:tcBorders>
            <w:shd w:val="clear" w:color="auto" w:fill="auto"/>
            <w:vAlign w:val="center"/>
            <w:hideMark/>
          </w:tcPr>
          <w:p w:rsidR="00670E69" w:rsidRPr="00294094" w:rsidRDefault="00670E69" w:rsidP="00777D0C">
            <w:pPr>
              <w:spacing w:after="0" w:line="240" w:lineRule="auto"/>
              <w:jc w:val="center"/>
              <w:rPr>
                <w:rFonts w:eastAsia="Times New Roman"/>
                <w:color w:val="009FDA"/>
                <w:u w:val="single"/>
              </w:rPr>
            </w:pPr>
            <w:r>
              <w:rPr>
                <w:noProof/>
              </w:rPr>
              <w:t>[52]</w:t>
            </w:r>
          </w:p>
        </w:tc>
      </w:tr>
      <w:tr w:rsidR="00670E69" w:rsidRPr="00294094" w:rsidTr="00777D0C">
        <w:trPr>
          <w:trHeight w:val="315"/>
        </w:trPr>
        <w:tc>
          <w:tcPr>
            <w:tcW w:w="3402"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proofErr w:type="spellStart"/>
            <w:r w:rsidRPr="00294094">
              <w:t>Macroalbuminuria</w:t>
            </w:r>
            <w:proofErr w:type="spellEnd"/>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114</w:t>
            </w:r>
            <w:r w:rsidRPr="00294094">
              <w:rPr>
                <w:vertAlign w:val="superscript"/>
              </w:rPr>
              <w:t>a</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w:t>
            </w:r>
          </w:p>
        </w:tc>
        <w:tc>
          <w:tcPr>
            <w:tcW w:w="1418" w:type="dxa"/>
            <w:tcBorders>
              <w:top w:val="nil"/>
              <w:left w:val="dashed" w:sz="4" w:space="0" w:color="AEAAAA" w:themeColor="background2" w:themeShade="BF"/>
              <w:bottom w:val="nil"/>
              <w:right w:val="nil"/>
            </w:tcBorders>
            <w:shd w:val="clear" w:color="auto" w:fill="auto"/>
            <w:vAlign w:val="center"/>
            <w:hideMark/>
          </w:tcPr>
          <w:p w:rsidR="00670E69" w:rsidRPr="00294094" w:rsidRDefault="00670E69" w:rsidP="00777D0C">
            <w:pPr>
              <w:spacing w:after="0" w:line="240" w:lineRule="auto"/>
              <w:jc w:val="center"/>
              <w:rPr>
                <w:rFonts w:eastAsia="Times New Roman"/>
                <w:color w:val="009FDA"/>
                <w:u w:val="single"/>
              </w:rPr>
            </w:pPr>
            <w:r>
              <w:rPr>
                <w:noProof/>
              </w:rPr>
              <w:t>[52]</w:t>
            </w:r>
          </w:p>
        </w:tc>
      </w:tr>
      <w:tr w:rsidR="00670E69" w:rsidRPr="00294094" w:rsidTr="00777D0C">
        <w:trPr>
          <w:trHeight w:val="315"/>
        </w:trPr>
        <w:tc>
          <w:tcPr>
            <w:tcW w:w="3402"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ESRD</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26,398</w:t>
            </w:r>
            <w:r w:rsidRPr="00294094">
              <w:rPr>
                <w:vertAlign w:val="superscript"/>
              </w:rPr>
              <w:t>d</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11,981</w:t>
            </w:r>
            <w:r w:rsidRPr="00294094">
              <w:rPr>
                <w:vertAlign w:val="superscript"/>
              </w:rPr>
              <w:t>d</w:t>
            </w:r>
          </w:p>
        </w:tc>
        <w:tc>
          <w:tcPr>
            <w:tcW w:w="1418" w:type="dxa"/>
            <w:tcBorders>
              <w:top w:val="nil"/>
              <w:left w:val="dashed" w:sz="4" w:space="0" w:color="AEAAAA" w:themeColor="background2" w:themeShade="BF"/>
              <w:bottom w:val="nil"/>
              <w:right w:val="nil"/>
            </w:tcBorders>
            <w:shd w:val="clear" w:color="auto" w:fill="auto"/>
            <w:hideMark/>
          </w:tcPr>
          <w:p w:rsidR="00670E69" w:rsidRPr="00294094" w:rsidRDefault="00670E69" w:rsidP="008A23BA">
            <w:pPr>
              <w:spacing w:after="0" w:line="240" w:lineRule="auto"/>
              <w:jc w:val="center"/>
              <w:rPr>
                <w:rFonts w:eastAsia="Times New Roman"/>
                <w:color w:val="009FDA"/>
                <w:u w:val="single"/>
              </w:rPr>
            </w:pPr>
            <w:r>
              <w:rPr>
                <w:noProof/>
              </w:rPr>
              <w:t>[</w:t>
            </w:r>
            <w:r w:rsidR="008A23BA">
              <w:rPr>
                <w:noProof/>
              </w:rPr>
              <w:t>39</w:t>
            </w:r>
            <w:r>
              <w:rPr>
                <w:noProof/>
              </w:rPr>
              <w:t>]</w:t>
            </w:r>
          </w:p>
        </w:tc>
      </w:tr>
      <w:tr w:rsidR="00670E69" w:rsidRPr="00D976AF" w:rsidTr="00777D0C">
        <w:trPr>
          <w:trHeight w:val="270"/>
        </w:trPr>
        <w:tc>
          <w:tcPr>
            <w:tcW w:w="3402" w:type="dxa"/>
            <w:tcBorders>
              <w:top w:val="nil"/>
              <w:left w:val="nil"/>
              <w:bottom w:val="nil"/>
              <w:right w:val="dashed" w:sz="4" w:space="0" w:color="AEAAAA" w:themeColor="background2" w:themeShade="BF"/>
            </w:tcBorders>
            <w:shd w:val="clear" w:color="auto" w:fill="auto"/>
            <w:vAlign w:val="center"/>
            <w:hideMark/>
          </w:tcPr>
          <w:p w:rsidR="00670E69" w:rsidRPr="00D976AF" w:rsidRDefault="00670E69" w:rsidP="00777D0C">
            <w:pPr>
              <w:spacing w:after="0" w:line="240" w:lineRule="auto"/>
              <w:rPr>
                <w:b/>
              </w:rPr>
            </w:pPr>
            <w:proofErr w:type="spellStart"/>
            <w:r w:rsidRPr="00D976AF">
              <w:rPr>
                <w:b/>
              </w:rPr>
              <w:t>Macrovascular</w:t>
            </w:r>
            <w:proofErr w:type="spellEnd"/>
            <w:r w:rsidRPr="00D976AF">
              <w:rPr>
                <w:b/>
              </w:rPr>
              <w:t xml:space="preserve"> complications</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tcPr>
          <w:p w:rsidR="00670E69" w:rsidRPr="00D976AF" w:rsidRDefault="00670E69" w:rsidP="00777D0C">
            <w:pPr>
              <w:spacing w:after="0" w:line="240" w:lineRule="auto"/>
              <w:jc w:val="center"/>
              <w:rPr>
                <w:b/>
              </w:rPr>
            </w:pP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tcPr>
          <w:p w:rsidR="00670E69" w:rsidRPr="00D976AF" w:rsidRDefault="00670E69" w:rsidP="00777D0C">
            <w:pPr>
              <w:spacing w:after="0" w:line="240" w:lineRule="auto"/>
              <w:jc w:val="center"/>
              <w:rPr>
                <w:b/>
              </w:rPr>
            </w:pPr>
          </w:p>
        </w:tc>
        <w:tc>
          <w:tcPr>
            <w:tcW w:w="1418" w:type="dxa"/>
            <w:tcBorders>
              <w:top w:val="nil"/>
              <w:left w:val="dashed" w:sz="4" w:space="0" w:color="AEAAAA" w:themeColor="background2" w:themeShade="BF"/>
              <w:bottom w:val="nil"/>
              <w:right w:val="nil"/>
            </w:tcBorders>
            <w:shd w:val="clear" w:color="auto" w:fill="auto"/>
          </w:tcPr>
          <w:p w:rsidR="00670E69" w:rsidRPr="00D976AF" w:rsidRDefault="00670E69" w:rsidP="00777D0C">
            <w:pPr>
              <w:spacing w:after="0" w:line="240" w:lineRule="auto"/>
              <w:jc w:val="center"/>
              <w:rPr>
                <w:b/>
              </w:rPr>
            </w:pPr>
          </w:p>
        </w:tc>
      </w:tr>
      <w:tr w:rsidR="00670E69" w:rsidRPr="00294094" w:rsidTr="00777D0C">
        <w:trPr>
          <w:trHeight w:val="273"/>
        </w:trPr>
        <w:tc>
          <w:tcPr>
            <w:tcW w:w="3402"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MI (first and second)</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19,472</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3,045</w:t>
            </w:r>
          </w:p>
        </w:tc>
        <w:tc>
          <w:tcPr>
            <w:tcW w:w="1418" w:type="dxa"/>
            <w:tcBorders>
              <w:top w:val="nil"/>
              <w:left w:val="dashed" w:sz="4" w:space="0" w:color="AEAAAA" w:themeColor="background2" w:themeShade="BF"/>
              <w:bottom w:val="nil"/>
              <w:right w:val="nil"/>
            </w:tcBorders>
            <w:shd w:val="clear" w:color="auto" w:fill="auto"/>
            <w:hideMark/>
          </w:tcPr>
          <w:p w:rsidR="00670E69" w:rsidRPr="00294094" w:rsidRDefault="00670E69" w:rsidP="008A23BA">
            <w:pPr>
              <w:spacing w:after="0" w:line="240" w:lineRule="auto"/>
              <w:jc w:val="center"/>
              <w:rPr>
                <w:rFonts w:eastAsia="Times New Roman"/>
                <w:color w:val="009FDA"/>
                <w:u w:val="single"/>
              </w:rPr>
            </w:pPr>
            <w:r>
              <w:rPr>
                <w:noProof/>
              </w:rPr>
              <w:t>[</w:t>
            </w:r>
            <w:r w:rsidR="008A23BA">
              <w:rPr>
                <w:noProof/>
              </w:rPr>
              <w:t>39</w:t>
            </w:r>
            <w:r>
              <w:rPr>
                <w:noProof/>
              </w:rPr>
              <w:t>]</w:t>
            </w:r>
          </w:p>
        </w:tc>
      </w:tr>
      <w:tr w:rsidR="00670E69" w:rsidRPr="00294094" w:rsidTr="00777D0C">
        <w:trPr>
          <w:trHeight w:val="273"/>
        </w:trPr>
        <w:tc>
          <w:tcPr>
            <w:tcW w:w="3402" w:type="dxa"/>
            <w:tcBorders>
              <w:top w:val="nil"/>
              <w:left w:val="nil"/>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Stroke (first and second)</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26,523</w:t>
            </w:r>
          </w:p>
        </w:tc>
        <w:tc>
          <w:tcPr>
            <w:tcW w:w="2268" w:type="dxa"/>
            <w:tcBorders>
              <w:top w:val="nil"/>
              <w:left w:val="dashed" w:sz="4" w:space="0" w:color="AEAAAA" w:themeColor="background2" w:themeShade="BF"/>
              <w:bottom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3,680</w:t>
            </w:r>
          </w:p>
        </w:tc>
        <w:tc>
          <w:tcPr>
            <w:tcW w:w="1418" w:type="dxa"/>
            <w:tcBorders>
              <w:top w:val="nil"/>
              <w:left w:val="dashed" w:sz="4" w:space="0" w:color="AEAAAA" w:themeColor="background2" w:themeShade="BF"/>
              <w:bottom w:val="nil"/>
              <w:right w:val="nil"/>
            </w:tcBorders>
            <w:shd w:val="clear" w:color="auto" w:fill="auto"/>
            <w:hideMark/>
          </w:tcPr>
          <w:p w:rsidR="00670E69" w:rsidRPr="00294094" w:rsidRDefault="00670E69" w:rsidP="008A23BA">
            <w:pPr>
              <w:spacing w:after="0" w:line="240" w:lineRule="auto"/>
              <w:jc w:val="center"/>
              <w:rPr>
                <w:rFonts w:eastAsia="Times New Roman"/>
                <w:color w:val="009FDA"/>
                <w:u w:val="single"/>
              </w:rPr>
            </w:pPr>
            <w:r>
              <w:rPr>
                <w:noProof/>
              </w:rPr>
              <w:t>[</w:t>
            </w:r>
            <w:r w:rsidR="008A23BA">
              <w:rPr>
                <w:noProof/>
              </w:rPr>
              <w:t>39</w:t>
            </w:r>
            <w:r>
              <w:rPr>
                <w:noProof/>
              </w:rPr>
              <w:t>]</w:t>
            </w:r>
          </w:p>
        </w:tc>
      </w:tr>
      <w:tr w:rsidR="00670E69" w:rsidRPr="00294094" w:rsidTr="00777D0C">
        <w:trPr>
          <w:trHeight w:val="273"/>
        </w:trPr>
        <w:tc>
          <w:tcPr>
            <w:tcW w:w="3402" w:type="dxa"/>
            <w:tcBorders>
              <w:top w:val="nil"/>
              <w:left w:val="nil"/>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IHD</w:t>
            </w:r>
          </w:p>
        </w:tc>
        <w:tc>
          <w:tcPr>
            <w:tcW w:w="2268" w:type="dxa"/>
            <w:tcBorders>
              <w:top w:val="nil"/>
              <w:left w:val="dashed"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6,094</w:t>
            </w:r>
          </w:p>
        </w:tc>
        <w:tc>
          <w:tcPr>
            <w:tcW w:w="2268" w:type="dxa"/>
            <w:tcBorders>
              <w:top w:val="nil"/>
              <w:left w:val="dashed"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3,519</w:t>
            </w:r>
          </w:p>
        </w:tc>
        <w:tc>
          <w:tcPr>
            <w:tcW w:w="1418" w:type="dxa"/>
            <w:tcBorders>
              <w:top w:val="nil"/>
              <w:left w:val="dashed" w:sz="4" w:space="0" w:color="AEAAAA" w:themeColor="background2" w:themeShade="BF"/>
              <w:right w:val="nil"/>
            </w:tcBorders>
            <w:shd w:val="clear" w:color="auto" w:fill="auto"/>
            <w:hideMark/>
          </w:tcPr>
          <w:p w:rsidR="00670E69" w:rsidRPr="00294094" w:rsidRDefault="00670E69" w:rsidP="008A23BA">
            <w:pPr>
              <w:spacing w:after="0" w:line="240" w:lineRule="auto"/>
              <w:jc w:val="center"/>
              <w:rPr>
                <w:rFonts w:eastAsia="Times New Roman"/>
                <w:color w:val="009FDA"/>
                <w:u w:val="single"/>
              </w:rPr>
            </w:pPr>
            <w:r>
              <w:rPr>
                <w:noProof/>
              </w:rPr>
              <w:t>[</w:t>
            </w:r>
            <w:r w:rsidR="008A23BA">
              <w:rPr>
                <w:noProof/>
              </w:rPr>
              <w:t>39</w:t>
            </w:r>
            <w:r>
              <w:rPr>
                <w:noProof/>
              </w:rPr>
              <w:t>]</w:t>
            </w:r>
          </w:p>
        </w:tc>
      </w:tr>
      <w:tr w:rsidR="00670E69" w:rsidRPr="00294094" w:rsidTr="00777D0C">
        <w:trPr>
          <w:trHeight w:val="273"/>
        </w:trPr>
        <w:tc>
          <w:tcPr>
            <w:tcW w:w="3402" w:type="dxa"/>
            <w:tcBorders>
              <w:top w:val="nil"/>
              <w:left w:val="nil"/>
              <w:bottom w:val="single" w:sz="18" w:space="0" w:color="002060"/>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HF</w:t>
            </w:r>
          </w:p>
        </w:tc>
        <w:tc>
          <w:tcPr>
            <w:tcW w:w="2268" w:type="dxa"/>
            <w:tcBorders>
              <w:top w:val="nil"/>
              <w:left w:val="dashed" w:sz="4" w:space="0" w:color="AEAAAA" w:themeColor="background2" w:themeShade="BF"/>
              <w:bottom w:val="single" w:sz="18" w:space="0" w:color="002060"/>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17,813</w:t>
            </w:r>
            <w:r w:rsidRPr="00294094">
              <w:rPr>
                <w:vertAlign w:val="superscript"/>
              </w:rPr>
              <w:t>e</w:t>
            </w:r>
          </w:p>
        </w:tc>
        <w:tc>
          <w:tcPr>
            <w:tcW w:w="2268" w:type="dxa"/>
            <w:tcBorders>
              <w:top w:val="nil"/>
              <w:left w:val="dashed" w:sz="4" w:space="0" w:color="AEAAAA" w:themeColor="background2" w:themeShade="BF"/>
              <w:bottom w:val="single" w:sz="18" w:space="0" w:color="002060"/>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4,994</w:t>
            </w:r>
            <w:r w:rsidRPr="00294094">
              <w:rPr>
                <w:vertAlign w:val="superscript"/>
              </w:rPr>
              <w:t>e</w:t>
            </w:r>
          </w:p>
        </w:tc>
        <w:tc>
          <w:tcPr>
            <w:tcW w:w="1418" w:type="dxa"/>
            <w:tcBorders>
              <w:top w:val="nil"/>
              <w:left w:val="dashed" w:sz="4" w:space="0" w:color="AEAAAA" w:themeColor="background2" w:themeShade="BF"/>
              <w:bottom w:val="single" w:sz="18" w:space="0" w:color="002060"/>
              <w:right w:val="nil"/>
            </w:tcBorders>
            <w:shd w:val="clear" w:color="auto" w:fill="auto"/>
            <w:hideMark/>
          </w:tcPr>
          <w:p w:rsidR="00670E69" w:rsidRPr="00294094" w:rsidRDefault="00670E69" w:rsidP="008A23BA">
            <w:pPr>
              <w:spacing w:after="0" w:line="240" w:lineRule="auto"/>
              <w:jc w:val="center"/>
              <w:rPr>
                <w:rFonts w:eastAsia="Times New Roman"/>
                <w:color w:val="009FDA"/>
                <w:u w:val="single"/>
              </w:rPr>
            </w:pPr>
            <w:r>
              <w:rPr>
                <w:noProof/>
              </w:rPr>
              <w:t>[</w:t>
            </w:r>
            <w:r w:rsidR="008A23BA">
              <w:rPr>
                <w:noProof/>
              </w:rPr>
              <w:t>39</w:t>
            </w:r>
            <w:r>
              <w:rPr>
                <w:noProof/>
              </w:rPr>
              <w:t>]</w:t>
            </w:r>
          </w:p>
        </w:tc>
      </w:tr>
    </w:tbl>
    <w:p w:rsidR="00670E69" w:rsidRPr="00D976AF" w:rsidRDefault="00670E69" w:rsidP="00777D0C">
      <w:pPr>
        <w:spacing w:line="276" w:lineRule="auto"/>
        <w:rPr>
          <w:sz w:val="22"/>
          <w:szCs w:val="22"/>
        </w:rPr>
      </w:pPr>
      <w:proofErr w:type="spellStart"/>
      <w:proofErr w:type="gramStart"/>
      <w:r w:rsidRPr="00D976AF">
        <w:rPr>
          <w:sz w:val="22"/>
          <w:szCs w:val="22"/>
          <w:vertAlign w:val="superscript"/>
        </w:rPr>
        <w:t>a</w:t>
      </w:r>
      <w:r w:rsidRPr="00D976AF">
        <w:rPr>
          <w:sz w:val="22"/>
          <w:szCs w:val="22"/>
        </w:rPr>
        <w:t>Source</w:t>
      </w:r>
      <w:proofErr w:type="spellEnd"/>
      <w:proofErr w:type="gramEnd"/>
      <w:r w:rsidRPr="00D976AF">
        <w:rPr>
          <w:sz w:val="22"/>
          <w:szCs w:val="22"/>
        </w:rPr>
        <w:t xml:space="preserve"> in 2012 USD converted to 2012 Canadian dollars and then inflated to 2017 prices using Canadian Consumer Price Index for Health and personal care from http://www5.statcan.gc.ca. </w:t>
      </w:r>
      <w:proofErr w:type="spellStart"/>
      <w:proofErr w:type="gramStart"/>
      <w:r w:rsidRPr="00D976AF">
        <w:rPr>
          <w:sz w:val="22"/>
          <w:szCs w:val="22"/>
          <w:vertAlign w:val="superscript"/>
        </w:rPr>
        <w:t>b</w:t>
      </w:r>
      <w:r w:rsidRPr="00D976AF">
        <w:rPr>
          <w:sz w:val="22"/>
          <w:szCs w:val="22"/>
        </w:rPr>
        <w:t>Cost</w:t>
      </w:r>
      <w:proofErr w:type="spellEnd"/>
      <w:proofErr w:type="gramEnd"/>
      <w:r w:rsidRPr="00D976AF">
        <w:rPr>
          <w:sz w:val="22"/>
          <w:szCs w:val="22"/>
        </w:rPr>
        <w:t xml:space="preserve"> for blindness. </w:t>
      </w:r>
      <w:proofErr w:type="spellStart"/>
      <w:proofErr w:type="gramStart"/>
      <w:r w:rsidRPr="00D976AF">
        <w:rPr>
          <w:sz w:val="22"/>
          <w:szCs w:val="22"/>
          <w:vertAlign w:val="superscript"/>
        </w:rPr>
        <w:t>c</w:t>
      </w:r>
      <w:r w:rsidRPr="00D976AF">
        <w:rPr>
          <w:sz w:val="22"/>
          <w:szCs w:val="22"/>
        </w:rPr>
        <w:t>Cost</w:t>
      </w:r>
      <w:proofErr w:type="spellEnd"/>
      <w:proofErr w:type="gramEnd"/>
      <w:r w:rsidRPr="00D976AF">
        <w:rPr>
          <w:sz w:val="22"/>
          <w:szCs w:val="22"/>
        </w:rPr>
        <w:t xml:space="preserve"> for amputation. </w:t>
      </w:r>
      <w:proofErr w:type="spellStart"/>
      <w:proofErr w:type="gramStart"/>
      <w:r w:rsidRPr="00D976AF">
        <w:rPr>
          <w:sz w:val="22"/>
          <w:szCs w:val="22"/>
          <w:vertAlign w:val="superscript"/>
        </w:rPr>
        <w:t>d</w:t>
      </w:r>
      <w:r w:rsidRPr="00D976AF">
        <w:rPr>
          <w:sz w:val="22"/>
          <w:szCs w:val="22"/>
        </w:rPr>
        <w:t>Cost</w:t>
      </w:r>
      <w:proofErr w:type="spellEnd"/>
      <w:proofErr w:type="gramEnd"/>
      <w:r w:rsidRPr="00D976AF">
        <w:rPr>
          <w:sz w:val="22"/>
          <w:szCs w:val="22"/>
        </w:rPr>
        <w:t xml:space="preserve"> for renal failure. </w:t>
      </w:r>
      <w:proofErr w:type="spellStart"/>
      <w:proofErr w:type="gramStart"/>
      <w:r w:rsidRPr="00D976AF">
        <w:rPr>
          <w:sz w:val="22"/>
          <w:szCs w:val="22"/>
          <w:vertAlign w:val="superscript"/>
        </w:rPr>
        <w:t>e</w:t>
      </w:r>
      <w:r w:rsidRPr="00D976AF">
        <w:rPr>
          <w:sz w:val="22"/>
          <w:szCs w:val="22"/>
        </w:rPr>
        <w:t>Cost</w:t>
      </w:r>
      <w:proofErr w:type="spellEnd"/>
      <w:proofErr w:type="gramEnd"/>
      <w:r w:rsidRPr="00D976AF">
        <w:rPr>
          <w:sz w:val="22"/>
          <w:szCs w:val="22"/>
        </w:rPr>
        <w:t xml:space="preserve"> for heart failure. For each micro- and </w:t>
      </w:r>
      <w:proofErr w:type="spellStart"/>
      <w:r w:rsidRPr="00D976AF">
        <w:rPr>
          <w:sz w:val="22"/>
          <w:szCs w:val="22"/>
        </w:rPr>
        <w:t>macrovascular</w:t>
      </w:r>
      <w:proofErr w:type="spellEnd"/>
      <w:r w:rsidRPr="00D976AF">
        <w:rPr>
          <w:sz w:val="22"/>
          <w:szCs w:val="22"/>
        </w:rPr>
        <w:t xml:space="preserve"> complication, a direct cost for the first year and for each subsequent year was assumed in the simulations. The cost for the first year reflects the costs that occur during the event year, while the cost for each subsequent year reflects an average yearly cost for the state. Costs were obtained from CADTH Therapeutic Review: New Drugs for Type 2 Diabetes: 2017 </w:t>
      </w:r>
      <w:r w:rsidRPr="00D976AF">
        <w:rPr>
          <w:noProof/>
          <w:sz w:val="22"/>
          <w:szCs w:val="22"/>
        </w:rPr>
        <w:t>[</w:t>
      </w:r>
      <w:r w:rsidR="008A23BA">
        <w:rPr>
          <w:noProof/>
          <w:sz w:val="22"/>
          <w:szCs w:val="22"/>
        </w:rPr>
        <w:t>39</w:t>
      </w:r>
      <w:r w:rsidRPr="00D976AF">
        <w:rPr>
          <w:noProof/>
          <w:sz w:val="22"/>
          <w:szCs w:val="22"/>
        </w:rPr>
        <w:t>]</w:t>
      </w:r>
      <w:r w:rsidRPr="00D976AF">
        <w:rPr>
          <w:rFonts w:eastAsia="Times New Roman"/>
          <w:color w:val="009FDA"/>
          <w:sz w:val="22"/>
          <w:szCs w:val="22"/>
          <w:u w:val="single"/>
        </w:rPr>
        <w:t xml:space="preserve"> </w:t>
      </w:r>
      <w:r w:rsidRPr="00D976AF">
        <w:rPr>
          <w:sz w:val="22"/>
          <w:szCs w:val="22"/>
        </w:rPr>
        <w:t xml:space="preserve">and for those complications where cost data were missing, estimates of costs based on Ward et al. 2014 </w:t>
      </w:r>
      <w:r w:rsidRPr="00D976AF">
        <w:rPr>
          <w:noProof/>
          <w:sz w:val="22"/>
          <w:szCs w:val="22"/>
        </w:rPr>
        <w:t xml:space="preserve">[52] </w:t>
      </w:r>
      <w:r w:rsidRPr="00D976AF">
        <w:rPr>
          <w:sz w:val="22"/>
          <w:szCs w:val="22"/>
        </w:rPr>
        <w:t>were used. The costs by type of diabetic complication and first and subsequent years, respectively, are presented. Costs are presented in 2017 Canadian dollars. CAD, Canadian dollars; CADTH, Canadian Agency for Drugs and Technologies in Health; DR, diabetic retinopathy; ESRD, end-stage renal disease; HF, heart failure; IHD, ischemic heart disease; LEA, lower-extremity amputation; ME, macular edema; MI, myocardial infarction; PDR, proliferative diabetic retinopathy; PVD, peripheral vascular disease.</w:t>
      </w:r>
      <w:r w:rsidRPr="00D976AF">
        <w:rPr>
          <w:sz w:val="22"/>
          <w:szCs w:val="22"/>
        </w:rPr>
        <w:br w:type="page"/>
      </w:r>
    </w:p>
    <w:p w:rsidR="00670E69" w:rsidRPr="00294094" w:rsidRDefault="00670E69" w:rsidP="00F323D1">
      <w:pPr>
        <w:pStyle w:val="Heading1"/>
        <w:ind w:left="0" w:firstLine="0"/>
      </w:pPr>
      <w:bookmarkStart w:id="41" w:name="_Toc530388343"/>
      <w:bookmarkStart w:id="42" w:name="_Toc2007167"/>
      <w:r>
        <w:t>Online Resource 5</w:t>
      </w:r>
      <w:r w:rsidRPr="00294094">
        <w:t xml:space="preserve">. Cost per hypoglycemic event </w:t>
      </w:r>
      <w:r>
        <w:rPr>
          <w:noProof/>
        </w:rPr>
        <w:t>[67]</w:t>
      </w:r>
      <w:bookmarkEnd w:id="41"/>
      <w:bookmarkEnd w:id="42"/>
      <w:r w:rsidRPr="00294094" w:rsidDel="005A3B22">
        <w:t xml:space="preserve"> </w:t>
      </w:r>
    </w:p>
    <w:tbl>
      <w:tblPr>
        <w:tblW w:w="9498" w:type="dxa"/>
        <w:tblLook w:val="04A0" w:firstRow="1" w:lastRow="0" w:firstColumn="1" w:lastColumn="0" w:noHBand="0" w:noVBand="1"/>
      </w:tblPr>
      <w:tblGrid>
        <w:gridCol w:w="3087"/>
        <w:gridCol w:w="2496"/>
        <w:gridCol w:w="2497"/>
        <w:gridCol w:w="1418"/>
      </w:tblGrid>
      <w:tr w:rsidR="00670E69" w:rsidRPr="00D976AF" w:rsidTr="00777D0C">
        <w:trPr>
          <w:trHeight w:val="20"/>
        </w:trPr>
        <w:tc>
          <w:tcPr>
            <w:tcW w:w="3087" w:type="dxa"/>
            <w:tcBorders>
              <w:top w:val="single" w:sz="12" w:space="0" w:color="002060"/>
              <w:left w:val="nil"/>
              <w:bottom w:val="single" w:sz="8" w:space="0" w:color="000000"/>
              <w:right w:val="nil"/>
            </w:tcBorders>
            <w:shd w:val="clear" w:color="auto" w:fill="auto"/>
            <w:vAlign w:val="center"/>
            <w:hideMark/>
          </w:tcPr>
          <w:p w:rsidR="00670E69" w:rsidRPr="00D976AF" w:rsidRDefault="00670E69" w:rsidP="00777D0C">
            <w:pPr>
              <w:spacing w:after="0" w:line="240" w:lineRule="auto"/>
              <w:rPr>
                <w:b/>
              </w:rPr>
            </w:pPr>
            <w:r w:rsidRPr="00D976AF">
              <w:rPr>
                <w:b/>
              </w:rPr>
              <w:t>Type of hypoglycemic event</w:t>
            </w:r>
          </w:p>
        </w:tc>
        <w:tc>
          <w:tcPr>
            <w:tcW w:w="2496" w:type="dxa"/>
            <w:tcBorders>
              <w:top w:val="single" w:sz="12" w:space="0" w:color="002060"/>
              <w:left w:val="nil"/>
              <w:bottom w:val="single" w:sz="8" w:space="0" w:color="000000"/>
              <w:right w:val="nil"/>
            </w:tcBorders>
            <w:shd w:val="clear" w:color="auto" w:fill="auto"/>
            <w:vAlign w:val="center"/>
            <w:hideMark/>
          </w:tcPr>
          <w:p w:rsidR="00670E69" w:rsidRPr="00D976AF" w:rsidRDefault="00670E69" w:rsidP="00777D0C">
            <w:pPr>
              <w:spacing w:after="0" w:line="240" w:lineRule="auto"/>
              <w:jc w:val="center"/>
              <w:rPr>
                <w:b/>
              </w:rPr>
            </w:pPr>
            <w:r w:rsidRPr="00D976AF">
              <w:rPr>
                <w:b/>
              </w:rPr>
              <w:t>Direct healthcare costs, CAD</w:t>
            </w:r>
          </w:p>
        </w:tc>
        <w:tc>
          <w:tcPr>
            <w:tcW w:w="2497" w:type="dxa"/>
            <w:tcBorders>
              <w:top w:val="single" w:sz="12" w:space="0" w:color="002060"/>
              <w:left w:val="nil"/>
              <w:bottom w:val="single" w:sz="8" w:space="0" w:color="000000"/>
              <w:right w:val="nil"/>
            </w:tcBorders>
            <w:shd w:val="clear" w:color="auto" w:fill="auto"/>
            <w:vAlign w:val="center"/>
            <w:hideMark/>
          </w:tcPr>
          <w:p w:rsidR="00670E69" w:rsidRPr="00D976AF" w:rsidRDefault="00670E69" w:rsidP="00777D0C">
            <w:pPr>
              <w:spacing w:after="0" w:line="240" w:lineRule="auto"/>
              <w:jc w:val="center"/>
              <w:rPr>
                <w:b/>
              </w:rPr>
            </w:pPr>
            <w:r w:rsidRPr="00D976AF">
              <w:rPr>
                <w:b/>
              </w:rPr>
              <w:t>Costs of lost production, CAD</w:t>
            </w:r>
          </w:p>
        </w:tc>
        <w:tc>
          <w:tcPr>
            <w:tcW w:w="1418" w:type="dxa"/>
            <w:tcBorders>
              <w:top w:val="single" w:sz="12" w:space="0" w:color="002060"/>
              <w:left w:val="nil"/>
              <w:bottom w:val="single" w:sz="8" w:space="0" w:color="000000"/>
              <w:right w:val="nil"/>
            </w:tcBorders>
            <w:shd w:val="clear" w:color="auto" w:fill="auto"/>
            <w:vAlign w:val="center"/>
            <w:hideMark/>
          </w:tcPr>
          <w:p w:rsidR="00670E69" w:rsidRPr="00D976AF" w:rsidRDefault="00670E69" w:rsidP="00777D0C">
            <w:pPr>
              <w:spacing w:after="0" w:line="240" w:lineRule="auto"/>
              <w:jc w:val="center"/>
              <w:rPr>
                <w:b/>
              </w:rPr>
            </w:pPr>
            <w:r w:rsidRPr="00D976AF">
              <w:rPr>
                <w:b/>
              </w:rPr>
              <w:t>Source</w:t>
            </w:r>
          </w:p>
        </w:tc>
      </w:tr>
      <w:tr w:rsidR="00670E69" w:rsidRPr="00294094" w:rsidTr="00777D0C">
        <w:trPr>
          <w:trHeight w:val="20"/>
        </w:trPr>
        <w:tc>
          <w:tcPr>
            <w:tcW w:w="3087" w:type="dxa"/>
            <w:tcBorders>
              <w:top w:val="single" w:sz="8" w:space="0" w:color="000000"/>
              <w:left w:val="nil"/>
              <w:bottom w:val="single" w:sz="4" w:space="0" w:color="BFBFBF" w:themeColor="background1" w:themeShade="BF"/>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pPr>
            <w:r w:rsidRPr="00294094">
              <w:t>Non-severe</w:t>
            </w:r>
          </w:p>
        </w:tc>
        <w:tc>
          <w:tcPr>
            <w:tcW w:w="2496" w:type="dxa"/>
            <w:tcBorders>
              <w:top w:val="single" w:sz="8" w:space="0" w:color="000000"/>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jc w:val="center"/>
            </w:pPr>
            <w:r w:rsidRPr="00294094">
              <w:t>0</w:t>
            </w:r>
          </w:p>
        </w:tc>
        <w:tc>
          <w:tcPr>
            <w:tcW w:w="2497" w:type="dxa"/>
            <w:tcBorders>
              <w:top w:val="single" w:sz="8" w:space="0" w:color="000000"/>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jc w:val="center"/>
            </w:pPr>
            <w:r w:rsidRPr="00294094">
              <w:t>0</w:t>
            </w:r>
          </w:p>
        </w:tc>
        <w:tc>
          <w:tcPr>
            <w:tcW w:w="1418" w:type="dxa"/>
            <w:tcBorders>
              <w:top w:val="single" w:sz="8" w:space="0" w:color="000000"/>
              <w:left w:val="dashed" w:sz="4" w:space="0" w:color="BFBFBF" w:themeColor="background1" w:themeShade="BF"/>
              <w:bottom w:val="single" w:sz="4" w:space="0" w:color="BFBFBF" w:themeColor="background1" w:themeShade="BF"/>
              <w:right w:val="nil"/>
            </w:tcBorders>
            <w:shd w:val="clear" w:color="auto" w:fill="auto"/>
            <w:vAlign w:val="center"/>
            <w:hideMark/>
          </w:tcPr>
          <w:p w:rsidR="00670E69" w:rsidRPr="00294094" w:rsidRDefault="00670E69" w:rsidP="00777D0C">
            <w:pPr>
              <w:spacing w:after="0" w:line="240" w:lineRule="auto"/>
              <w:jc w:val="center"/>
            </w:pPr>
            <w:r w:rsidRPr="00294094">
              <w:t>Assumption</w:t>
            </w:r>
          </w:p>
        </w:tc>
      </w:tr>
      <w:tr w:rsidR="00670E69" w:rsidRPr="00294094" w:rsidTr="00777D0C">
        <w:trPr>
          <w:trHeight w:val="20"/>
        </w:trPr>
        <w:tc>
          <w:tcPr>
            <w:tcW w:w="3087" w:type="dxa"/>
            <w:tcBorders>
              <w:top w:val="single" w:sz="4" w:space="0" w:color="BFBFBF" w:themeColor="background1" w:themeShade="BF"/>
              <w:left w:val="nil"/>
              <w:bottom w:val="single" w:sz="12" w:space="0" w:color="002060"/>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pPr>
            <w:r w:rsidRPr="00294094">
              <w:t>Severe</w:t>
            </w:r>
          </w:p>
        </w:tc>
        <w:tc>
          <w:tcPr>
            <w:tcW w:w="2496" w:type="dxa"/>
            <w:tcBorders>
              <w:top w:val="single" w:sz="4" w:space="0" w:color="BFBFBF" w:themeColor="background1" w:themeShade="BF"/>
              <w:left w:val="dashed" w:sz="4" w:space="0" w:color="BFBFBF" w:themeColor="background1" w:themeShade="BF"/>
              <w:bottom w:val="single" w:sz="12" w:space="0" w:color="002060"/>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jc w:val="center"/>
            </w:pPr>
            <w:r w:rsidRPr="00294094">
              <w:t>2,142</w:t>
            </w:r>
          </w:p>
        </w:tc>
        <w:tc>
          <w:tcPr>
            <w:tcW w:w="2497" w:type="dxa"/>
            <w:tcBorders>
              <w:top w:val="single" w:sz="4" w:space="0" w:color="BFBFBF" w:themeColor="background1" w:themeShade="BF"/>
              <w:left w:val="dashed" w:sz="4" w:space="0" w:color="BFBFBF" w:themeColor="background1" w:themeShade="BF"/>
              <w:bottom w:val="single" w:sz="12" w:space="0" w:color="002060"/>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jc w:val="center"/>
            </w:pPr>
            <w:r w:rsidRPr="00294094">
              <w:t>1,895</w:t>
            </w:r>
          </w:p>
        </w:tc>
        <w:tc>
          <w:tcPr>
            <w:tcW w:w="1418" w:type="dxa"/>
            <w:tcBorders>
              <w:top w:val="single" w:sz="4" w:space="0" w:color="BFBFBF" w:themeColor="background1" w:themeShade="BF"/>
              <w:left w:val="dashed" w:sz="4" w:space="0" w:color="BFBFBF" w:themeColor="background1" w:themeShade="BF"/>
              <w:bottom w:val="single" w:sz="12" w:space="0" w:color="002060"/>
              <w:right w:val="nil"/>
            </w:tcBorders>
            <w:shd w:val="clear" w:color="auto" w:fill="auto"/>
            <w:vAlign w:val="center"/>
          </w:tcPr>
          <w:p w:rsidR="00670E69" w:rsidRPr="00294094" w:rsidRDefault="00670E69" w:rsidP="00777D0C">
            <w:pPr>
              <w:spacing w:after="0" w:line="240" w:lineRule="auto"/>
              <w:jc w:val="center"/>
            </w:pPr>
          </w:p>
        </w:tc>
      </w:tr>
    </w:tbl>
    <w:p w:rsidR="00670E69" w:rsidRPr="00D976AF" w:rsidRDefault="00670E69" w:rsidP="00777D0C">
      <w:pPr>
        <w:spacing w:line="276" w:lineRule="auto"/>
        <w:rPr>
          <w:sz w:val="22"/>
          <w:szCs w:val="22"/>
        </w:rPr>
      </w:pPr>
      <w:r w:rsidRPr="00D976AF">
        <w:rPr>
          <w:sz w:val="22"/>
          <w:szCs w:val="22"/>
        </w:rPr>
        <w:t>CAD, Canadian dollars</w:t>
      </w:r>
    </w:p>
    <w:p w:rsidR="00670E69" w:rsidRPr="00D976AF" w:rsidRDefault="00670E69" w:rsidP="00777D0C">
      <w:pPr>
        <w:spacing w:line="276" w:lineRule="auto"/>
        <w:rPr>
          <w:sz w:val="22"/>
          <w:szCs w:val="22"/>
        </w:rPr>
        <w:sectPr w:rsidR="00670E69" w:rsidRPr="00D976AF" w:rsidSect="00777D0C">
          <w:pgSz w:w="12240" w:h="15840"/>
          <w:pgMar w:top="1440" w:right="1440" w:bottom="1440" w:left="1440" w:header="709" w:footer="709" w:gutter="0"/>
          <w:cols w:space="708"/>
          <w:docGrid w:linePitch="360"/>
        </w:sectPr>
      </w:pPr>
    </w:p>
    <w:p w:rsidR="00670E69" w:rsidRPr="006D0B5C" w:rsidRDefault="00670E69" w:rsidP="00F323D1">
      <w:pPr>
        <w:pStyle w:val="Heading1"/>
        <w:ind w:left="0" w:firstLine="0"/>
      </w:pPr>
      <w:bookmarkStart w:id="43" w:name="_Toc530388344"/>
      <w:bookmarkStart w:id="44" w:name="_Toc2007168"/>
      <w:r>
        <w:t>Online Resource 6</w:t>
      </w:r>
      <w:r w:rsidRPr="006D0B5C">
        <w:t>. Average treatment cost per patient per year</w:t>
      </w:r>
      <w:bookmarkEnd w:id="43"/>
      <w:bookmarkEnd w:id="44"/>
    </w:p>
    <w:tbl>
      <w:tblPr>
        <w:tblW w:w="9356" w:type="dxa"/>
        <w:tblLook w:val="04A0" w:firstRow="1" w:lastRow="0" w:firstColumn="1" w:lastColumn="0" w:noHBand="0" w:noVBand="1"/>
      </w:tblPr>
      <w:tblGrid>
        <w:gridCol w:w="2127"/>
        <w:gridCol w:w="2409"/>
        <w:gridCol w:w="2410"/>
        <w:gridCol w:w="2410"/>
      </w:tblGrid>
      <w:tr w:rsidR="00670E69" w:rsidRPr="00D976AF" w:rsidTr="00777D0C">
        <w:trPr>
          <w:trHeight w:val="280"/>
        </w:trPr>
        <w:tc>
          <w:tcPr>
            <w:tcW w:w="2127" w:type="dxa"/>
            <w:tcBorders>
              <w:top w:val="single" w:sz="12" w:space="0" w:color="002060"/>
              <w:left w:val="nil"/>
              <w:bottom w:val="single" w:sz="8" w:space="0" w:color="000000"/>
              <w:right w:val="nil"/>
            </w:tcBorders>
            <w:shd w:val="clear" w:color="auto" w:fill="auto"/>
            <w:vAlign w:val="center"/>
            <w:hideMark/>
          </w:tcPr>
          <w:p w:rsidR="00670E69" w:rsidRPr="00D976AF" w:rsidRDefault="00670E69" w:rsidP="00777D0C">
            <w:pPr>
              <w:spacing w:after="0" w:line="240" w:lineRule="auto"/>
              <w:rPr>
                <w:b/>
                <w:bCs/>
              </w:rPr>
            </w:pPr>
            <w:r w:rsidRPr="00D976AF">
              <w:rPr>
                <w:b/>
              </w:rPr>
              <w:t>Cost, CAD</w:t>
            </w:r>
          </w:p>
        </w:tc>
        <w:tc>
          <w:tcPr>
            <w:tcW w:w="2409" w:type="dxa"/>
            <w:tcBorders>
              <w:top w:val="single" w:sz="12" w:space="0" w:color="002060"/>
              <w:left w:val="nil"/>
              <w:bottom w:val="nil"/>
              <w:right w:val="nil"/>
            </w:tcBorders>
            <w:shd w:val="clear" w:color="auto" w:fill="auto"/>
            <w:vAlign w:val="center"/>
            <w:hideMark/>
          </w:tcPr>
          <w:p w:rsidR="00670E69" w:rsidRPr="00D976AF" w:rsidRDefault="00670E69" w:rsidP="00777D0C">
            <w:pPr>
              <w:spacing w:after="0" w:line="240" w:lineRule="auto"/>
              <w:jc w:val="center"/>
              <w:rPr>
                <w:b/>
              </w:rPr>
            </w:pPr>
            <w:proofErr w:type="spellStart"/>
            <w:r w:rsidRPr="00D976AF">
              <w:rPr>
                <w:b/>
              </w:rPr>
              <w:t>Semaglutide</w:t>
            </w:r>
            <w:proofErr w:type="spellEnd"/>
          </w:p>
        </w:tc>
        <w:tc>
          <w:tcPr>
            <w:tcW w:w="2410" w:type="dxa"/>
            <w:tcBorders>
              <w:top w:val="single" w:sz="12" w:space="0" w:color="002060"/>
              <w:left w:val="nil"/>
              <w:bottom w:val="nil"/>
              <w:right w:val="nil"/>
            </w:tcBorders>
            <w:shd w:val="clear" w:color="auto" w:fill="auto"/>
            <w:vAlign w:val="center"/>
            <w:hideMark/>
          </w:tcPr>
          <w:p w:rsidR="00670E69" w:rsidRPr="00D976AF" w:rsidRDefault="00670E69" w:rsidP="00777D0C">
            <w:pPr>
              <w:spacing w:after="0" w:line="240" w:lineRule="auto"/>
              <w:jc w:val="center"/>
              <w:rPr>
                <w:b/>
              </w:rPr>
            </w:pPr>
            <w:proofErr w:type="spellStart"/>
            <w:r w:rsidRPr="00D976AF">
              <w:rPr>
                <w:b/>
              </w:rPr>
              <w:t>Dulaglutide</w:t>
            </w:r>
            <w:proofErr w:type="spellEnd"/>
          </w:p>
        </w:tc>
        <w:tc>
          <w:tcPr>
            <w:tcW w:w="2410" w:type="dxa"/>
            <w:tcBorders>
              <w:top w:val="single" w:sz="12" w:space="0" w:color="002060"/>
              <w:left w:val="nil"/>
              <w:bottom w:val="nil"/>
              <w:right w:val="nil"/>
            </w:tcBorders>
            <w:shd w:val="clear" w:color="auto" w:fill="auto"/>
            <w:vAlign w:val="center"/>
            <w:hideMark/>
          </w:tcPr>
          <w:p w:rsidR="00670E69" w:rsidRPr="00D976AF" w:rsidRDefault="00670E69" w:rsidP="00777D0C">
            <w:pPr>
              <w:spacing w:after="0" w:line="240" w:lineRule="auto"/>
              <w:jc w:val="center"/>
              <w:rPr>
                <w:b/>
              </w:rPr>
            </w:pPr>
            <w:r w:rsidRPr="00D976AF">
              <w:rPr>
                <w:b/>
              </w:rPr>
              <w:t>NPH insulin</w:t>
            </w:r>
          </w:p>
        </w:tc>
      </w:tr>
      <w:tr w:rsidR="00670E69" w:rsidRPr="00226777" w:rsidTr="00777D0C">
        <w:trPr>
          <w:trHeight w:val="289"/>
        </w:trPr>
        <w:tc>
          <w:tcPr>
            <w:tcW w:w="2127" w:type="dxa"/>
            <w:tcBorders>
              <w:top w:val="single" w:sz="8" w:space="0" w:color="000000" w:themeColor="text1"/>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26777" w:rsidRDefault="00670E69" w:rsidP="00777D0C">
            <w:pPr>
              <w:spacing w:after="0" w:line="240" w:lineRule="auto"/>
            </w:pPr>
            <w:r w:rsidRPr="00226777">
              <w:t xml:space="preserve">Drug </w:t>
            </w:r>
          </w:p>
        </w:tc>
        <w:tc>
          <w:tcPr>
            <w:tcW w:w="2409" w:type="dxa"/>
            <w:tcBorders>
              <w:top w:val="single" w:sz="8" w:space="0" w:color="000000" w:themeColor="text1"/>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26777" w:rsidRDefault="00670E69" w:rsidP="00777D0C">
            <w:pPr>
              <w:spacing w:after="0" w:line="240" w:lineRule="auto"/>
              <w:jc w:val="center"/>
            </w:pPr>
            <w:r w:rsidRPr="00226777">
              <w:t>2,544</w:t>
            </w:r>
          </w:p>
        </w:tc>
        <w:tc>
          <w:tcPr>
            <w:tcW w:w="2410" w:type="dxa"/>
            <w:tcBorders>
              <w:top w:val="single" w:sz="8" w:space="0" w:color="000000" w:themeColor="text1"/>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26777" w:rsidRDefault="00670E69" w:rsidP="00777D0C">
            <w:pPr>
              <w:spacing w:after="0" w:line="240" w:lineRule="auto"/>
              <w:jc w:val="center"/>
            </w:pPr>
            <w:r w:rsidRPr="00226777">
              <w:t>2,544</w:t>
            </w:r>
          </w:p>
        </w:tc>
        <w:tc>
          <w:tcPr>
            <w:tcW w:w="2410" w:type="dxa"/>
            <w:tcBorders>
              <w:top w:val="single" w:sz="8" w:space="0" w:color="000000" w:themeColor="text1"/>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26777" w:rsidRDefault="00670E69" w:rsidP="00777D0C">
            <w:pPr>
              <w:spacing w:after="0" w:line="240" w:lineRule="auto"/>
              <w:jc w:val="center"/>
            </w:pPr>
            <w:r w:rsidRPr="00226777">
              <w:t>757</w:t>
            </w:r>
            <w:r w:rsidRPr="00226777">
              <w:rPr>
                <w:vertAlign w:val="superscript"/>
              </w:rPr>
              <w:t>a</w:t>
            </w:r>
          </w:p>
        </w:tc>
      </w:tr>
      <w:tr w:rsidR="00670E69" w:rsidRPr="00226777" w:rsidTr="00777D0C">
        <w:trPr>
          <w:trHeight w:val="252"/>
        </w:trPr>
        <w:tc>
          <w:tcPr>
            <w:tcW w:w="2127" w:type="dxa"/>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pPr>
            <w:r w:rsidRPr="00294094">
              <w:t xml:space="preserve">Needles </w:t>
            </w:r>
          </w:p>
        </w:tc>
        <w:tc>
          <w:tcPr>
            <w:tcW w:w="2409" w:type="dxa"/>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w:t>
            </w:r>
          </w:p>
        </w:tc>
        <w:tc>
          <w:tcPr>
            <w:tcW w:w="2410" w:type="dxa"/>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w:t>
            </w:r>
          </w:p>
        </w:tc>
        <w:tc>
          <w:tcPr>
            <w:tcW w:w="2410" w:type="dxa"/>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777D0C">
            <w:pPr>
              <w:spacing w:after="0" w:line="240" w:lineRule="auto"/>
              <w:jc w:val="center"/>
            </w:pPr>
            <w:r w:rsidRPr="00294094">
              <w:t>177</w:t>
            </w:r>
          </w:p>
        </w:tc>
      </w:tr>
      <w:tr w:rsidR="00670E69" w:rsidRPr="00226777" w:rsidTr="00777D0C">
        <w:trPr>
          <w:trHeight w:val="252"/>
        </w:trPr>
        <w:tc>
          <w:tcPr>
            <w:tcW w:w="2127" w:type="dxa"/>
            <w:tcBorders>
              <w:top w:val="single" w:sz="4" w:space="0" w:color="AEAAAA" w:themeColor="background2" w:themeShade="BF"/>
              <w:left w:val="nil"/>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pPr>
            <w:r w:rsidRPr="00294094">
              <w:t>Test strips</w:t>
            </w:r>
          </w:p>
        </w:tc>
        <w:tc>
          <w:tcPr>
            <w:tcW w:w="2409" w:type="dxa"/>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w:t>
            </w:r>
          </w:p>
        </w:tc>
        <w:tc>
          <w:tcPr>
            <w:tcW w:w="2410" w:type="dxa"/>
            <w:tcBorders>
              <w:top w:val="single" w:sz="4" w:space="0" w:color="AEAAAA" w:themeColor="background2" w:themeShade="BF"/>
              <w:left w:val="dashed" w:sz="4" w:space="0" w:color="AEAAAA" w:themeColor="background2" w:themeShade="BF"/>
              <w:bottom w:val="single" w:sz="4" w:space="0" w:color="AEAAAA" w:themeColor="background2"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w:t>
            </w:r>
          </w:p>
        </w:tc>
        <w:tc>
          <w:tcPr>
            <w:tcW w:w="2410" w:type="dxa"/>
            <w:tcBorders>
              <w:top w:val="single" w:sz="4" w:space="0" w:color="AEAAAA" w:themeColor="background2" w:themeShade="BF"/>
              <w:left w:val="dashed" w:sz="4" w:space="0" w:color="AEAAAA" w:themeColor="background2" w:themeShade="BF"/>
              <w:bottom w:val="single" w:sz="4" w:space="0" w:color="AEAAAA" w:themeColor="background2" w:themeShade="BF"/>
              <w:right w:val="nil"/>
            </w:tcBorders>
            <w:shd w:val="clear" w:color="auto" w:fill="auto"/>
            <w:vAlign w:val="center"/>
            <w:hideMark/>
          </w:tcPr>
          <w:p w:rsidR="00670E69" w:rsidRPr="00294094" w:rsidRDefault="00670E69" w:rsidP="00777D0C">
            <w:pPr>
              <w:spacing w:after="0" w:line="240" w:lineRule="auto"/>
              <w:jc w:val="center"/>
            </w:pPr>
            <w:r w:rsidRPr="00294094">
              <w:t>325</w:t>
            </w:r>
          </w:p>
        </w:tc>
      </w:tr>
      <w:tr w:rsidR="00670E69" w:rsidRPr="00226777" w:rsidTr="00777D0C">
        <w:trPr>
          <w:trHeight w:val="298"/>
        </w:trPr>
        <w:tc>
          <w:tcPr>
            <w:tcW w:w="2127" w:type="dxa"/>
            <w:tcBorders>
              <w:top w:val="single" w:sz="4" w:space="0" w:color="AEAAAA" w:themeColor="background2" w:themeShade="BF"/>
              <w:left w:val="nil"/>
              <w:bottom w:val="single" w:sz="12" w:space="0" w:color="002060"/>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pPr>
            <w:r w:rsidRPr="00294094">
              <w:t>Total per year</w:t>
            </w:r>
          </w:p>
        </w:tc>
        <w:tc>
          <w:tcPr>
            <w:tcW w:w="2409" w:type="dxa"/>
            <w:tcBorders>
              <w:top w:val="single" w:sz="4" w:space="0" w:color="AEAAAA" w:themeColor="background2" w:themeShade="BF"/>
              <w:left w:val="dashed" w:sz="4" w:space="0" w:color="AEAAAA" w:themeColor="background2" w:themeShade="BF"/>
              <w:bottom w:val="single" w:sz="12" w:space="0" w:color="002060"/>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2,544</w:t>
            </w:r>
          </w:p>
        </w:tc>
        <w:tc>
          <w:tcPr>
            <w:tcW w:w="2410" w:type="dxa"/>
            <w:tcBorders>
              <w:top w:val="single" w:sz="4" w:space="0" w:color="AEAAAA" w:themeColor="background2" w:themeShade="BF"/>
              <w:left w:val="dashed" w:sz="4" w:space="0" w:color="AEAAAA" w:themeColor="background2" w:themeShade="BF"/>
              <w:bottom w:val="single" w:sz="12" w:space="0" w:color="002060"/>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2,544</w:t>
            </w:r>
          </w:p>
        </w:tc>
        <w:tc>
          <w:tcPr>
            <w:tcW w:w="2410" w:type="dxa"/>
            <w:tcBorders>
              <w:top w:val="single" w:sz="4" w:space="0" w:color="AEAAAA" w:themeColor="background2" w:themeShade="BF"/>
              <w:left w:val="dashed" w:sz="4" w:space="0" w:color="AEAAAA" w:themeColor="background2" w:themeShade="BF"/>
              <w:bottom w:val="single" w:sz="12" w:space="0" w:color="002060"/>
              <w:right w:val="nil"/>
            </w:tcBorders>
            <w:shd w:val="clear" w:color="auto" w:fill="auto"/>
            <w:vAlign w:val="center"/>
            <w:hideMark/>
          </w:tcPr>
          <w:p w:rsidR="00670E69" w:rsidRPr="00294094" w:rsidRDefault="00670E69" w:rsidP="00777D0C">
            <w:pPr>
              <w:spacing w:after="0" w:line="240" w:lineRule="auto"/>
              <w:jc w:val="center"/>
            </w:pPr>
            <w:r w:rsidRPr="00294094">
              <w:t>1,259</w:t>
            </w:r>
            <w:r w:rsidRPr="00294094">
              <w:rPr>
                <w:vertAlign w:val="superscript"/>
              </w:rPr>
              <w:t>a</w:t>
            </w:r>
          </w:p>
        </w:tc>
      </w:tr>
    </w:tbl>
    <w:p w:rsidR="00670E69" w:rsidRPr="00D976AF" w:rsidRDefault="00670E69" w:rsidP="00777D0C">
      <w:pPr>
        <w:spacing w:line="276" w:lineRule="auto"/>
        <w:rPr>
          <w:sz w:val="22"/>
          <w:szCs w:val="22"/>
        </w:rPr>
      </w:pPr>
      <w:proofErr w:type="spellStart"/>
      <w:proofErr w:type="gramStart"/>
      <w:r w:rsidRPr="00D976AF">
        <w:rPr>
          <w:sz w:val="22"/>
          <w:szCs w:val="22"/>
          <w:vertAlign w:val="superscript"/>
        </w:rPr>
        <w:t>a</w:t>
      </w:r>
      <w:r w:rsidRPr="00D976AF">
        <w:rPr>
          <w:sz w:val="22"/>
          <w:szCs w:val="22"/>
        </w:rPr>
        <w:t>Dependent</w:t>
      </w:r>
      <w:proofErr w:type="spellEnd"/>
      <w:proofErr w:type="gramEnd"/>
      <w:r w:rsidRPr="00D976AF">
        <w:rPr>
          <w:sz w:val="22"/>
          <w:szCs w:val="22"/>
        </w:rPr>
        <w:t xml:space="preserve"> on mean patient weight in the SUSTAIN 7 trial: 95.2 kg </w:t>
      </w:r>
      <w:r w:rsidRPr="00D976AF">
        <w:rPr>
          <w:noProof/>
          <w:sz w:val="22"/>
          <w:szCs w:val="22"/>
        </w:rPr>
        <w:t>[23]</w:t>
      </w:r>
      <w:r w:rsidRPr="00D976AF">
        <w:rPr>
          <w:sz w:val="22"/>
          <w:szCs w:val="22"/>
        </w:rPr>
        <w:t xml:space="preserve">. Insulin NPH was employed as the insulin treatment for the subsequent years of the patient’s life included in the base case </w:t>
      </w:r>
      <w:r w:rsidRPr="00D976AF">
        <w:rPr>
          <w:noProof/>
          <w:sz w:val="22"/>
          <w:szCs w:val="22"/>
        </w:rPr>
        <w:t>[51]</w:t>
      </w:r>
      <w:r w:rsidRPr="00D976AF">
        <w:rPr>
          <w:sz w:val="22"/>
          <w:szCs w:val="22"/>
        </w:rPr>
        <w:t xml:space="preserve">. For this treatment, a dosage of 0.75 IU/kg and CAN 0.029/IU was assumed </w:t>
      </w:r>
      <w:r w:rsidRPr="00D976AF">
        <w:rPr>
          <w:noProof/>
          <w:sz w:val="22"/>
          <w:szCs w:val="22"/>
        </w:rPr>
        <w:t>[</w:t>
      </w:r>
      <w:r w:rsidR="008A23BA">
        <w:rPr>
          <w:noProof/>
          <w:sz w:val="22"/>
          <w:szCs w:val="22"/>
        </w:rPr>
        <w:t>39</w:t>
      </w:r>
      <w:r w:rsidRPr="00D976AF">
        <w:rPr>
          <w:noProof/>
          <w:sz w:val="22"/>
          <w:szCs w:val="22"/>
        </w:rPr>
        <w:t>],</w:t>
      </w:r>
      <w:r w:rsidRPr="00D976AF">
        <w:rPr>
          <w:sz w:val="22"/>
          <w:szCs w:val="22"/>
        </w:rPr>
        <w:t xml:space="preserve"> using body weight (kg) at baseline for the two trial cohorts. The consumption of one needle (</w:t>
      </w:r>
      <w:proofErr w:type="spellStart"/>
      <w:r w:rsidRPr="00D976AF">
        <w:rPr>
          <w:sz w:val="22"/>
          <w:szCs w:val="22"/>
        </w:rPr>
        <w:t>NovoFine</w:t>
      </w:r>
      <w:proofErr w:type="spellEnd"/>
      <w:r w:rsidRPr="00D976AF">
        <w:rPr>
          <w:sz w:val="22"/>
          <w:szCs w:val="22"/>
          <w:vertAlign w:val="superscript"/>
        </w:rPr>
        <w:t>®</w:t>
      </w:r>
      <w:r w:rsidRPr="00D976AF">
        <w:rPr>
          <w:sz w:val="22"/>
          <w:szCs w:val="22"/>
        </w:rPr>
        <w:t xml:space="preserve"> 32G Tip </w:t>
      </w:r>
      <w:proofErr w:type="spellStart"/>
      <w:r w:rsidRPr="00D976AF">
        <w:rPr>
          <w:sz w:val="22"/>
          <w:szCs w:val="22"/>
        </w:rPr>
        <w:t>etw</w:t>
      </w:r>
      <w:proofErr w:type="spellEnd"/>
      <w:r w:rsidRPr="00D976AF">
        <w:rPr>
          <w:sz w:val="22"/>
          <w:szCs w:val="22"/>
        </w:rPr>
        <w:t xml:space="preserve"> x 6 mm 0.49/needle) and one test strip (SMGB-test strips CAN 0.89/test) per day was assumed </w:t>
      </w:r>
      <w:r w:rsidR="00E63ACC">
        <w:rPr>
          <w:sz w:val="22"/>
          <w:szCs w:val="22"/>
        </w:rPr>
        <w:t>for the basal insulin treatment</w:t>
      </w:r>
      <w:r w:rsidRPr="00D976AF">
        <w:rPr>
          <w:sz w:val="22"/>
          <w:szCs w:val="22"/>
        </w:rPr>
        <w:t xml:space="preserve"> </w:t>
      </w:r>
      <w:r w:rsidRPr="00D976AF">
        <w:rPr>
          <w:noProof/>
          <w:sz w:val="22"/>
          <w:szCs w:val="22"/>
        </w:rPr>
        <w:t>[</w:t>
      </w:r>
      <w:r w:rsidR="008A23BA">
        <w:rPr>
          <w:noProof/>
          <w:sz w:val="22"/>
          <w:szCs w:val="22"/>
        </w:rPr>
        <w:t>39</w:t>
      </w:r>
      <w:r w:rsidRPr="00D976AF">
        <w:rPr>
          <w:noProof/>
          <w:sz w:val="22"/>
          <w:szCs w:val="22"/>
        </w:rPr>
        <w:t>]</w:t>
      </w:r>
      <w:r w:rsidRPr="00D976AF">
        <w:rPr>
          <w:sz w:val="22"/>
          <w:szCs w:val="22"/>
        </w:rPr>
        <w:t xml:space="preserve">. CAD, Canadian dollars; IU, international units; NPH, neutral protamine </w:t>
      </w:r>
      <w:proofErr w:type="spellStart"/>
      <w:r w:rsidRPr="00D976AF">
        <w:rPr>
          <w:sz w:val="22"/>
          <w:szCs w:val="22"/>
        </w:rPr>
        <w:t>Hagedorn</w:t>
      </w:r>
      <w:proofErr w:type="spellEnd"/>
      <w:r w:rsidRPr="00D976AF">
        <w:rPr>
          <w:sz w:val="22"/>
          <w:szCs w:val="22"/>
        </w:rPr>
        <w:t>.</w:t>
      </w:r>
    </w:p>
    <w:p w:rsidR="00670E69" w:rsidRPr="00294094" w:rsidRDefault="00670E69" w:rsidP="00777D0C">
      <w:pPr>
        <w:spacing w:line="276" w:lineRule="auto"/>
        <w:sectPr w:rsidR="00670E69" w:rsidRPr="00294094" w:rsidSect="00777D0C">
          <w:pgSz w:w="12240" w:h="15840"/>
          <w:pgMar w:top="1440" w:right="1440" w:bottom="1440" w:left="1440" w:header="709" w:footer="709" w:gutter="0"/>
          <w:cols w:space="708"/>
          <w:docGrid w:linePitch="360"/>
        </w:sectPr>
      </w:pPr>
    </w:p>
    <w:p w:rsidR="00670E69" w:rsidRPr="00294094" w:rsidRDefault="00670E69" w:rsidP="00F323D1">
      <w:pPr>
        <w:pStyle w:val="Heading1"/>
        <w:ind w:left="0" w:firstLine="0"/>
      </w:pPr>
      <w:bookmarkStart w:id="45" w:name="_Toc530388345"/>
      <w:bookmarkStart w:id="46" w:name="_Toc2007169"/>
      <w:r>
        <w:t>Online Resource 7</w:t>
      </w:r>
      <w:r w:rsidRPr="00294094">
        <w:t>. Production loss assumptions for diabetic complications</w:t>
      </w:r>
      <w:bookmarkEnd w:id="45"/>
      <w:bookmarkEnd w:id="46"/>
    </w:p>
    <w:tbl>
      <w:tblPr>
        <w:tblW w:w="9356" w:type="dxa"/>
        <w:tblLook w:val="04A0" w:firstRow="1" w:lastRow="0" w:firstColumn="1" w:lastColumn="0" w:noHBand="0" w:noVBand="1"/>
      </w:tblPr>
      <w:tblGrid>
        <w:gridCol w:w="4253"/>
        <w:gridCol w:w="3402"/>
        <w:gridCol w:w="1701"/>
      </w:tblGrid>
      <w:tr w:rsidR="00670E69" w:rsidRPr="004E052E" w:rsidTr="00777D0C">
        <w:trPr>
          <w:trHeight w:val="20"/>
        </w:trPr>
        <w:tc>
          <w:tcPr>
            <w:tcW w:w="4253" w:type="dxa"/>
            <w:tcBorders>
              <w:top w:val="single" w:sz="12" w:space="0" w:color="002060"/>
              <w:left w:val="nil"/>
              <w:bottom w:val="single" w:sz="8" w:space="0" w:color="000000"/>
              <w:right w:val="dashed" w:sz="4" w:space="0" w:color="AEAAAA" w:themeColor="background2" w:themeShade="BF"/>
            </w:tcBorders>
            <w:shd w:val="clear" w:color="auto" w:fill="auto"/>
            <w:vAlign w:val="center"/>
            <w:hideMark/>
          </w:tcPr>
          <w:p w:rsidR="00670E69" w:rsidRPr="004E052E" w:rsidRDefault="00670E69" w:rsidP="00777D0C">
            <w:pPr>
              <w:spacing w:after="0" w:line="240" w:lineRule="auto"/>
              <w:rPr>
                <w:b/>
              </w:rPr>
            </w:pPr>
            <w:r w:rsidRPr="004E052E">
              <w:rPr>
                <w:b/>
              </w:rPr>
              <w:t>Type</w:t>
            </w:r>
          </w:p>
        </w:tc>
        <w:tc>
          <w:tcPr>
            <w:tcW w:w="3402" w:type="dxa"/>
            <w:tcBorders>
              <w:top w:val="single" w:sz="12" w:space="0" w:color="002060"/>
              <w:left w:val="dashed" w:sz="4" w:space="0" w:color="AEAAAA" w:themeColor="background2" w:themeShade="BF"/>
              <w:bottom w:val="single" w:sz="8" w:space="0" w:color="000000"/>
              <w:right w:val="dashed" w:sz="4" w:space="0" w:color="AEAAAA" w:themeColor="background2" w:themeShade="BF"/>
            </w:tcBorders>
            <w:shd w:val="clear" w:color="auto" w:fill="auto"/>
            <w:vAlign w:val="center"/>
            <w:hideMark/>
          </w:tcPr>
          <w:p w:rsidR="00670E69" w:rsidRPr="004E052E" w:rsidRDefault="00670E69" w:rsidP="00777D0C">
            <w:pPr>
              <w:spacing w:after="0" w:line="240" w:lineRule="auto"/>
              <w:jc w:val="center"/>
              <w:rPr>
                <w:b/>
              </w:rPr>
            </w:pPr>
            <w:r w:rsidRPr="004E052E">
              <w:rPr>
                <w:b/>
              </w:rPr>
              <w:t>Production loss</w:t>
            </w:r>
          </w:p>
          <w:p w:rsidR="00670E69" w:rsidRPr="004E052E" w:rsidRDefault="00670E69" w:rsidP="00777D0C">
            <w:pPr>
              <w:spacing w:after="0" w:line="240" w:lineRule="auto"/>
              <w:jc w:val="center"/>
              <w:rPr>
                <w:b/>
                <w:bCs/>
              </w:rPr>
            </w:pPr>
            <w:r w:rsidRPr="004E052E">
              <w:rPr>
                <w:b/>
              </w:rPr>
              <w:t>(% of days absent from work)</w:t>
            </w:r>
          </w:p>
        </w:tc>
        <w:tc>
          <w:tcPr>
            <w:tcW w:w="1701" w:type="dxa"/>
            <w:tcBorders>
              <w:top w:val="single" w:sz="12" w:space="0" w:color="002060"/>
              <w:left w:val="dashed" w:sz="4" w:space="0" w:color="AEAAAA" w:themeColor="background2" w:themeShade="BF"/>
              <w:bottom w:val="single" w:sz="8" w:space="0" w:color="000000"/>
              <w:right w:val="nil"/>
            </w:tcBorders>
            <w:shd w:val="clear" w:color="auto" w:fill="auto"/>
            <w:vAlign w:val="center"/>
            <w:hideMark/>
          </w:tcPr>
          <w:p w:rsidR="00670E69" w:rsidRPr="004E052E" w:rsidRDefault="00670E69" w:rsidP="00777D0C">
            <w:pPr>
              <w:spacing w:after="0" w:line="240" w:lineRule="auto"/>
              <w:jc w:val="center"/>
              <w:rPr>
                <w:b/>
              </w:rPr>
            </w:pPr>
            <w:r w:rsidRPr="004E052E">
              <w:rPr>
                <w:b/>
              </w:rPr>
              <w:t>Source</w:t>
            </w:r>
          </w:p>
        </w:tc>
      </w:tr>
      <w:tr w:rsidR="00670E69" w:rsidRPr="004E052E" w:rsidTr="00777D0C">
        <w:trPr>
          <w:trHeight w:val="20"/>
        </w:trPr>
        <w:tc>
          <w:tcPr>
            <w:tcW w:w="4253" w:type="dxa"/>
            <w:tcBorders>
              <w:top w:val="single" w:sz="8" w:space="0" w:color="000000"/>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4E052E" w:rsidRDefault="00670E69" w:rsidP="00777D0C">
            <w:pPr>
              <w:spacing w:after="0" w:line="240" w:lineRule="auto"/>
              <w:rPr>
                <w:b/>
              </w:rPr>
            </w:pPr>
            <w:r w:rsidRPr="004E052E">
              <w:rPr>
                <w:b/>
              </w:rPr>
              <w:t>Diabetic complication</w:t>
            </w:r>
          </w:p>
        </w:tc>
        <w:tc>
          <w:tcPr>
            <w:tcW w:w="3402" w:type="dxa"/>
            <w:tcBorders>
              <w:top w:val="single" w:sz="8" w:space="0" w:color="000000"/>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tcPr>
          <w:p w:rsidR="00670E69" w:rsidRPr="004E052E" w:rsidRDefault="00670E69" w:rsidP="00777D0C">
            <w:pPr>
              <w:spacing w:after="0" w:line="240" w:lineRule="auto"/>
              <w:jc w:val="center"/>
              <w:rPr>
                <w:b/>
              </w:rPr>
            </w:pPr>
          </w:p>
        </w:tc>
        <w:tc>
          <w:tcPr>
            <w:tcW w:w="1701" w:type="dxa"/>
            <w:tcBorders>
              <w:top w:val="single" w:sz="8" w:space="0" w:color="000000"/>
              <w:left w:val="dashed" w:sz="4" w:space="0" w:color="AEAAAA" w:themeColor="background2" w:themeShade="BF"/>
              <w:bottom w:val="single" w:sz="4" w:space="0" w:color="BFBFBF" w:themeColor="background1" w:themeShade="BF"/>
              <w:right w:val="nil"/>
            </w:tcBorders>
            <w:shd w:val="clear" w:color="auto" w:fill="auto"/>
            <w:vAlign w:val="center"/>
          </w:tcPr>
          <w:p w:rsidR="00670E69" w:rsidRPr="004E052E" w:rsidRDefault="00670E69" w:rsidP="00777D0C">
            <w:pPr>
              <w:spacing w:after="0" w:line="240" w:lineRule="auto"/>
              <w:jc w:val="center"/>
              <w:rPr>
                <w:b/>
              </w:rPr>
            </w:pPr>
          </w:p>
        </w:tc>
      </w:tr>
      <w:tr w:rsidR="00670E69" w:rsidRPr="00294094" w:rsidTr="00777D0C">
        <w:trPr>
          <w:trHeight w:val="20"/>
        </w:trPr>
        <w:tc>
          <w:tcPr>
            <w:tcW w:w="4253" w:type="dxa"/>
            <w:tcBorders>
              <w:top w:val="single" w:sz="4" w:space="0" w:color="BFBFBF" w:themeColor="background1" w:themeShade="BF"/>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Retinopathy − background, and ME</w:t>
            </w:r>
          </w:p>
        </w:tc>
        <w:tc>
          <w:tcPr>
            <w:tcW w:w="3402" w:type="dxa"/>
            <w:tcBorders>
              <w:top w:val="single" w:sz="4" w:space="0" w:color="BFBFBF" w:themeColor="background1" w:themeShade="BF"/>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w:t>
            </w:r>
          </w:p>
        </w:tc>
        <w:tc>
          <w:tcPr>
            <w:tcW w:w="1701" w:type="dxa"/>
            <w:tcBorders>
              <w:top w:val="single" w:sz="4" w:space="0" w:color="BFBFBF" w:themeColor="background1" w:themeShade="BF"/>
              <w:left w:val="dashed" w:sz="4" w:space="0" w:color="AEAAAA" w:themeColor="background2" w:themeShade="BF"/>
              <w:bottom w:val="single" w:sz="4" w:space="0" w:color="BFBFBF" w:themeColor="background1" w:themeShade="BF"/>
              <w:right w:val="nil"/>
            </w:tcBorders>
            <w:shd w:val="clear" w:color="auto" w:fill="auto"/>
            <w:vAlign w:val="center"/>
            <w:hideMark/>
          </w:tcPr>
          <w:p w:rsidR="00670E69" w:rsidRPr="00294094" w:rsidRDefault="00670E69" w:rsidP="00777D0C">
            <w:pPr>
              <w:spacing w:after="0" w:line="240" w:lineRule="auto"/>
              <w:jc w:val="center"/>
            </w:pPr>
            <w:r w:rsidRPr="00294094">
              <w:t>Assumption</w:t>
            </w:r>
          </w:p>
        </w:tc>
      </w:tr>
      <w:tr w:rsidR="00670E69" w:rsidRPr="00294094" w:rsidTr="00777D0C">
        <w:trPr>
          <w:trHeight w:val="20"/>
        </w:trPr>
        <w:tc>
          <w:tcPr>
            <w:tcW w:w="4253" w:type="dxa"/>
            <w:tcBorders>
              <w:top w:val="single" w:sz="4" w:space="0" w:color="BFBFBF" w:themeColor="background1" w:themeShade="BF"/>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Retinopathy − PDR</w:t>
            </w:r>
          </w:p>
        </w:tc>
        <w:tc>
          <w:tcPr>
            <w:tcW w:w="3402" w:type="dxa"/>
            <w:tcBorders>
              <w:top w:val="single" w:sz="4" w:space="0" w:color="BFBFBF" w:themeColor="background1" w:themeShade="BF"/>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w:t>
            </w:r>
          </w:p>
        </w:tc>
        <w:tc>
          <w:tcPr>
            <w:tcW w:w="1701" w:type="dxa"/>
            <w:tcBorders>
              <w:top w:val="single" w:sz="4" w:space="0" w:color="BFBFBF" w:themeColor="background1" w:themeShade="BF"/>
              <w:left w:val="dashed" w:sz="4" w:space="0" w:color="AEAAAA" w:themeColor="background2" w:themeShade="BF"/>
              <w:bottom w:val="single" w:sz="4" w:space="0" w:color="BFBFBF" w:themeColor="background1" w:themeShade="BF"/>
              <w:right w:val="nil"/>
            </w:tcBorders>
            <w:shd w:val="clear" w:color="auto" w:fill="auto"/>
            <w:vAlign w:val="center"/>
            <w:hideMark/>
          </w:tcPr>
          <w:p w:rsidR="00670E69" w:rsidRPr="00294094" w:rsidRDefault="00670E69" w:rsidP="00777D0C">
            <w:pPr>
              <w:spacing w:after="0" w:line="240" w:lineRule="auto"/>
              <w:jc w:val="center"/>
            </w:pPr>
            <w:r w:rsidRPr="00294094">
              <w:t>Assumption</w:t>
            </w:r>
          </w:p>
        </w:tc>
      </w:tr>
      <w:tr w:rsidR="00670E69" w:rsidRPr="00294094" w:rsidTr="00777D0C">
        <w:trPr>
          <w:trHeight w:val="20"/>
        </w:trPr>
        <w:tc>
          <w:tcPr>
            <w:tcW w:w="4253" w:type="dxa"/>
            <w:tcBorders>
              <w:top w:val="single" w:sz="4" w:space="0" w:color="BFBFBF" w:themeColor="background1" w:themeShade="BF"/>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ME</w:t>
            </w:r>
          </w:p>
        </w:tc>
        <w:tc>
          <w:tcPr>
            <w:tcW w:w="3402" w:type="dxa"/>
            <w:tcBorders>
              <w:top w:val="single" w:sz="4" w:space="0" w:color="BFBFBF" w:themeColor="background1" w:themeShade="BF"/>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w:t>
            </w:r>
          </w:p>
        </w:tc>
        <w:tc>
          <w:tcPr>
            <w:tcW w:w="1701" w:type="dxa"/>
            <w:tcBorders>
              <w:top w:val="single" w:sz="4" w:space="0" w:color="BFBFBF" w:themeColor="background1" w:themeShade="BF"/>
              <w:left w:val="dashed" w:sz="4" w:space="0" w:color="AEAAAA" w:themeColor="background2" w:themeShade="BF"/>
              <w:bottom w:val="single" w:sz="4" w:space="0" w:color="BFBFBF" w:themeColor="background1" w:themeShade="BF"/>
              <w:right w:val="nil"/>
            </w:tcBorders>
            <w:shd w:val="clear" w:color="auto" w:fill="auto"/>
            <w:vAlign w:val="center"/>
            <w:hideMark/>
          </w:tcPr>
          <w:p w:rsidR="00670E69" w:rsidRPr="00294094" w:rsidRDefault="00670E69" w:rsidP="00777D0C">
            <w:pPr>
              <w:spacing w:after="0" w:line="240" w:lineRule="auto"/>
              <w:jc w:val="center"/>
            </w:pPr>
            <w:r w:rsidRPr="00294094">
              <w:t>Assumption</w:t>
            </w:r>
          </w:p>
        </w:tc>
      </w:tr>
      <w:tr w:rsidR="00670E69" w:rsidRPr="00294094" w:rsidTr="00777D0C">
        <w:trPr>
          <w:trHeight w:val="20"/>
        </w:trPr>
        <w:tc>
          <w:tcPr>
            <w:tcW w:w="4253" w:type="dxa"/>
            <w:tcBorders>
              <w:top w:val="single" w:sz="4" w:space="0" w:color="BFBFBF" w:themeColor="background1" w:themeShade="BF"/>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Severe visual loss</w:t>
            </w:r>
          </w:p>
        </w:tc>
        <w:tc>
          <w:tcPr>
            <w:tcW w:w="3402" w:type="dxa"/>
            <w:tcBorders>
              <w:top w:val="single" w:sz="4" w:space="0" w:color="BFBFBF" w:themeColor="background1" w:themeShade="BF"/>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30</w:t>
            </w:r>
          </w:p>
        </w:tc>
        <w:tc>
          <w:tcPr>
            <w:tcW w:w="1701" w:type="dxa"/>
            <w:tcBorders>
              <w:top w:val="single" w:sz="4" w:space="0" w:color="BFBFBF" w:themeColor="background1" w:themeShade="BF"/>
              <w:left w:val="dashed" w:sz="4" w:space="0" w:color="AEAAAA" w:themeColor="background2" w:themeShade="BF"/>
              <w:bottom w:val="single" w:sz="4" w:space="0" w:color="BFBFBF" w:themeColor="background1" w:themeShade="BF"/>
              <w:right w:val="nil"/>
            </w:tcBorders>
            <w:shd w:val="clear" w:color="auto" w:fill="auto"/>
            <w:vAlign w:val="center"/>
            <w:hideMark/>
          </w:tcPr>
          <w:p w:rsidR="00670E69" w:rsidRPr="00294094" w:rsidRDefault="00670E69" w:rsidP="00777D0C">
            <w:pPr>
              <w:spacing w:after="0" w:line="240" w:lineRule="auto"/>
              <w:jc w:val="center"/>
              <w:rPr>
                <w:color w:val="009FDA"/>
              </w:rPr>
            </w:pPr>
            <w:r>
              <w:rPr>
                <w:noProof/>
              </w:rPr>
              <w:t>[53]</w:t>
            </w:r>
          </w:p>
        </w:tc>
      </w:tr>
      <w:tr w:rsidR="00670E69" w:rsidRPr="00294094" w:rsidTr="00777D0C">
        <w:trPr>
          <w:trHeight w:val="20"/>
        </w:trPr>
        <w:tc>
          <w:tcPr>
            <w:tcW w:w="4253" w:type="dxa"/>
            <w:tcBorders>
              <w:top w:val="single" w:sz="4" w:space="0" w:color="BFBFBF" w:themeColor="background1" w:themeShade="BF"/>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Symptomatic neuropathy</w:t>
            </w:r>
          </w:p>
        </w:tc>
        <w:tc>
          <w:tcPr>
            <w:tcW w:w="3402" w:type="dxa"/>
            <w:tcBorders>
              <w:top w:val="single" w:sz="4" w:space="0" w:color="BFBFBF" w:themeColor="background1" w:themeShade="BF"/>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15.2</w:t>
            </w:r>
          </w:p>
        </w:tc>
        <w:tc>
          <w:tcPr>
            <w:tcW w:w="1701" w:type="dxa"/>
            <w:tcBorders>
              <w:top w:val="single" w:sz="4" w:space="0" w:color="BFBFBF" w:themeColor="background1" w:themeShade="BF"/>
              <w:left w:val="dashed" w:sz="4" w:space="0" w:color="AEAAAA" w:themeColor="background2" w:themeShade="BF"/>
              <w:bottom w:val="single" w:sz="4" w:space="0" w:color="BFBFBF" w:themeColor="background1" w:themeShade="BF"/>
              <w:right w:val="nil"/>
            </w:tcBorders>
            <w:shd w:val="clear" w:color="auto" w:fill="auto"/>
            <w:vAlign w:val="center"/>
            <w:hideMark/>
          </w:tcPr>
          <w:p w:rsidR="00670E69" w:rsidRPr="00294094" w:rsidRDefault="00670E69" w:rsidP="00777D0C">
            <w:pPr>
              <w:spacing w:after="0" w:line="240" w:lineRule="auto"/>
              <w:jc w:val="center"/>
              <w:rPr>
                <w:color w:val="009FDA"/>
              </w:rPr>
            </w:pPr>
            <w:r>
              <w:rPr>
                <w:noProof/>
              </w:rPr>
              <w:t>[71]</w:t>
            </w:r>
            <w:r w:rsidRPr="00294094">
              <w:t>*</w:t>
            </w:r>
          </w:p>
        </w:tc>
      </w:tr>
      <w:tr w:rsidR="00670E69" w:rsidRPr="00294094" w:rsidTr="00777D0C">
        <w:trPr>
          <w:trHeight w:val="20"/>
        </w:trPr>
        <w:tc>
          <w:tcPr>
            <w:tcW w:w="4253" w:type="dxa"/>
            <w:tcBorders>
              <w:top w:val="single" w:sz="4" w:space="0" w:color="BFBFBF" w:themeColor="background1" w:themeShade="BF"/>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PVD</w:t>
            </w:r>
          </w:p>
        </w:tc>
        <w:tc>
          <w:tcPr>
            <w:tcW w:w="3402" w:type="dxa"/>
            <w:tcBorders>
              <w:top w:val="single" w:sz="4" w:space="0" w:color="BFBFBF" w:themeColor="background1" w:themeShade="BF"/>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33.9</w:t>
            </w:r>
          </w:p>
        </w:tc>
        <w:tc>
          <w:tcPr>
            <w:tcW w:w="1701" w:type="dxa"/>
            <w:tcBorders>
              <w:top w:val="single" w:sz="4" w:space="0" w:color="BFBFBF" w:themeColor="background1" w:themeShade="BF"/>
              <w:left w:val="dashed" w:sz="4" w:space="0" w:color="AEAAAA" w:themeColor="background2" w:themeShade="BF"/>
              <w:bottom w:val="single" w:sz="4" w:space="0" w:color="BFBFBF" w:themeColor="background1" w:themeShade="BF"/>
              <w:right w:val="nil"/>
            </w:tcBorders>
            <w:shd w:val="clear" w:color="auto" w:fill="auto"/>
            <w:vAlign w:val="center"/>
          </w:tcPr>
          <w:p w:rsidR="00670E69" w:rsidRPr="00294094" w:rsidRDefault="00670E69" w:rsidP="00777D0C">
            <w:pPr>
              <w:spacing w:after="0" w:line="240" w:lineRule="auto"/>
              <w:jc w:val="center"/>
              <w:rPr>
                <w:color w:val="009FDA"/>
                <w:u w:val="single"/>
              </w:rPr>
            </w:pPr>
            <w:r>
              <w:rPr>
                <w:noProof/>
              </w:rPr>
              <w:t>[71]</w:t>
            </w:r>
            <w:r w:rsidRPr="00294094">
              <w:t>*</w:t>
            </w:r>
          </w:p>
        </w:tc>
      </w:tr>
      <w:tr w:rsidR="00670E69" w:rsidRPr="00294094" w:rsidTr="00777D0C">
        <w:trPr>
          <w:trHeight w:val="20"/>
        </w:trPr>
        <w:tc>
          <w:tcPr>
            <w:tcW w:w="4253" w:type="dxa"/>
            <w:tcBorders>
              <w:top w:val="single" w:sz="4" w:space="0" w:color="BFBFBF" w:themeColor="background1" w:themeShade="BF"/>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 xml:space="preserve">LEA </w:t>
            </w:r>
          </w:p>
        </w:tc>
        <w:tc>
          <w:tcPr>
            <w:tcW w:w="3402" w:type="dxa"/>
            <w:tcBorders>
              <w:top w:val="single" w:sz="4" w:space="0" w:color="BFBFBF" w:themeColor="background1" w:themeShade="BF"/>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39.1</w:t>
            </w:r>
          </w:p>
        </w:tc>
        <w:tc>
          <w:tcPr>
            <w:tcW w:w="1701" w:type="dxa"/>
            <w:tcBorders>
              <w:top w:val="single" w:sz="4" w:space="0" w:color="BFBFBF" w:themeColor="background1" w:themeShade="BF"/>
              <w:left w:val="dashed" w:sz="4" w:space="0" w:color="AEAAAA" w:themeColor="background2" w:themeShade="BF"/>
              <w:bottom w:val="single" w:sz="4" w:space="0" w:color="BFBFBF" w:themeColor="background1" w:themeShade="BF"/>
              <w:right w:val="nil"/>
            </w:tcBorders>
            <w:shd w:val="clear" w:color="auto" w:fill="auto"/>
            <w:vAlign w:val="center"/>
          </w:tcPr>
          <w:p w:rsidR="00670E69" w:rsidRPr="00294094" w:rsidRDefault="00670E69" w:rsidP="00777D0C">
            <w:pPr>
              <w:spacing w:after="0" w:line="240" w:lineRule="auto"/>
              <w:jc w:val="center"/>
              <w:rPr>
                <w:color w:val="009FDA"/>
                <w:u w:val="single"/>
              </w:rPr>
            </w:pPr>
            <w:r>
              <w:rPr>
                <w:noProof/>
              </w:rPr>
              <w:t>[71]</w:t>
            </w:r>
            <w:r w:rsidRPr="00294094">
              <w:t>*</w:t>
            </w:r>
          </w:p>
        </w:tc>
      </w:tr>
      <w:tr w:rsidR="00670E69" w:rsidRPr="00294094" w:rsidTr="00777D0C">
        <w:trPr>
          <w:trHeight w:val="20"/>
        </w:trPr>
        <w:tc>
          <w:tcPr>
            <w:tcW w:w="4253" w:type="dxa"/>
            <w:tcBorders>
              <w:top w:val="single" w:sz="4" w:space="0" w:color="BFBFBF" w:themeColor="background1" w:themeShade="BF"/>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Post-LEA</w:t>
            </w:r>
          </w:p>
        </w:tc>
        <w:tc>
          <w:tcPr>
            <w:tcW w:w="3402" w:type="dxa"/>
            <w:tcBorders>
              <w:top w:val="single" w:sz="4" w:space="0" w:color="BFBFBF" w:themeColor="background1" w:themeShade="BF"/>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35.5</w:t>
            </w:r>
          </w:p>
        </w:tc>
        <w:tc>
          <w:tcPr>
            <w:tcW w:w="1701" w:type="dxa"/>
            <w:tcBorders>
              <w:top w:val="single" w:sz="4" w:space="0" w:color="BFBFBF" w:themeColor="background1" w:themeShade="BF"/>
              <w:left w:val="dashed" w:sz="4" w:space="0" w:color="AEAAAA" w:themeColor="background2" w:themeShade="BF"/>
              <w:bottom w:val="single" w:sz="4" w:space="0" w:color="BFBFBF" w:themeColor="background1" w:themeShade="BF"/>
              <w:right w:val="nil"/>
            </w:tcBorders>
            <w:shd w:val="clear" w:color="auto" w:fill="auto"/>
            <w:vAlign w:val="center"/>
          </w:tcPr>
          <w:p w:rsidR="00670E69" w:rsidRPr="00294094" w:rsidRDefault="00670E69" w:rsidP="00777D0C">
            <w:pPr>
              <w:spacing w:after="0" w:line="240" w:lineRule="auto"/>
              <w:jc w:val="center"/>
              <w:rPr>
                <w:color w:val="009FDA"/>
                <w:u w:val="single"/>
              </w:rPr>
            </w:pPr>
            <w:r>
              <w:rPr>
                <w:noProof/>
              </w:rPr>
              <w:t>[71]</w:t>
            </w:r>
            <w:r w:rsidRPr="00294094">
              <w:t>*</w:t>
            </w:r>
          </w:p>
        </w:tc>
      </w:tr>
      <w:tr w:rsidR="00670E69" w:rsidRPr="00294094" w:rsidTr="00777D0C">
        <w:trPr>
          <w:trHeight w:val="20"/>
        </w:trPr>
        <w:tc>
          <w:tcPr>
            <w:tcW w:w="4253" w:type="dxa"/>
            <w:tcBorders>
              <w:top w:val="single" w:sz="4" w:space="0" w:color="BFBFBF" w:themeColor="background1" w:themeShade="BF"/>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Microalbuminuria</w:t>
            </w:r>
          </w:p>
        </w:tc>
        <w:tc>
          <w:tcPr>
            <w:tcW w:w="3402" w:type="dxa"/>
            <w:tcBorders>
              <w:top w:val="single" w:sz="4" w:space="0" w:color="BFBFBF" w:themeColor="background1" w:themeShade="BF"/>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w:t>
            </w:r>
          </w:p>
        </w:tc>
        <w:tc>
          <w:tcPr>
            <w:tcW w:w="1701" w:type="dxa"/>
            <w:tcBorders>
              <w:top w:val="single" w:sz="4" w:space="0" w:color="BFBFBF" w:themeColor="background1" w:themeShade="BF"/>
              <w:left w:val="dashed" w:sz="4" w:space="0" w:color="AEAAAA" w:themeColor="background2" w:themeShade="BF"/>
              <w:bottom w:val="single" w:sz="4" w:space="0" w:color="BFBFBF" w:themeColor="background1" w:themeShade="BF"/>
              <w:right w:val="nil"/>
            </w:tcBorders>
            <w:shd w:val="clear" w:color="auto" w:fill="auto"/>
            <w:vAlign w:val="center"/>
            <w:hideMark/>
          </w:tcPr>
          <w:p w:rsidR="00670E69" w:rsidRPr="00294094" w:rsidRDefault="00670E69" w:rsidP="00777D0C">
            <w:pPr>
              <w:spacing w:after="0" w:line="240" w:lineRule="auto"/>
              <w:jc w:val="center"/>
            </w:pPr>
            <w:r w:rsidRPr="00294094">
              <w:t>Assumption</w:t>
            </w:r>
          </w:p>
        </w:tc>
      </w:tr>
      <w:tr w:rsidR="00670E69" w:rsidRPr="00294094" w:rsidTr="00777D0C">
        <w:trPr>
          <w:trHeight w:val="20"/>
        </w:trPr>
        <w:tc>
          <w:tcPr>
            <w:tcW w:w="4253" w:type="dxa"/>
            <w:tcBorders>
              <w:top w:val="single" w:sz="4" w:space="0" w:color="BFBFBF" w:themeColor="background1" w:themeShade="BF"/>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proofErr w:type="spellStart"/>
            <w:r w:rsidRPr="00294094">
              <w:t>Macroalbuminuria</w:t>
            </w:r>
            <w:proofErr w:type="spellEnd"/>
          </w:p>
        </w:tc>
        <w:tc>
          <w:tcPr>
            <w:tcW w:w="3402" w:type="dxa"/>
            <w:tcBorders>
              <w:top w:val="single" w:sz="4" w:space="0" w:color="BFBFBF" w:themeColor="background1" w:themeShade="BF"/>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0</w:t>
            </w:r>
          </w:p>
        </w:tc>
        <w:tc>
          <w:tcPr>
            <w:tcW w:w="1701" w:type="dxa"/>
            <w:tcBorders>
              <w:top w:val="single" w:sz="4" w:space="0" w:color="BFBFBF" w:themeColor="background1" w:themeShade="BF"/>
              <w:left w:val="dashed" w:sz="4" w:space="0" w:color="AEAAAA" w:themeColor="background2" w:themeShade="BF"/>
              <w:bottom w:val="single" w:sz="4" w:space="0" w:color="BFBFBF" w:themeColor="background1" w:themeShade="BF"/>
              <w:right w:val="nil"/>
            </w:tcBorders>
            <w:shd w:val="clear" w:color="auto" w:fill="auto"/>
            <w:vAlign w:val="center"/>
            <w:hideMark/>
          </w:tcPr>
          <w:p w:rsidR="00670E69" w:rsidRPr="00294094" w:rsidRDefault="00670E69" w:rsidP="00777D0C">
            <w:pPr>
              <w:spacing w:after="0" w:line="240" w:lineRule="auto"/>
              <w:jc w:val="center"/>
            </w:pPr>
            <w:r w:rsidRPr="00294094">
              <w:t>Assumption</w:t>
            </w:r>
          </w:p>
        </w:tc>
      </w:tr>
      <w:tr w:rsidR="00670E69" w:rsidRPr="00294094" w:rsidTr="00777D0C">
        <w:trPr>
          <w:trHeight w:val="20"/>
        </w:trPr>
        <w:tc>
          <w:tcPr>
            <w:tcW w:w="4253" w:type="dxa"/>
            <w:tcBorders>
              <w:top w:val="single" w:sz="4" w:space="0" w:color="BFBFBF" w:themeColor="background1" w:themeShade="BF"/>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ESRD</w:t>
            </w:r>
          </w:p>
        </w:tc>
        <w:tc>
          <w:tcPr>
            <w:tcW w:w="3402" w:type="dxa"/>
            <w:tcBorders>
              <w:top w:val="single" w:sz="4" w:space="0" w:color="BFBFBF" w:themeColor="background1" w:themeShade="BF"/>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36.9</w:t>
            </w:r>
          </w:p>
        </w:tc>
        <w:tc>
          <w:tcPr>
            <w:tcW w:w="1701" w:type="dxa"/>
            <w:tcBorders>
              <w:top w:val="single" w:sz="4" w:space="0" w:color="BFBFBF" w:themeColor="background1" w:themeShade="BF"/>
              <w:left w:val="dashed" w:sz="4" w:space="0" w:color="AEAAAA" w:themeColor="background2" w:themeShade="BF"/>
              <w:bottom w:val="single" w:sz="4" w:space="0" w:color="BFBFBF" w:themeColor="background1" w:themeShade="BF"/>
              <w:right w:val="nil"/>
            </w:tcBorders>
            <w:shd w:val="clear" w:color="auto" w:fill="auto"/>
            <w:vAlign w:val="center"/>
            <w:hideMark/>
          </w:tcPr>
          <w:p w:rsidR="00670E69" w:rsidRPr="00294094" w:rsidRDefault="00670E69" w:rsidP="00777D0C">
            <w:pPr>
              <w:spacing w:after="0" w:line="240" w:lineRule="auto"/>
              <w:jc w:val="center"/>
              <w:rPr>
                <w:color w:val="009FDA"/>
                <w:u w:val="single"/>
              </w:rPr>
            </w:pPr>
            <w:r>
              <w:rPr>
                <w:noProof/>
              </w:rPr>
              <w:t>[71]</w:t>
            </w:r>
            <w:r w:rsidRPr="00294094">
              <w:t>*</w:t>
            </w:r>
          </w:p>
        </w:tc>
      </w:tr>
      <w:tr w:rsidR="00670E69" w:rsidRPr="00294094" w:rsidTr="00777D0C">
        <w:trPr>
          <w:trHeight w:val="20"/>
        </w:trPr>
        <w:tc>
          <w:tcPr>
            <w:tcW w:w="4253" w:type="dxa"/>
            <w:tcBorders>
              <w:top w:val="single" w:sz="4" w:space="0" w:color="BFBFBF" w:themeColor="background1" w:themeShade="BF"/>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 xml:space="preserve">IHD </w:t>
            </w:r>
          </w:p>
        </w:tc>
        <w:tc>
          <w:tcPr>
            <w:tcW w:w="3402" w:type="dxa"/>
            <w:tcBorders>
              <w:top w:val="single" w:sz="4" w:space="0" w:color="BFBFBF" w:themeColor="background1" w:themeShade="BF"/>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24.6</w:t>
            </w:r>
          </w:p>
        </w:tc>
        <w:tc>
          <w:tcPr>
            <w:tcW w:w="1701" w:type="dxa"/>
            <w:tcBorders>
              <w:top w:val="single" w:sz="4" w:space="0" w:color="BFBFBF" w:themeColor="background1" w:themeShade="BF"/>
              <w:left w:val="dashed" w:sz="4" w:space="0" w:color="AEAAAA" w:themeColor="background2" w:themeShade="BF"/>
              <w:bottom w:val="single" w:sz="4" w:space="0" w:color="BFBFBF" w:themeColor="background1" w:themeShade="BF"/>
              <w:right w:val="nil"/>
            </w:tcBorders>
            <w:shd w:val="clear" w:color="auto" w:fill="auto"/>
            <w:vAlign w:val="center"/>
            <w:hideMark/>
          </w:tcPr>
          <w:p w:rsidR="00670E69" w:rsidRPr="00294094" w:rsidRDefault="00670E69" w:rsidP="00777D0C">
            <w:pPr>
              <w:spacing w:after="0" w:line="240" w:lineRule="auto"/>
              <w:jc w:val="center"/>
              <w:rPr>
                <w:color w:val="009FDA"/>
                <w:u w:val="single"/>
              </w:rPr>
            </w:pPr>
            <w:r>
              <w:rPr>
                <w:noProof/>
              </w:rPr>
              <w:t>[71]</w:t>
            </w:r>
            <w:r w:rsidRPr="00294094">
              <w:t>*</w:t>
            </w:r>
          </w:p>
        </w:tc>
      </w:tr>
      <w:tr w:rsidR="00670E69" w:rsidRPr="00294094" w:rsidTr="00777D0C">
        <w:trPr>
          <w:trHeight w:val="20"/>
        </w:trPr>
        <w:tc>
          <w:tcPr>
            <w:tcW w:w="4253" w:type="dxa"/>
            <w:tcBorders>
              <w:top w:val="single" w:sz="4" w:space="0" w:color="BFBFBF" w:themeColor="background1" w:themeShade="BF"/>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 xml:space="preserve">MI </w:t>
            </w:r>
          </w:p>
        </w:tc>
        <w:tc>
          <w:tcPr>
            <w:tcW w:w="3402" w:type="dxa"/>
            <w:tcBorders>
              <w:top w:val="single" w:sz="4" w:space="0" w:color="BFBFBF" w:themeColor="background1" w:themeShade="BF"/>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24.6</w:t>
            </w:r>
          </w:p>
        </w:tc>
        <w:tc>
          <w:tcPr>
            <w:tcW w:w="1701" w:type="dxa"/>
            <w:tcBorders>
              <w:top w:val="single" w:sz="4" w:space="0" w:color="BFBFBF" w:themeColor="background1" w:themeShade="BF"/>
              <w:left w:val="dashed" w:sz="4" w:space="0" w:color="AEAAAA" w:themeColor="background2" w:themeShade="BF"/>
              <w:bottom w:val="single" w:sz="4" w:space="0" w:color="BFBFBF" w:themeColor="background1" w:themeShade="BF"/>
              <w:right w:val="nil"/>
            </w:tcBorders>
            <w:shd w:val="clear" w:color="auto" w:fill="auto"/>
            <w:vAlign w:val="center"/>
            <w:hideMark/>
          </w:tcPr>
          <w:p w:rsidR="00670E69" w:rsidRPr="00294094" w:rsidRDefault="00670E69" w:rsidP="00777D0C">
            <w:pPr>
              <w:spacing w:after="0" w:line="240" w:lineRule="auto"/>
              <w:jc w:val="center"/>
              <w:rPr>
                <w:color w:val="009FDA"/>
                <w:u w:val="single"/>
              </w:rPr>
            </w:pPr>
            <w:r>
              <w:rPr>
                <w:noProof/>
              </w:rPr>
              <w:t>[71]</w:t>
            </w:r>
            <w:r w:rsidRPr="00294094">
              <w:t>*</w:t>
            </w:r>
          </w:p>
        </w:tc>
      </w:tr>
      <w:tr w:rsidR="00670E69" w:rsidRPr="00294094" w:rsidTr="00777D0C">
        <w:trPr>
          <w:trHeight w:val="20"/>
        </w:trPr>
        <w:tc>
          <w:tcPr>
            <w:tcW w:w="4253" w:type="dxa"/>
            <w:tcBorders>
              <w:top w:val="single" w:sz="4" w:space="0" w:color="BFBFBF" w:themeColor="background1" w:themeShade="BF"/>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 xml:space="preserve">Post-MI </w:t>
            </w:r>
          </w:p>
        </w:tc>
        <w:tc>
          <w:tcPr>
            <w:tcW w:w="3402" w:type="dxa"/>
            <w:tcBorders>
              <w:top w:val="single" w:sz="4" w:space="0" w:color="BFBFBF" w:themeColor="background1" w:themeShade="BF"/>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25.6</w:t>
            </w:r>
          </w:p>
        </w:tc>
        <w:tc>
          <w:tcPr>
            <w:tcW w:w="1701" w:type="dxa"/>
            <w:tcBorders>
              <w:top w:val="single" w:sz="4" w:space="0" w:color="BFBFBF" w:themeColor="background1" w:themeShade="BF"/>
              <w:left w:val="dashed" w:sz="4" w:space="0" w:color="AEAAAA" w:themeColor="background2" w:themeShade="BF"/>
              <w:bottom w:val="single" w:sz="4" w:space="0" w:color="BFBFBF" w:themeColor="background1" w:themeShade="BF"/>
              <w:right w:val="nil"/>
            </w:tcBorders>
            <w:shd w:val="clear" w:color="auto" w:fill="auto"/>
            <w:vAlign w:val="center"/>
            <w:hideMark/>
          </w:tcPr>
          <w:p w:rsidR="00670E69" w:rsidRPr="00294094" w:rsidRDefault="00670E69" w:rsidP="00777D0C">
            <w:pPr>
              <w:spacing w:after="0" w:line="240" w:lineRule="auto"/>
              <w:jc w:val="center"/>
              <w:rPr>
                <w:color w:val="009FDA"/>
                <w:u w:val="single"/>
              </w:rPr>
            </w:pPr>
            <w:r>
              <w:rPr>
                <w:noProof/>
              </w:rPr>
              <w:t>[71]</w:t>
            </w:r>
            <w:r w:rsidRPr="00294094">
              <w:t>*</w:t>
            </w:r>
          </w:p>
        </w:tc>
      </w:tr>
      <w:tr w:rsidR="00670E69" w:rsidRPr="00294094" w:rsidTr="00777D0C">
        <w:trPr>
          <w:trHeight w:val="20"/>
        </w:trPr>
        <w:tc>
          <w:tcPr>
            <w:tcW w:w="4253" w:type="dxa"/>
            <w:tcBorders>
              <w:top w:val="single" w:sz="4" w:space="0" w:color="BFBFBF" w:themeColor="background1" w:themeShade="BF"/>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 xml:space="preserve">Stroke </w:t>
            </w:r>
          </w:p>
        </w:tc>
        <w:tc>
          <w:tcPr>
            <w:tcW w:w="3402" w:type="dxa"/>
            <w:tcBorders>
              <w:top w:val="single" w:sz="4" w:space="0" w:color="BFBFBF" w:themeColor="background1" w:themeShade="BF"/>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32.1</w:t>
            </w:r>
          </w:p>
        </w:tc>
        <w:tc>
          <w:tcPr>
            <w:tcW w:w="1701" w:type="dxa"/>
            <w:tcBorders>
              <w:top w:val="single" w:sz="4" w:space="0" w:color="BFBFBF" w:themeColor="background1" w:themeShade="BF"/>
              <w:left w:val="dashed" w:sz="4" w:space="0" w:color="AEAAAA" w:themeColor="background2" w:themeShade="BF"/>
              <w:bottom w:val="single" w:sz="4" w:space="0" w:color="BFBFBF" w:themeColor="background1" w:themeShade="BF"/>
              <w:right w:val="nil"/>
            </w:tcBorders>
            <w:shd w:val="clear" w:color="auto" w:fill="auto"/>
            <w:vAlign w:val="center"/>
            <w:hideMark/>
          </w:tcPr>
          <w:p w:rsidR="00670E69" w:rsidRPr="00294094" w:rsidRDefault="00670E69" w:rsidP="00777D0C">
            <w:pPr>
              <w:spacing w:after="0" w:line="240" w:lineRule="auto"/>
              <w:jc w:val="center"/>
              <w:rPr>
                <w:color w:val="009FDA"/>
                <w:u w:val="single"/>
              </w:rPr>
            </w:pPr>
            <w:r>
              <w:rPr>
                <w:noProof/>
              </w:rPr>
              <w:t>[71]</w:t>
            </w:r>
            <w:r w:rsidRPr="00294094">
              <w:t>*</w:t>
            </w:r>
          </w:p>
        </w:tc>
      </w:tr>
      <w:tr w:rsidR="00670E69" w:rsidRPr="00294094" w:rsidTr="00777D0C">
        <w:trPr>
          <w:trHeight w:val="20"/>
        </w:trPr>
        <w:tc>
          <w:tcPr>
            <w:tcW w:w="4253" w:type="dxa"/>
            <w:tcBorders>
              <w:top w:val="single" w:sz="4" w:space="0" w:color="BFBFBF" w:themeColor="background1" w:themeShade="BF"/>
              <w:left w:val="nil"/>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Post-stroke</w:t>
            </w:r>
          </w:p>
        </w:tc>
        <w:tc>
          <w:tcPr>
            <w:tcW w:w="3402" w:type="dxa"/>
            <w:tcBorders>
              <w:top w:val="single" w:sz="4" w:space="0" w:color="BFBFBF" w:themeColor="background1" w:themeShade="BF"/>
              <w:left w:val="dashed" w:sz="4" w:space="0" w:color="AEAAAA" w:themeColor="background2" w:themeShade="BF"/>
              <w:bottom w:val="single" w:sz="4" w:space="0" w:color="BFBFBF" w:themeColor="background1" w:themeShade="BF"/>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37.3</w:t>
            </w:r>
          </w:p>
        </w:tc>
        <w:tc>
          <w:tcPr>
            <w:tcW w:w="1701" w:type="dxa"/>
            <w:tcBorders>
              <w:top w:val="single" w:sz="4" w:space="0" w:color="BFBFBF" w:themeColor="background1" w:themeShade="BF"/>
              <w:left w:val="dashed" w:sz="4" w:space="0" w:color="AEAAAA" w:themeColor="background2" w:themeShade="BF"/>
              <w:bottom w:val="single" w:sz="4" w:space="0" w:color="BFBFBF" w:themeColor="background1" w:themeShade="BF"/>
              <w:right w:val="nil"/>
            </w:tcBorders>
            <w:shd w:val="clear" w:color="auto" w:fill="auto"/>
            <w:vAlign w:val="center"/>
            <w:hideMark/>
          </w:tcPr>
          <w:p w:rsidR="00670E69" w:rsidRPr="00294094" w:rsidRDefault="00670E69" w:rsidP="00777D0C">
            <w:pPr>
              <w:spacing w:after="0" w:line="240" w:lineRule="auto"/>
              <w:jc w:val="center"/>
              <w:rPr>
                <w:color w:val="009FDA"/>
                <w:u w:val="single"/>
              </w:rPr>
            </w:pPr>
            <w:r>
              <w:rPr>
                <w:noProof/>
              </w:rPr>
              <w:t>[71]</w:t>
            </w:r>
            <w:r w:rsidRPr="00294094">
              <w:t>*</w:t>
            </w:r>
          </w:p>
        </w:tc>
      </w:tr>
      <w:tr w:rsidR="00670E69" w:rsidRPr="00294094" w:rsidTr="00777D0C">
        <w:trPr>
          <w:trHeight w:val="20"/>
        </w:trPr>
        <w:tc>
          <w:tcPr>
            <w:tcW w:w="4253" w:type="dxa"/>
            <w:tcBorders>
              <w:top w:val="single" w:sz="4" w:space="0" w:color="BFBFBF" w:themeColor="background1" w:themeShade="BF"/>
              <w:left w:val="nil"/>
              <w:bottom w:val="single" w:sz="18" w:space="0" w:color="002060"/>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ind w:left="179"/>
            </w:pPr>
            <w:r w:rsidRPr="00294094">
              <w:t>CHF</w:t>
            </w:r>
          </w:p>
        </w:tc>
        <w:tc>
          <w:tcPr>
            <w:tcW w:w="3402" w:type="dxa"/>
            <w:tcBorders>
              <w:top w:val="single" w:sz="4" w:space="0" w:color="BFBFBF" w:themeColor="background1" w:themeShade="BF"/>
              <w:left w:val="dashed" w:sz="4" w:space="0" w:color="AEAAAA" w:themeColor="background2" w:themeShade="BF"/>
              <w:bottom w:val="single" w:sz="18" w:space="0" w:color="002060"/>
              <w:right w:val="dashed" w:sz="4" w:space="0" w:color="AEAAAA" w:themeColor="background2" w:themeShade="BF"/>
            </w:tcBorders>
            <w:shd w:val="clear" w:color="auto" w:fill="auto"/>
            <w:vAlign w:val="center"/>
            <w:hideMark/>
          </w:tcPr>
          <w:p w:rsidR="00670E69" w:rsidRPr="00294094" w:rsidRDefault="00670E69" w:rsidP="00777D0C">
            <w:pPr>
              <w:spacing w:after="0" w:line="240" w:lineRule="auto"/>
              <w:jc w:val="center"/>
            </w:pPr>
            <w:r w:rsidRPr="00294094">
              <w:t>37.4</w:t>
            </w:r>
          </w:p>
        </w:tc>
        <w:tc>
          <w:tcPr>
            <w:tcW w:w="1701" w:type="dxa"/>
            <w:tcBorders>
              <w:top w:val="single" w:sz="4" w:space="0" w:color="BFBFBF" w:themeColor="background1" w:themeShade="BF"/>
              <w:left w:val="dashed" w:sz="4" w:space="0" w:color="AEAAAA" w:themeColor="background2" w:themeShade="BF"/>
              <w:bottom w:val="single" w:sz="18" w:space="0" w:color="002060"/>
              <w:right w:val="nil"/>
            </w:tcBorders>
            <w:shd w:val="clear" w:color="auto" w:fill="auto"/>
            <w:vAlign w:val="center"/>
            <w:hideMark/>
          </w:tcPr>
          <w:p w:rsidR="00670E69" w:rsidRPr="00294094" w:rsidRDefault="00670E69" w:rsidP="00777D0C">
            <w:pPr>
              <w:spacing w:after="0" w:line="240" w:lineRule="auto"/>
              <w:jc w:val="center"/>
              <w:rPr>
                <w:color w:val="009FDA"/>
                <w:u w:val="single"/>
              </w:rPr>
            </w:pPr>
            <w:r>
              <w:rPr>
                <w:noProof/>
              </w:rPr>
              <w:t>[71]</w:t>
            </w:r>
            <w:r w:rsidRPr="00294094">
              <w:t>*</w:t>
            </w:r>
          </w:p>
        </w:tc>
      </w:tr>
    </w:tbl>
    <w:p w:rsidR="00670E69" w:rsidRPr="004E052E" w:rsidRDefault="00670E69" w:rsidP="00777D0C">
      <w:pPr>
        <w:spacing w:line="276" w:lineRule="auto"/>
        <w:rPr>
          <w:sz w:val="22"/>
          <w:szCs w:val="22"/>
        </w:rPr>
        <w:sectPr w:rsidR="00670E69" w:rsidRPr="004E052E" w:rsidSect="00777D0C">
          <w:pgSz w:w="12240" w:h="15840"/>
          <w:pgMar w:top="1440" w:right="1440" w:bottom="1440" w:left="1440" w:header="709" w:footer="709" w:gutter="0"/>
          <w:cols w:space="708"/>
          <w:docGrid w:linePitch="360"/>
        </w:sectPr>
      </w:pPr>
      <w:r w:rsidRPr="004E052E">
        <w:rPr>
          <w:sz w:val="22"/>
          <w:szCs w:val="22"/>
        </w:rPr>
        <w:t xml:space="preserve">*Assuming 254 working days in 2017 in Canada </w:t>
      </w:r>
      <w:r w:rsidRPr="004E052E">
        <w:rPr>
          <w:noProof/>
          <w:sz w:val="22"/>
          <w:szCs w:val="22"/>
        </w:rPr>
        <w:t>[72]</w:t>
      </w:r>
      <w:r w:rsidRPr="004E052E">
        <w:rPr>
          <w:sz w:val="22"/>
          <w:szCs w:val="22"/>
        </w:rPr>
        <w:t xml:space="preserve">. Data on the association between specific diabetic complications and loss of productivity are scarce, and a conservative assumption that loss of productivity due to diabetes was mainly attributed to severe stages of micro- and </w:t>
      </w:r>
      <w:proofErr w:type="spellStart"/>
      <w:r w:rsidRPr="004E052E">
        <w:rPr>
          <w:sz w:val="22"/>
          <w:szCs w:val="22"/>
        </w:rPr>
        <w:t>macrovascular</w:t>
      </w:r>
      <w:proofErr w:type="spellEnd"/>
      <w:r w:rsidRPr="004E052E">
        <w:rPr>
          <w:sz w:val="22"/>
          <w:szCs w:val="22"/>
        </w:rPr>
        <w:t xml:space="preserve"> complications was made. Because of the lack of data on productivity loss for Quebec specifically and, to our knowledge, also for rest of Canada, assumptions about productivity loss was based on a Danish register study from 2013 </w:t>
      </w:r>
      <w:r w:rsidRPr="004E052E">
        <w:rPr>
          <w:noProof/>
          <w:sz w:val="22"/>
          <w:szCs w:val="22"/>
        </w:rPr>
        <w:t>[53]</w:t>
      </w:r>
      <w:r w:rsidRPr="004E052E">
        <w:rPr>
          <w:sz w:val="22"/>
          <w:szCs w:val="22"/>
        </w:rPr>
        <w:t>. The aim of this study was to estimate the annual number of days absent from work associated with diabetes-related complications and used registry data from 34,882 individuals, age 18–70 years, with hospital-diagnosed diabetes. CHF, congestive heart failure; ESRD, end stage renal disease; IHD, ischemic heart disease; LEA, lower extremity amputation; ME, macular edema; MI, myocardial infarction; PDR, proliferative diabetic retinopathy; PVD, peripheral vascular disease.</w:t>
      </w:r>
    </w:p>
    <w:p w:rsidR="00670E69" w:rsidRPr="00294094" w:rsidRDefault="00670E69" w:rsidP="00F323D1">
      <w:pPr>
        <w:pStyle w:val="Heading1"/>
        <w:ind w:left="0" w:firstLine="0"/>
      </w:pPr>
      <w:bookmarkStart w:id="47" w:name="_Toc530388346"/>
      <w:bookmarkStart w:id="48" w:name="_Toc2007170"/>
      <w:r>
        <w:t>Online Resource 8</w:t>
      </w:r>
      <w:r w:rsidRPr="00294094">
        <w:t>. Expected full-time salary and expected employment ratio by gender and age group</w:t>
      </w:r>
      <w:bookmarkEnd w:id="47"/>
      <w:bookmarkEnd w:id="48"/>
    </w:p>
    <w:tbl>
      <w:tblPr>
        <w:tblW w:w="9436" w:type="dxa"/>
        <w:tblLayout w:type="fixed"/>
        <w:tblLook w:val="04A0" w:firstRow="1" w:lastRow="0" w:firstColumn="1" w:lastColumn="0" w:noHBand="0" w:noVBand="1"/>
      </w:tblPr>
      <w:tblGrid>
        <w:gridCol w:w="2596"/>
        <w:gridCol w:w="1709"/>
        <w:gridCol w:w="1711"/>
        <w:gridCol w:w="1710"/>
        <w:gridCol w:w="1710"/>
      </w:tblGrid>
      <w:tr w:rsidR="00670E69" w:rsidRPr="00046F4B" w:rsidTr="00777D0C">
        <w:trPr>
          <w:trHeight w:val="261"/>
        </w:trPr>
        <w:tc>
          <w:tcPr>
            <w:tcW w:w="2596" w:type="dxa"/>
            <w:tcBorders>
              <w:top w:val="single" w:sz="12" w:space="0" w:color="002060"/>
              <w:left w:val="nil"/>
              <w:bottom w:val="single" w:sz="8" w:space="0" w:color="666666"/>
              <w:right w:val="dashed" w:sz="4" w:space="0" w:color="AEAAAA" w:themeColor="background2" w:themeShade="BF"/>
            </w:tcBorders>
            <w:shd w:val="clear" w:color="auto" w:fill="auto"/>
            <w:noWrap/>
            <w:vAlign w:val="center"/>
            <w:hideMark/>
          </w:tcPr>
          <w:p w:rsidR="00670E69" w:rsidRPr="00046F4B" w:rsidRDefault="00670E69" w:rsidP="00777D0C">
            <w:pPr>
              <w:spacing w:after="0" w:line="240" w:lineRule="auto"/>
              <w:rPr>
                <w:b/>
              </w:rPr>
            </w:pPr>
            <w:r w:rsidRPr="00046F4B">
              <w:rPr>
                <w:b/>
              </w:rPr>
              <w:t>Age interval (years)</w:t>
            </w:r>
          </w:p>
        </w:tc>
        <w:tc>
          <w:tcPr>
            <w:tcW w:w="3420" w:type="dxa"/>
            <w:gridSpan w:val="2"/>
            <w:tcBorders>
              <w:top w:val="single" w:sz="12" w:space="0" w:color="002060"/>
              <w:left w:val="dashed" w:sz="4" w:space="0" w:color="AEAAAA" w:themeColor="background2" w:themeShade="BF"/>
              <w:bottom w:val="single" w:sz="8" w:space="0" w:color="666666"/>
              <w:right w:val="dashed" w:sz="4" w:space="0" w:color="AEAAAA" w:themeColor="background2" w:themeShade="BF"/>
            </w:tcBorders>
            <w:shd w:val="clear" w:color="auto" w:fill="auto"/>
            <w:noWrap/>
            <w:hideMark/>
          </w:tcPr>
          <w:p w:rsidR="00670E69" w:rsidRPr="00046F4B" w:rsidRDefault="00670E69" w:rsidP="00777D0C">
            <w:pPr>
              <w:spacing w:after="0" w:line="240" w:lineRule="auto"/>
              <w:jc w:val="center"/>
              <w:rPr>
                <w:b/>
              </w:rPr>
            </w:pPr>
            <w:r w:rsidRPr="00046F4B">
              <w:rPr>
                <w:b/>
              </w:rPr>
              <w:t>Expected full-time salary (CAD)</w:t>
            </w:r>
          </w:p>
        </w:tc>
        <w:tc>
          <w:tcPr>
            <w:tcW w:w="3420" w:type="dxa"/>
            <w:gridSpan w:val="2"/>
            <w:tcBorders>
              <w:top w:val="single" w:sz="12" w:space="0" w:color="002060"/>
              <w:left w:val="dashed" w:sz="4" w:space="0" w:color="AEAAAA" w:themeColor="background2" w:themeShade="BF"/>
              <w:bottom w:val="single" w:sz="8" w:space="0" w:color="666666"/>
              <w:right w:val="nil"/>
            </w:tcBorders>
            <w:shd w:val="clear" w:color="auto" w:fill="auto"/>
            <w:noWrap/>
            <w:hideMark/>
          </w:tcPr>
          <w:p w:rsidR="00670E69" w:rsidRPr="00046F4B" w:rsidRDefault="00670E69" w:rsidP="00777D0C">
            <w:pPr>
              <w:spacing w:after="0" w:line="240" w:lineRule="auto"/>
              <w:jc w:val="center"/>
              <w:rPr>
                <w:b/>
              </w:rPr>
            </w:pPr>
            <w:r w:rsidRPr="00046F4B">
              <w:rPr>
                <w:b/>
              </w:rPr>
              <w:t>Expected employment-to-population proportion (%)</w:t>
            </w:r>
          </w:p>
        </w:tc>
      </w:tr>
      <w:tr w:rsidR="00670E69" w:rsidRPr="00046F4B" w:rsidTr="00777D0C">
        <w:trPr>
          <w:trHeight w:val="261"/>
        </w:trPr>
        <w:tc>
          <w:tcPr>
            <w:tcW w:w="2596" w:type="dxa"/>
            <w:tcBorders>
              <w:top w:val="nil"/>
              <w:left w:val="nil"/>
              <w:bottom w:val="single" w:sz="8" w:space="0" w:color="666666"/>
              <w:right w:val="dashed" w:sz="4" w:space="0" w:color="AEAAAA" w:themeColor="background2" w:themeShade="BF"/>
            </w:tcBorders>
            <w:shd w:val="clear" w:color="auto" w:fill="auto"/>
            <w:vAlign w:val="center"/>
            <w:hideMark/>
          </w:tcPr>
          <w:p w:rsidR="00670E69" w:rsidRPr="00046F4B" w:rsidRDefault="00670E69" w:rsidP="00777D0C">
            <w:pPr>
              <w:spacing w:after="0" w:line="240" w:lineRule="auto"/>
              <w:rPr>
                <w:b/>
              </w:rPr>
            </w:pPr>
            <w:r w:rsidRPr="00046F4B">
              <w:rPr>
                <w:b/>
              </w:rPr>
              <w:t> </w:t>
            </w:r>
          </w:p>
        </w:tc>
        <w:tc>
          <w:tcPr>
            <w:tcW w:w="1709" w:type="dxa"/>
            <w:tcBorders>
              <w:top w:val="nil"/>
              <w:left w:val="dashed" w:sz="4" w:space="0" w:color="AEAAAA" w:themeColor="background2" w:themeShade="BF"/>
              <w:bottom w:val="single" w:sz="8" w:space="0" w:color="666666"/>
              <w:right w:val="dashed" w:sz="4" w:space="0" w:color="AEAAAA" w:themeColor="background2" w:themeShade="BF"/>
            </w:tcBorders>
            <w:shd w:val="clear" w:color="auto" w:fill="auto"/>
            <w:hideMark/>
          </w:tcPr>
          <w:p w:rsidR="00670E69" w:rsidRPr="00046F4B" w:rsidRDefault="00670E69" w:rsidP="00777D0C">
            <w:pPr>
              <w:spacing w:after="0" w:line="240" w:lineRule="auto"/>
              <w:jc w:val="center"/>
              <w:rPr>
                <w:b/>
              </w:rPr>
            </w:pPr>
            <w:r w:rsidRPr="00046F4B">
              <w:rPr>
                <w:b/>
              </w:rPr>
              <w:t>Female</w:t>
            </w:r>
          </w:p>
        </w:tc>
        <w:tc>
          <w:tcPr>
            <w:tcW w:w="1711" w:type="dxa"/>
            <w:tcBorders>
              <w:top w:val="nil"/>
              <w:left w:val="dashed" w:sz="4" w:space="0" w:color="AEAAAA" w:themeColor="background2" w:themeShade="BF"/>
              <w:bottom w:val="single" w:sz="8" w:space="0" w:color="666666"/>
              <w:right w:val="dashed" w:sz="4" w:space="0" w:color="AEAAAA" w:themeColor="background2" w:themeShade="BF"/>
            </w:tcBorders>
            <w:shd w:val="clear" w:color="auto" w:fill="auto"/>
            <w:hideMark/>
          </w:tcPr>
          <w:p w:rsidR="00670E69" w:rsidRPr="00046F4B" w:rsidRDefault="00670E69" w:rsidP="00777D0C">
            <w:pPr>
              <w:spacing w:after="0" w:line="240" w:lineRule="auto"/>
              <w:jc w:val="center"/>
              <w:rPr>
                <w:b/>
              </w:rPr>
            </w:pPr>
            <w:r w:rsidRPr="00046F4B">
              <w:rPr>
                <w:b/>
              </w:rPr>
              <w:t>Male</w:t>
            </w:r>
          </w:p>
        </w:tc>
        <w:tc>
          <w:tcPr>
            <w:tcW w:w="1710" w:type="dxa"/>
            <w:tcBorders>
              <w:top w:val="nil"/>
              <w:left w:val="dashed" w:sz="4" w:space="0" w:color="AEAAAA" w:themeColor="background2" w:themeShade="BF"/>
              <w:bottom w:val="single" w:sz="8" w:space="0" w:color="666666"/>
              <w:right w:val="dashed" w:sz="4" w:space="0" w:color="AEAAAA" w:themeColor="background2" w:themeShade="BF"/>
            </w:tcBorders>
            <w:shd w:val="clear" w:color="auto" w:fill="auto"/>
            <w:hideMark/>
          </w:tcPr>
          <w:p w:rsidR="00670E69" w:rsidRPr="00046F4B" w:rsidRDefault="00670E69" w:rsidP="00777D0C">
            <w:pPr>
              <w:spacing w:after="0" w:line="240" w:lineRule="auto"/>
              <w:jc w:val="center"/>
              <w:rPr>
                <w:b/>
              </w:rPr>
            </w:pPr>
            <w:r w:rsidRPr="00046F4B">
              <w:rPr>
                <w:b/>
              </w:rPr>
              <w:t>Female</w:t>
            </w:r>
          </w:p>
        </w:tc>
        <w:tc>
          <w:tcPr>
            <w:tcW w:w="1710" w:type="dxa"/>
            <w:tcBorders>
              <w:top w:val="nil"/>
              <w:left w:val="dashed" w:sz="4" w:space="0" w:color="AEAAAA" w:themeColor="background2" w:themeShade="BF"/>
              <w:bottom w:val="single" w:sz="8" w:space="0" w:color="666666"/>
              <w:right w:val="nil"/>
            </w:tcBorders>
            <w:shd w:val="clear" w:color="auto" w:fill="auto"/>
            <w:hideMark/>
          </w:tcPr>
          <w:p w:rsidR="00670E69" w:rsidRPr="00046F4B" w:rsidRDefault="00670E69" w:rsidP="00777D0C">
            <w:pPr>
              <w:spacing w:after="0" w:line="240" w:lineRule="auto"/>
              <w:jc w:val="center"/>
              <w:rPr>
                <w:b/>
              </w:rPr>
            </w:pPr>
            <w:r w:rsidRPr="00046F4B">
              <w:rPr>
                <w:b/>
              </w:rPr>
              <w:t>Male</w:t>
            </w:r>
          </w:p>
        </w:tc>
      </w:tr>
      <w:tr w:rsidR="00670E69" w:rsidRPr="00294094" w:rsidTr="00777D0C">
        <w:trPr>
          <w:trHeight w:val="247"/>
        </w:trPr>
        <w:tc>
          <w:tcPr>
            <w:tcW w:w="2596" w:type="dxa"/>
            <w:tcBorders>
              <w:top w:val="single" w:sz="8" w:space="0" w:color="666666"/>
              <w:left w:val="nil"/>
              <w:bottom w:val="single" w:sz="4" w:space="0" w:color="BFBFBF" w:themeColor="background1" w:themeShade="BF"/>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pPr>
            <w:r w:rsidRPr="00294094">
              <w:t xml:space="preserve">0–19 </w:t>
            </w:r>
          </w:p>
        </w:tc>
        <w:tc>
          <w:tcPr>
            <w:tcW w:w="1709" w:type="dxa"/>
            <w:tcBorders>
              <w:top w:val="single" w:sz="8" w:space="0" w:color="666666"/>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30,227</w:t>
            </w:r>
          </w:p>
        </w:tc>
        <w:tc>
          <w:tcPr>
            <w:tcW w:w="1711" w:type="dxa"/>
            <w:tcBorders>
              <w:top w:val="single" w:sz="8" w:space="0" w:color="666666"/>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34,748</w:t>
            </w:r>
          </w:p>
        </w:tc>
        <w:tc>
          <w:tcPr>
            <w:tcW w:w="1710" w:type="dxa"/>
            <w:tcBorders>
              <w:top w:val="single" w:sz="8" w:space="0" w:color="666666"/>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46</w:t>
            </w:r>
          </w:p>
        </w:tc>
        <w:tc>
          <w:tcPr>
            <w:tcW w:w="1710" w:type="dxa"/>
            <w:tcBorders>
              <w:top w:val="single" w:sz="8" w:space="0" w:color="666666"/>
              <w:left w:val="dashed" w:sz="4" w:space="0" w:color="BFBFBF" w:themeColor="background1" w:themeShade="BF"/>
              <w:bottom w:val="single" w:sz="4" w:space="0" w:color="BFBFBF" w:themeColor="background1" w:themeShade="BF"/>
              <w:right w:val="nil"/>
            </w:tcBorders>
            <w:shd w:val="clear" w:color="auto" w:fill="auto"/>
            <w:hideMark/>
          </w:tcPr>
          <w:p w:rsidR="00670E69" w:rsidRPr="00294094" w:rsidRDefault="00670E69" w:rsidP="00777D0C">
            <w:pPr>
              <w:spacing w:after="0" w:line="240" w:lineRule="auto"/>
              <w:jc w:val="center"/>
            </w:pPr>
            <w:r w:rsidRPr="00294094">
              <w:t>39</w:t>
            </w:r>
          </w:p>
        </w:tc>
      </w:tr>
      <w:tr w:rsidR="00670E69" w:rsidRPr="00294094" w:rsidTr="00777D0C">
        <w:trPr>
          <w:trHeight w:val="247"/>
        </w:trPr>
        <w:tc>
          <w:tcPr>
            <w:tcW w:w="2596" w:type="dxa"/>
            <w:tcBorders>
              <w:top w:val="single" w:sz="4" w:space="0" w:color="BFBFBF" w:themeColor="background1" w:themeShade="BF"/>
              <w:left w:val="nil"/>
              <w:bottom w:val="single" w:sz="4" w:space="0" w:color="BFBFBF" w:themeColor="background1" w:themeShade="BF"/>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pPr>
            <w:r w:rsidRPr="00294094">
              <w:t xml:space="preserve">20–24 </w:t>
            </w:r>
          </w:p>
        </w:tc>
        <w:tc>
          <w:tcPr>
            <w:tcW w:w="1709"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30,227</w:t>
            </w:r>
          </w:p>
        </w:tc>
        <w:tc>
          <w:tcPr>
            <w:tcW w:w="1711"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34,748</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74</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nil"/>
            </w:tcBorders>
            <w:shd w:val="clear" w:color="auto" w:fill="auto"/>
            <w:hideMark/>
          </w:tcPr>
          <w:p w:rsidR="00670E69" w:rsidRPr="00294094" w:rsidRDefault="00670E69" w:rsidP="00777D0C">
            <w:pPr>
              <w:spacing w:after="0" w:line="240" w:lineRule="auto"/>
              <w:jc w:val="center"/>
            </w:pPr>
            <w:r w:rsidRPr="00294094">
              <w:t>70</w:t>
            </w:r>
          </w:p>
        </w:tc>
      </w:tr>
      <w:tr w:rsidR="00670E69" w:rsidRPr="00294094" w:rsidTr="00777D0C">
        <w:trPr>
          <w:trHeight w:val="247"/>
        </w:trPr>
        <w:tc>
          <w:tcPr>
            <w:tcW w:w="2596" w:type="dxa"/>
            <w:tcBorders>
              <w:top w:val="single" w:sz="4" w:space="0" w:color="BFBFBF" w:themeColor="background1" w:themeShade="BF"/>
              <w:left w:val="nil"/>
              <w:bottom w:val="single" w:sz="4" w:space="0" w:color="BFBFBF" w:themeColor="background1" w:themeShade="BF"/>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pPr>
            <w:r w:rsidRPr="00294094">
              <w:t xml:space="preserve">25–29 </w:t>
            </w:r>
          </w:p>
        </w:tc>
        <w:tc>
          <w:tcPr>
            <w:tcW w:w="1709"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51,369</w:t>
            </w:r>
          </w:p>
        </w:tc>
        <w:tc>
          <w:tcPr>
            <w:tcW w:w="1711"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58,361</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80</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nil"/>
            </w:tcBorders>
            <w:shd w:val="clear" w:color="auto" w:fill="auto"/>
            <w:hideMark/>
          </w:tcPr>
          <w:p w:rsidR="00670E69" w:rsidRPr="00294094" w:rsidRDefault="00670E69" w:rsidP="00777D0C">
            <w:pPr>
              <w:spacing w:after="0" w:line="240" w:lineRule="auto"/>
              <w:jc w:val="center"/>
            </w:pPr>
            <w:r w:rsidRPr="00294094">
              <w:t>80</w:t>
            </w:r>
          </w:p>
        </w:tc>
      </w:tr>
      <w:tr w:rsidR="00670E69" w:rsidRPr="00294094" w:rsidTr="00777D0C">
        <w:trPr>
          <w:trHeight w:val="247"/>
        </w:trPr>
        <w:tc>
          <w:tcPr>
            <w:tcW w:w="2596" w:type="dxa"/>
            <w:tcBorders>
              <w:top w:val="single" w:sz="4" w:space="0" w:color="BFBFBF" w:themeColor="background1" w:themeShade="BF"/>
              <w:left w:val="nil"/>
              <w:bottom w:val="single" w:sz="4" w:space="0" w:color="BFBFBF" w:themeColor="background1" w:themeShade="BF"/>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pPr>
            <w:r w:rsidRPr="00294094">
              <w:t xml:space="preserve">30–34 </w:t>
            </w:r>
          </w:p>
        </w:tc>
        <w:tc>
          <w:tcPr>
            <w:tcW w:w="1709"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51,369</w:t>
            </w:r>
          </w:p>
        </w:tc>
        <w:tc>
          <w:tcPr>
            <w:tcW w:w="1711"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58,361</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81</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nil"/>
            </w:tcBorders>
            <w:shd w:val="clear" w:color="auto" w:fill="auto"/>
            <w:hideMark/>
          </w:tcPr>
          <w:p w:rsidR="00670E69" w:rsidRPr="00294094" w:rsidRDefault="00670E69" w:rsidP="00777D0C">
            <w:pPr>
              <w:spacing w:after="0" w:line="240" w:lineRule="auto"/>
              <w:jc w:val="center"/>
            </w:pPr>
            <w:r w:rsidRPr="00294094">
              <w:t>87</w:t>
            </w:r>
          </w:p>
        </w:tc>
      </w:tr>
      <w:tr w:rsidR="00670E69" w:rsidRPr="00294094" w:rsidTr="00777D0C">
        <w:trPr>
          <w:trHeight w:val="247"/>
        </w:trPr>
        <w:tc>
          <w:tcPr>
            <w:tcW w:w="2596" w:type="dxa"/>
            <w:tcBorders>
              <w:top w:val="single" w:sz="4" w:space="0" w:color="BFBFBF" w:themeColor="background1" w:themeShade="BF"/>
              <w:left w:val="nil"/>
              <w:bottom w:val="single" w:sz="4" w:space="0" w:color="BFBFBF" w:themeColor="background1" w:themeShade="BF"/>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pPr>
            <w:r w:rsidRPr="00294094">
              <w:t xml:space="preserve">35–39 </w:t>
            </w:r>
          </w:p>
        </w:tc>
        <w:tc>
          <w:tcPr>
            <w:tcW w:w="1709"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51,369</w:t>
            </w:r>
          </w:p>
        </w:tc>
        <w:tc>
          <w:tcPr>
            <w:tcW w:w="1711"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58,361</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82</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nil"/>
            </w:tcBorders>
            <w:shd w:val="clear" w:color="auto" w:fill="auto"/>
            <w:hideMark/>
          </w:tcPr>
          <w:p w:rsidR="00670E69" w:rsidRPr="00294094" w:rsidRDefault="00670E69" w:rsidP="00777D0C">
            <w:pPr>
              <w:spacing w:after="0" w:line="240" w:lineRule="auto"/>
              <w:jc w:val="center"/>
            </w:pPr>
            <w:r w:rsidRPr="00294094">
              <w:t>86</w:t>
            </w:r>
          </w:p>
        </w:tc>
      </w:tr>
      <w:tr w:rsidR="00670E69" w:rsidRPr="00294094" w:rsidTr="00777D0C">
        <w:trPr>
          <w:trHeight w:val="247"/>
        </w:trPr>
        <w:tc>
          <w:tcPr>
            <w:tcW w:w="2596" w:type="dxa"/>
            <w:tcBorders>
              <w:top w:val="single" w:sz="4" w:space="0" w:color="BFBFBF" w:themeColor="background1" w:themeShade="BF"/>
              <w:left w:val="nil"/>
              <w:bottom w:val="single" w:sz="4" w:space="0" w:color="BFBFBF" w:themeColor="background1" w:themeShade="BF"/>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pPr>
            <w:r w:rsidRPr="00294094">
              <w:t xml:space="preserve">40–44 </w:t>
            </w:r>
          </w:p>
        </w:tc>
        <w:tc>
          <w:tcPr>
            <w:tcW w:w="1709"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51,369</w:t>
            </w:r>
          </w:p>
        </w:tc>
        <w:tc>
          <w:tcPr>
            <w:tcW w:w="1711"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58,361</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82</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nil"/>
            </w:tcBorders>
            <w:shd w:val="clear" w:color="auto" w:fill="auto"/>
            <w:hideMark/>
          </w:tcPr>
          <w:p w:rsidR="00670E69" w:rsidRPr="00294094" w:rsidRDefault="00670E69" w:rsidP="00777D0C">
            <w:pPr>
              <w:spacing w:after="0" w:line="240" w:lineRule="auto"/>
              <w:jc w:val="center"/>
            </w:pPr>
            <w:r w:rsidRPr="00294094">
              <w:t>86</w:t>
            </w:r>
          </w:p>
        </w:tc>
      </w:tr>
      <w:tr w:rsidR="00670E69" w:rsidRPr="00294094" w:rsidTr="00777D0C">
        <w:trPr>
          <w:trHeight w:val="247"/>
        </w:trPr>
        <w:tc>
          <w:tcPr>
            <w:tcW w:w="2596" w:type="dxa"/>
            <w:tcBorders>
              <w:top w:val="single" w:sz="4" w:space="0" w:color="BFBFBF" w:themeColor="background1" w:themeShade="BF"/>
              <w:left w:val="nil"/>
              <w:bottom w:val="single" w:sz="4" w:space="0" w:color="BFBFBF" w:themeColor="background1" w:themeShade="BF"/>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pPr>
            <w:r w:rsidRPr="00294094">
              <w:t>45–49</w:t>
            </w:r>
          </w:p>
        </w:tc>
        <w:tc>
          <w:tcPr>
            <w:tcW w:w="1709"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51,369</w:t>
            </w:r>
          </w:p>
        </w:tc>
        <w:tc>
          <w:tcPr>
            <w:tcW w:w="1711"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58,361</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83</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nil"/>
            </w:tcBorders>
            <w:shd w:val="clear" w:color="auto" w:fill="auto"/>
            <w:hideMark/>
          </w:tcPr>
          <w:p w:rsidR="00670E69" w:rsidRPr="00294094" w:rsidRDefault="00670E69" w:rsidP="00777D0C">
            <w:pPr>
              <w:spacing w:after="0" w:line="240" w:lineRule="auto"/>
              <w:jc w:val="center"/>
            </w:pPr>
            <w:r w:rsidRPr="00294094">
              <w:t>87</w:t>
            </w:r>
          </w:p>
        </w:tc>
      </w:tr>
      <w:tr w:rsidR="00670E69" w:rsidRPr="00294094" w:rsidTr="00777D0C">
        <w:trPr>
          <w:trHeight w:val="247"/>
        </w:trPr>
        <w:tc>
          <w:tcPr>
            <w:tcW w:w="2596" w:type="dxa"/>
            <w:tcBorders>
              <w:top w:val="single" w:sz="4" w:space="0" w:color="BFBFBF" w:themeColor="background1" w:themeShade="BF"/>
              <w:left w:val="nil"/>
              <w:bottom w:val="single" w:sz="4" w:space="0" w:color="BFBFBF" w:themeColor="background1" w:themeShade="BF"/>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pPr>
            <w:r w:rsidRPr="00294094">
              <w:t>50–54</w:t>
            </w:r>
          </w:p>
        </w:tc>
        <w:tc>
          <w:tcPr>
            <w:tcW w:w="1709"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51,369</w:t>
            </w:r>
          </w:p>
        </w:tc>
        <w:tc>
          <w:tcPr>
            <w:tcW w:w="1711"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58,361</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79</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nil"/>
            </w:tcBorders>
            <w:shd w:val="clear" w:color="auto" w:fill="auto"/>
            <w:hideMark/>
          </w:tcPr>
          <w:p w:rsidR="00670E69" w:rsidRPr="00294094" w:rsidRDefault="00670E69" w:rsidP="00777D0C">
            <w:pPr>
              <w:spacing w:after="0" w:line="240" w:lineRule="auto"/>
              <w:jc w:val="center"/>
            </w:pPr>
            <w:r w:rsidRPr="00294094">
              <w:t>83</w:t>
            </w:r>
          </w:p>
        </w:tc>
      </w:tr>
      <w:tr w:rsidR="00670E69" w:rsidRPr="00294094" w:rsidTr="00777D0C">
        <w:trPr>
          <w:trHeight w:val="247"/>
        </w:trPr>
        <w:tc>
          <w:tcPr>
            <w:tcW w:w="2596" w:type="dxa"/>
            <w:tcBorders>
              <w:top w:val="single" w:sz="4" w:space="0" w:color="BFBFBF" w:themeColor="background1" w:themeShade="BF"/>
              <w:left w:val="nil"/>
              <w:bottom w:val="single" w:sz="4" w:space="0" w:color="BFBFBF" w:themeColor="background1" w:themeShade="BF"/>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pPr>
            <w:r w:rsidRPr="00294094">
              <w:t>55–59</w:t>
            </w:r>
          </w:p>
        </w:tc>
        <w:tc>
          <w:tcPr>
            <w:tcW w:w="1709"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46,785</w:t>
            </w:r>
          </w:p>
        </w:tc>
        <w:tc>
          <w:tcPr>
            <w:tcW w:w="1711"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56,204</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65</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nil"/>
            </w:tcBorders>
            <w:shd w:val="clear" w:color="auto" w:fill="auto"/>
            <w:hideMark/>
          </w:tcPr>
          <w:p w:rsidR="00670E69" w:rsidRPr="00294094" w:rsidRDefault="00670E69" w:rsidP="00777D0C">
            <w:pPr>
              <w:spacing w:after="0" w:line="240" w:lineRule="auto"/>
              <w:jc w:val="center"/>
            </w:pPr>
            <w:r w:rsidRPr="00294094">
              <w:t>73</w:t>
            </w:r>
          </w:p>
        </w:tc>
      </w:tr>
      <w:tr w:rsidR="00670E69" w:rsidRPr="00294094" w:rsidTr="00777D0C">
        <w:trPr>
          <w:trHeight w:val="247"/>
        </w:trPr>
        <w:tc>
          <w:tcPr>
            <w:tcW w:w="2596" w:type="dxa"/>
            <w:tcBorders>
              <w:top w:val="single" w:sz="4" w:space="0" w:color="BFBFBF" w:themeColor="background1" w:themeShade="BF"/>
              <w:left w:val="nil"/>
              <w:bottom w:val="single" w:sz="4" w:space="0" w:color="BFBFBF" w:themeColor="background1" w:themeShade="BF"/>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pPr>
            <w:r w:rsidRPr="00294094">
              <w:t>60–64</w:t>
            </w:r>
          </w:p>
        </w:tc>
        <w:tc>
          <w:tcPr>
            <w:tcW w:w="1709"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46,785</w:t>
            </w:r>
          </w:p>
        </w:tc>
        <w:tc>
          <w:tcPr>
            <w:tcW w:w="1711"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56,204</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39</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nil"/>
            </w:tcBorders>
            <w:shd w:val="clear" w:color="auto" w:fill="auto"/>
            <w:hideMark/>
          </w:tcPr>
          <w:p w:rsidR="00670E69" w:rsidRPr="00294094" w:rsidRDefault="00670E69" w:rsidP="00777D0C">
            <w:pPr>
              <w:spacing w:after="0" w:line="240" w:lineRule="auto"/>
              <w:jc w:val="center"/>
            </w:pPr>
            <w:r w:rsidRPr="00294094">
              <w:t>51</w:t>
            </w:r>
          </w:p>
        </w:tc>
      </w:tr>
      <w:tr w:rsidR="00670E69" w:rsidRPr="00294094" w:rsidTr="00777D0C">
        <w:trPr>
          <w:trHeight w:val="247"/>
        </w:trPr>
        <w:tc>
          <w:tcPr>
            <w:tcW w:w="2596" w:type="dxa"/>
            <w:tcBorders>
              <w:top w:val="single" w:sz="4" w:space="0" w:color="BFBFBF" w:themeColor="background1" w:themeShade="BF"/>
              <w:left w:val="nil"/>
              <w:bottom w:val="single" w:sz="4" w:space="0" w:color="BFBFBF" w:themeColor="background1" w:themeShade="BF"/>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pPr>
            <w:r w:rsidRPr="00294094">
              <w:t>65–69</w:t>
            </w:r>
          </w:p>
        </w:tc>
        <w:tc>
          <w:tcPr>
            <w:tcW w:w="1709"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46,785</w:t>
            </w:r>
          </w:p>
        </w:tc>
        <w:tc>
          <w:tcPr>
            <w:tcW w:w="1711"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56,204</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13</w:t>
            </w:r>
          </w:p>
        </w:tc>
        <w:tc>
          <w:tcPr>
            <w:tcW w:w="1710" w:type="dxa"/>
            <w:tcBorders>
              <w:top w:val="single" w:sz="4" w:space="0" w:color="BFBFBF" w:themeColor="background1" w:themeShade="BF"/>
              <w:left w:val="dashed" w:sz="4" w:space="0" w:color="BFBFBF" w:themeColor="background1" w:themeShade="BF"/>
              <w:bottom w:val="single" w:sz="4" w:space="0" w:color="BFBFBF" w:themeColor="background1" w:themeShade="BF"/>
              <w:right w:val="nil"/>
            </w:tcBorders>
            <w:shd w:val="clear" w:color="auto" w:fill="auto"/>
            <w:hideMark/>
          </w:tcPr>
          <w:p w:rsidR="00670E69" w:rsidRPr="00294094" w:rsidRDefault="00670E69" w:rsidP="00777D0C">
            <w:pPr>
              <w:spacing w:after="0" w:line="240" w:lineRule="auto"/>
              <w:jc w:val="center"/>
            </w:pPr>
            <w:r w:rsidRPr="00294094">
              <w:t>24</w:t>
            </w:r>
          </w:p>
        </w:tc>
      </w:tr>
      <w:tr w:rsidR="00670E69" w:rsidRPr="00294094" w:rsidTr="00777D0C">
        <w:trPr>
          <w:trHeight w:val="261"/>
        </w:trPr>
        <w:tc>
          <w:tcPr>
            <w:tcW w:w="2596" w:type="dxa"/>
            <w:tcBorders>
              <w:top w:val="single" w:sz="4" w:space="0" w:color="BFBFBF" w:themeColor="background1" w:themeShade="BF"/>
              <w:left w:val="nil"/>
              <w:bottom w:val="single" w:sz="12" w:space="0" w:color="002060"/>
              <w:right w:val="dashed" w:sz="4" w:space="0" w:color="BFBFBF" w:themeColor="background1" w:themeShade="BF"/>
            </w:tcBorders>
            <w:shd w:val="clear" w:color="auto" w:fill="auto"/>
            <w:vAlign w:val="center"/>
            <w:hideMark/>
          </w:tcPr>
          <w:p w:rsidR="00670E69" w:rsidRPr="00294094" w:rsidRDefault="00670E69" w:rsidP="00777D0C">
            <w:pPr>
              <w:spacing w:after="0" w:line="240" w:lineRule="auto"/>
            </w:pPr>
            <w:r w:rsidRPr="00294094">
              <w:t>70+</w:t>
            </w:r>
          </w:p>
        </w:tc>
        <w:tc>
          <w:tcPr>
            <w:tcW w:w="1709" w:type="dxa"/>
            <w:tcBorders>
              <w:top w:val="single" w:sz="4" w:space="0" w:color="BFBFBF" w:themeColor="background1" w:themeShade="BF"/>
              <w:left w:val="dashed" w:sz="4" w:space="0" w:color="BFBFBF" w:themeColor="background1" w:themeShade="BF"/>
              <w:bottom w:val="single" w:sz="12" w:space="0" w:color="002060"/>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46,785</w:t>
            </w:r>
          </w:p>
        </w:tc>
        <w:tc>
          <w:tcPr>
            <w:tcW w:w="1711" w:type="dxa"/>
            <w:tcBorders>
              <w:top w:val="single" w:sz="4" w:space="0" w:color="BFBFBF" w:themeColor="background1" w:themeShade="BF"/>
              <w:left w:val="dashed" w:sz="4" w:space="0" w:color="BFBFBF" w:themeColor="background1" w:themeShade="BF"/>
              <w:bottom w:val="single" w:sz="12" w:space="0" w:color="002060"/>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56,204</w:t>
            </w:r>
          </w:p>
        </w:tc>
        <w:tc>
          <w:tcPr>
            <w:tcW w:w="1710" w:type="dxa"/>
            <w:tcBorders>
              <w:top w:val="single" w:sz="4" w:space="0" w:color="BFBFBF" w:themeColor="background1" w:themeShade="BF"/>
              <w:left w:val="dashed" w:sz="4" w:space="0" w:color="BFBFBF" w:themeColor="background1" w:themeShade="BF"/>
              <w:bottom w:val="single" w:sz="12" w:space="0" w:color="002060"/>
              <w:right w:val="dashed" w:sz="4" w:space="0" w:color="BFBFBF" w:themeColor="background1" w:themeShade="BF"/>
            </w:tcBorders>
            <w:shd w:val="clear" w:color="auto" w:fill="auto"/>
            <w:hideMark/>
          </w:tcPr>
          <w:p w:rsidR="00670E69" w:rsidRPr="00294094" w:rsidRDefault="00670E69" w:rsidP="00777D0C">
            <w:pPr>
              <w:spacing w:after="0" w:line="240" w:lineRule="auto"/>
              <w:jc w:val="center"/>
            </w:pPr>
            <w:r w:rsidRPr="00294094">
              <w:t>4</w:t>
            </w:r>
          </w:p>
        </w:tc>
        <w:tc>
          <w:tcPr>
            <w:tcW w:w="1710" w:type="dxa"/>
            <w:tcBorders>
              <w:top w:val="single" w:sz="4" w:space="0" w:color="BFBFBF" w:themeColor="background1" w:themeShade="BF"/>
              <w:left w:val="dashed" w:sz="4" w:space="0" w:color="BFBFBF" w:themeColor="background1" w:themeShade="BF"/>
              <w:bottom w:val="single" w:sz="12" w:space="0" w:color="002060"/>
              <w:right w:val="nil"/>
            </w:tcBorders>
            <w:shd w:val="clear" w:color="auto" w:fill="auto"/>
            <w:hideMark/>
          </w:tcPr>
          <w:p w:rsidR="00670E69" w:rsidRPr="00294094" w:rsidRDefault="00670E69" w:rsidP="00777D0C">
            <w:pPr>
              <w:spacing w:after="0" w:line="240" w:lineRule="auto"/>
              <w:jc w:val="center"/>
            </w:pPr>
            <w:r w:rsidRPr="00294094">
              <w:t>7</w:t>
            </w:r>
          </w:p>
        </w:tc>
      </w:tr>
    </w:tbl>
    <w:p w:rsidR="00670E69" w:rsidRPr="00046F4B" w:rsidRDefault="00670E69" w:rsidP="00777D0C">
      <w:pPr>
        <w:spacing w:line="276" w:lineRule="auto"/>
        <w:rPr>
          <w:sz w:val="22"/>
          <w:szCs w:val="22"/>
        </w:rPr>
      </w:pPr>
      <w:r w:rsidRPr="00046F4B">
        <w:rPr>
          <w:sz w:val="22"/>
          <w:szCs w:val="22"/>
        </w:rPr>
        <w:t>The loss of productivity, and hence the indirect costs in absolute numbers, depend on age and gender of the cohort in the simulations. The costs of lost productivity for a given diabetic complication will, for example, be higher for a 50-year-old cohort than a 60-year-old cohort because the labor force participation is generally higher among those in the younger-age group than in the older-age group (with the assumption that the expected full-time salary is the same for both groups). CAD, Canadian dollars.</w:t>
      </w:r>
    </w:p>
    <w:p w:rsidR="00670E69" w:rsidRPr="00294094" w:rsidRDefault="00670E69" w:rsidP="00777D0C">
      <w:r w:rsidRPr="00294094">
        <w:br w:type="page"/>
      </w:r>
    </w:p>
    <w:p w:rsidR="00670E69" w:rsidRPr="00294094" w:rsidRDefault="00670E69" w:rsidP="00F323D1">
      <w:pPr>
        <w:pStyle w:val="Heading1"/>
        <w:ind w:left="0" w:firstLine="0"/>
      </w:pPr>
      <w:bookmarkStart w:id="49" w:name="_Toc530388347"/>
      <w:bookmarkStart w:id="50" w:name="_Toc2007171"/>
      <w:r>
        <w:t>Online Resource 9</w:t>
      </w:r>
      <w:r w:rsidRPr="00294094">
        <w:t>. Treatment effects associated with initiation of basal insulin</w:t>
      </w:r>
      <w:bookmarkEnd w:id="49"/>
      <w:bookmarkEnd w:id="50"/>
    </w:p>
    <w:tbl>
      <w:tblPr>
        <w:tblStyle w:val="TableGrid"/>
        <w:tblW w:w="0" w:type="auto"/>
        <w:tblBorders>
          <w:left w:val="none" w:sz="0" w:space="0" w:color="auto"/>
          <w:right w:val="none" w:sz="0" w:space="0" w:color="auto"/>
          <w:insideH w:val="single" w:sz="8" w:space="0" w:color="C9C9C9" w:themeColor="accent3" w:themeTint="99"/>
          <w:insideV w:val="dashed" w:sz="4" w:space="0" w:color="C9C9C9" w:themeColor="accent3" w:themeTint="99"/>
        </w:tblBorders>
        <w:tblLook w:val="04A0" w:firstRow="1" w:lastRow="0" w:firstColumn="1" w:lastColumn="0" w:noHBand="0" w:noVBand="1"/>
      </w:tblPr>
      <w:tblGrid>
        <w:gridCol w:w="2972"/>
        <w:gridCol w:w="2909"/>
        <w:gridCol w:w="3469"/>
      </w:tblGrid>
      <w:tr w:rsidR="00670E69" w:rsidRPr="001A0570" w:rsidTr="00777D0C">
        <w:trPr>
          <w:trHeight w:val="23"/>
        </w:trPr>
        <w:tc>
          <w:tcPr>
            <w:tcW w:w="2972" w:type="dxa"/>
            <w:tcBorders>
              <w:top w:val="single" w:sz="12" w:space="0" w:color="002060"/>
              <w:bottom w:val="single" w:sz="4" w:space="0" w:color="002060"/>
            </w:tcBorders>
          </w:tcPr>
          <w:p w:rsidR="00670E69" w:rsidRPr="001A0570" w:rsidRDefault="00670E69" w:rsidP="00777D0C">
            <w:pPr>
              <w:spacing w:after="0" w:line="240" w:lineRule="auto"/>
              <w:rPr>
                <w:b/>
              </w:rPr>
            </w:pPr>
          </w:p>
        </w:tc>
        <w:tc>
          <w:tcPr>
            <w:tcW w:w="2909" w:type="dxa"/>
            <w:tcBorders>
              <w:top w:val="single" w:sz="12" w:space="0" w:color="002060"/>
              <w:bottom w:val="single" w:sz="4" w:space="0" w:color="002060"/>
            </w:tcBorders>
          </w:tcPr>
          <w:p w:rsidR="00670E69" w:rsidRPr="001A0570" w:rsidRDefault="00670E69" w:rsidP="00777D0C">
            <w:pPr>
              <w:spacing w:after="0" w:line="240" w:lineRule="auto"/>
              <w:jc w:val="center"/>
              <w:rPr>
                <w:b/>
              </w:rPr>
            </w:pPr>
            <w:r w:rsidRPr="001A0570">
              <w:rPr>
                <w:b/>
              </w:rPr>
              <w:t xml:space="preserve">Basal insulin – </w:t>
            </w:r>
            <w:r w:rsidRPr="001A0570">
              <w:rPr>
                <w:b/>
              </w:rPr>
              <w:br/>
              <w:t>base case</w:t>
            </w:r>
          </w:p>
        </w:tc>
        <w:tc>
          <w:tcPr>
            <w:tcW w:w="3469" w:type="dxa"/>
            <w:tcBorders>
              <w:top w:val="single" w:sz="12" w:space="0" w:color="002060"/>
              <w:bottom w:val="single" w:sz="4" w:space="0" w:color="002060"/>
            </w:tcBorders>
          </w:tcPr>
          <w:p w:rsidR="00670E69" w:rsidRPr="001A0570" w:rsidRDefault="00670E69" w:rsidP="00777D0C">
            <w:pPr>
              <w:spacing w:after="0" w:line="240" w:lineRule="auto"/>
              <w:jc w:val="center"/>
              <w:rPr>
                <w:b/>
              </w:rPr>
            </w:pPr>
            <w:r w:rsidRPr="001A0570">
              <w:rPr>
                <w:b/>
              </w:rPr>
              <w:t xml:space="preserve">Basal insulin – </w:t>
            </w:r>
            <w:r w:rsidRPr="001A0570">
              <w:rPr>
                <w:b/>
              </w:rPr>
              <w:br/>
              <w:t>scenario analysis</w:t>
            </w:r>
          </w:p>
        </w:tc>
      </w:tr>
      <w:tr w:rsidR="00670E69" w:rsidRPr="00294094" w:rsidTr="00777D0C">
        <w:trPr>
          <w:trHeight w:val="23"/>
        </w:trPr>
        <w:tc>
          <w:tcPr>
            <w:tcW w:w="2972" w:type="dxa"/>
            <w:tcBorders>
              <w:top w:val="single" w:sz="4" w:space="0" w:color="002060"/>
            </w:tcBorders>
          </w:tcPr>
          <w:p w:rsidR="00670E69" w:rsidRPr="00294094" w:rsidRDefault="00670E69" w:rsidP="00777D0C">
            <w:pPr>
              <w:spacing w:after="0" w:line="240" w:lineRule="auto"/>
            </w:pPr>
            <w:r w:rsidRPr="00294094">
              <w:t>HbA</w:t>
            </w:r>
            <w:r w:rsidRPr="00294094">
              <w:rPr>
                <w:vertAlign w:val="subscript"/>
              </w:rPr>
              <w:t>1c</w:t>
            </w:r>
            <w:r w:rsidRPr="00294094">
              <w:t xml:space="preserve"> (%)</w:t>
            </w:r>
          </w:p>
        </w:tc>
        <w:tc>
          <w:tcPr>
            <w:tcW w:w="2909" w:type="dxa"/>
            <w:tcBorders>
              <w:top w:val="single" w:sz="4" w:space="0" w:color="002060"/>
            </w:tcBorders>
            <w:vAlign w:val="center"/>
          </w:tcPr>
          <w:p w:rsidR="00670E69" w:rsidRPr="00294094" w:rsidRDefault="00670E69" w:rsidP="00777D0C">
            <w:pPr>
              <w:spacing w:after="0" w:line="240" w:lineRule="auto"/>
              <w:jc w:val="center"/>
            </w:pPr>
            <w:r w:rsidRPr="00294094">
              <w:t>Adjusted to 8%</w:t>
            </w:r>
          </w:p>
        </w:tc>
        <w:tc>
          <w:tcPr>
            <w:tcW w:w="3469" w:type="dxa"/>
            <w:tcBorders>
              <w:top w:val="single" w:sz="4" w:space="0" w:color="002060"/>
            </w:tcBorders>
            <w:vAlign w:val="center"/>
          </w:tcPr>
          <w:p w:rsidR="00670E69" w:rsidRPr="00294094" w:rsidRDefault="00670E69" w:rsidP="00777D0C">
            <w:pPr>
              <w:spacing w:after="0" w:line="240" w:lineRule="auto"/>
              <w:jc w:val="center"/>
              <w:rPr>
                <w:vertAlign w:val="superscript"/>
              </w:rPr>
            </w:pPr>
            <w:r w:rsidRPr="00294094">
              <w:t>-1.63 (0.16)</w:t>
            </w:r>
            <w:r w:rsidRPr="00294094">
              <w:rPr>
                <w:vertAlign w:val="superscript"/>
              </w:rPr>
              <w:t>a</w:t>
            </w:r>
          </w:p>
        </w:tc>
      </w:tr>
      <w:tr w:rsidR="00670E69" w:rsidRPr="00294094" w:rsidTr="00777D0C">
        <w:trPr>
          <w:trHeight w:val="23"/>
        </w:trPr>
        <w:tc>
          <w:tcPr>
            <w:tcW w:w="2972" w:type="dxa"/>
          </w:tcPr>
          <w:p w:rsidR="00670E69" w:rsidRPr="00294094" w:rsidRDefault="00670E69" w:rsidP="00777D0C">
            <w:pPr>
              <w:spacing w:after="0" w:line="240" w:lineRule="auto"/>
            </w:pPr>
            <w:r w:rsidRPr="00294094">
              <w:t>SBP (mmHg)</w:t>
            </w:r>
          </w:p>
        </w:tc>
        <w:tc>
          <w:tcPr>
            <w:tcW w:w="2909" w:type="dxa"/>
            <w:vAlign w:val="center"/>
          </w:tcPr>
          <w:p w:rsidR="00670E69" w:rsidRPr="00294094" w:rsidRDefault="00670E69" w:rsidP="00777D0C">
            <w:pPr>
              <w:spacing w:after="0" w:line="240" w:lineRule="auto"/>
              <w:jc w:val="center"/>
            </w:pPr>
            <w:r w:rsidRPr="00294094">
              <w:t>0 (0)</w:t>
            </w:r>
          </w:p>
        </w:tc>
        <w:tc>
          <w:tcPr>
            <w:tcW w:w="3469" w:type="dxa"/>
            <w:vAlign w:val="center"/>
          </w:tcPr>
          <w:p w:rsidR="00670E69" w:rsidRPr="00294094" w:rsidRDefault="00670E69" w:rsidP="00777D0C">
            <w:pPr>
              <w:spacing w:after="0" w:line="240" w:lineRule="auto"/>
              <w:jc w:val="center"/>
            </w:pPr>
            <w:r w:rsidRPr="00294094">
              <w:t>0 (0)</w:t>
            </w:r>
          </w:p>
        </w:tc>
      </w:tr>
      <w:tr w:rsidR="00670E69" w:rsidRPr="00294094" w:rsidTr="00777D0C">
        <w:trPr>
          <w:trHeight w:val="23"/>
        </w:trPr>
        <w:tc>
          <w:tcPr>
            <w:tcW w:w="2972" w:type="dxa"/>
          </w:tcPr>
          <w:p w:rsidR="00670E69" w:rsidRPr="00294094" w:rsidRDefault="00670E69" w:rsidP="00777D0C">
            <w:pPr>
              <w:spacing w:after="0" w:line="240" w:lineRule="auto"/>
            </w:pPr>
            <w:r w:rsidRPr="00294094">
              <w:t>TC (</w:t>
            </w:r>
            <w:proofErr w:type="spellStart"/>
            <w:r w:rsidRPr="00294094">
              <w:t>mmol</w:t>
            </w:r>
            <w:proofErr w:type="spellEnd"/>
            <w:r w:rsidRPr="00294094">
              <w:t>/L)</w:t>
            </w:r>
            <w:r w:rsidRPr="001A0570">
              <w:rPr>
                <w:vertAlign w:val="superscript"/>
              </w:rPr>
              <w:t>b</w:t>
            </w:r>
          </w:p>
        </w:tc>
        <w:tc>
          <w:tcPr>
            <w:tcW w:w="2909" w:type="dxa"/>
            <w:vAlign w:val="center"/>
          </w:tcPr>
          <w:p w:rsidR="00670E69" w:rsidRPr="00294094" w:rsidRDefault="00670E69" w:rsidP="00777D0C">
            <w:pPr>
              <w:spacing w:after="0" w:line="240" w:lineRule="auto"/>
              <w:jc w:val="center"/>
            </w:pPr>
            <w:r w:rsidRPr="00294094">
              <w:t>0 (0)</w:t>
            </w:r>
          </w:p>
        </w:tc>
        <w:tc>
          <w:tcPr>
            <w:tcW w:w="3469" w:type="dxa"/>
            <w:vAlign w:val="center"/>
          </w:tcPr>
          <w:p w:rsidR="00670E69" w:rsidRPr="00294094" w:rsidRDefault="00670E69" w:rsidP="00777D0C">
            <w:pPr>
              <w:spacing w:after="0" w:line="240" w:lineRule="auto"/>
              <w:jc w:val="center"/>
            </w:pPr>
            <w:r w:rsidRPr="00294094">
              <w:t>0 (0)</w:t>
            </w:r>
          </w:p>
        </w:tc>
      </w:tr>
      <w:tr w:rsidR="00670E69" w:rsidRPr="00294094" w:rsidTr="00777D0C">
        <w:trPr>
          <w:trHeight w:val="23"/>
        </w:trPr>
        <w:tc>
          <w:tcPr>
            <w:tcW w:w="2972" w:type="dxa"/>
          </w:tcPr>
          <w:p w:rsidR="00670E69" w:rsidRPr="00294094" w:rsidRDefault="00670E69" w:rsidP="00777D0C">
            <w:pPr>
              <w:spacing w:after="0" w:line="240" w:lineRule="auto"/>
            </w:pPr>
            <w:r w:rsidRPr="00294094">
              <w:t>LDL (</w:t>
            </w:r>
            <w:proofErr w:type="spellStart"/>
            <w:r w:rsidRPr="00294094">
              <w:t>mmol</w:t>
            </w:r>
            <w:proofErr w:type="spellEnd"/>
            <w:r w:rsidRPr="00294094">
              <w:t>/L)</w:t>
            </w:r>
            <w:r w:rsidRPr="001A0570">
              <w:rPr>
                <w:vertAlign w:val="superscript"/>
              </w:rPr>
              <w:t>b</w:t>
            </w:r>
          </w:p>
        </w:tc>
        <w:tc>
          <w:tcPr>
            <w:tcW w:w="2909" w:type="dxa"/>
            <w:vAlign w:val="center"/>
          </w:tcPr>
          <w:p w:rsidR="00670E69" w:rsidRPr="00294094" w:rsidRDefault="00670E69" w:rsidP="00777D0C">
            <w:pPr>
              <w:spacing w:after="0" w:line="240" w:lineRule="auto"/>
              <w:jc w:val="center"/>
            </w:pPr>
            <w:r w:rsidRPr="00294094">
              <w:t>0 (0)</w:t>
            </w:r>
          </w:p>
        </w:tc>
        <w:tc>
          <w:tcPr>
            <w:tcW w:w="3469" w:type="dxa"/>
            <w:vAlign w:val="center"/>
          </w:tcPr>
          <w:p w:rsidR="00670E69" w:rsidRPr="00294094" w:rsidRDefault="00670E69" w:rsidP="00777D0C">
            <w:pPr>
              <w:spacing w:after="0" w:line="240" w:lineRule="auto"/>
              <w:jc w:val="center"/>
            </w:pPr>
            <w:r w:rsidRPr="00294094">
              <w:t>0 (0)</w:t>
            </w:r>
          </w:p>
        </w:tc>
      </w:tr>
      <w:tr w:rsidR="00670E69" w:rsidRPr="00294094" w:rsidTr="00777D0C">
        <w:trPr>
          <w:trHeight w:val="23"/>
        </w:trPr>
        <w:tc>
          <w:tcPr>
            <w:tcW w:w="2972" w:type="dxa"/>
          </w:tcPr>
          <w:p w:rsidR="00670E69" w:rsidRPr="00294094" w:rsidRDefault="00670E69" w:rsidP="00777D0C">
            <w:pPr>
              <w:spacing w:after="0" w:line="240" w:lineRule="auto"/>
            </w:pPr>
            <w:r w:rsidRPr="00294094">
              <w:t>HDL (</w:t>
            </w:r>
            <w:proofErr w:type="spellStart"/>
            <w:r w:rsidRPr="00294094">
              <w:t>mmol</w:t>
            </w:r>
            <w:proofErr w:type="spellEnd"/>
            <w:r w:rsidRPr="00294094">
              <w:t>/L)</w:t>
            </w:r>
            <w:r w:rsidRPr="001A0570">
              <w:rPr>
                <w:vertAlign w:val="superscript"/>
              </w:rPr>
              <w:t>b</w:t>
            </w:r>
          </w:p>
        </w:tc>
        <w:tc>
          <w:tcPr>
            <w:tcW w:w="2909" w:type="dxa"/>
            <w:vAlign w:val="center"/>
          </w:tcPr>
          <w:p w:rsidR="00670E69" w:rsidRPr="00294094" w:rsidRDefault="00670E69" w:rsidP="00777D0C">
            <w:pPr>
              <w:spacing w:after="0" w:line="240" w:lineRule="auto"/>
              <w:jc w:val="center"/>
            </w:pPr>
            <w:r w:rsidRPr="00294094">
              <w:t>0 (0)</w:t>
            </w:r>
          </w:p>
        </w:tc>
        <w:tc>
          <w:tcPr>
            <w:tcW w:w="3469" w:type="dxa"/>
            <w:vAlign w:val="center"/>
          </w:tcPr>
          <w:p w:rsidR="00670E69" w:rsidRPr="00294094" w:rsidRDefault="00670E69" w:rsidP="00777D0C">
            <w:pPr>
              <w:spacing w:after="0" w:line="240" w:lineRule="auto"/>
              <w:jc w:val="center"/>
            </w:pPr>
            <w:r w:rsidRPr="00294094">
              <w:t>0 (0)</w:t>
            </w:r>
          </w:p>
        </w:tc>
      </w:tr>
      <w:tr w:rsidR="00670E69" w:rsidRPr="00294094" w:rsidTr="00777D0C">
        <w:trPr>
          <w:trHeight w:val="23"/>
        </w:trPr>
        <w:tc>
          <w:tcPr>
            <w:tcW w:w="2972" w:type="dxa"/>
          </w:tcPr>
          <w:p w:rsidR="00670E69" w:rsidRPr="00294094" w:rsidRDefault="00670E69" w:rsidP="00777D0C">
            <w:pPr>
              <w:spacing w:after="0" w:line="240" w:lineRule="auto"/>
            </w:pPr>
            <w:r w:rsidRPr="00294094">
              <w:t>TG (</w:t>
            </w:r>
            <w:proofErr w:type="spellStart"/>
            <w:r w:rsidRPr="00294094">
              <w:t>mmol</w:t>
            </w:r>
            <w:proofErr w:type="spellEnd"/>
            <w:r w:rsidRPr="00294094">
              <w:t>/L)</w:t>
            </w:r>
            <w:r w:rsidRPr="001A0570">
              <w:rPr>
                <w:vertAlign w:val="superscript"/>
              </w:rPr>
              <w:t>b</w:t>
            </w:r>
          </w:p>
        </w:tc>
        <w:tc>
          <w:tcPr>
            <w:tcW w:w="2909" w:type="dxa"/>
            <w:vAlign w:val="center"/>
          </w:tcPr>
          <w:p w:rsidR="00670E69" w:rsidRPr="00294094" w:rsidRDefault="00670E69" w:rsidP="00777D0C">
            <w:pPr>
              <w:spacing w:after="0" w:line="240" w:lineRule="auto"/>
              <w:jc w:val="center"/>
            </w:pPr>
            <w:r w:rsidRPr="00294094">
              <w:t>0 (0)</w:t>
            </w:r>
          </w:p>
        </w:tc>
        <w:tc>
          <w:tcPr>
            <w:tcW w:w="3469" w:type="dxa"/>
            <w:vAlign w:val="center"/>
          </w:tcPr>
          <w:p w:rsidR="00670E69" w:rsidRPr="00294094" w:rsidRDefault="00670E69" w:rsidP="00777D0C">
            <w:pPr>
              <w:spacing w:after="0" w:line="240" w:lineRule="auto"/>
              <w:jc w:val="center"/>
            </w:pPr>
            <w:r w:rsidRPr="00294094">
              <w:t>0 (0)</w:t>
            </w:r>
          </w:p>
        </w:tc>
      </w:tr>
      <w:tr w:rsidR="00670E69" w:rsidRPr="00294094" w:rsidTr="00777D0C">
        <w:trPr>
          <w:trHeight w:val="23"/>
        </w:trPr>
        <w:tc>
          <w:tcPr>
            <w:tcW w:w="2972" w:type="dxa"/>
          </w:tcPr>
          <w:p w:rsidR="00670E69" w:rsidRPr="00294094" w:rsidRDefault="00670E69" w:rsidP="00777D0C">
            <w:pPr>
              <w:spacing w:after="0" w:line="240" w:lineRule="auto"/>
            </w:pPr>
            <w:r w:rsidRPr="00294094">
              <w:t>BMI (kg/m</w:t>
            </w:r>
            <w:r w:rsidRPr="00294094">
              <w:rPr>
                <w:vertAlign w:val="superscript"/>
              </w:rPr>
              <w:t>2</w:t>
            </w:r>
            <w:r w:rsidRPr="00294094">
              <w:t>)</w:t>
            </w:r>
          </w:p>
        </w:tc>
        <w:tc>
          <w:tcPr>
            <w:tcW w:w="2909" w:type="dxa"/>
            <w:vAlign w:val="center"/>
          </w:tcPr>
          <w:p w:rsidR="00670E69" w:rsidRDefault="00670E69" w:rsidP="00777D0C">
            <w:pPr>
              <w:spacing w:after="0" w:line="240" w:lineRule="auto"/>
              <w:jc w:val="center"/>
            </w:pPr>
            <w:r w:rsidRPr="00294094">
              <w:t>Revert to baseline BMI</w:t>
            </w:r>
          </w:p>
          <w:p w:rsidR="00670E69" w:rsidRPr="00294094" w:rsidRDefault="00670E69" w:rsidP="00777D0C">
            <w:pPr>
              <w:spacing w:after="0" w:line="240" w:lineRule="auto"/>
              <w:jc w:val="center"/>
            </w:pPr>
          </w:p>
        </w:tc>
        <w:tc>
          <w:tcPr>
            <w:tcW w:w="3469" w:type="dxa"/>
            <w:vAlign w:val="center"/>
          </w:tcPr>
          <w:p w:rsidR="00670E69" w:rsidRPr="00294094" w:rsidRDefault="00670E69" w:rsidP="00777D0C">
            <w:pPr>
              <w:spacing w:after="0" w:line="240" w:lineRule="auto"/>
              <w:jc w:val="center"/>
            </w:pPr>
            <w:r w:rsidRPr="00294094">
              <w:t xml:space="preserve">Revert to baseline BMI with an addition of 0.96 in </w:t>
            </w:r>
            <w:proofErr w:type="spellStart"/>
            <w:r w:rsidRPr="00294094">
              <w:t>BMI</w:t>
            </w:r>
            <w:r>
              <w:rPr>
                <w:vertAlign w:val="superscript"/>
              </w:rPr>
              <w:t>c</w:t>
            </w:r>
            <w:proofErr w:type="spellEnd"/>
          </w:p>
        </w:tc>
      </w:tr>
      <w:tr w:rsidR="00670E69" w:rsidRPr="00294094" w:rsidTr="00777D0C">
        <w:trPr>
          <w:trHeight w:val="23"/>
        </w:trPr>
        <w:tc>
          <w:tcPr>
            <w:tcW w:w="2972" w:type="dxa"/>
          </w:tcPr>
          <w:p w:rsidR="00670E69" w:rsidRPr="00294094" w:rsidRDefault="00670E69" w:rsidP="00777D0C">
            <w:pPr>
              <w:spacing w:after="0" w:line="240" w:lineRule="auto"/>
            </w:pPr>
            <w:proofErr w:type="spellStart"/>
            <w:r w:rsidRPr="00294094">
              <w:t>eGFR</w:t>
            </w:r>
            <w:proofErr w:type="spellEnd"/>
            <w:r w:rsidRPr="00294094">
              <w:t xml:space="preserve"> (ml/min/1.73m</w:t>
            </w:r>
            <w:r w:rsidRPr="00294094">
              <w:rPr>
                <w:vertAlign w:val="superscript"/>
              </w:rPr>
              <w:t>2</w:t>
            </w:r>
            <w:r w:rsidRPr="00294094">
              <w:t>)</w:t>
            </w:r>
          </w:p>
        </w:tc>
        <w:tc>
          <w:tcPr>
            <w:tcW w:w="2909" w:type="dxa"/>
            <w:vAlign w:val="center"/>
          </w:tcPr>
          <w:p w:rsidR="00670E69" w:rsidRPr="00294094" w:rsidRDefault="00670E69" w:rsidP="00777D0C">
            <w:pPr>
              <w:spacing w:after="0" w:line="240" w:lineRule="auto"/>
              <w:jc w:val="center"/>
            </w:pPr>
            <w:r w:rsidRPr="00294094">
              <w:t>0 (0)</w:t>
            </w:r>
          </w:p>
        </w:tc>
        <w:tc>
          <w:tcPr>
            <w:tcW w:w="3469" w:type="dxa"/>
            <w:vAlign w:val="center"/>
          </w:tcPr>
          <w:p w:rsidR="00670E69" w:rsidRPr="00294094" w:rsidRDefault="00670E69" w:rsidP="00777D0C">
            <w:pPr>
              <w:spacing w:after="0" w:line="240" w:lineRule="auto"/>
              <w:jc w:val="center"/>
            </w:pPr>
            <w:r w:rsidRPr="00294094">
              <w:t>0 (0)</w:t>
            </w:r>
          </w:p>
        </w:tc>
      </w:tr>
      <w:tr w:rsidR="00670E69" w:rsidRPr="00294094" w:rsidTr="00777D0C">
        <w:trPr>
          <w:trHeight w:val="23"/>
        </w:trPr>
        <w:tc>
          <w:tcPr>
            <w:tcW w:w="2972" w:type="dxa"/>
          </w:tcPr>
          <w:p w:rsidR="00670E69" w:rsidRPr="00294094" w:rsidRDefault="00670E69" w:rsidP="00777D0C">
            <w:pPr>
              <w:spacing w:after="0" w:line="240" w:lineRule="auto"/>
            </w:pPr>
            <w:r w:rsidRPr="00294094">
              <w:t>Non-severe hypoglycemic events (per patient-year)</w:t>
            </w:r>
          </w:p>
        </w:tc>
        <w:tc>
          <w:tcPr>
            <w:tcW w:w="2909" w:type="dxa"/>
            <w:vAlign w:val="center"/>
          </w:tcPr>
          <w:p w:rsidR="00670E69" w:rsidRPr="00294094" w:rsidRDefault="00670E69" w:rsidP="00777D0C">
            <w:pPr>
              <w:spacing w:after="0" w:line="240" w:lineRule="auto"/>
              <w:jc w:val="center"/>
            </w:pPr>
            <w:r w:rsidRPr="00294094">
              <w:t>7.01 (0.7)</w:t>
            </w:r>
          </w:p>
        </w:tc>
        <w:tc>
          <w:tcPr>
            <w:tcW w:w="3469" w:type="dxa"/>
            <w:vAlign w:val="center"/>
          </w:tcPr>
          <w:p w:rsidR="00670E69" w:rsidRPr="00294094" w:rsidRDefault="00670E69" w:rsidP="00777D0C">
            <w:pPr>
              <w:spacing w:after="0" w:line="240" w:lineRule="auto"/>
              <w:jc w:val="center"/>
            </w:pPr>
            <w:r w:rsidRPr="00294094">
              <w:t>7.01 (0.7)</w:t>
            </w:r>
          </w:p>
        </w:tc>
      </w:tr>
      <w:tr w:rsidR="00670E69" w:rsidRPr="00294094" w:rsidTr="00777D0C">
        <w:trPr>
          <w:trHeight w:val="23"/>
        </w:trPr>
        <w:tc>
          <w:tcPr>
            <w:tcW w:w="2972" w:type="dxa"/>
            <w:tcBorders>
              <w:bottom w:val="single" w:sz="12" w:space="0" w:color="002060"/>
            </w:tcBorders>
          </w:tcPr>
          <w:p w:rsidR="00670E69" w:rsidRPr="00294094" w:rsidRDefault="00670E69" w:rsidP="00777D0C">
            <w:pPr>
              <w:spacing w:after="0" w:line="240" w:lineRule="auto"/>
            </w:pPr>
            <w:r w:rsidRPr="00294094">
              <w:t>Severe hypoglycemic events (per patient-year)</w:t>
            </w:r>
          </w:p>
        </w:tc>
        <w:tc>
          <w:tcPr>
            <w:tcW w:w="2909" w:type="dxa"/>
            <w:tcBorders>
              <w:bottom w:val="single" w:sz="12" w:space="0" w:color="002060"/>
            </w:tcBorders>
            <w:vAlign w:val="center"/>
          </w:tcPr>
          <w:p w:rsidR="00670E69" w:rsidRPr="00294094" w:rsidRDefault="00670E69" w:rsidP="00777D0C">
            <w:pPr>
              <w:spacing w:after="0" w:line="240" w:lineRule="auto"/>
              <w:jc w:val="center"/>
            </w:pPr>
            <w:r w:rsidRPr="00294094">
              <w:t>0.006 (0.006)</w:t>
            </w:r>
          </w:p>
        </w:tc>
        <w:tc>
          <w:tcPr>
            <w:tcW w:w="3469" w:type="dxa"/>
            <w:tcBorders>
              <w:bottom w:val="single" w:sz="12" w:space="0" w:color="002060"/>
            </w:tcBorders>
            <w:vAlign w:val="center"/>
          </w:tcPr>
          <w:p w:rsidR="00670E69" w:rsidRPr="00294094" w:rsidRDefault="00670E69" w:rsidP="00777D0C">
            <w:pPr>
              <w:spacing w:after="0" w:line="240" w:lineRule="auto"/>
              <w:jc w:val="center"/>
            </w:pPr>
            <w:r w:rsidRPr="00294094">
              <w:t>0.006 (0.006)</w:t>
            </w:r>
          </w:p>
        </w:tc>
      </w:tr>
    </w:tbl>
    <w:p w:rsidR="00670E69" w:rsidRPr="009C3837" w:rsidRDefault="00670E69" w:rsidP="00777D0C">
      <w:pPr>
        <w:spacing w:line="276" w:lineRule="auto"/>
        <w:rPr>
          <w:sz w:val="22"/>
          <w:szCs w:val="22"/>
        </w:rPr>
      </w:pPr>
      <w:r w:rsidRPr="009C3837">
        <w:rPr>
          <w:sz w:val="22"/>
          <w:szCs w:val="22"/>
        </w:rPr>
        <w:t xml:space="preserve">Data are presented as mean (SE), sourced from Willis et al. 2017 </w:t>
      </w:r>
      <w:r w:rsidRPr="009C3837">
        <w:rPr>
          <w:noProof/>
          <w:sz w:val="22"/>
          <w:szCs w:val="22"/>
        </w:rPr>
        <w:t>[</w:t>
      </w:r>
      <w:r w:rsidR="008A23BA">
        <w:rPr>
          <w:noProof/>
          <w:sz w:val="22"/>
          <w:szCs w:val="22"/>
        </w:rPr>
        <w:t>50</w:t>
      </w:r>
      <w:r w:rsidRPr="009C3837">
        <w:rPr>
          <w:noProof/>
          <w:sz w:val="22"/>
          <w:szCs w:val="22"/>
        </w:rPr>
        <w:t>]</w:t>
      </w:r>
      <w:r w:rsidRPr="009C3837">
        <w:rPr>
          <w:sz w:val="22"/>
          <w:szCs w:val="22"/>
        </w:rPr>
        <w:t xml:space="preserve">. When SEs were unavailable, they were assumed to be 10% of the mean value. </w:t>
      </w:r>
      <w:proofErr w:type="spellStart"/>
      <w:r w:rsidRPr="009C3837">
        <w:rPr>
          <w:sz w:val="22"/>
          <w:szCs w:val="22"/>
          <w:vertAlign w:val="superscript"/>
        </w:rPr>
        <w:t>a</w:t>
      </w:r>
      <w:r w:rsidRPr="009C3837">
        <w:rPr>
          <w:sz w:val="22"/>
          <w:szCs w:val="22"/>
        </w:rPr>
        <w:t>Values</w:t>
      </w:r>
      <w:proofErr w:type="spellEnd"/>
      <w:r w:rsidRPr="009C3837">
        <w:rPr>
          <w:sz w:val="22"/>
          <w:szCs w:val="22"/>
        </w:rPr>
        <w:t xml:space="preserve"> estimated using the CORE specification equation for insulin-naïve patients, based on Willis et al. 2017;</w:t>
      </w:r>
      <w:r>
        <w:rPr>
          <w:sz w:val="22"/>
          <w:szCs w:val="22"/>
        </w:rPr>
        <w:t xml:space="preserve"> </w:t>
      </w:r>
      <w:proofErr w:type="spellStart"/>
      <w:r w:rsidRPr="001A0570">
        <w:rPr>
          <w:sz w:val="22"/>
          <w:szCs w:val="22"/>
          <w:vertAlign w:val="superscript"/>
        </w:rPr>
        <w:t>b</w:t>
      </w:r>
      <w:r w:rsidRPr="001A0570">
        <w:rPr>
          <w:sz w:val="22"/>
          <w:szCs w:val="22"/>
        </w:rPr>
        <w:t>Values</w:t>
      </w:r>
      <w:proofErr w:type="spellEnd"/>
      <w:r w:rsidRPr="001A0570">
        <w:rPr>
          <w:sz w:val="22"/>
          <w:szCs w:val="22"/>
        </w:rPr>
        <w:t xml:space="preserve"> have been converted from mg/</w:t>
      </w:r>
      <w:proofErr w:type="spellStart"/>
      <w:r w:rsidRPr="001A0570">
        <w:rPr>
          <w:sz w:val="22"/>
          <w:szCs w:val="22"/>
        </w:rPr>
        <w:t>dL</w:t>
      </w:r>
      <w:proofErr w:type="spellEnd"/>
      <w:r w:rsidRPr="001A0570">
        <w:rPr>
          <w:sz w:val="22"/>
          <w:szCs w:val="22"/>
        </w:rPr>
        <w:t xml:space="preserve"> to </w:t>
      </w:r>
      <w:proofErr w:type="spellStart"/>
      <w:r w:rsidRPr="001A0570">
        <w:rPr>
          <w:sz w:val="22"/>
          <w:szCs w:val="22"/>
        </w:rPr>
        <w:t>mmol</w:t>
      </w:r>
      <w:proofErr w:type="spellEnd"/>
      <w:r w:rsidRPr="001A0570">
        <w:rPr>
          <w:sz w:val="22"/>
          <w:szCs w:val="22"/>
        </w:rPr>
        <w:t>/L by multiplying the mg/</w:t>
      </w:r>
      <w:proofErr w:type="spellStart"/>
      <w:r w:rsidRPr="001A0570">
        <w:rPr>
          <w:sz w:val="22"/>
          <w:szCs w:val="22"/>
        </w:rPr>
        <w:t>dL</w:t>
      </w:r>
      <w:proofErr w:type="spellEnd"/>
      <w:r w:rsidRPr="001A0570">
        <w:rPr>
          <w:sz w:val="22"/>
          <w:szCs w:val="22"/>
        </w:rPr>
        <w:t xml:space="preserve"> values with 0.0259 (TC, HDL, LDL) and 0.0113 (TG). </w:t>
      </w:r>
      <w:r w:rsidRPr="009C3837">
        <w:rPr>
          <w:sz w:val="22"/>
          <w:szCs w:val="22"/>
          <w:vertAlign w:val="subscript"/>
        </w:rPr>
        <w:t xml:space="preserve"> </w:t>
      </w:r>
      <w:proofErr w:type="spellStart"/>
      <w:proofErr w:type="gramStart"/>
      <w:r>
        <w:rPr>
          <w:sz w:val="22"/>
          <w:szCs w:val="22"/>
          <w:vertAlign w:val="superscript"/>
        </w:rPr>
        <w:t>c</w:t>
      </w:r>
      <w:r w:rsidRPr="009C3837">
        <w:rPr>
          <w:sz w:val="22"/>
          <w:szCs w:val="22"/>
        </w:rPr>
        <w:t>Values</w:t>
      </w:r>
      <w:proofErr w:type="spellEnd"/>
      <w:proofErr w:type="gramEnd"/>
      <w:r w:rsidRPr="009C3837">
        <w:rPr>
          <w:sz w:val="22"/>
          <w:szCs w:val="22"/>
        </w:rPr>
        <w:t xml:space="preserve"> estimated using the CORE specification equation for insulin-naïve patients based on Willis et al. 2017: when the GLP-1RA treatment is discontinued the BMI is assumed to revert to the baseline value and then increase by the weight gain associated with insulin. BMI, body mass index; </w:t>
      </w:r>
      <w:proofErr w:type="spellStart"/>
      <w:r w:rsidRPr="009C3837">
        <w:rPr>
          <w:sz w:val="22"/>
          <w:szCs w:val="22"/>
        </w:rPr>
        <w:t>eGFR</w:t>
      </w:r>
      <w:proofErr w:type="spellEnd"/>
      <w:r w:rsidRPr="009C3837">
        <w:rPr>
          <w:sz w:val="22"/>
          <w:szCs w:val="22"/>
        </w:rPr>
        <w:t xml:space="preserve">, estimated glomerular filtration rate; </w:t>
      </w:r>
      <w:r w:rsidRPr="009C3837">
        <w:rPr>
          <w:rFonts w:eastAsia="Times New Roman"/>
          <w:color w:val="000000"/>
          <w:sz w:val="22"/>
          <w:szCs w:val="22"/>
        </w:rPr>
        <w:t>HbA</w:t>
      </w:r>
      <w:r w:rsidRPr="009C3837">
        <w:rPr>
          <w:rFonts w:eastAsia="Times New Roman"/>
          <w:color w:val="000000"/>
          <w:sz w:val="22"/>
          <w:szCs w:val="22"/>
          <w:vertAlign w:val="subscript"/>
        </w:rPr>
        <w:t>1c</w:t>
      </w:r>
      <w:r w:rsidRPr="009C3837">
        <w:rPr>
          <w:rFonts w:eastAsia="Times New Roman"/>
          <w:color w:val="000000"/>
          <w:sz w:val="22"/>
          <w:szCs w:val="22"/>
        </w:rPr>
        <w:t xml:space="preserve">, glycated hemoglobin; GLP-1RA, glucagon-like peptide-1 receptor agonist; </w:t>
      </w:r>
      <w:r w:rsidRPr="009C3837">
        <w:rPr>
          <w:sz w:val="22"/>
          <w:szCs w:val="22"/>
        </w:rPr>
        <w:t>HDL, high-density lipoprotein; LDL, low-density lipoprotein; SBP, systolic blood pressure; SE, standard error; TC, total cholesterol; TG, triglycerides.</w:t>
      </w:r>
    </w:p>
    <w:p w:rsidR="00670E69" w:rsidRPr="00294094" w:rsidRDefault="00670E69" w:rsidP="00777D0C">
      <w:r w:rsidRPr="00294094">
        <w:br w:type="page"/>
      </w:r>
    </w:p>
    <w:p w:rsidR="00670E69" w:rsidRPr="00294094" w:rsidRDefault="00670E69" w:rsidP="00777D0C">
      <w:pPr>
        <w:sectPr w:rsidR="00670E69" w:rsidRPr="00294094" w:rsidSect="00777D0C">
          <w:pgSz w:w="12240" w:h="15840"/>
          <w:pgMar w:top="1440" w:right="1440" w:bottom="1440" w:left="1440" w:header="709" w:footer="709" w:gutter="0"/>
          <w:cols w:space="708"/>
          <w:docGrid w:linePitch="360"/>
        </w:sectPr>
      </w:pPr>
    </w:p>
    <w:p w:rsidR="00670E69" w:rsidRPr="00294094" w:rsidRDefault="00670E69" w:rsidP="00F323D1">
      <w:pPr>
        <w:pStyle w:val="Heading1"/>
        <w:ind w:left="0" w:firstLine="0"/>
      </w:pPr>
      <w:bookmarkStart w:id="51" w:name="_Toc530388348"/>
      <w:bookmarkStart w:id="52" w:name="_Toc2007172"/>
      <w:r>
        <w:t>Online Resource 10</w:t>
      </w:r>
      <w:r w:rsidRPr="00294094">
        <w:t xml:space="preserve">. Cumulative incidences of micro- and </w:t>
      </w:r>
      <w:proofErr w:type="spellStart"/>
      <w:r w:rsidRPr="00294094">
        <w:t>macrovascular</w:t>
      </w:r>
      <w:proofErr w:type="spellEnd"/>
      <w:r w:rsidRPr="00294094">
        <w:t xml:space="preserve"> complications at the end of the simulation</w:t>
      </w:r>
      <w:bookmarkEnd w:id="51"/>
      <w:bookmarkEnd w:id="52"/>
    </w:p>
    <w:tbl>
      <w:tblPr>
        <w:tblW w:w="12900" w:type="dxa"/>
        <w:tblLayout w:type="fixed"/>
        <w:tblCellMar>
          <w:left w:w="0" w:type="dxa"/>
          <w:right w:w="0" w:type="dxa"/>
        </w:tblCellMar>
        <w:tblLook w:val="0600" w:firstRow="0" w:lastRow="0" w:firstColumn="0" w:lastColumn="0" w:noHBand="1" w:noVBand="1"/>
      </w:tblPr>
      <w:tblGrid>
        <w:gridCol w:w="4253"/>
        <w:gridCol w:w="1441"/>
        <w:gridCol w:w="1441"/>
        <w:gridCol w:w="1441"/>
        <w:gridCol w:w="1441"/>
        <w:gridCol w:w="1441"/>
        <w:gridCol w:w="1442"/>
      </w:tblGrid>
      <w:tr w:rsidR="00670E69" w:rsidRPr="008B61DF" w:rsidTr="00777D0C">
        <w:tc>
          <w:tcPr>
            <w:tcW w:w="4253" w:type="dxa"/>
            <w:tcBorders>
              <w:top w:val="single" w:sz="12" w:space="0" w:color="002060"/>
              <w:left w:val="nil"/>
              <w:bottom w:val="nil"/>
              <w:right w:val="dashed" w:sz="4" w:space="0" w:color="AEAAAA" w:themeColor="background2" w:themeShade="BF"/>
            </w:tcBorders>
            <w:shd w:val="clear" w:color="auto" w:fill="auto"/>
            <w:tcMar>
              <w:top w:w="67" w:type="dxa"/>
              <w:left w:w="67" w:type="dxa"/>
              <w:bottom w:w="67" w:type="dxa"/>
              <w:right w:w="67" w:type="dxa"/>
            </w:tcMar>
            <w:vAlign w:val="center"/>
            <w:hideMark/>
          </w:tcPr>
          <w:p w:rsidR="00670E69" w:rsidRPr="008B61DF" w:rsidRDefault="00670E69" w:rsidP="00777D0C">
            <w:pPr>
              <w:spacing w:after="0" w:line="240" w:lineRule="auto"/>
              <w:rPr>
                <w:b/>
              </w:rPr>
            </w:pPr>
          </w:p>
        </w:tc>
        <w:tc>
          <w:tcPr>
            <w:tcW w:w="8647" w:type="dxa"/>
            <w:gridSpan w:val="6"/>
            <w:tcBorders>
              <w:top w:val="single" w:sz="12" w:space="0" w:color="002060"/>
              <w:left w:val="dashed" w:sz="4" w:space="0" w:color="AEAAAA" w:themeColor="background2" w:themeShade="BF"/>
              <w:bottom w:val="single" w:sz="8" w:space="0" w:color="001965"/>
              <w:right w:val="dashed" w:sz="4" w:space="0" w:color="AEAAAA" w:themeColor="background2" w:themeShade="BF"/>
            </w:tcBorders>
            <w:vAlign w:val="center"/>
          </w:tcPr>
          <w:p w:rsidR="00670E69" w:rsidRPr="008B61DF" w:rsidRDefault="00670E69" w:rsidP="00777D0C">
            <w:pPr>
              <w:spacing w:after="0" w:line="240" w:lineRule="auto"/>
              <w:jc w:val="center"/>
              <w:rPr>
                <w:rFonts w:eastAsia="Times New Roman"/>
                <w:b/>
              </w:rPr>
            </w:pPr>
            <w:r w:rsidRPr="008B61DF">
              <w:rPr>
                <w:b/>
              </w:rPr>
              <w:t>Deterministic base case</w:t>
            </w:r>
          </w:p>
        </w:tc>
      </w:tr>
      <w:tr w:rsidR="00670E69" w:rsidRPr="008B61DF" w:rsidTr="00777D0C">
        <w:tc>
          <w:tcPr>
            <w:tcW w:w="4253" w:type="dxa"/>
            <w:tcBorders>
              <w:top w:val="nil"/>
              <w:left w:val="nil"/>
              <w:bottom w:val="single" w:sz="12" w:space="0" w:color="002060"/>
              <w:right w:val="dashed" w:sz="4" w:space="0" w:color="AEAAAA" w:themeColor="background2" w:themeShade="BF"/>
            </w:tcBorders>
            <w:shd w:val="clear" w:color="auto" w:fill="auto"/>
            <w:tcMar>
              <w:top w:w="67" w:type="dxa"/>
              <w:left w:w="67" w:type="dxa"/>
              <w:bottom w:w="67" w:type="dxa"/>
              <w:right w:w="67" w:type="dxa"/>
            </w:tcMar>
            <w:vAlign w:val="center"/>
            <w:hideMark/>
          </w:tcPr>
          <w:p w:rsidR="00670E69" w:rsidRPr="008B61DF" w:rsidRDefault="00670E69" w:rsidP="00777D0C">
            <w:pPr>
              <w:spacing w:after="0" w:line="240" w:lineRule="auto"/>
              <w:rPr>
                <w:b/>
              </w:rPr>
            </w:pPr>
          </w:p>
        </w:tc>
        <w:tc>
          <w:tcPr>
            <w:tcW w:w="1441" w:type="dxa"/>
            <w:tcBorders>
              <w:top w:val="single" w:sz="8" w:space="0" w:color="001965"/>
              <w:left w:val="dashed" w:sz="4" w:space="0" w:color="AEAAAA" w:themeColor="background2" w:themeShade="BF"/>
              <w:bottom w:val="single" w:sz="12" w:space="0" w:color="002060"/>
              <w:right w:val="dashed" w:sz="4" w:space="0" w:color="AEAAAA" w:themeColor="background2" w:themeShade="BF"/>
            </w:tcBorders>
            <w:vAlign w:val="center"/>
          </w:tcPr>
          <w:p w:rsidR="00670E69" w:rsidRPr="008B61DF" w:rsidRDefault="00670E69" w:rsidP="00777D0C">
            <w:pPr>
              <w:spacing w:after="0" w:line="240" w:lineRule="auto"/>
              <w:jc w:val="center"/>
              <w:rPr>
                <w:b/>
              </w:rPr>
            </w:pPr>
            <w:proofErr w:type="spellStart"/>
            <w:r w:rsidRPr="008B61DF">
              <w:rPr>
                <w:b/>
              </w:rPr>
              <w:t>Semaglutide</w:t>
            </w:r>
            <w:proofErr w:type="spellEnd"/>
            <w:r w:rsidRPr="008B61DF">
              <w:rPr>
                <w:b/>
              </w:rPr>
              <w:t xml:space="preserve"> </w:t>
            </w:r>
            <w:r w:rsidRPr="008B61DF">
              <w:rPr>
                <w:b/>
              </w:rPr>
              <w:br/>
              <w:t>0.5 mg</w:t>
            </w:r>
          </w:p>
        </w:tc>
        <w:tc>
          <w:tcPr>
            <w:tcW w:w="1441" w:type="dxa"/>
            <w:tcBorders>
              <w:top w:val="single" w:sz="8" w:space="0" w:color="001965"/>
              <w:left w:val="dashed" w:sz="4" w:space="0" w:color="AEAAAA" w:themeColor="background2" w:themeShade="BF"/>
              <w:bottom w:val="single" w:sz="12" w:space="0" w:color="002060"/>
              <w:right w:val="dashed" w:sz="4" w:space="0" w:color="AEAAAA" w:themeColor="background2" w:themeShade="BF"/>
            </w:tcBorders>
            <w:vAlign w:val="center"/>
          </w:tcPr>
          <w:p w:rsidR="00670E69" w:rsidRPr="008B61DF" w:rsidRDefault="00670E69" w:rsidP="00777D0C">
            <w:pPr>
              <w:spacing w:after="0" w:line="240" w:lineRule="auto"/>
              <w:jc w:val="center"/>
              <w:rPr>
                <w:b/>
              </w:rPr>
            </w:pPr>
            <w:proofErr w:type="spellStart"/>
            <w:r w:rsidRPr="008B61DF">
              <w:rPr>
                <w:b/>
              </w:rPr>
              <w:t>Dulaglutide</w:t>
            </w:r>
            <w:proofErr w:type="spellEnd"/>
            <w:r w:rsidRPr="008B61DF">
              <w:rPr>
                <w:b/>
              </w:rPr>
              <w:br/>
              <w:t>0.75 mg</w:t>
            </w:r>
          </w:p>
        </w:tc>
        <w:tc>
          <w:tcPr>
            <w:tcW w:w="1441" w:type="dxa"/>
            <w:tcBorders>
              <w:top w:val="single" w:sz="8" w:space="0" w:color="001965"/>
              <w:left w:val="dashed" w:sz="4" w:space="0" w:color="AEAAAA" w:themeColor="background2" w:themeShade="BF"/>
              <w:bottom w:val="single" w:sz="12" w:space="0" w:color="002060"/>
              <w:right w:val="dashed" w:sz="4" w:space="0" w:color="AEAAAA" w:themeColor="background2" w:themeShade="BF"/>
            </w:tcBorders>
            <w:vAlign w:val="center"/>
          </w:tcPr>
          <w:p w:rsidR="00670E69" w:rsidRPr="008B61DF" w:rsidRDefault="00670E69" w:rsidP="00777D0C">
            <w:pPr>
              <w:spacing w:after="0" w:line="240" w:lineRule="auto"/>
              <w:jc w:val="center"/>
              <w:rPr>
                <w:b/>
              </w:rPr>
            </w:pPr>
            <w:r w:rsidRPr="008B61DF">
              <w:rPr>
                <w:b/>
              </w:rPr>
              <w:t>RRR</w:t>
            </w:r>
          </w:p>
        </w:tc>
        <w:tc>
          <w:tcPr>
            <w:tcW w:w="1441" w:type="dxa"/>
            <w:tcBorders>
              <w:top w:val="single" w:sz="8" w:space="0" w:color="001965"/>
              <w:left w:val="dashed" w:sz="4" w:space="0" w:color="AEAAAA" w:themeColor="background2" w:themeShade="BF"/>
              <w:bottom w:val="single" w:sz="12" w:space="0" w:color="002060"/>
              <w:right w:val="dashed" w:sz="4" w:space="0" w:color="AEAAAA" w:themeColor="background2" w:themeShade="BF"/>
            </w:tcBorders>
            <w:shd w:val="clear" w:color="auto" w:fill="auto"/>
            <w:tcMar>
              <w:top w:w="57" w:type="dxa"/>
              <w:left w:w="57" w:type="dxa"/>
              <w:bottom w:w="57" w:type="dxa"/>
              <w:right w:w="57" w:type="dxa"/>
            </w:tcMar>
            <w:vAlign w:val="center"/>
            <w:hideMark/>
          </w:tcPr>
          <w:p w:rsidR="00670E69" w:rsidRPr="008B61DF" w:rsidRDefault="00670E69" w:rsidP="00777D0C">
            <w:pPr>
              <w:spacing w:after="0" w:line="240" w:lineRule="auto"/>
              <w:jc w:val="center"/>
              <w:rPr>
                <w:rFonts w:eastAsia="Times New Roman"/>
                <w:b/>
              </w:rPr>
            </w:pPr>
            <w:proofErr w:type="spellStart"/>
            <w:r w:rsidRPr="008B61DF">
              <w:rPr>
                <w:b/>
              </w:rPr>
              <w:t>Semaglutide</w:t>
            </w:r>
            <w:proofErr w:type="spellEnd"/>
            <w:r w:rsidRPr="008B61DF">
              <w:rPr>
                <w:b/>
              </w:rPr>
              <w:t xml:space="preserve"> </w:t>
            </w:r>
            <w:r w:rsidRPr="008B61DF">
              <w:rPr>
                <w:b/>
              </w:rPr>
              <w:br/>
              <w:t>1.0 mg</w:t>
            </w:r>
          </w:p>
        </w:tc>
        <w:tc>
          <w:tcPr>
            <w:tcW w:w="1441" w:type="dxa"/>
            <w:tcBorders>
              <w:top w:val="single" w:sz="8" w:space="0" w:color="001965"/>
              <w:left w:val="dashed" w:sz="4" w:space="0" w:color="AEAAAA" w:themeColor="background2" w:themeShade="BF"/>
              <w:bottom w:val="single" w:sz="12" w:space="0" w:color="002060"/>
              <w:right w:val="dashed" w:sz="4" w:space="0" w:color="AEAAAA" w:themeColor="background2" w:themeShade="BF"/>
            </w:tcBorders>
            <w:shd w:val="clear" w:color="auto" w:fill="auto"/>
            <w:tcMar>
              <w:top w:w="57" w:type="dxa"/>
              <w:left w:w="57" w:type="dxa"/>
              <w:bottom w:w="57" w:type="dxa"/>
              <w:right w:w="57" w:type="dxa"/>
            </w:tcMar>
            <w:vAlign w:val="center"/>
            <w:hideMark/>
          </w:tcPr>
          <w:p w:rsidR="00670E69" w:rsidRPr="008B61DF" w:rsidRDefault="00670E69" w:rsidP="00777D0C">
            <w:pPr>
              <w:spacing w:after="0" w:line="240" w:lineRule="auto"/>
              <w:jc w:val="center"/>
              <w:rPr>
                <w:rFonts w:eastAsia="Times New Roman"/>
                <w:b/>
              </w:rPr>
            </w:pPr>
            <w:proofErr w:type="spellStart"/>
            <w:r w:rsidRPr="008B61DF">
              <w:rPr>
                <w:b/>
              </w:rPr>
              <w:t>Dulaglutide</w:t>
            </w:r>
            <w:proofErr w:type="spellEnd"/>
            <w:r w:rsidRPr="008B61DF">
              <w:rPr>
                <w:b/>
              </w:rPr>
              <w:br/>
              <w:t>1.5 mg</w:t>
            </w:r>
          </w:p>
        </w:tc>
        <w:tc>
          <w:tcPr>
            <w:tcW w:w="1442" w:type="dxa"/>
            <w:tcBorders>
              <w:top w:val="single" w:sz="8" w:space="0" w:color="001965"/>
              <w:left w:val="dashed" w:sz="4" w:space="0" w:color="AEAAAA" w:themeColor="background2" w:themeShade="BF"/>
              <w:bottom w:val="single" w:sz="12" w:space="0" w:color="002060"/>
              <w:right w:val="nil"/>
            </w:tcBorders>
            <w:shd w:val="clear" w:color="auto" w:fill="auto"/>
            <w:tcMar>
              <w:top w:w="57" w:type="dxa"/>
              <w:left w:w="57" w:type="dxa"/>
              <w:bottom w:w="57" w:type="dxa"/>
              <w:right w:w="57" w:type="dxa"/>
            </w:tcMar>
            <w:vAlign w:val="center"/>
            <w:hideMark/>
          </w:tcPr>
          <w:p w:rsidR="00670E69" w:rsidRPr="008B61DF" w:rsidRDefault="00670E69" w:rsidP="00777D0C">
            <w:pPr>
              <w:spacing w:after="0" w:line="240" w:lineRule="auto"/>
              <w:jc w:val="center"/>
              <w:rPr>
                <w:rFonts w:eastAsia="Times New Roman"/>
                <w:b/>
              </w:rPr>
            </w:pPr>
            <w:r w:rsidRPr="008B61DF">
              <w:rPr>
                <w:b/>
              </w:rPr>
              <w:t>RRR</w:t>
            </w:r>
          </w:p>
        </w:tc>
      </w:tr>
      <w:tr w:rsidR="00670E69" w:rsidRPr="008B61DF" w:rsidTr="00777D0C">
        <w:tc>
          <w:tcPr>
            <w:tcW w:w="12900" w:type="dxa"/>
            <w:gridSpan w:val="7"/>
            <w:tcBorders>
              <w:top w:val="single" w:sz="12" w:space="0" w:color="002060"/>
              <w:left w:val="nil"/>
              <w:bottom w:val="single" w:sz="8" w:space="0" w:color="AEA79F"/>
              <w:right w:val="nil"/>
            </w:tcBorders>
            <w:vAlign w:val="center"/>
          </w:tcPr>
          <w:p w:rsidR="00670E69" w:rsidRPr="008B61DF" w:rsidRDefault="00670E69" w:rsidP="00777D0C">
            <w:pPr>
              <w:spacing w:after="0" w:line="240" w:lineRule="auto"/>
              <w:rPr>
                <w:b/>
              </w:rPr>
            </w:pPr>
            <w:r w:rsidRPr="008B61DF">
              <w:rPr>
                <w:b/>
              </w:rPr>
              <w:t>Microvascular complications, %</w:t>
            </w:r>
          </w:p>
        </w:tc>
      </w:tr>
      <w:tr w:rsidR="00670E69" w:rsidRPr="00FC0CE0"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A157A0" w:rsidRDefault="00670E69" w:rsidP="00777D0C">
            <w:pPr>
              <w:spacing w:after="0" w:line="240" w:lineRule="auto"/>
              <w:rPr>
                <w:i/>
              </w:rPr>
            </w:pPr>
            <w:r w:rsidRPr="00A157A0">
              <w:rPr>
                <w:i/>
              </w:rPr>
              <w:t>Retinopathy</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FC0CE0" w:rsidRDefault="00670E69" w:rsidP="00777D0C">
            <w:pPr>
              <w:spacing w:after="0" w:line="240" w:lineRule="auto"/>
              <w:jc w:val="center"/>
            </w:pP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FC0CE0" w:rsidRDefault="00670E69" w:rsidP="00777D0C">
            <w:pPr>
              <w:spacing w:after="0" w:line="240" w:lineRule="auto"/>
              <w:jc w:val="center"/>
            </w:pP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FC0CE0" w:rsidRDefault="00670E69" w:rsidP="00777D0C">
            <w:pPr>
              <w:spacing w:after="0" w:line="240" w:lineRule="auto"/>
              <w:jc w:val="center"/>
            </w:pP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tcPr>
          <w:p w:rsidR="00670E69" w:rsidRPr="00FC0CE0" w:rsidRDefault="00670E69" w:rsidP="00777D0C">
            <w:pPr>
              <w:spacing w:after="0" w:line="240" w:lineRule="auto"/>
              <w:jc w:val="center"/>
            </w:pP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tcPr>
          <w:p w:rsidR="00670E69" w:rsidRPr="00FC0CE0" w:rsidRDefault="00670E69" w:rsidP="00777D0C">
            <w:pPr>
              <w:spacing w:after="0" w:line="240" w:lineRule="auto"/>
              <w:jc w:val="center"/>
            </w:pP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tcPr>
          <w:p w:rsidR="00670E69" w:rsidRPr="00FC0CE0" w:rsidRDefault="00670E69" w:rsidP="00777D0C">
            <w:pPr>
              <w:spacing w:after="0" w:line="240" w:lineRule="auto"/>
              <w:jc w:val="center"/>
            </w:pPr>
          </w:p>
        </w:tc>
      </w:tr>
      <w:tr w:rsidR="00670E69" w:rsidRPr="00294094"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225" w:type="dxa"/>
              <w:bottom w:w="0" w:type="dxa"/>
              <w:right w:w="15" w:type="dxa"/>
            </w:tcMar>
            <w:vAlign w:val="center"/>
            <w:hideMark/>
          </w:tcPr>
          <w:p w:rsidR="00670E69" w:rsidRPr="00294094" w:rsidRDefault="00670E69" w:rsidP="00777D0C">
            <w:pPr>
              <w:spacing w:after="0" w:line="240" w:lineRule="auto"/>
            </w:pPr>
            <w:r w:rsidRPr="00294094">
              <w:t>Background diabetic retinopathy</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28.0</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28.4</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1.70</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27.8</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28.1</w:t>
            </w: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1.10</w:t>
            </w:r>
          </w:p>
        </w:tc>
      </w:tr>
      <w:tr w:rsidR="00670E69" w:rsidRPr="00294094"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225" w:type="dxa"/>
              <w:bottom w:w="0" w:type="dxa"/>
              <w:right w:w="15" w:type="dxa"/>
            </w:tcMar>
            <w:vAlign w:val="center"/>
            <w:hideMark/>
          </w:tcPr>
          <w:p w:rsidR="00670E69" w:rsidRPr="00294094" w:rsidRDefault="00670E69" w:rsidP="00777D0C">
            <w:pPr>
              <w:spacing w:after="0" w:line="240" w:lineRule="auto"/>
            </w:pPr>
            <w:r w:rsidRPr="00294094">
              <w:t>PDR</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1.4</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1.4</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1.60</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1.4</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1.4</w:t>
            </w: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0.80</w:t>
            </w:r>
          </w:p>
        </w:tc>
      </w:tr>
      <w:tr w:rsidR="00670E69" w:rsidRPr="00294094"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225" w:type="dxa"/>
              <w:bottom w:w="0" w:type="dxa"/>
              <w:right w:w="15" w:type="dxa"/>
            </w:tcMar>
            <w:vAlign w:val="center"/>
            <w:hideMark/>
          </w:tcPr>
          <w:p w:rsidR="00670E69" w:rsidRPr="00294094" w:rsidRDefault="00670E69" w:rsidP="00777D0C">
            <w:pPr>
              <w:spacing w:after="0" w:line="240" w:lineRule="auto"/>
            </w:pPr>
            <w:r w:rsidRPr="00294094">
              <w:t>ME</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15.3</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15.7</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2.50</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15.2</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15.4</w:t>
            </w: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1.60</w:t>
            </w:r>
          </w:p>
        </w:tc>
      </w:tr>
      <w:tr w:rsidR="00670E69" w:rsidRPr="00294094"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225" w:type="dxa"/>
              <w:bottom w:w="0" w:type="dxa"/>
              <w:right w:w="15" w:type="dxa"/>
            </w:tcMar>
            <w:vAlign w:val="center"/>
            <w:hideMark/>
          </w:tcPr>
          <w:p w:rsidR="00670E69" w:rsidRPr="00294094" w:rsidRDefault="00670E69" w:rsidP="00777D0C">
            <w:pPr>
              <w:spacing w:after="0" w:line="240" w:lineRule="auto"/>
            </w:pPr>
            <w:r w:rsidRPr="00294094">
              <w:t>PDR &amp; ME</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1.6</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1.6</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2.80</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1.6</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1.6</w:t>
            </w: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1.70</w:t>
            </w:r>
          </w:p>
        </w:tc>
      </w:tr>
      <w:tr w:rsidR="00670E69" w:rsidRPr="00294094"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225" w:type="dxa"/>
              <w:bottom w:w="0" w:type="dxa"/>
              <w:right w:w="15" w:type="dxa"/>
            </w:tcMar>
            <w:vAlign w:val="center"/>
            <w:hideMark/>
          </w:tcPr>
          <w:p w:rsidR="00670E69" w:rsidRPr="00294094" w:rsidRDefault="00670E69" w:rsidP="00777D0C">
            <w:pPr>
              <w:spacing w:after="0" w:line="240" w:lineRule="auto"/>
            </w:pPr>
            <w:r w:rsidRPr="00294094">
              <w:t>Severe visual loss</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4.9</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5.1</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3.30</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4.9</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rPr>
                <w:rFonts w:eastAsia="Times New Roman"/>
              </w:rPr>
            </w:pPr>
            <w:r w:rsidRPr="00294094">
              <w:t>5.0</w:t>
            </w: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2.10</w:t>
            </w:r>
          </w:p>
        </w:tc>
      </w:tr>
      <w:tr w:rsidR="00670E69" w:rsidRPr="00A157A0"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A157A0" w:rsidRDefault="00670E69" w:rsidP="00777D0C">
            <w:pPr>
              <w:spacing w:after="0" w:line="240" w:lineRule="auto"/>
              <w:rPr>
                <w:i/>
              </w:rPr>
            </w:pPr>
            <w:r w:rsidRPr="00A157A0">
              <w:rPr>
                <w:i/>
              </w:rPr>
              <w:t>Neuropathy</w:t>
            </w:r>
          </w:p>
        </w:tc>
        <w:tc>
          <w:tcPr>
            <w:tcW w:w="1441" w:type="dxa"/>
            <w:tcBorders>
              <w:top w:val="single" w:sz="8" w:space="0" w:color="AEA79F"/>
              <w:left w:val="nil"/>
              <w:bottom w:val="single" w:sz="8" w:space="0" w:color="AEA79F"/>
              <w:right w:val="dashed" w:sz="4" w:space="0" w:color="AEAAAA" w:themeColor="background2" w:themeShade="BF"/>
            </w:tcBorders>
            <w:shd w:val="clear" w:color="auto" w:fill="auto"/>
            <w:vAlign w:val="center"/>
          </w:tcPr>
          <w:p w:rsidR="00670E69" w:rsidRPr="00A157A0" w:rsidRDefault="00670E69" w:rsidP="00777D0C">
            <w:pPr>
              <w:spacing w:after="0" w:line="240" w:lineRule="auto"/>
              <w:jc w:val="center"/>
              <w:rPr>
                <w:i/>
              </w:rPr>
            </w:pPr>
          </w:p>
        </w:tc>
        <w:tc>
          <w:tcPr>
            <w:tcW w:w="1441" w:type="dxa"/>
            <w:tcBorders>
              <w:top w:val="single" w:sz="8" w:space="0" w:color="AEA79F"/>
              <w:left w:val="nil"/>
              <w:bottom w:val="single" w:sz="8" w:space="0" w:color="AEA79F"/>
              <w:right w:val="dashed" w:sz="4" w:space="0" w:color="AEAAAA" w:themeColor="background2" w:themeShade="BF"/>
            </w:tcBorders>
            <w:shd w:val="clear" w:color="auto" w:fill="auto"/>
            <w:vAlign w:val="center"/>
          </w:tcPr>
          <w:p w:rsidR="00670E69" w:rsidRPr="00A157A0" w:rsidRDefault="00670E69" w:rsidP="00777D0C">
            <w:pPr>
              <w:spacing w:after="0" w:line="240" w:lineRule="auto"/>
              <w:jc w:val="center"/>
              <w:rPr>
                <w:i/>
              </w:rPr>
            </w:pPr>
          </w:p>
        </w:tc>
        <w:tc>
          <w:tcPr>
            <w:tcW w:w="1441" w:type="dxa"/>
            <w:tcBorders>
              <w:top w:val="single" w:sz="8" w:space="0" w:color="AEA79F"/>
              <w:left w:val="nil"/>
              <w:bottom w:val="single" w:sz="8" w:space="0" w:color="AEA79F"/>
              <w:right w:val="dashed" w:sz="4" w:space="0" w:color="AEAAAA" w:themeColor="background2" w:themeShade="BF"/>
            </w:tcBorders>
            <w:shd w:val="clear" w:color="auto" w:fill="auto"/>
            <w:vAlign w:val="center"/>
          </w:tcPr>
          <w:p w:rsidR="00670E69" w:rsidRPr="00A157A0" w:rsidRDefault="00670E69" w:rsidP="00777D0C">
            <w:pPr>
              <w:spacing w:after="0" w:line="240" w:lineRule="auto"/>
              <w:jc w:val="center"/>
              <w:rPr>
                <w:i/>
              </w:rPr>
            </w:pPr>
          </w:p>
        </w:tc>
        <w:tc>
          <w:tcPr>
            <w:tcW w:w="1441" w:type="dxa"/>
            <w:tcBorders>
              <w:top w:val="single" w:sz="8" w:space="0" w:color="AEA79F"/>
              <w:left w:val="nil"/>
              <w:bottom w:val="single" w:sz="8" w:space="0" w:color="AEA79F"/>
              <w:right w:val="dashed" w:sz="4" w:space="0" w:color="AEAAAA" w:themeColor="background2" w:themeShade="BF"/>
            </w:tcBorders>
            <w:shd w:val="clear" w:color="auto" w:fill="auto"/>
            <w:vAlign w:val="center"/>
          </w:tcPr>
          <w:p w:rsidR="00670E69" w:rsidRPr="00A157A0" w:rsidRDefault="00670E69" w:rsidP="00777D0C">
            <w:pPr>
              <w:spacing w:after="0" w:line="240" w:lineRule="auto"/>
              <w:jc w:val="center"/>
              <w:rPr>
                <w:i/>
              </w:rPr>
            </w:pPr>
          </w:p>
        </w:tc>
        <w:tc>
          <w:tcPr>
            <w:tcW w:w="1441" w:type="dxa"/>
            <w:tcBorders>
              <w:top w:val="single" w:sz="8" w:space="0" w:color="AEA79F"/>
              <w:left w:val="nil"/>
              <w:bottom w:val="single" w:sz="8" w:space="0" w:color="AEA79F"/>
              <w:right w:val="dashed" w:sz="4" w:space="0" w:color="AEAAAA" w:themeColor="background2" w:themeShade="BF"/>
            </w:tcBorders>
            <w:shd w:val="clear" w:color="auto" w:fill="auto"/>
            <w:vAlign w:val="center"/>
          </w:tcPr>
          <w:p w:rsidR="00670E69" w:rsidRPr="00A157A0" w:rsidRDefault="00670E69" w:rsidP="00777D0C">
            <w:pPr>
              <w:spacing w:after="0" w:line="240" w:lineRule="auto"/>
              <w:jc w:val="center"/>
              <w:rPr>
                <w:i/>
              </w:rPr>
            </w:pPr>
          </w:p>
        </w:tc>
        <w:tc>
          <w:tcPr>
            <w:tcW w:w="1442" w:type="dxa"/>
            <w:tcBorders>
              <w:top w:val="single" w:sz="8" w:space="0" w:color="AEA79F"/>
              <w:left w:val="nil"/>
              <w:bottom w:val="single" w:sz="8" w:space="0" w:color="AEA79F"/>
              <w:right w:val="dashed" w:sz="4" w:space="0" w:color="AEAAAA" w:themeColor="background2" w:themeShade="BF"/>
            </w:tcBorders>
            <w:shd w:val="clear" w:color="auto" w:fill="auto"/>
            <w:vAlign w:val="center"/>
          </w:tcPr>
          <w:p w:rsidR="00670E69" w:rsidRPr="00A157A0" w:rsidRDefault="00670E69" w:rsidP="00777D0C">
            <w:pPr>
              <w:spacing w:after="0" w:line="240" w:lineRule="auto"/>
              <w:jc w:val="center"/>
              <w:rPr>
                <w:i/>
              </w:rPr>
            </w:pPr>
          </w:p>
        </w:tc>
      </w:tr>
      <w:tr w:rsidR="00670E69" w:rsidRPr="00294094"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225" w:type="dxa"/>
              <w:bottom w:w="0" w:type="dxa"/>
              <w:right w:w="15" w:type="dxa"/>
            </w:tcMar>
            <w:vAlign w:val="center"/>
            <w:hideMark/>
          </w:tcPr>
          <w:p w:rsidR="00670E69" w:rsidRPr="00294094" w:rsidRDefault="00670E69" w:rsidP="00777D0C">
            <w:pPr>
              <w:spacing w:after="0" w:line="240" w:lineRule="auto"/>
            </w:pPr>
            <w:r w:rsidRPr="00294094">
              <w:t>Symptomatic</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17.1</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17.3</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1.10</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17.0</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17.2</w:t>
            </w: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0.90</w:t>
            </w:r>
          </w:p>
        </w:tc>
      </w:tr>
      <w:tr w:rsidR="00670E69" w:rsidRPr="00294094"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225" w:type="dxa"/>
              <w:bottom w:w="0" w:type="dxa"/>
              <w:right w:w="15" w:type="dxa"/>
            </w:tcMar>
            <w:vAlign w:val="center"/>
            <w:hideMark/>
          </w:tcPr>
          <w:p w:rsidR="00670E69" w:rsidRPr="00294094" w:rsidRDefault="00670E69" w:rsidP="00777D0C">
            <w:pPr>
              <w:spacing w:after="0" w:line="240" w:lineRule="auto"/>
            </w:pPr>
            <w:r w:rsidRPr="00294094">
              <w:t>Peripheral vascular disease</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30.3</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30.2</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rPr>
                <w:rFonts w:eastAsia="Times New Roman"/>
                <w:kern w:val="24"/>
              </w:rPr>
              <w:t>–</w:t>
            </w:r>
            <w:r w:rsidRPr="00294094">
              <w:t>0.30</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30.4</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30.2</w:t>
            </w: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–0.40</w:t>
            </w:r>
          </w:p>
        </w:tc>
      </w:tr>
      <w:tr w:rsidR="00670E69" w:rsidRPr="00294094"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225" w:type="dxa"/>
              <w:bottom w:w="0" w:type="dxa"/>
              <w:right w:w="15" w:type="dxa"/>
            </w:tcMar>
            <w:vAlign w:val="center"/>
            <w:hideMark/>
          </w:tcPr>
          <w:p w:rsidR="00670E69" w:rsidRPr="00294094" w:rsidRDefault="00670E69" w:rsidP="00777D0C">
            <w:pPr>
              <w:spacing w:after="0" w:line="240" w:lineRule="auto"/>
            </w:pPr>
            <w:r w:rsidRPr="00294094">
              <w:t>LEA</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20.0</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20.1</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0.60</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19.9</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20.0</w:t>
            </w: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0.30</w:t>
            </w:r>
          </w:p>
        </w:tc>
      </w:tr>
      <w:tr w:rsidR="00670E69" w:rsidRPr="00A157A0"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A157A0" w:rsidRDefault="00670E69" w:rsidP="00777D0C">
            <w:pPr>
              <w:spacing w:after="0" w:line="240" w:lineRule="auto"/>
              <w:rPr>
                <w:i/>
              </w:rPr>
            </w:pPr>
            <w:r w:rsidRPr="00A157A0">
              <w:rPr>
                <w:i/>
              </w:rPr>
              <w:t>Nephropathy</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A157A0" w:rsidRDefault="00670E69" w:rsidP="00777D0C">
            <w:pPr>
              <w:spacing w:after="0" w:line="240" w:lineRule="auto"/>
              <w:jc w:val="center"/>
              <w:rPr>
                <w:i/>
              </w:rPr>
            </w:pP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A157A0" w:rsidRDefault="00670E69" w:rsidP="00777D0C">
            <w:pPr>
              <w:spacing w:after="0" w:line="240" w:lineRule="auto"/>
              <w:jc w:val="center"/>
              <w:rPr>
                <w:i/>
              </w:rPr>
            </w:pP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A157A0" w:rsidRDefault="00670E69" w:rsidP="00777D0C">
            <w:pPr>
              <w:spacing w:after="0" w:line="240" w:lineRule="auto"/>
              <w:jc w:val="center"/>
              <w:rPr>
                <w:i/>
              </w:rPr>
            </w:pP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A157A0" w:rsidRDefault="00670E69" w:rsidP="00777D0C">
            <w:pPr>
              <w:spacing w:after="0" w:line="240" w:lineRule="auto"/>
              <w:jc w:val="center"/>
              <w:rPr>
                <w:i/>
              </w:rPr>
            </w:pP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A157A0" w:rsidRDefault="00670E69" w:rsidP="00777D0C">
            <w:pPr>
              <w:spacing w:after="0" w:line="240" w:lineRule="auto"/>
              <w:jc w:val="center"/>
              <w:rPr>
                <w:i/>
              </w:rPr>
            </w:pP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hideMark/>
          </w:tcPr>
          <w:p w:rsidR="00670E69" w:rsidRPr="00A157A0" w:rsidRDefault="00670E69" w:rsidP="00777D0C">
            <w:pPr>
              <w:spacing w:after="0" w:line="240" w:lineRule="auto"/>
              <w:jc w:val="center"/>
              <w:rPr>
                <w:i/>
              </w:rPr>
            </w:pPr>
          </w:p>
        </w:tc>
      </w:tr>
      <w:tr w:rsidR="00670E69" w:rsidRPr="00294094"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225" w:type="dxa"/>
              <w:bottom w:w="0" w:type="dxa"/>
              <w:right w:w="15" w:type="dxa"/>
            </w:tcMar>
            <w:vAlign w:val="center"/>
            <w:hideMark/>
          </w:tcPr>
          <w:p w:rsidR="00670E69" w:rsidRPr="00294094" w:rsidRDefault="00670E69" w:rsidP="00777D0C">
            <w:pPr>
              <w:spacing w:after="0" w:line="240" w:lineRule="auto"/>
            </w:pPr>
            <w:r w:rsidRPr="00294094">
              <w:t>Microalbuminuria</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38.3</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38.8</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1.20</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38.1</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38.5</w:t>
            </w: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1.00</w:t>
            </w:r>
          </w:p>
        </w:tc>
      </w:tr>
      <w:tr w:rsidR="00670E69" w:rsidRPr="00294094"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225" w:type="dxa"/>
              <w:bottom w:w="0" w:type="dxa"/>
              <w:right w:w="15" w:type="dxa"/>
            </w:tcMar>
            <w:vAlign w:val="center"/>
            <w:hideMark/>
          </w:tcPr>
          <w:p w:rsidR="00670E69" w:rsidRPr="00294094" w:rsidRDefault="00670E69" w:rsidP="00777D0C">
            <w:pPr>
              <w:spacing w:after="0" w:line="240" w:lineRule="auto"/>
            </w:pPr>
            <w:proofErr w:type="spellStart"/>
            <w:r w:rsidRPr="00294094">
              <w:t>Macroalbuminuria</w:t>
            </w:r>
            <w:proofErr w:type="spellEnd"/>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12.2</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12.4</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2.00</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12.0</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12.2</w:t>
            </w: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1.60</w:t>
            </w:r>
          </w:p>
        </w:tc>
      </w:tr>
      <w:tr w:rsidR="00670E69" w:rsidRPr="00294094"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225" w:type="dxa"/>
              <w:bottom w:w="0" w:type="dxa"/>
              <w:right w:w="15" w:type="dxa"/>
            </w:tcMar>
            <w:vAlign w:val="center"/>
            <w:hideMark/>
          </w:tcPr>
          <w:p w:rsidR="00670E69" w:rsidRPr="00294094" w:rsidRDefault="00670E69" w:rsidP="00777D0C">
            <w:pPr>
              <w:spacing w:after="0" w:line="240" w:lineRule="auto"/>
            </w:pPr>
            <w:r w:rsidRPr="00294094">
              <w:t>End-stage renal disease</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5.5</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5.6</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2.50</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5.4</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5.5</w:t>
            </w: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1.90</w:t>
            </w:r>
          </w:p>
        </w:tc>
      </w:tr>
      <w:tr w:rsidR="00670E69" w:rsidRPr="00A157A0"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A157A0" w:rsidRDefault="00670E69" w:rsidP="00777D0C">
            <w:pPr>
              <w:spacing w:after="0" w:line="240" w:lineRule="auto"/>
              <w:rPr>
                <w:b/>
              </w:rPr>
            </w:pPr>
            <w:proofErr w:type="spellStart"/>
            <w:r w:rsidRPr="00A157A0">
              <w:rPr>
                <w:b/>
              </w:rPr>
              <w:t>Macrovascular</w:t>
            </w:r>
            <w:proofErr w:type="spellEnd"/>
            <w:r w:rsidRPr="00A157A0">
              <w:rPr>
                <w:b/>
              </w:rPr>
              <w:t xml:space="preserve"> complications, %</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A157A0" w:rsidRDefault="00670E69" w:rsidP="00777D0C">
            <w:pPr>
              <w:spacing w:after="0" w:line="240" w:lineRule="auto"/>
              <w:jc w:val="center"/>
              <w:rPr>
                <w:b/>
              </w:rPr>
            </w:pP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A157A0" w:rsidRDefault="00670E69" w:rsidP="00777D0C">
            <w:pPr>
              <w:spacing w:after="0" w:line="240" w:lineRule="auto"/>
              <w:jc w:val="center"/>
              <w:rPr>
                <w:b/>
              </w:rPr>
            </w:pP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A157A0" w:rsidRDefault="00670E69" w:rsidP="00777D0C">
            <w:pPr>
              <w:spacing w:after="0" w:line="240" w:lineRule="auto"/>
              <w:jc w:val="center"/>
              <w:rPr>
                <w:b/>
              </w:rPr>
            </w:pP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A157A0" w:rsidRDefault="00670E69" w:rsidP="00777D0C">
            <w:pPr>
              <w:spacing w:after="0" w:line="240" w:lineRule="auto"/>
              <w:jc w:val="center"/>
              <w:rPr>
                <w:b/>
              </w:rPr>
            </w:pP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A157A0" w:rsidRDefault="00670E69" w:rsidP="00777D0C">
            <w:pPr>
              <w:spacing w:after="0" w:line="240" w:lineRule="auto"/>
              <w:jc w:val="center"/>
              <w:rPr>
                <w:b/>
              </w:rPr>
            </w:pP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hideMark/>
          </w:tcPr>
          <w:p w:rsidR="00670E69" w:rsidRPr="00A157A0" w:rsidRDefault="00670E69" w:rsidP="00777D0C">
            <w:pPr>
              <w:spacing w:after="0" w:line="240" w:lineRule="auto"/>
              <w:jc w:val="center"/>
              <w:rPr>
                <w:b/>
              </w:rPr>
            </w:pPr>
          </w:p>
        </w:tc>
      </w:tr>
      <w:tr w:rsidR="00670E69" w:rsidRPr="00294094"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pPr>
            <w:r w:rsidRPr="00294094">
              <w:t>IHD</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28.4</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28.1</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rPr>
                <w:rFonts w:eastAsia="Times New Roman"/>
                <w:kern w:val="24"/>
              </w:rPr>
              <w:t>–</w:t>
            </w:r>
            <w:r w:rsidRPr="00294094">
              <w:t>1.1</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28.2</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28.4</w:t>
            </w: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0.80</w:t>
            </w:r>
          </w:p>
        </w:tc>
      </w:tr>
      <w:tr w:rsidR="00670E69" w:rsidRPr="00294094"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tcPr>
          <w:p w:rsidR="00670E69" w:rsidRPr="00294094" w:rsidRDefault="00670E69" w:rsidP="00777D0C">
            <w:pPr>
              <w:spacing w:after="0" w:line="240" w:lineRule="auto"/>
            </w:pPr>
            <w:r w:rsidRPr="007E4C68">
              <w:t>First MI</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pPr>
            <w:r w:rsidRPr="00294094">
              <w:t>25.0</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pPr>
            <w:r w:rsidRPr="00294094">
              <w:t>24.8</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rPr>
                <w:rFonts w:eastAsia="Times New Roman"/>
                <w:kern w:val="24"/>
              </w:rPr>
              <w:t>–</w:t>
            </w:r>
            <w:r w:rsidRPr="00294094">
              <w:t>0.5</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tcPr>
          <w:p w:rsidR="00670E69" w:rsidRPr="00294094" w:rsidRDefault="00670E69" w:rsidP="00777D0C">
            <w:pPr>
              <w:spacing w:after="0" w:line="240" w:lineRule="auto"/>
              <w:jc w:val="center"/>
            </w:pPr>
            <w:r w:rsidRPr="00294094">
              <w:t>24.7</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tcPr>
          <w:p w:rsidR="00670E69" w:rsidRPr="00294094" w:rsidRDefault="00670E69" w:rsidP="00777D0C">
            <w:pPr>
              <w:spacing w:after="0" w:line="240" w:lineRule="auto"/>
              <w:jc w:val="center"/>
            </w:pPr>
            <w:r w:rsidRPr="00294094">
              <w:t>25.0</w:t>
            </w: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tcPr>
          <w:p w:rsidR="00670E69" w:rsidRPr="00294094" w:rsidRDefault="00670E69" w:rsidP="00777D0C">
            <w:pPr>
              <w:spacing w:after="0" w:line="240" w:lineRule="auto"/>
              <w:jc w:val="center"/>
            </w:pPr>
            <w:r w:rsidRPr="00294094">
              <w:t>1.20</w:t>
            </w:r>
          </w:p>
        </w:tc>
      </w:tr>
      <w:tr w:rsidR="00670E69" w:rsidRPr="00294094"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tcPr>
          <w:p w:rsidR="00670E69" w:rsidRPr="00294094" w:rsidRDefault="00670E69" w:rsidP="00777D0C">
            <w:pPr>
              <w:spacing w:after="0" w:line="240" w:lineRule="auto"/>
            </w:pPr>
            <w:r w:rsidRPr="00294094">
              <w:t>Second or subsequent MI</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pPr>
            <w:r w:rsidRPr="00294094">
              <w:t>3.5</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pPr>
            <w:r w:rsidRPr="00294094">
              <w:t>3.5</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rPr>
                <w:rFonts w:eastAsia="Times New Roman"/>
                <w:kern w:val="24"/>
              </w:rPr>
              <w:t>–</w:t>
            </w:r>
            <w:r w:rsidRPr="00294094">
              <w:t>0.3</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tcPr>
          <w:p w:rsidR="00670E69" w:rsidRPr="00294094" w:rsidRDefault="00670E69" w:rsidP="00777D0C">
            <w:pPr>
              <w:spacing w:after="0" w:line="240" w:lineRule="auto"/>
              <w:jc w:val="center"/>
            </w:pPr>
            <w:r w:rsidRPr="00294094">
              <w:t>5.4</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tcPr>
          <w:p w:rsidR="00670E69" w:rsidRPr="00294094" w:rsidRDefault="00670E69" w:rsidP="00777D0C">
            <w:pPr>
              <w:spacing w:after="0" w:line="240" w:lineRule="auto"/>
              <w:jc w:val="center"/>
            </w:pPr>
            <w:r w:rsidRPr="00294094">
              <w:t>5.5</w:t>
            </w: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tcPr>
          <w:p w:rsidR="00670E69" w:rsidRPr="00294094" w:rsidRDefault="00670E69" w:rsidP="00777D0C">
            <w:pPr>
              <w:spacing w:after="0" w:line="240" w:lineRule="auto"/>
              <w:jc w:val="center"/>
            </w:pPr>
            <w:r w:rsidRPr="00294094">
              <w:t>1.70</w:t>
            </w:r>
          </w:p>
        </w:tc>
      </w:tr>
      <w:tr w:rsidR="00670E69" w:rsidRPr="00294094"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tcPr>
          <w:p w:rsidR="00670E69" w:rsidRPr="00294094" w:rsidRDefault="00670E69" w:rsidP="00777D0C">
            <w:pPr>
              <w:spacing w:after="0" w:line="240" w:lineRule="auto"/>
            </w:pPr>
            <w:r w:rsidRPr="00294094">
              <w:t>First stroke</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pPr>
            <w:r w:rsidRPr="00294094">
              <w:t>11.7</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pPr>
            <w:r w:rsidRPr="00294094">
              <w:t>11.7</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0.5</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tcPr>
          <w:p w:rsidR="00670E69" w:rsidRPr="00294094" w:rsidRDefault="00670E69" w:rsidP="00777D0C">
            <w:pPr>
              <w:spacing w:after="0" w:line="240" w:lineRule="auto"/>
              <w:jc w:val="center"/>
            </w:pPr>
            <w:r w:rsidRPr="00294094">
              <w:t>11.4</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tcPr>
          <w:p w:rsidR="00670E69" w:rsidRPr="00294094" w:rsidRDefault="00670E69" w:rsidP="00777D0C">
            <w:pPr>
              <w:spacing w:after="0" w:line="240" w:lineRule="auto"/>
              <w:jc w:val="center"/>
            </w:pPr>
            <w:r w:rsidRPr="00294094">
              <w:t>11.8</w:t>
            </w: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tcPr>
          <w:p w:rsidR="00670E69" w:rsidRPr="00294094" w:rsidRDefault="00670E69" w:rsidP="00777D0C">
            <w:pPr>
              <w:spacing w:after="0" w:line="240" w:lineRule="auto"/>
              <w:jc w:val="center"/>
            </w:pPr>
            <w:r w:rsidRPr="00294094">
              <w:t>3.10</w:t>
            </w:r>
          </w:p>
        </w:tc>
      </w:tr>
      <w:tr w:rsidR="00670E69" w:rsidRPr="00294094" w:rsidTr="00777D0C">
        <w:tc>
          <w:tcPr>
            <w:tcW w:w="4253" w:type="dxa"/>
            <w:tcBorders>
              <w:top w:val="single" w:sz="8" w:space="0" w:color="AEA79F"/>
              <w:left w:val="nil"/>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tcPr>
          <w:p w:rsidR="00670E69" w:rsidRPr="00294094" w:rsidRDefault="00670E69" w:rsidP="00777D0C">
            <w:pPr>
              <w:spacing w:after="0" w:line="240" w:lineRule="auto"/>
            </w:pPr>
            <w:r w:rsidRPr="00294094">
              <w:t>Second or subsequent stroke</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pPr>
            <w:r w:rsidRPr="00294094">
              <w:t>3.5</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pPr>
            <w:r w:rsidRPr="00294094">
              <w:t>3.5</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0.5</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tcPr>
          <w:p w:rsidR="00670E69" w:rsidRPr="00294094" w:rsidRDefault="00670E69" w:rsidP="00777D0C">
            <w:pPr>
              <w:spacing w:after="0" w:line="240" w:lineRule="auto"/>
              <w:jc w:val="center"/>
            </w:pPr>
            <w:r w:rsidRPr="00294094">
              <w:t>3.4</w:t>
            </w:r>
          </w:p>
        </w:tc>
        <w:tc>
          <w:tcPr>
            <w:tcW w:w="1441" w:type="dxa"/>
            <w:tcBorders>
              <w:top w:val="single" w:sz="8" w:space="0" w:color="AEA79F"/>
              <w:left w:val="dashed" w:sz="4" w:space="0" w:color="AEAAAA" w:themeColor="background2" w:themeShade="BF"/>
              <w:bottom w:val="single" w:sz="8" w:space="0" w:color="AEA79F"/>
              <w:right w:val="dashed" w:sz="4" w:space="0" w:color="AEAAAA" w:themeColor="background2" w:themeShade="BF"/>
            </w:tcBorders>
            <w:shd w:val="clear" w:color="auto" w:fill="auto"/>
            <w:tcMar>
              <w:top w:w="15" w:type="dxa"/>
              <w:left w:w="15" w:type="dxa"/>
              <w:bottom w:w="0" w:type="dxa"/>
              <w:right w:w="15" w:type="dxa"/>
            </w:tcMar>
            <w:vAlign w:val="center"/>
          </w:tcPr>
          <w:p w:rsidR="00670E69" w:rsidRPr="00294094" w:rsidRDefault="00670E69" w:rsidP="00777D0C">
            <w:pPr>
              <w:spacing w:after="0" w:line="240" w:lineRule="auto"/>
              <w:jc w:val="center"/>
            </w:pPr>
            <w:r w:rsidRPr="00294094">
              <w:t>3.5</w:t>
            </w:r>
          </w:p>
        </w:tc>
        <w:tc>
          <w:tcPr>
            <w:tcW w:w="1442" w:type="dxa"/>
            <w:tcBorders>
              <w:top w:val="single" w:sz="8" w:space="0" w:color="AEA79F"/>
              <w:left w:val="dashed" w:sz="4" w:space="0" w:color="AEAAAA" w:themeColor="background2" w:themeShade="BF"/>
              <w:bottom w:val="single" w:sz="8" w:space="0" w:color="AEA79F"/>
              <w:right w:val="nil"/>
            </w:tcBorders>
            <w:shd w:val="clear" w:color="auto" w:fill="auto"/>
            <w:tcMar>
              <w:top w:w="15" w:type="dxa"/>
              <w:left w:w="15" w:type="dxa"/>
              <w:bottom w:w="0" w:type="dxa"/>
              <w:right w:w="15" w:type="dxa"/>
            </w:tcMar>
            <w:vAlign w:val="center"/>
          </w:tcPr>
          <w:p w:rsidR="00670E69" w:rsidRPr="00294094" w:rsidRDefault="00670E69" w:rsidP="00777D0C">
            <w:pPr>
              <w:spacing w:after="0" w:line="240" w:lineRule="auto"/>
              <w:jc w:val="center"/>
            </w:pPr>
            <w:r w:rsidRPr="00294094">
              <w:t>2.70</w:t>
            </w:r>
          </w:p>
        </w:tc>
      </w:tr>
      <w:tr w:rsidR="00670E69" w:rsidRPr="00294094" w:rsidTr="00777D0C">
        <w:tc>
          <w:tcPr>
            <w:tcW w:w="4253" w:type="dxa"/>
            <w:tcBorders>
              <w:top w:val="single" w:sz="8" w:space="0" w:color="AEA79F"/>
              <w:left w:val="nil"/>
              <w:bottom w:val="single" w:sz="12" w:space="0" w:color="002060"/>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pPr>
            <w:r w:rsidRPr="00294094">
              <w:t>Congestive heart failure</w:t>
            </w:r>
          </w:p>
        </w:tc>
        <w:tc>
          <w:tcPr>
            <w:tcW w:w="1441" w:type="dxa"/>
            <w:tcBorders>
              <w:top w:val="single" w:sz="8" w:space="0" w:color="AEA79F"/>
              <w:left w:val="dashed" w:sz="4" w:space="0" w:color="AEAAAA" w:themeColor="background2" w:themeShade="BF"/>
              <w:bottom w:val="single" w:sz="12" w:space="0" w:color="002060"/>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13.8</w:t>
            </w:r>
          </w:p>
        </w:tc>
        <w:tc>
          <w:tcPr>
            <w:tcW w:w="1441" w:type="dxa"/>
            <w:tcBorders>
              <w:top w:val="single" w:sz="8" w:space="0" w:color="AEA79F"/>
              <w:left w:val="dashed" w:sz="4" w:space="0" w:color="AEAAAA" w:themeColor="background2" w:themeShade="BF"/>
              <w:bottom w:val="single" w:sz="12" w:space="0" w:color="002060"/>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13.9</w:t>
            </w:r>
          </w:p>
        </w:tc>
        <w:tc>
          <w:tcPr>
            <w:tcW w:w="1441" w:type="dxa"/>
            <w:tcBorders>
              <w:top w:val="single" w:sz="8" w:space="0" w:color="AEA79F"/>
              <w:left w:val="dashed" w:sz="4" w:space="0" w:color="AEAAAA" w:themeColor="background2" w:themeShade="BF"/>
              <w:bottom w:val="single" w:sz="12" w:space="0" w:color="002060"/>
              <w:right w:val="dashed" w:sz="4" w:space="0" w:color="AEAAAA" w:themeColor="background2" w:themeShade="BF"/>
            </w:tcBorders>
            <w:vAlign w:val="center"/>
          </w:tcPr>
          <w:p w:rsidR="00670E69" w:rsidRPr="00294094" w:rsidRDefault="00670E69" w:rsidP="00777D0C">
            <w:pPr>
              <w:spacing w:after="0" w:line="240" w:lineRule="auto"/>
              <w:jc w:val="center"/>
              <w:rPr>
                <w:rFonts w:eastAsia="Times New Roman"/>
                <w:kern w:val="24"/>
              </w:rPr>
            </w:pPr>
            <w:r w:rsidRPr="00294094">
              <w:t>0.3</w:t>
            </w:r>
          </w:p>
        </w:tc>
        <w:tc>
          <w:tcPr>
            <w:tcW w:w="1441" w:type="dxa"/>
            <w:tcBorders>
              <w:top w:val="single" w:sz="8" w:space="0" w:color="AEA79F"/>
              <w:left w:val="dashed" w:sz="4" w:space="0" w:color="AEAAAA" w:themeColor="background2" w:themeShade="BF"/>
              <w:bottom w:val="single" w:sz="12" w:space="0" w:color="002060"/>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13.8</w:t>
            </w:r>
          </w:p>
        </w:tc>
        <w:tc>
          <w:tcPr>
            <w:tcW w:w="1441" w:type="dxa"/>
            <w:tcBorders>
              <w:top w:val="single" w:sz="8" w:space="0" w:color="AEA79F"/>
              <w:left w:val="dashed" w:sz="4" w:space="0" w:color="AEAAAA" w:themeColor="background2" w:themeShade="BF"/>
              <w:bottom w:val="single" w:sz="12" w:space="0" w:color="002060"/>
              <w:right w:val="dashed" w:sz="4" w:space="0" w:color="AEAAAA" w:themeColor="background2" w:themeShade="BF"/>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13.9</w:t>
            </w:r>
          </w:p>
        </w:tc>
        <w:tc>
          <w:tcPr>
            <w:tcW w:w="1442" w:type="dxa"/>
            <w:tcBorders>
              <w:top w:val="single" w:sz="8" w:space="0" w:color="AEA79F"/>
              <w:left w:val="dashed" w:sz="4" w:space="0" w:color="AEAAAA" w:themeColor="background2" w:themeShade="BF"/>
              <w:bottom w:val="single" w:sz="12" w:space="0" w:color="002060"/>
              <w:right w:val="nil"/>
            </w:tcBorders>
            <w:shd w:val="clear" w:color="auto" w:fill="auto"/>
            <w:tcMar>
              <w:top w:w="15" w:type="dxa"/>
              <w:left w:w="15" w:type="dxa"/>
              <w:bottom w:w="0" w:type="dxa"/>
              <w:right w:w="15" w:type="dxa"/>
            </w:tcMar>
            <w:vAlign w:val="center"/>
            <w:hideMark/>
          </w:tcPr>
          <w:p w:rsidR="00670E69" w:rsidRPr="00294094" w:rsidRDefault="00670E69" w:rsidP="00777D0C">
            <w:pPr>
              <w:spacing w:after="0" w:line="240" w:lineRule="auto"/>
              <w:jc w:val="center"/>
            </w:pPr>
            <w:r w:rsidRPr="00294094">
              <w:t>0.50</w:t>
            </w:r>
          </w:p>
        </w:tc>
      </w:tr>
    </w:tbl>
    <w:p w:rsidR="00670E69" w:rsidRPr="00294094" w:rsidRDefault="00670E69" w:rsidP="00777D0C">
      <w:pPr>
        <w:spacing w:line="276" w:lineRule="auto"/>
      </w:pPr>
      <w:r w:rsidRPr="008B61DF">
        <w:rPr>
          <w:sz w:val="22"/>
          <w:szCs w:val="22"/>
        </w:rPr>
        <w:t xml:space="preserve">IHD, </w:t>
      </w:r>
      <w:r w:rsidRPr="008B61DF">
        <w:rPr>
          <w:rFonts w:eastAsia="Times New Roman"/>
          <w:kern w:val="24"/>
          <w:sz w:val="22"/>
          <w:szCs w:val="22"/>
        </w:rPr>
        <w:t>ischemic heart disease;</w:t>
      </w:r>
      <w:r w:rsidRPr="008B61DF">
        <w:rPr>
          <w:sz w:val="22"/>
          <w:szCs w:val="22"/>
        </w:rPr>
        <w:t xml:space="preserve"> LEA, lower-extremity amputation; ME, macular edema; MI, myocardial infarction; PDR, proliferative diabetic retinopathy; RRR, relative risk reduction.</w:t>
      </w:r>
    </w:p>
    <w:p w:rsidR="00670E69" w:rsidRPr="00294094" w:rsidRDefault="00670E69" w:rsidP="00777D0C">
      <w:pPr>
        <w:sectPr w:rsidR="00670E69" w:rsidRPr="00294094" w:rsidSect="00777D0C">
          <w:pgSz w:w="15840" w:h="12240" w:orient="landscape"/>
          <w:pgMar w:top="1440" w:right="1440" w:bottom="1440" w:left="1440" w:header="709" w:footer="709" w:gutter="0"/>
          <w:cols w:space="708"/>
          <w:docGrid w:linePitch="360"/>
        </w:sectPr>
      </w:pPr>
    </w:p>
    <w:p w:rsidR="00670E69" w:rsidRPr="006D0B5C" w:rsidRDefault="00670E69" w:rsidP="00F323D1">
      <w:pPr>
        <w:pStyle w:val="Heading1"/>
        <w:ind w:left="0" w:firstLine="0"/>
      </w:pPr>
      <w:bookmarkStart w:id="53" w:name="_Toc530388349"/>
      <w:bookmarkStart w:id="54" w:name="_Toc2007173"/>
      <w:r>
        <w:t xml:space="preserve">Online Resource 11. </w:t>
      </w:r>
      <w:r w:rsidRPr="006D0B5C">
        <w:t xml:space="preserve">Diabetes Modeling Input Checklist </w:t>
      </w:r>
      <w:r>
        <w:rPr>
          <w:noProof/>
        </w:rPr>
        <w:t>[</w:t>
      </w:r>
      <w:r w:rsidR="000A7C65">
        <w:rPr>
          <w:noProof/>
        </w:rPr>
        <w:t>40</w:t>
      </w:r>
      <w:r>
        <w:rPr>
          <w:noProof/>
        </w:rPr>
        <w:t>]</w:t>
      </w:r>
      <w:bookmarkEnd w:id="53"/>
      <w:bookmarkEnd w:id="54"/>
    </w:p>
    <w:tbl>
      <w:tblPr>
        <w:tblStyle w:val="TableGrid"/>
        <w:tblW w:w="0" w:type="auto"/>
        <w:tblBorders>
          <w:top w:val="single" w:sz="12" w:space="0" w:color="002060"/>
          <w:left w:val="none" w:sz="0" w:space="0" w:color="auto"/>
          <w:right w:val="none" w:sz="0" w:space="0" w:color="auto"/>
        </w:tblBorders>
        <w:tblLook w:val="04A0" w:firstRow="1" w:lastRow="0" w:firstColumn="1" w:lastColumn="0" w:noHBand="0" w:noVBand="1"/>
      </w:tblPr>
      <w:tblGrid>
        <w:gridCol w:w="4475"/>
        <w:gridCol w:w="1243"/>
        <w:gridCol w:w="3642"/>
      </w:tblGrid>
      <w:tr w:rsidR="00670E69" w:rsidRPr="008B61DF" w:rsidTr="00777D0C">
        <w:trPr>
          <w:trHeight w:val="23"/>
        </w:trPr>
        <w:tc>
          <w:tcPr>
            <w:tcW w:w="4536" w:type="dxa"/>
            <w:tcBorders>
              <w:top w:val="single" w:sz="12" w:space="0" w:color="002060"/>
              <w:bottom w:val="single" w:sz="4" w:space="0" w:color="auto"/>
              <w:right w:val="dashed" w:sz="4" w:space="0" w:color="BFBFBF" w:themeColor="background1" w:themeShade="BF"/>
            </w:tcBorders>
          </w:tcPr>
          <w:p w:rsidR="00670E69" w:rsidRPr="008B61DF" w:rsidRDefault="00670E69" w:rsidP="00777D0C">
            <w:pPr>
              <w:spacing w:after="0" w:line="240" w:lineRule="auto"/>
              <w:rPr>
                <w:b/>
              </w:rPr>
            </w:pPr>
            <w:r w:rsidRPr="008B61DF">
              <w:rPr>
                <w:b/>
              </w:rPr>
              <w:t>Model input</w:t>
            </w:r>
          </w:p>
        </w:tc>
        <w:tc>
          <w:tcPr>
            <w:tcW w:w="1134" w:type="dxa"/>
            <w:tcBorders>
              <w:top w:val="single" w:sz="12" w:space="0" w:color="002060"/>
              <w:left w:val="dashed" w:sz="4" w:space="0" w:color="BFBFBF" w:themeColor="background1" w:themeShade="BF"/>
              <w:bottom w:val="single" w:sz="4" w:space="0" w:color="auto"/>
              <w:right w:val="dashed" w:sz="4" w:space="0" w:color="BFBFBF" w:themeColor="background1" w:themeShade="BF"/>
            </w:tcBorders>
          </w:tcPr>
          <w:p w:rsidR="00670E69" w:rsidRPr="008B61DF" w:rsidRDefault="00670E69" w:rsidP="00777D0C">
            <w:pPr>
              <w:spacing w:after="0" w:line="240" w:lineRule="auto"/>
              <w:jc w:val="center"/>
              <w:rPr>
                <w:b/>
              </w:rPr>
            </w:pPr>
            <w:r w:rsidRPr="008B61DF">
              <w:rPr>
                <w:b/>
              </w:rPr>
              <w:t>Checkbox</w:t>
            </w:r>
          </w:p>
        </w:tc>
        <w:tc>
          <w:tcPr>
            <w:tcW w:w="3690" w:type="dxa"/>
            <w:tcBorders>
              <w:top w:val="single" w:sz="12" w:space="0" w:color="002060"/>
              <w:left w:val="dashed" w:sz="4" w:space="0" w:color="BFBFBF" w:themeColor="background1" w:themeShade="BF"/>
              <w:bottom w:val="single" w:sz="4" w:space="0" w:color="auto"/>
            </w:tcBorders>
          </w:tcPr>
          <w:p w:rsidR="00670E69" w:rsidRPr="008B61DF" w:rsidRDefault="00670E69" w:rsidP="00777D0C">
            <w:pPr>
              <w:spacing w:after="0" w:line="240" w:lineRule="auto"/>
              <w:jc w:val="center"/>
              <w:rPr>
                <w:b/>
              </w:rPr>
            </w:pPr>
            <w:r w:rsidRPr="008B61DF">
              <w:rPr>
                <w:b/>
              </w:rPr>
              <w:t>Comments</w:t>
            </w:r>
          </w:p>
        </w:tc>
      </w:tr>
      <w:tr w:rsidR="00670E69" w:rsidRPr="008B61DF" w:rsidTr="00777D0C">
        <w:tc>
          <w:tcPr>
            <w:tcW w:w="4536" w:type="dxa"/>
            <w:tcBorders>
              <w:top w:val="single" w:sz="4" w:space="0" w:color="auto"/>
              <w:bottom w:val="single" w:sz="4" w:space="0" w:color="BFBFBF" w:themeColor="background1" w:themeShade="BF"/>
              <w:right w:val="dashed" w:sz="4" w:space="0" w:color="BFBFBF" w:themeColor="background1" w:themeShade="BF"/>
            </w:tcBorders>
          </w:tcPr>
          <w:p w:rsidR="00670E69" w:rsidRPr="008B61DF" w:rsidRDefault="00670E69" w:rsidP="00777D0C">
            <w:pPr>
              <w:spacing w:after="0" w:line="240" w:lineRule="auto"/>
              <w:rPr>
                <w:b/>
              </w:rPr>
            </w:pPr>
            <w:r w:rsidRPr="008B61DF">
              <w:rPr>
                <w:b/>
              </w:rPr>
              <w:t>Simulation cohort</w:t>
            </w:r>
          </w:p>
        </w:tc>
        <w:tc>
          <w:tcPr>
            <w:tcW w:w="1134" w:type="dxa"/>
            <w:tcBorders>
              <w:top w:val="single" w:sz="4" w:space="0" w:color="auto"/>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8B61DF" w:rsidRDefault="00670E69" w:rsidP="00777D0C">
            <w:pPr>
              <w:spacing w:after="0" w:line="240" w:lineRule="auto"/>
              <w:jc w:val="center"/>
              <w:rPr>
                <w:b/>
              </w:rPr>
            </w:pPr>
          </w:p>
        </w:tc>
        <w:tc>
          <w:tcPr>
            <w:tcW w:w="3690" w:type="dxa"/>
            <w:tcBorders>
              <w:top w:val="single" w:sz="4" w:space="0" w:color="auto"/>
              <w:left w:val="dashed" w:sz="4" w:space="0" w:color="BFBFBF" w:themeColor="background1" w:themeShade="BF"/>
              <w:bottom w:val="single" w:sz="4" w:space="0" w:color="BFBFBF" w:themeColor="background1" w:themeShade="BF"/>
            </w:tcBorders>
          </w:tcPr>
          <w:p w:rsidR="00670E69" w:rsidRPr="008B61DF" w:rsidRDefault="00670E69" w:rsidP="00777D0C">
            <w:pPr>
              <w:spacing w:after="0" w:line="240" w:lineRule="auto"/>
              <w:jc w:val="center"/>
              <w:rPr>
                <w:b/>
              </w:rP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Baseline age</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Ethnicity/race</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BMI/weight</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Duration of diabetes</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Baseline HbA</w:t>
            </w:r>
            <w:r w:rsidRPr="00294094">
              <w:rPr>
                <w:vertAlign w:val="subscript"/>
              </w:rPr>
              <w:t>1c</w:t>
            </w:r>
            <w:r w:rsidRPr="00294094">
              <w:t>, lipids and blood pressure</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Smoking status</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Comorbidities</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Physical activity</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x</w:t>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rsidRPr="00294094">
              <w:t>NA</w:t>
            </w: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Baseline treatment</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x</w:t>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rsidRPr="00294094">
              <w:t>NA: the model simulation starts when the treatment intervention is initiated</w:t>
            </w:r>
          </w:p>
        </w:tc>
      </w:tr>
      <w:tr w:rsidR="00670E69" w:rsidRPr="008B61DF"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8B61DF" w:rsidRDefault="00670E69" w:rsidP="00777D0C">
            <w:pPr>
              <w:spacing w:after="0" w:line="240" w:lineRule="auto"/>
              <w:rPr>
                <w:b/>
              </w:rPr>
            </w:pPr>
            <w:r w:rsidRPr="008B61DF">
              <w:rPr>
                <w:b/>
              </w:rPr>
              <w:t>Treatment intervention</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8B61DF" w:rsidRDefault="00670E69" w:rsidP="00777D0C">
            <w:pPr>
              <w:spacing w:after="0" w:line="240" w:lineRule="auto"/>
              <w:jc w:val="center"/>
              <w:rPr>
                <w:b/>
              </w:rPr>
            </w:pP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8B61DF" w:rsidRDefault="00670E69" w:rsidP="00777D0C">
            <w:pPr>
              <w:spacing w:after="0" w:line="240" w:lineRule="auto"/>
              <w:jc w:val="center"/>
              <w:rPr>
                <w:b/>
              </w:rP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Type of treatment</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Treatment algorithm for HbA</w:t>
            </w:r>
            <w:r w:rsidRPr="00294094">
              <w:rPr>
                <w:vertAlign w:val="subscript"/>
              </w:rPr>
              <w:t>1c</w:t>
            </w:r>
            <w:r w:rsidRPr="00294094">
              <w:t xml:space="preserve"> evolution over time</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Treatment algorithm for other conditions (e.g. hypertension, dyslipidemia, and excess weight)</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x</w:t>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rsidRPr="00294094">
              <w:t>Not included in the analysis in order to minimize further complexity</w:t>
            </w: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Treatment initial effects on baseline biomarkers</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 xml:space="preserve">Rules for treatment intensification (e.g. the </w:t>
            </w:r>
            <w:proofErr w:type="spellStart"/>
            <w:r w:rsidRPr="00294094">
              <w:t>cutoff</w:t>
            </w:r>
            <w:proofErr w:type="spellEnd"/>
            <w:r w:rsidRPr="00294094">
              <w:t xml:space="preserve"> HbA</w:t>
            </w:r>
            <w:r w:rsidRPr="00294094">
              <w:rPr>
                <w:vertAlign w:val="subscript"/>
              </w:rPr>
              <w:t>1c</w:t>
            </w:r>
            <w:r w:rsidRPr="00294094">
              <w:t xml:space="preserve"> level to switch the treatment, the type of new treatment, and whether the rescue treatment is an addition or substitution to the standard treatment)</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Trajectory biomarkers, BMI, smoking, and any factors that are affected by treatment</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rsidRPr="00294094">
              <w:t>NA for smoking as it does not change over time</w:t>
            </w:r>
          </w:p>
        </w:tc>
      </w:tr>
      <w:tr w:rsidR="00670E69" w:rsidRPr="008B61DF"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8B61DF" w:rsidRDefault="00670E69" w:rsidP="00777D0C">
            <w:pPr>
              <w:spacing w:after="0" w:line="240" w:lineRule="auto"/>
              <w:rPr>
                <w:b/>
              </w:rPr>
            </w:pPr>
            <w:r w:rsidRPr="008B61DF">
              <w:rPr>
                <w:b/>
              </w:rPr>
              <w:t>Cost</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8B61DF" w:rsidRDefault="00670E69" w:rsidP="00777D0C">
            <w:pPr>
              <w:spacing w:after="0" w:line="240" w:lineRule="auto"/>
              <w:jc w:val="center"/>
              <w:rPr>
                <w:b/>
              </w:rPr>
            </w:pP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8B61DF" w:rsidRDefault="00670E69" w:rsidP="00777D0C">
            <w:pPr>
              <w:spacing w:after="0" w:line="240" w:lineRule="auto"/>
              <w:jc w:val="center"/>
              <w:rPr>
                <w:b/>
              </w:rP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Differentiated by acute event in first year and subsequent years</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Cost of intervention and other costs (e.g. managing complications, adverse events, and diagnostics)</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Please report unit prices and resource use separately and give information on discount rates applied</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8B61DF"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8B61DF" w:rsidRDefault="00670E69" w:rsidP="00777D0C">
            <w:pPr>
              <w:spacing w:after="0" w:line="240" w:lineRule="auto"/>
              <w:rPr>
                <w:b/>
              </w:rPr>
            </w:pPr>
            <w:r w:rsidRPr="008B61DF">
              <w:rPr>
                <w:b/>
              </w:rPr>
              <w:t>Health state utilities</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8B61DF" w:rsidRDefault="00670E69" w:rsidP="00777D0C">
            <w:pPr>
              <w:spacing w:after="0" w:line="240" w:lineRule="auto"/>
              <w:jc w:val="center"/>
              <w:rPr>
                <w:b/>
              </w:rPr>
            </w:pP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8B61DF" w:rsidRDefault="00670E69" w:rsidP="00777D0C">
            <w:pPr>
              <w:spacing w:after="0" w:line="240" w:lineRule="auto"/>
              <w:jc w:val="center"/>
              <w:rPr>
                <w:b/>
              </w:rP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 xml:space="preserve">Operational mechanics of the assignment of utility values </w:t>
            </w:r>
            <w:r w:rsidRPr="00294094">
              <w:br/>
              <w:t>(i.e. utility- or disutility-oriented)</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 xml:space="preserve">Management of </w:t>
            </w:r>
            <w:proofErr w:type="spellStart"/>
            <w:r w:rsidRPr="00294094">
              <w:t>multihealth</w:t>
            </w:r>
            <w:proofErr w:type="spellEnd"/>
            <w:r w:rsidRPr="00294094">
              <w:t xml:space="preserve"> conditions</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x</w:t>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8B61DF"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8B61DF" w:rsidRDefault="00670E69" w:rsidP="00777D0C">
            <w:pPr>
              <w:spacing w:after="0" w:line="240" w:lineRule="auto"/>
              <w:rPr>
                <w:b/>
              </w:rPr>
            </w:pPr>
            <w:r w:rsidRPr="008B61DF">
              <w:rPr>
                <w:b/>
              </w:rPr>
              <w:t>General model characteristics</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8B61DF" w:rsidRDefault="00670E69" w:rsidP="00777D0C">
            <w:pPr>
              <w:spacing w:after="0" w:line="240" w:lineRule="auto"/>
              <w:jc w:val="center"/>
              <w:rPr>
                <w:b/>
              </w:rPr>
            </w:pP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8B61DF" w:rsidRDefault="00670E69" w:rsidP="00777D0C">
            <w:pPr>
              <w:spacing w:after="0" w:line="240" w:lineRule="auto"/>
              <w:jc w:val="center"/>
              <w:rPr>
                <w:b/>
              </w:rPr>
            </w:pP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Choice of mortality table</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x</w:t>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rsidRPr="00294094">
              <w:t>NA as risk for mortality is governed by the UKPDS 82 equations</w:t>
            </w: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Choice and source of risk equations</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rsidRPr="00294094">
              <w:t>UKPDS 68 and 82 are used in the base case. WESDR and REP are used for microvascular risks</w:t>
            </w:r>
          </w:p>
        </w:tc>
      </w:tr>
      <w:tr w:rsidR="00670E69" w:rsidRPr="00294094" w:rsidTr="00777D0C">
        <w:tc>
          <w:tcPr>
            <w:tcW w:w="4536" w:type="dxa"/>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 xml:space="preserve">If microsimulation: number of </w:t>
            </w:r>
            <w:r w:rsidRPr="00294094">
              <w:br/>
              <w:t xml:space="preserve">Monte Carlo simulations conducted </w:t>
            </w:r>
            <w:r w:rsidRPr="00294094">
              <w:br/>
              <w:t>and justification</w:t>
            </w:r>
          </w:p>
        </w:tc>
        <w:tc>
          <w:tcPr>
            <w:tcW w:w="1134" w:type="dxa"/>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NA</w:t>
            </w:r>
          </w:p>
        </w:tc>
        <w:tc>
          <w:tcPr>
            <w:tcW w:w="3690" w:type="dxa"/>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p>
        </w:tc>
      </w:tr>
      <w:tr w:rsidR="00670E69" w:rsidRPr="00294094" w:rsidTr="00777D0C">
        <w:tc>
          <w:tcPr>
            <w:tcW w:w="4536" w:type="dxa"/>
            <w:tcBorders>
              <w:top w:val="single" w:sz="4" w:space="0" w:color="BFBFBF" w:themeColor="background1" w:themeShade="BF"/>
              <w:bottom w:val="single" w:sz="12" w:space="0" w:color="002060"/>
              <w:right w:val="dashed" w:sz="4" w:space="0" w:color="BFBFBF" w:themeColor="background1" w:themeShade="BF"/>
            </w:tcBorders>
          </w:tcPr>
          <w:p w:rsidR="00670E69" w:rsidRPr="00294094" w:rsidRDefault="00670E69" w:rsidP="00777D0C">
            <w:pPr>
              <w:spacing w:after="0" w:line="240" w:lineRule="auto"/>
            </w:pPr>
            <w:r w:rsidRPr="00294094">
              <w:t>Components of model uncertainty being simulated (e.g. risk equations, risk factors, trajectories, costs, and treatment effect); number of simulations and justification</w:t>
            </w:r>
          </w:p>
        </w:tc>
        <w:tc>
          <w:tcPr>
            <w:tcW w:w="1134" w:type="dxa"/>
            <w:tcBorders>
              <w:top w:val="single" w:sz="4" w:space="0" w:color="BFBFBF" w:themeColor="background1" w:themeShade="BF"/>
              <w:left w:val="dashed" w:sz="4" w:space="0" w:color="BFBFBF" w:themeColor="background1" w:themeShade="BF"/>
              <w:bottom w:val="single" w:sz="12" w:space="0" w:color="002060"/>
              <w:right w:val="dashed" w:sz="4" w:space="0" w:color="BFBFBF" w:themeColor="background1" w:themeShade="BF"/>
            </w:tcBorders>
          </w:tcPr>
          <w:p w:rsidR="00670E69" w:rsidRPr="00294094" w:rsidRDefault="00670E69" w:rsidP="00777D0C">
            <w:pPr>
              <w:spacing w:after="0" w:line="240" w:lineRule="auto"/>
              <w:jc w:val="center"/>
            </w:pPr>
            <w:r w:rsidRPr="00294094">
              <w:sym w:font="Wingdings 2" w:char="F050"/>
            </w:r>
          </w:p>
        </w:tc>
        <w:tc>
          <w:tcPr>
            <w:tcW w:w="3690" w:type="dxa"/>
            <w:tcBorders>
              <w:top w:val="single" w:sz="4" w:space="0" w:color="BFBFBF" w:themeColor="background1" w:themeShade="BF"/>
              <w:left w:val="dashed" w:sz="4" w:space="0" w:color="BFBFBF" w:themeColor="background1" w:themeShade="BF"/>
              <w:bottom w:val="single" w:sz="12" w:space="0" w:color="002060"/>
            </w:tcBorders>
          </w:tcPr>
          <w:p w:rsidR="00670E69" w:rsidRPr="00294094" w:rsidRDefault="00670E69" w:rsidP="00777D0C">
            <w:pPr>
              <w:spacing w:after="0" w:line="240" w:lineRule="auto"/>
              <w:jc w:val="center"/>
            </w:pPr>
          </w:p>
        </w:tc>
      </w:tr>
    </w:tbl>
    <w:p w:rsidR="00670E69" w:rsidRPr="008B61DF" w:rsidRDefault="00670E69" w:rsidP="00777D0C">
      <w:pPr>
        <w:spacing w:line="276" w:lineRule="auto"/>
        <w:rPr>
          <w:sz w:val="22"/>
          <w:szCs w:val="22"/>
        </w:rPr>
        <w:sectPr w:rsidR="00670E69" w:rsidRPr="008B61DF" w:rsidSect="00777D0C">
          <w:pgSz w:w="12240" w:h="15840"/>
          <w:pgMar w:top="1440" w:right="1440" w:bottom="1440" w:left="1440" w:header="709" w:footer="709" w:gutter="0"/>
          <w:cols w:space="708"/>
          <w:docGrid w:linePitch="360"/>
        </w:sectPr>
      </w:pPr>
      <w:r w:rsidRPr="008B61DF">
        <w:rPr>
          <w:rFonts w:eastAsia="Times New Roman"/>
          <w:color w:val="000000"/>
          <w:sz w:val="22"/>
          <w:szCs w:val="22"/>
        </w:rPr>
        <w:t>BMI, body mass index; HbA</w:t>
      </w:r>
      <w:r w:rsidRPr="008B61DF">
        <w:rPr>
          <w:rFonts w:eastAsia="Times New Roman"/>
          <w:color w:val="000000"/>
          <w:sz w:val="22"/>
          <w:szCs w:val="22"/>
          <w:vertAlign w:val="subscript"/>
        </w:rPr>
        <w:t>1c</w:t>
      </w:r>
      <w:r w:rsidRPr="008B61DF">
        <w:rPr>
          <w:rFonts w:eastAsia="Times New Roman"/>
          <w:color w:val="000000"/>
          <w:sz w:val="22"/>
          <w:szCs w:val="22"/>
        </w:rPr>
        <w:t xml:space="preserve">, glycated hemoglobin; </w:t>
      </w:r>
      <w:r w:rsidRPr="008B61DF">
        <w:rPr>
          <w:sz w:val="22"/>
          <w:szCs w:val="22"/>
        </w:rPr>
        <w:t>NA, not applicable; REP, Rochester Epidemiology Project; UKPDS, UK Prospective Diabetes Study; WESDR, Wisconsin Epidemiological Study of Diabetic Retinopathy</w:t>
      </w:r>
    </w:p>
    <w:p w:rsidR="00670E69" w:rsidRPr="006D0B5C" w:rsidRDefault="00670E69" w:rsidP="00F323D1">
      <w:pPr>
        <w:pStyle w:val="Heading1"/>
        <w:ind w:left="0" w:firstLine="0"/>
      </w:pPr>
      <w:bookmarkStart w:id="55" w:name="_Toc530388350"/>
      <w:bookmarkStart w:id="56" w:name="_Toc2007174"/>
      <w:r>
        <w:t xml:space="preserve">Online Resource 12. </w:t>
      </w:r>
      <w:r w:rsidRPr="006D0B5C">
        <w:t xml:space="preserve">CHEERS checklist </w:t>
      </w:r>
      <w:r>
        <w:rPr>
          <w:noProof/>
        </w:rPr>
        <w:t>[</w:t>
      </w:r>
      <w:r w:rsidR="000A7C65">
        <w:rPr>
          <w:noProof/>
        </w:rPr>
        <w:t>41</w:t>
      </w:r>
      <w:r>
        <w:rPr>
          <w:noProof/>
        </w:rPr>
        <w:t>]</w:t>
      </w:r>
      <w:bookmarkEnd w:id="55"/>
      <w:bookmarkEnd w:id="56"/>
    </w:p>
    <w:tbl>
      <w:tblPr>
        <w:tblStyle w:val="TableGrid"/>
        <w:tblW w:w="5074" w:type="pct"/>
        <w:tblBorders>
          <w:top w:val="single" w:sz="12" w:space="0" w:color="002060"/>
          <w:left w:val="none" w:sz="0" w:space="0" w:color="auto"/>
          <w:right w:val="none" w:sz="0" w:space="0" w:color="auto"/>
        </w:tblBorders>
        <w:tblLayout w:type="fixed"/>
        <w:tblLook w:val="04A0" w:firstRow="1" w:lastRow="0" w:firstColumn="1" w:lastColumn="0" w:noHBand="0" w:noVBand="1"/>
      </w:tblPr>
      <w:tblGrid>
        <w:gridCol w:w="1846"/>
        <w:gridCol w:w="707"/>
        <w:gridCol w:w="4818"/>
        <w:gridCol w:w="2128"/>
      </w:tblGrid>
      <w:tr w:rsidR="00670E69" w:rsidRPr="00EF31D8" w:rsidTr="00777D0C">
        <w:tc>
          <w:tcPr>
            <w:tcW w:w="972" w:type="pct"/>
            <w:tcBorders>
              <w:top w:val="single" w:sz="12" w:space="0" w:color="002060"/>
              <w:bottom w:val="single" w:sz="4" w:space="0" w:color="auto"/>
              <w:right w:val="dashed" w:sz="4" w:space="0" w:color="BFBFBF" w:themeColor="background1" w:themeShade="BF"/>
            </w:tcBorders>
            <w:vAlign w:val="center"/>
          </w:tcPr>
          <w:p w:rsidR="00670E69" w:rsidRPr="00EF31D8" w:rsidRDefault="00670E69" w:rsidP="00777D0C">
            <w:pPr>
              <w:spacing w:after="0" w:line="240" w:lineRule="auto"/>
              <w:rPr>
                <w:b/>
              </w:rPr>
            </w:pPr>
            <w:r w:rsidRPr="00EF31D8">
              <w:rPr>
                <w:b/>
              </w:rPr>
              <w:t>Section/item</w:t>
            </w:r>
          </w:p>
        </w:tc>
        <w:tc>
          <w:tcPr>
            <w:tcW w:w="372" w:type="pct"/>
            <w:tcBorders>
              <w:top w:val="single" w:sz="12" w:space="0" w:color="002060"/>
              <w:left w:val="dashed" w:sz="4" w:space="0" w:color="BFBFBF" w:themeColor="background1" w:themeShade="BF"/>
              <w:bottom w:val="single" w:sz="4" w:space="0" w:color="auto"/>
              <w:right w:val="dashed" w:sz="4" w:space="0" w:color="BFBFBF" w:themeColor="background1" w:themeShade="BF"/>
            </w:tcBorders>
            <w:vAlign w:val="center"/>
          </w:tcPr>
          <w:p w:rsidR="00670E69" w:rsidRPr="00EF31D8" w:rsidRDefault="00670E69" w:rsidP="00777D0C">
            <w:pPr>
              <w:spacing w:after="0" w:line="240" w:lineRule="auto"/>
              <w:jc w:val="center"/>
              <w:rPr>
                <w:b/>
              </w:rPr>
            </w:pPr>
            <w:r w:rsidRPr="00EF31D8">
              <w:rPr>
                <w:b/>
              </w:rPr>
              <w:t>Item</w:t>
            </w:r>
          </w:p>
        </w:tc>
        <w:tc>
          <w:tcPr>
            <w:tcW w:w="2536" w:type="pct"/>
            <w:tcBorders>
              <w:top w:val="single" w:sz="12" w:space="0" w:color="002060"/>
              <w:left w:val="dashed" w:sz="4" w:space="0" w:color="BFBFBF" w:themeColor="background1" w:themeShade="BF"/>
              <w:bottom w:val="single" w:sz="4" w:space="0" w:color="auto"/>
              <w:right w:val="dashed" w:sz="4" w:space="0" w:color="BFBFBF" w:themeColor="background1" w:themeShade="BF"/>
            </w:tcBorders>
            <w:vAlign w:val="center"/>
          </w:tcPr>
          <w:p w:rsidR="00670E69" w:rsidRPr="00EF31D8" w:rsidRDefault="00670E69" w:rsidP="00777D0C">
            <w:pPr>
              <w:spacing w:after="0" w:line="240" w:lineRule="auto"/>
              <w:rPr>
                <w:b/>
              </w:rPr>
            </w:pPr>
            <w:r w:rsidRPr="00EF31D8">
              <w:rPr>
                <w:b/>
              </w:rPr>
              <w:t>Recommendation</w:t>
            </w:r>
          </w:p>
        </w:tc>
        <w:tc>
          <w:tcPr>
            <w:tcW w:w="1120" w:type="pct"/>
            <w:tcBorders>
              <w:top w:val="single" w:sz="12" w:space="0" w:color="002060"/>
              <w:left w:val="dashed" w:sz="4" w:space="0" w:color="BFBFBF" w:themeColor="background1" w:themeShade="BF"/>
              <w:bottom w:val="single" w:sz="4" w:space="0" w:color="auto"/>
            </w:tcBorders>
          </w:tcPr>
          <w:p w:rsidR="00670E69" w:rsidRPr="00EF31D8" w:rsidRDefault="00670E69" w:rsidP="00777D0C">
            <w:pPr>
              <w:spacing w:after="0" w:line="240" w:lineRule="auto"/>
              <w:jc w:val="center"/>
              <w:rPr>
                <w:b/>
              </w:rPr>
            </w:pPr>
            <w:r w:rsidRPr="00EF31D8">
              <w:rPr>
                <w:b/>
              </w:rPr>
              <w:t>Reported in</w:t>
            </w:r>
          </w:p>
        </w:tc>
      </w:tr>
      <w:tr w:rsidR="00670E69" w:rsidRPr="00EF31D8" w:rsidTr="00777D0C">
        <w:tc>
          <w:tcPr>
            <w:tcW w:w="972" w:type="pct"/>
            <w:tcBorders>
              <w:top w:val="single" w:sz="4" w:space="0" w:color="auto"/>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rPr>
                <w:b/>
              </w:rPr>
            </w:pPr>
            <w:r w:rsidRPr="00EF31D8">
              <w:rPr>
                <w:b/>
              </w:rPr>
              <w:t>Title and abstract</w:t>
            </w:r>
          </w:p>
        </w:tc>
        <w:tc>
          <w:tcPr>
            <w:tcW w:w="372" w:type="pct"/>
            <w:tcBorders>
              <w:top w:val="single" w:sz="4" w:space="0" w:color="auto"/>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jc w:val="center"/>
              <w:rPr>
                <w:b/>
              </w:rPr>
            </w:pPr>
          </w:p>
        </w:tc>
        <w:tc>
          <w:tcPr>
            <w:tcW w:w="2536" w:type="pct"/>
            <w:tcBorders>
              <w:top w:val="single" w:sz="4" w:space="0" w:color="auto"/>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rPr>
                <w:b/>
              </w:rPr>
            </w:pPr>
          </w:p>
        </w:tc>
        <w:tc>
          <w:tcPr>
            <w:tcW w:w="1120" w:type="pct"/>
            <w:tcBorders>
              <w:top w:val="single" w:sz="4" w:space="0" w:color="auto"/>
              <w:left w:val="dashed" w:sz="4" w:space="0" w:color="BFBFBF" w:themeColor="background1" w:themeShade="BF"/>
              <w:bottom w:val="single" w:sz="4" w:space="0" w:color="BFBFBF" w:themeColor="background1" w:themeShade="BF"/>
            </w:tcBorders>
          </w:tcPr>
          <w:p w:rsidR="00670E69" w:rsidRPr="00EF31D8" w:rsidRDefault="00670E69" w:rsidP="00777D0C">
            <w:pPr>
              <w:spacing w:after="0" w:line="240" w:lineRule="auto"/>
              <w:jc w:val="center"/>
              <w:rPr>
                <w:b/>
              </w:rPr>
            </w:pP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Title</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1</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Identify the study as an economic evaluation, or u</w:t>
            </w:r>
            <w:r>
              <w:t>se more specific terms such as ‘cost-effectiveness analysis</w:t>
            </w:r>
            <w:r w:rsidRPr="00294094">
              <w:t>’ and describe the interventions compared</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t>Title</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Abstract</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2</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Provide a structured summary of objectives, perspective, setting, methods (including study design and inputs), results (including base case and uncertainty analyses), and conclusions</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t>Abstract</w:t>
            </w:r>
          </w:p>
        </w:tc>
      </w:tr>
      <w:tr w:rsidR="00670E69" w:rsidRPr="00EF31D8"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rPr>
                <w:b/>
              </w:rPr>
            </w:pPr>
            <w:r w:rsidRPr="00EF31D8">
              <w:rPr>
                <w:b/>
              </w:rPr>
              <w:t>Introduction</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jc w:val="center"/>
              <w:rPr>
                <w:b/>
              </w:rPr>
            </w:pP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rPr>
                <w:b/>
              </w:rPr>
            </w:pP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EF31D8" w:rsidRDefault="00670E69" w:rsidP="00777D0C">
            <w:pPr>
              <w:spacing w:after="0" w:line="240" w:lineRule="auto"/>
              <w:jc w:val="center"/>
              <w:rPr>
                <w:b/>
              </w:rPr>
            </w:pP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Background and objectives</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3</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Provide an explicit statement of the broader context for the study. Present the study question and its relevance for health policy or practice decisions</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t>Introduction</w:t>
            </w:r>
          </w:p>
        </w:tc>
      </w:tr>
      <w:tr w:rsidR="00670E69" w:rsidRPr="00EF31D8"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rPr>
                <w:b/>
              </w:rPr>
            </w:pPr>
            <w:r w:rsidRPr="00EF31D8">
              <w:rPr>
                <w:b/>
              </w:rPr>
              <w:t>Methods</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jc w:val="center"/>
              <w:rPr>
                <w:b/>
              </w:rPr>
            </w:pP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rPr>
                <w:b/>
              </w:rPr>
            </w:pP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EF31D8" w:rsidRDefault="00670E69" w:rsidP="00777D0C">
            <w:pPr>
              <w:spacing w:after="0" w:line="240" w:lineRule="auto"/>
              <w:jc w:val="center"/>
              <w:rPr>
                <w:b/>
              </w:rPr>
            </w:pP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Target population and subgroups</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4</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Describe characteristics of the base case population and subgroups analyzed including why they were chosen</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t>Methods</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Setting and location</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5</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State relevant aspects of the system(s) in which the decision(s) need(s) to be made</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t>Introduction</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Study perspective</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6</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Describe the perspective of the study and relate this to the costs being evaluated</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t>Introduction</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Comparators</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7</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Describe the interventions or strategies being compared and state why they were chosen</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t>Introduction</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rPr>
                <w:rFonts w:eastAsia="Times New Roman"/>
                <w:bCs/>
                <w:iCs/>
              </w:rPr>
            </w:pPr>
            <w:r w:rsidRPr="00294094">
              <w:t>Time horizon</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8</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State the time horizon(s) over which costs and consequences are being evaluated and say why appropriate</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t>Methods</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Discount rate</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9</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Report the choice of discount rate(s) used for costs and outcomes and say why appropriate</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rsidRPr="00294094">
              <w:t>Table 1</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Choice of health outcomes</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10</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Describe what outcomes were used as the measure(s) of benefit in the evaluation and their relevance for the type of analysis performed</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t>Methods</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Measurement of effectiveness</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11a</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rPr>
                <w:i/>
              </w:rPr>
              <w:t>Single study–based estimates</w:t>
            </w:r>
            <w:r w:rsidRPr="00294094">
              <w:t>: describe fully the design features of the single effectiveness study and why the single study was a sufficient source of clinical-effectiveness data</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B82702" w:rsidP="00777D0C">
            <w:pPr>
              <w:spacing w:after="0" w:line="240" w:lineRule="auto"/>
              <w:jc w:val="center"/>
            </w:pPr>
            <w:r>
              <w:t>Not applicable</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Measurement and valuation of preference-based outcomes</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12</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If applicable, describe the population and methods used to elicit preferences for outcomes</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t>Not applicable</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Estimating resources and costs</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13b</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rPr>
                <w:i/>
              </w:rPr>
              <w:t>Model-based economic evaluation</w:t>
            </w:r>
            <w:r w:rsidRPr="00294094">
              <w:t>: 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t>Methods, Online Resources</w:t>
            </w:r>
            <w:r w:rsidRPr="00294094">
              <w:t xml:space="preserve"> </w:t>
            </w:r>
            <w:r>
              <w:t>4–5</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Currency, price date, and conversion</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14</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t>Methods, Online Resources 4–5</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Choice of model</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15</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Describe and give reasons for the specific type of decision-analytic model used. Providing a figure to show model structure is strongly recommended</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t xml:space="preserve">Introduction, </w:t>
            </w:r>
            <w:r w:rsidRPr="00294094">
              <w:t>Figure 1</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Assumptions</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16</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Describe all structural or other assumptions underpinning the decision-analytic model</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rsidRPr="00294094">
              <w:t>Table 1</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Analytic methods</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17</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Describe all analytic methods supporting the evaluation. This could include methods for dealing with skewed, missing, or censored data; extrapolation methods; methods for pooling data; approaches to validate or make adjustments (e.g. half-cycle corrections) to a model; and methods for handling population heterogeneity and uncertainty</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Default="00670E69" w:rsidP="00777D0C">
            <w:pPr>
              <w:spacing w:after="0" w:line="240" w:lineRule="auto"/>
              <w:jc w:val="center"/>
            </w:pPr>
            <w:r>
              <w:t>Methods, Tables</w:t>
            </w:r>
          </w:p>
          <w:p w:rsidR="00670E69" w:rsidRPr="00294094" w:rsidRDefault="00670E69" w:rsidP="00777D0C">
            <w:pPr>
              <w:spacing w:after="0" w:line="240" w:lineRule="auto"/>
              <w:jc w:val="center"/>
            </w:pPr>
            <w:r>
              <w:t xml:space="preserve">3–4, </w:t>
            </w:r>
            <w:r w:rsidRPr="00294094">
              <w:t>Figure</w:t>
            </w:r>
            <w:r>
              <w:t>s 2–3</w:t>
            </w:r>
          </w:p>
        </w:tc>
      </w:tr>
      <w:tr w:rsidR="00670E69" w:rsidRPr="00EF31D8"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rPr>
                <w:b/>
              </w:rPr>
            </w:pPr>
            <w:r w:rsidRPr="00EF31D8">
              <w:rPr>
                <w:b/>
              </w:rPr>
              <w:t>Results</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jc w:val="center"/>
              <w:rPr>
                <w:b/>
              </w:rPr>
            </w:pP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rPr>
                <w:b/>
              </w:rPr>
            </w:pP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EF31D8" w:rsidRDefault="00670E69" w:rsidP="00777D0C">
            <w:pPr>
              <w:spacing w:after="0" w:line="240" w:lineRule="auto"/>
              <w:jc w:val="center"/>
              <w:rPr>
                <w:b/>
              </w:rPr>
            </w:pP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Study parameters</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18</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rsidRPr="00294094">
              <w:t>Table</w:t>
            </w:r>
            <w:r>
              <w:t>s</w:t>
            </w:r>
            <w:r w:rsidRPr="00294094">
              <w:t xml:space="preserve"> 3</w:t>
            </w:r>
            <w:r>
              <w:t>–4, Online Resources 1–10</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Incremental costs and outcomes</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19</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For each intervention, report mean values for the main categories of estimated costs and outcomes of interest, as well as mean differences between the comparator groups. If applicable, report incremental cost-effectiveness ratios</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t xml:space="preserve">Results, </w:t>
            </w:r>
            <w:r w:rsidRPr="00294094">
              <w:t>Table</w:t>
            </w:r>
            <w:r>
              <w:t>s</w:t>
            </w:r>
            <w:r w:rsidRPr="00294094">
              <w:t xml:space="preserve"> 3</w:t>
            </w:r>
            <w:r>
              <w:t>–4</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Characterizing uncertainty</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20b</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rPr>
                <w:i/>
              </w:rPr>
              <w:t>Model-based economic evaluation</w:t>
            </w:r>
            <w:r w:rsidRPr="00294094">
              <w:t>: Describe the effects on the results of uncertainty for all input parameters, and uncertainty related to the structure of the model and assumptions</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Default="00670E69" w:rsidP="00777D0C">
            <w:pPr>
              <w:spacing w:after="0" w:line="240" w:lineRule="auto"/>
              <w:jc w:val="center"/>
            </w:pPr>
            <w:r>
              <w:t>Results,</w:t>
            </w:r>
          </w:p>
          <w:p w:rsidR="00670E69" w:rsidRDefault="00670E69" w:rsidP="00777D0C">
            <w:pPr>
              <w:spacing w:after="0" w:line="240" w:lineRule="auto"/>
              <w:jc w:val="center"/>
            </w:pPr>
            <w:r w:rsidRPr="00294094">
              <w:t>Table 4</w:t>
            </w:r>
            <w:r>
              <w:t>,</w:t>
            </w:r>
          </w:p>
          <w:p w:rsidR="00670E69" w:rsidRPr="00294094" w:rsidRDefault="00670E69" w:rsidP="00777D0C">
            <w:pPr>
              <w:spacing w:after="0" w:line="240" w:lineRule="auto"/>
              <w:jc w:val="center"/>
            </w:pPr>
            <w:r>
              <w:t>Figure 3</w:t>
            </w: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Characterizing heterogeneity</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21</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If applicable, report differences in costs, outcomes, or cost-effectiveness that can be explained by variations between subgroups of patients with different baseline characteristics or other observed variability in effects that are not reducible by more information</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Default="00670E69" w:rsidP="00777D0C">
            <w:pPr>
              <w:spacing w:after="0" w:line="240" w:lineRule="auto"/>
              <w:jc w:val="center"/>
            </w:pPr>
            <w:r>
              <w:t>Results,</w:t>
            </w:r>
          </w:p>
          <w:p w:rsidR="00670E69" w:rsidRDefault="00670E69" w:rsidP="00777D0C">
            <w:pPr>
              <w:spacing w:after="0" w:line="240" w:lineRule="auto"/>
              <w:jc w:val="center"/>
            </w:pPr>
            <w:r w:rsidRPr="00294094">
              <w:t>Table 4</w:t>
            </w:r>
            <w:r>
              <w:t>,</w:t>
            </w:r>
          </w:p>
          <w:p w:rsidR="00670E69" w:rsidRPr="00294094" w:rsidRDefault="00670E69" w:rsidP="00777D0C">
            <w:pPr>
              <w:spacing w:after="0" w:line="240" w:lineRule="auto"/>
              <w:jc w:val="center"/>
            </w:pPr>
            <w:r>
              <w:t>Figure 3</w:t>
            </w:r>
          </w:p>
        </w:tc>
      </w:tr>
      <w:tr w:rsidR="00670E69" w:rsidRPr="00EF31D8"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rPr>
                <w:b/>
              </w:rPr>
            </w:pPr>
            <w:r w:rsidRPr="00EF31D8">
              <w:rPr>
                <w:b/>
              </w:rPr>
              <w:t>Discussion</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jc w:val="center"/>
              <w:rPr>
                <w:b/>
              </w:rPr>
            </w:pP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rPr>
                <w:b/>
              </w:rPr>
            </w:pP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EF31D8" w:rsidRDefault="00670E69" w:rsidP="00777D0C">
            <w:pPr>
              <w:spacing w:after="0" w:line="240" w:lineRule="auto"/>
              <w:jc w:val="center"/>
              <w:rPr>
                <w:b/>
              </w:rPr>
            </w:pP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 xml:space="preserve">Study findings, limitations, </w:t>
            </w:r>
            <w:proofErr w:type="spellStart"/>
            <w:r w:rsidRPr="00294094">
              <w:t>generizability</w:t>
            </w:r>
            <w:proofErr w:type="spellEnd"/>
            <w:r w:rsidRPr="00294094">
              <w:t>, and current knowledge</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22</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Summarize key study findings and describe how they support the conclusions reached. Discuss limitations and the generalizability of the findings and how the findings fit with current knowledge</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t>Discussion</w:t>
            </w:r>
          </w:p>
        </w:tc>
      </w:tr>
      <w:tr w:rsidR="00670E69" w:rsidRPr="00EF31D8"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rPr>
                <w:b/>
              </w:rPr>
            </w:pPr>
            <w:r w:rsidRPr="00EF31D8">
              <w:rPr>
                <w:b/>
              </w:rPr>
              <w:t>Other</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jc w:val="center"/>
              <w:rPr>
                <w:b/>
              </w:rPr>
            </w:pP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EF31D8" w:rsidRDefault="00670E69" w:rsidP="00777D0C">
            <w:pPr>
              <w:spacing w:after="0" w:line="240" w:lineRule="auto"/>
              <w:rPr>
                <w:b/>
              </w:rPr>
            </w:pP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EF31D8" w:rsidRDefault="00670E69" w:rsidP="00777D0C">
            <w:pPr>
              <w:spacing w:after="0" w:line="240" w:lineRule="auto"/>
              <w:jc w:val="center"/>
              <w:rPr>
                <w:b/>
              </w:rPr>
            </w:pPr>
          </w:p>
        </w:tc>
      </w:tr>
      <w:tr w:rsidR="00670E69" w:rsidRPr="00294094" w:rsidTr="00777D0C">
        <w:tc>
          <w:tcPr>
            <w:tcW w:w="972" w:type="pct"/>
            <w:tcBorders>
              <w:top w:val="single"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Source of funding</w:t>
            </w:r>
          </w:p>
        </w:tc>
        <w:tc>
          <w:tcPr>
            <w:tcW w:w="372"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jc w:val="center"/>
            </w:pPr>
            <w:r w:rsidRPr="00294094">
              <w:t>23</w:t>
            </w:r>
          </w:p>
        </w:tc>
        <w:tc>
          <w:tcPr>
            <w:tcW w:w="2536" w:type="pct"/>
            <w:tcBorders>
              <w:top w:val="single" w:sz="4" w:space="0" w:color="BFBFBF" w:themeColor="background1" w:themeShade="BF"/>
              <w:left w:val="dashed" w:sz="4" w:space="0" w:color="BFBFBF" w:themeColor="background1" w:themeShade="BF"/>
              <w:bottom w:val="single" w:sz="4" w:space="0" w:color="BFBFBF" w:themeColor="background1" w:themeShade="BF"/>
              <w:right w:val="dashed" w:sz="4" w:space="0" w:color="BFBFBF" w:themeColor="background1" w:themeShade="BF"/>
            </w:tcBorders>
          </w:tcPr>
          <w:p w:rsidR="00670E69" w:rsidRPr="00294094" w:rsidRDefault="00670E69" w:rsidP="00777D0C">
            <w:pPr>
              <w:spacing w:after="0" w:line="240" w:lineRule="auto"/>
            </w:pPr>
            <w:r w:rsidRPr="00294094">
              <w:t>Describe how the study was funded and the role of the funder in the identification, design, conduct, and reporting of the analysis. Describe other nonmonetary sources of support</w:t>
            </w:r>
          </w:p>
        </w:tc>
        <w:tc>
          <w:tcPr>
            <w:tcW w:w="1120" w:type="pct"/>
            <w:tcBorders>
              <w:top w:val="single" w:sz="4" w:space="0" w:color="BFBFBF" w:themeColor="background1" w:themeShade="BF"/>
              <w:left w:val="dashed" w:sz="4" w:space="0" w:color="BFBFBF" w:themeColor="background1" w:themeShade="BF"/>
              <w:bottom w:val="single" w:sz="4" w:space="0" w:color="BFBFBF" w:themeColor="background1" w:themeShade="BF"/>
            </w:tcBorders>
          </w:tcPr>
          <w:p w:rsidR="00670E69" w:rsidRPr="00294094" w:rsidRDefault="00670E69" w:rsidP="00777D0C">
            <w:pPr>
              <w:spacing w:after="0" w:line="240" w:lineRule="auto"/>
              <w:jc w:val="center"/>
            </w:pPr>
            <w:r w:rsidRPr="006F6649">
              <w:rPr>
                <w:lang w:val="en-US"/>
              </w:rPr>
              <w:t>Compliance with Ethical Standards</w:t>
            </w:r>
            <w:r>
              <w:rPr>
                <w:lang w:val="en-US"/>
              </w:rPr>
              <w:t>,</w:t>
            </w:r>
            <w:r w:rsidRPr="006F6649">
              <w:rPr>
                <w:lang w:val="en-US"/>
              </w:rPr>
              <w:t xml:space="preserve"> </w:t>
            </w:r>
            <w:r>
              <w:rPr>
                <w:lang w:val="en-US"/>
              </w:rPr>
              <w:t>Acknowledgments</w:t>
            </w:r>
          </w:p>
        </w:tc>
      </w:tr>
      <w:tr w:rsidR="00670E69" w:rsidRPr="00294094" w:rsidTr="00777D0C">
        <w:tc>
          <w:tcPr>
            <w:tcW w:w="972" w:type="pct"/>
            <w:tcBorders>
              <w:top w:val="single" w:sz="4" w:space="0" w:color="BFBFBF" w:themeColor="background1" w:themeShade="BF"/>
              <w:bottom w:val="single" w:sz="12" w:space="0" w:color="002060"/>
              <w:right w:val="dashed" w:sz="4" w:space="0" w:color="BFBFBF" w:themeColor="background1" w:themeShade="BF"/>
            </w:tcBorders>
          </w:tcPr>
          <w:p w:rsidR="00670E69" w:rsidRPr="00294094" w:rsidRDefault="00670E69" w:rsidP="00777D0C">
            <w:pPr>
              <w:spacing w:after="0" w:line="240" w:lineRule="auto"/>
            </w:pPr>
            <w:r w:rsidRPr="00294094">
              <w:t>Conflicts of interest</w:t>
            </w:r>
          </w:p>
        </w:tc>
        <w:tc>
          <w:tcPr>
            <w:tcW w:w="372" w:type="pct"/>
            <w:tcBorders>
              <w:top w:val="single" w:sz="4" w:space="0" w:color="BFBFBF" w:themeColor="background1" w:themeShade="BF"/>
              <w:left w:val="dashed" w:sz="4" w:space="0" w:color="BFBFBF" w:themeColor="background1" w:themeShade="BF"/>
              <w:bottom w:val="single" w:sz="12" w:space="0" w:color="002060"/>
              <w:right w:val="dashed" w:sz="4" w:space="0" w:color="BFBFBF" w:themeColor="background1" w:themeShade="BF"/>
            </w:tcBorders>
          </w:tcPr>
          <w:p w:rsidR="00670E69" w:rsidRPr="00294094" w:rsidRDefault="00670E69" w:rsidP="00777D0C">
            <w:pPr>
              <w:spacing w:after="0" w:line="240" w:lineRule="auto"/>
              <w:jc w:val="center"/>
            </w:pPr>
            <w:r w:rsidRPr="00294094">
              <w:t>24</w:t>
            </w:r>
          </w:p>
        </w:tc>
        <w:tc>
          <w:tcPr>
            <w:tcW w:w="2536" w:type="pct"/>
            <w:tcBorders>
              <w:top w:val="single" w:sz="4" w:space="0" w:color="BFBFBF" w:themeColor="background1" w:themeShade="BF"/>
              <w:left w:val="dashed" w:sz="4" w:space="0" w:color="BFBFBF" w:themeColor="background1" w:themeShade="BF"/>
              <w:bottom w:val="single" w:sz="12" w:space="0" w:color="002060"/>
              <w:right w:val="dashed" w:sz="4" w:space="0" w:color="BFBFBF" w:themeColor="background1" w:themeShade="BF"/>
            </w:tcBorders>
          </w:tcPr>
          <w:p w:rsidR="00670E69" w:rsidRPr="00294094" w:rsidRDefault="00670E69" w:rsidP="00777D0C">
            <w:pPr>
              <w:spacing w:after="0" w:line="240" w:lineRule="auto"/>
            </w:pPr>
            <w:r w:rsidRPr="00294094">
              <w:t>Describe any potential for conflict of interest among study contributors in accordance with journal policy. In the absence of a journal policy, we recommend authors comply with International Committee of Medical Journal Editors’ recommendations</w:t>
            </w:r>
          </w:p>
        </w:tc>
        <w:tc>
          <w:tcPr>
            <w:tcW w:w="1120" w:type="pct"/>
            <w:tcBorders>
              <w:top w:val="single" w:sz="4" w:space="0" w:color="BFBFBF" w:themeColor="background1" w:themeShade="BF"/>
              <w:left w:val="dashed" w:sz="4" w:space="0" w:color="BFBFBF" w:themeColor="background1" w:themeShade="BF"/>
              <w:bottom w:val="single" w:sz="12" w:space="0" w:color="002060"/>
            </w:tcBorders>
          </w:tcPr>
          <w:p w:rsidR="00670E69" w:rsidRPr="00294094" w:rsidRDefault="00670E69" w:rsidP="00777D0C">
            <w:pPr>
              <w:spacing w:after="0" w:line="240" w:lineRule="auto"/>
              <w:jc w:val="center"/>
            </w:pPr>
            <w:r w:rsidRPr="006F6649">
              <w:t>Compliance with Ethical Standards</w:t>
            </w:r>
          </w:p>
        </w:tc>
      </w:tr>
    </w:tbl>
    <w:p w:rsidR="00670E69" w:rsidRDefault="00670E69" w:rsidP="00777D0C"/>
    <w:p w:rsidR="00670E69" w:rsidRPr="006D3E99" w:rsidRDefault="00670E69" w:rsidP="00777D0C">
      <w:r>
        <w:fldChar w:fldCharType="begin"/>
      </w:r>
      <w:r>
        <w:instrText xml:space="preserve"> ADDIN </w:instrText>
      </w:r>
      <w:r>
        <w:fldChar w:fldCharType="end"/>
      </w:r>
    </w:p>
    <w:p w:rsidR="00777D0C" w:rsidRDefault="00777D0C"/>
    <w:sectPr w:rsidR="00777D0C" w:rsidSect="00777D0C">
      <w:head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FD9" w:rsidRDefault="00B82702">
      <w:pPr>
        <w:spacing w:after="0" w:line="240" w:lineRule="auto"/>
      </w:pPr>
      <w:r>
        <w:separator/>
      </w:r>
    </w:p>
  </w:endnote>
  <w:endnote w:type="continuationSeparator" w:id="0">
    <w:p w:rsidR="00823FD9" w:rsidRDefault="00B82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D0C" w:rsidRDefault="00777D0C" w:rsidP="00777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650313"/>
      <w:docPartObj>
        <w:docPartGallery w:val="Page Numbers (Bottom of Page)"/>
        <w:docPartUnique/>
      </w:docPartObj>
    </w:sdtPr>
    <w:sdtEndPr/>
    <w:sdtContent>
      <w:sdt>
        <w:sdtPr>
          <w:id w:val="-593932626"/>
          <w:docPartObj>
            <w:docPartGallery w:val="Page Numbers (Top of Page)"/>
            <w:docPartUnique/>
          </w:docPartObj>
        </w:sdtPr>
        <w:sdtEndPr/>
        <w:sdtContent>
          <w:p w:rsidR="00777D0C" w:rsidRDefault="00777D0C" w:rsidP="00777D0C">
            <w:pPr>
              <w:pStyle w:val="Footer"/>
            </w:pPr>
            <w:r w:rsidRPr="00216A27">
              <w:t xml:space="preserve">Page </w:t>
            </w:r>
            <w:r w:rsidRPr="00216A27">
              <w:fldChar w:fldCharType="begin"/>
            </w:r>
            <w:r w:rsidRPr="00216A27">
              <w:instrText xml:space="preserve"> PAGE </w:instrText>
            </w:r>
            <w:r w:rsidRPr="00216A27">
              <w:fldChar w:fldCharType="separate"/>
            </w:r>
            <w:r w:rsidR="00F57B57">
              <w:rPr>
                <w:noProof/>
              </w:rPr>
              <w:t>21</w:t>
            </w:r>
            <w:r w:rsidRPr="00216A27">
              <w:fldChar w:fldCharType="end"/>
            </w:r>
            <w:r w:rsidRPr="00216A27">
              <w:t xml:space="preserve"> of </w:t>
            </w:r>
            <w:r>
              <w:rPr>
                <w:noProof/>
              </w:rPr>
              <w:fldChar w:fldCharType="begin"/>
            </w:r>
            <w:r>
              <w:rPr>
                <w:noProof/>
              </w:rPr>
              <w:instrText xml:space="preserve"> NUMPAGES  </w:instrText>
            </w:r>
            <w:r>
              <w:rPr>
                <w:noProof/>
              </w:rPr>
              <w:fldChar w:fldCharType="separate"/>
            </w:r>
            <w:r w:rsidR="00F57B57">
              <w:rPr>
                <w:noProof/>
              </w:rPr>
              <w:t>22</w:t>
            </w:r>
            <w:r>
              <w:rPr>
                <w:noProof/>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D0C" w:rsidRDefault="00777D0C" w:rsidP="00777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FD9" w:rsidRDefault="00B82702">
      <w:pPr>
        <w:spacing w:after="0" w:line="240" w:lineRule="auto"/>
      </w:pPr>
      <w:r>
        <w:separator/>
      </w:r>
    </w:p>
  </w:footnote>
  <w:footnote w:type="continuationSeparator" w:id="0">
    <w:p w:rsidR="00823FD9" w:rsidRDefault="00B82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D0C" w:rsidRDefault="00777D0C" w:rsidP="00777D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D0C" w:rsidRDefault="00777D0C" w:rsidP="00777D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D0C" w:rsidRDefault="00777D0C" w:rsidP="00777D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D0C" w:rsidRDefault="00777D0C" w:rsidP="00777D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D0C" w:rsidRDefault="00777D0C" w:rsidP="00777D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8F2BB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8766FA"/>
    <w:multiLevelType w:val="multilevel"/>
    <w:tmpl w:val="04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B600690"/>
    <w:multiLevelType w:val="hybridMultilevel"/>
    <w:tmpl w:val="09BE01EE"/>
    <w:lvl w:ilvl="0" w:tplc="0F0EE65A">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D4418BB"/>
    <w:multiLevelType w:val="hybridMultilevel"/>
    <w:tmpl w:val="2D58CE0E"/>
    <w:lvl w:ilvl="0" w:tplc="ADFE7DCA">
      <w:start w:val="1"/>
      <w:numFmt w:val="upp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CD6D11"/>
    <w:multiLevelType w:val="hybridMultilevel"/>
    <w:tmpl w:val="37344384"/>
    <w:lvl w:ilvl="0" w:tplc="2810498E">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7D98A6AA">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97A0464"/>
    <w:multiLevelType w:val="hybridMultilevel"/>
    <w:tmpl w:val="06987484"/>
    <w:lvl w:ilvl="0" w:tplc="CBE825E4">
      <w:start w:val="1"/>
      <w:numFmt w:val="upp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FE5B59"/>
    <w:multiLevelType w:val="hybridMultilevel"/>
    <w:tmpl w:val="5DD4E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3748C6"/>
    <w:multiLevelType w:val="hybridMultilevel"/>
    <w:tmpl w:val="B248E206"/>
    <w:lvl w:ilvl="0" w:tplc="68D89370">
      <w:start w:val="8"/>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910ABC"/>
    <w:multiLevelType w:val="hybridMultilevel"/>
    <w:tmpl w:val="DC4853BA"/>
    <w:lvl w:ilvl="0" w:tplc="0F0EE65A">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21027BF9"/>
    <w:multiLevelType w:val="hybridMultilevel"/>
    <w:tmpl w:val="B5A88E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B16D9D"/>
    <w:multiLevelType w:val="hybridMultilevel"/>
    <w:tmpl w:val="6E4CBF08"/>
    <w:lvl w:ilvl="0" w:tplc="E070C8D0">
      <w:numFmt w:val="bullet"/>
      <w:lvlText w:val="-"/>
      <w:lvlJc w:val="left"/>
      <w:pPr>
        <w:ind w:left="720" w:hanging="360"/>
      </w:pPr>
      <w:rPr>
        <w:rFonts w:ascii="Verdana" w:eastAsiaTheme="minorEastAsia"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FD7A56"/>
    <w:multiLevelType w:val="hybridMultilevel"/>
    <w:tmpl w:val="0D18B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C35DFC"/>
    <w:multiLevelType w:val="hybridMultilevel"/>
    <w:tmpl w:val="DBD8A8F0"/>
    <w:lvl w:ilvl="0" w:tplc="96861248">
      <w:numFmt w:val="bullet"/>
      <w:lvlText w:val=""/>
      <w:lvlJc w:val="left"/>
      <w:pPr>
        <w:ind w:left="720" w:hanging="360"/>
      </w:pPr>
      <w:rPr>
        <w:rFonts w:ascii="Symbol" w:eastAsia="DengXian" w:hAnsi="Symbo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3" w15:restartNumberingAfterBreak="0">
    <w:nsid w:val="2F2B32B0"/>
    <w:multiLevelType w:val="hybridMultilevel"/>
    <w:tmpl w:val="6DAA76F2"/>
    <w:lvl w:ilvl="0" w:tplc="B7E2CD54">
      <w:start w:val="1"/>
      <w:numFmt w:val="bullet"/>
      <w:lvlText w:val=""/>
      <w:lvlJc w:val="left"/>
      <w:pPr>
        <w:ind w:left="360" w:hanging="360"/>
      </w:pPr>
      <w:rPr>
        <w:rFonts w:ascii="Symbol" w:hAnsi="Symbol" w:hint="default"/>
      </w:rPr>
    </w:lvl>
    <w:lvl w:ilvl="1" w:tplc="346A2B40">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F61D38"/>
    <w:multiLevelType w:val="hybridMultilevel"/>
    <w:tmpl w:val="69C050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AC7321"/>
    <w:multiLevelType w:val="hybridMultilevel"/>
    <w:tmpl w:val="39246AE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377A7332"/>
    <w:multiLevelType w:val="hybridMultilevel"/>
    <w:tmpl w:val="14623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8F037E"/>
    <w:multiLevelType w:val="hybridMultilevel"/>
    <w:tmpl w:val="FA5AD9CC"/>
    <w:lvl w:ilvl="0" w:tplc="1F5431CE">
      <w:start w:val="3"/>
      <w:numFmt w:val="bullet"/>
      <w:lvlText w:val="-"/>
      <w:lvlJc w:val="left"/>
      <w:pPr>
        <w:ind w:left="720" w:hanging="360"/>
      </w:pPr>
      <w:rPr>
        <w:rFonts w:ascii="Verdana" w:eastAsiaTheme="minorEastAsi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D03258"/>
    <w:multiLevelType w:val="hybridMultilevel"/>
    <w:tmpl w:val="A4A01BF2"/>
    <w:lvl w:ilvl="0" w:tplc="9D8A21A8">
      <w:numFmt w:val="bullet"/>
      <w:lvlText w:val="-"/>
      <w:lvlJc w:val="left"/>
      <w:pPr>
        <w:ind w:left="720" w:hanging="360"/>
      </w:pPr>
      <w:rPr>
        <w:rFonts w:ascii="Verdana" w:eastAsiaTheme="minorEastAsi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C47306"/>
    <w:multiLevelType w:val="hybridMultilevel"/>
    <w:tmpl w:val="046E34B8"/>
    <w:lvl w:ilvl="0" w:tplc="041D000F">
      <w:start w:val="1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A9D2F0A"/>
    <w:multiLevelType w:val="hybridMultilevel"/>
    <w:tmpl w:val="6A0A7EDA"/>
    <w:lvl w:ilvl="0" w:tplc="9C18AF10">
      <w:start w:val="1"/>
      <w:numFmt w:val="bullet"/>
      <w:lvlText w:val="-"/>
      <w:lvlJc w:val="left"/>
      <w:pPr>
        <w:ind w:left="720" w:hanging="360"/>
      </w:pPr>
      <w:rPr>
        <w:rFonts w:ascii="Verdana" w:eastAsiaTheme="minorEastAsi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AD2800"/>
    <w:multiLevelType w:val="hybridMultilevel"/>
    <w:tmpl w:val="A3A6936C"/>
    <w:lvl w:ilvl="0" w:tplc="0F0EE65A">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53547996"/>
    <w:multiLevelType w:val="hybridMultilevel"/>
    <w:tmpl w:val="881AC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FC4121"/>
    <w:multiLevelType w:val="hybridMultilevel"/>
    <w:tmpl w:val="71CE5172"/>
    <w:lvl w:ilvl="0" w:tplc="E526842E">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6524D3"/>
    <w:multiLevelType w:val="hybridMultilevel"/>
    <w:tmpl w:val="F1029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7E4AA3"/>
    <w:multiLevelType w:val="multilevel"/>
    <w:tmpl w:val="015EC632"/>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644A240B"/>
    <w:multiLevelType w:val="hybridMultilevel"/>
    <w:tmpl w:val="F4F02DE8"/>
    <w:lvl w:ilvl="0" w:tplc="1F5431CE">
      <w:start w:val="3"/>
      <w:numFmt w:val="bullet"/>
      <w:lvlText w:val="-"/>
      <w:lvlJc w:val="left"/>
      <w:pPr>
        <w:ind w:left="720" w:hanging="360"/>
      </w:pPr>
      <w:rPr>
        <w:rFonts w:ascii="Verdana" w:eastAsiaTheme="minorEastAsi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C87416"/>
    <w:multiLevelType w:val="hybridMultilevel"/>
    <w:tmpl w:val="69742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407841"/>
    <w:multiLevelType w:val="hybridMultilevel"/>
    <w:tmpl w:val="23CEDD72"/>
    <w:lvl w:ilvl="0" w:tplc="10090001">
      <w:start w:val="1"/>
      <w:numFmt w:val="bullet"/>
      <w:lvlText w:val=""/>
      <w:lvlJc w:val="left"/>
      <w:pPr>
        <w:ind w:left="720" w:hanging="360"/>
      </w:pPr>
      <w:rPr>
        <w:rFonts w:ascii="Symbol" w:hAnsi="Symbol" w:hint="default"/>
      </w:rPr>
    </w:lvl>
    <w:lvl w:ilvl="1" w:tplc="D7FEDF22">
      <w:start w:val="1"/>
      <w:numFmt w:val="bullet"/>
      <w:lvlText w:val="•"/>
      <w:lvlJc w:val="left"/>
      <w:pPr>
        <w:ind w:left="1800" w:hanging="720"/>
      </w:pPr>
      <w:rPr>
        <w:rFonts w:ascii="Arial" w:eastAsiaTheme="minorEastAsia" w:hAnsi="Aria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E5A3518"/>
    <w:multiLevelType w:val="hybridMultilevel"/>
    <w:tmpl w:val="1FCAEE56"/>
    <w:lvl w:ilvl="0" w:tplc="7E1EC730">
      <w:start w:val="1"/>
      <w:numFmt w:val="upp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7066EB"/>
    <w:multiLevelType w:val="hybridMultilevel"/>
    <w:tmpl w:val="13448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C4668A8"/>
    <w:multiLevelType w:val="hybridMultilevel"/>
    <w:tmpl w:val="AE3007D4"/>
    <w:lvl w:ilvl="0" w:tplc="2FC63D3C">
      <w:start w:val="25"/>
      <w:numFmt w:val="bullet"/>
      <w:lvlText w:val="-"/>
      <w:lvlJc w:val="left"/>
      <w:pPr>
        <w:ind w:left="720" w:hanging="360"/>
      </w:pPr>
      <w:rPr>
        <w:rFonts w:ascii="Verdana" w:eastAsiaTheme="minorEastAsi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8"/>
  </w:num>
  <w:num w:numId="3">
    <w:abstractNumId w:val="21"/>
  </w:num>
  <w:num w:numId="4">
    <w:abstractNumId w:val="8"/>
  </w:num>
  <w:num w:numId="5">
    <w:abstractNumId w:val="2"/>
  </w:num>
  <w:num w:numId="6">
    <w:abstractNumId w:val="0"/>
  </w:num>
  <w:num w:numId="7">
    <w:abstractNumId w:val="14"/>
  </w:num>
  <w:num w:numId="8">
    <w:abstractNumId w:val="13"/>
  </w:num>
  <w:num w:numId="9">
    <w:abstractNumId w:val="6"/>
  </w:num>
  <w:num w:numId="10">
    <w:abstractNumId w:val="9"/>
  </w:num>
  <w:num w:numId="11">
    <w:abstractNumId w:val="22"/>
  </w:num>
  <w:num w:numId="12">
    <w:abstractNumId w:val="24"/>
  </w:num>
  <w:num w:numId="13">
    <w:abstractNumId w:val="30"/>
  </w:num>
  <w:num w:numId="14">
    <w:abstractNumId w:val="15"/>
  </w:num>
  <w:num w:numId="15">
    <w:abstractNumId w:val="16"/>
  </w:num>
  <w:num w:numId="16">
    <w:abstractNumId w:val="18"/>
  </w:num>
  <w:num w:numId="17">
    <w:abstractNumId w:val="7"/>
  </w:num>
  <w:num w:numId="18">
    <w:abstractNumId w:val="3"/>
  </w:num>
  <w:num w:numId="19">
    <w:abstractNumId w:val="29"/>
  </w:num>
  <w:num w:numId="20">
    <w:abstractNumId w:val="5"/>
  </w:num>
  <w:num w:numId="21">
    <w:abstractNumId w:val="10"/>
  </w:num>
  <w:num w:numId="22">
    <w:abstractNumId w:val="11"/>
  </w:num>
  <w:num w:numId="23">
    <w:abstractNumId w:val="23"/>
  </w:num>
  <w:num w:numId="24">
    <w:abstractNumId w:val="19"/>
  </w:num>
  <w:num w:numId="25">
    <w:abstractNumId w:val="17"/>
  </w:num>
  <w:num w:numId="26">
    <w:abstractNumId w:val="26"/>
  </w:num>
  <w:num w:numId="27">
    <w:abstractNumId w:val="25"/>
  </w:num>
  <w:num w:numId="28">
    <w:abstractNumId w:val="20"/>
  </w:num>
  <w:num w:numId="29">
    <w:abstractNumId w:val="12"/>
  </w:num>
  <w:num w:numId="30">
    <w:abstractNumId w:val="31"/>
  </w:num>
  <w:num w:numId="31">
    <w:abstractNumId w:val="1"/>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CA"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70E69"/>
    <w:rsid w:val="00027924"/>
    <w:rsid w:val="000A7C65"/>
    <w:rsid w:val="000C7C92"/>
    <w:rsid w:val="001B136A"/>
    <w:rsid w:val="00457DA0"/>
    <w:rsid w:val="004A2A6C"/>
    <w:rsid w:val="00670E69"/>
    <w:rsid w:val="006F3E4C"/>
    <w:rsid w:val="00777D0C"/>
    <w:rsid w:val="00823FD9"/>
    <w:rsid w:val="008A23BA"/>
    <w:rsid w:val="00B82702"/>
    <w:rsid w:val="00C83918"/>
    <w:rsid w:val="00E63ACC"/>
    <w:rsid w:val="00E913CD"/>
    <w:rsid w:val="00F323D1"/>
    <w:rsid w:val="00F57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F7CEDE-47B0-4BCD-82C8-96B717FCC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E69"/>
    <w:pPr>
      <w:spacing w:after="200" w:line="36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670E69"/>
    <w:pPr>
      <w:ind w:left="432" w:hanging="432"/>
      <w:outlineLvl w:val="0"/>
    </w:pPr>
    <w:rPr>
      <w:b/>
    </w:rPr>
  </w:style>
  <w:style w:type="paragraph" w:styleId="Heading2">
    <w:name w:val="heading 2"/>
    <w:basedOn w:val="Normal"/>
    <w:next w:val="Normal"/>
    <w:link w:val="Heading2Char"/>
    <w:uiPriority w:val="9"/>
    <w:unhideWhenUsed/>
    <w:qFormat/>
    <w:rsid w:val="00670E69"/>
    <w:pPr>
      <w:numPr>
        <w:ilvl w:val="1"/>
        <w:numId w:val="31"/>
      </w:numPr>
      <w:outlineLvl w:val="1"/>
    </w:pPr>
    <w:rPr>
      <w:b/>
      <w:i/>
    </w:rPr>
  </w:style>
  <w:style w:type="paragraph" w:styleId="Heading3">
    <w:name w:val="heading 3"/>
    <w:basedOn w:val="Normal"/>
    <w:next w:val="Normal"/>
    <w:link w:val="Heading3Char"/>
    <w:uiPriority w:val="9"/>
    <w:semiHidden/>
    <w:unhideWhenUsed/>
    <w:qFormat/>
    <w:rsid w:val="00670E69"/>
    <w:pPr>
      <w:keepNext/>
      <w:keepLines/>
      <w:numPr>
        <w:ilvl w:val="2"/>
        <w:numId w:val="31"/>
      </w:numPr>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70E69"/>
    <w:pPr>
      <w:keepNext/>
      <w:keepLines/>
      <w:numPr>
        <w:ilvl w:val="3"/>
        <w:numId w:val="3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670E69"/>
    <w:pPr>
      <w:keepNext/>
      <w:keepLines/>
      <w:numPr>
        <w:ilvl w:val="4"/>
        <w:numId w:val="3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70E69"/>
    <w:pPr>
      <w:keepNext/>
      <w:keepLines/>
      <w:numPr>
        <w:ilvl w:val="5"/>
        <w:numId w:val="3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70E69"/>
    <w:pPr>
      <w:keepNext/>
      <w:keepLines/>
      <w:numPr>
        <w:ilvl w:val="6"/>
        <w:numId w:val="3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70E69"/>
    <w:pPr>
      <w:keepNext/>
      <w:keepLines/>
      <w:numPr>
        <w:ilvl w:val="7"/>
        <w:numId w:val="3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70E69"/>
    <w:pPr>
      <w:keepNext/>
      <w:keepLines/>
      <w:numPr>
        <w:ilvl w:val="8"/>
        <w:numId w:val="3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E69"/>
    <w:rPr>
      <w:rFonts w:ascii="Times New Roman" w:eastAsiaTheme="minorEastAsia" w:hAnsi="Times New Roman" w:cs="Times New Roman"/>
      <w:b/>
      <w:sz w:val="24"/>
      <w:szCs w:val="24"/>
    </w:rPr>
  </w:style>
  <w:style w:type="character" w:customStyle="1" w:styleId="Heading2Char">
    <w:name w:val="Heading 2 Char"/>
    <w:basedOn w:val="DefaultParagraphFont"/>
    <w:link w:val="Heading2"/>
    <w:uiPriority w:val="9"/>
    <w:rsid w:val="00670E69"/>
    <w:rPr>
      <w:rFonts w:ascii="Times New Roman" w:eastAsiaTheme="minorEastAsia" w:hAnsi="Times New Roman" w:cs="Times New Roman"/>
      <w:b/>
      <w:i/>
      <w:sz w:val="24"/>
      <w:szCs w:val="24"/>
    </w:rPr>
  </w:style>
  <w:style w:type="character" w:customStyle="1" w:styleId="Heading3Char">
    <w:name w:val="Heading 3 Char"/>
    <w:basedOn w:val="DefaultParagraphFont"/>
    <w:link w:val="Heading3"/>
    <w:uiPriority w:val="9"/>
    <w:rsid w:val="00670E6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70E69"/>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rsid w:val="00670E69"/>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670E69"/>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670E69"/>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670E6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70E69"/>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670E69"/>
    <w:pPr>
      <w:ind w:left="720"/>
      <w:contextualSpacing/>
    </w:pPr>
  </w:style>
  <w:style w:type="character" w:styleId="CommentReference">
    <w:name w:val="annotation reference"/>
    <w:basedOn w:val="DefaultParagraphFont"/>
    <w:uiPriority w:val="99"/>
    <w:semiHidden/>
    <w:unhideWhenUsed/>
    <w:rsid w:val="00670E69"/>
    <w:rPr>
      <w:sz w:val="16"/>
      <w:szCs w:val="16"/>
    </w:rPr>
  </w:style>
  <w:style w:type="paragraph" w:styleId="CommentText">
    <w:name w:val="annotation text"/>
    <w:basedOn w:val="Normal"/>
    <w:link w:val="CommentTextChar"/>
    <w:uiPriority w:val="99"/>
    <w:unhideWhenUsed/>
    <w:rsid w:val="00670E69"/>
    <w:pPr>
      <w:spacing w:line="240" w:lineRule="auto"/>
    </w:pPr>
  </w:style>
  <w:style w:type="character" w:customStyle="1" w:styleId="CommentTextChar">
    <w:name w:val="Comment Text Char"/>
    <w:basedOn w:val="DefaultParagraphFont"/>
    <w:link w:val="CommentText"/>
    <w:uiPriority w:val="99"/>
    <w:rsid w:val="00670E69"/>
    <w:rPr>
      <w:rFonts w:ascii="Times New Roman" w:eastAsiaTheme="minorEastAsia"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70E69"/>
    <w:rPr>
      <w:b/>
      <w:bCs/>
    </w:rPr>
  </w:style>
  <w:style w:type="character" w:customStyle="1" w:styleId="CommentSubjectChar">
    <w:name w:val="Comment Subject Char"/>
    <w:basedOn w:val="CommentTextChar"/>
    <w:link w:val="CommentSubject"/>
    <w:uiPriority w:val="99"/>
    <w:semiHidden/>
    <w:rsid w:val="00670E69"/>
    <w:rPr>
      <w:rFonts w:ascii="Times New Roman" w:eastAsiaTheme="minorEastAsia" w:hAnsi="Times New Roman" w:cs="Times New Roman"/>
      <w:b/>
      <w:bCs/>
      <w:sz w:val="24"/>
      <w:szCs w:val="24"/>
    </w:rPr>
  </w:style>
  <w:style w:type="paragraph" w:styleId="BalloonText">
    <w:name w:val="Balloon Text"/>
    <w:basedOn w:val="Normal"/>
    <w:link w:val="BalloonTextChar"/>
    <w:uiPriority w:val="99"/>
    <w:semiHidden/>
    <w:unhideWhenUsed/>
    <w:rsid w:val="00670E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E69"/>
    <w:rPr>
      <w:rFonts w:ascii="Segoe UI" w:eastAsiaTheme="minorEastAsia" w:hAnsi="Segoe UI" w:cs="Segoe UI"/>
      <w:sz w:val="18"/>
      <w:szCs w:val="18"/>
    </w:rPr>
  </w:style>
  <w:style w:type="paragraph" w:styleId="Revision">
    <w:name w:val="Revision"/>
    <w:hidden/>
    <w:uiPriority w:val="99"/>
    <w:semiHidden/>
    <w:rsid w:val="00670E69"/>
    <w:pPr>
      <w:spacing w:after="0" w:line="240" w:lineRule="auto"/>
    </w:pPr>
    <w:rPr>
      <w:rFonts w:eastAsiaTheme="minorEastAsia"/>
      <w:lang w:val="en-CA"/>
    </w:rPr>
  </w:style>
  <w:style w:type="paragraph" w:styleId="Header">
    <w:name w:val="header"/>
    <w:basedOn w:val="Normal"/>
    <w:link w:val="HeaderChar"/>
    <w:uiPriority w:val="99"/>
    <w:unhideWhenUsed/>
    <w:rsid w:val="00670E69"/>
    <w:pPr>
      <w:tabs>
        <w:tab w:val="center" w:pos="4252"/>
        <w:tab w:val="right" w:pos="8504"/>
      </w:tabs>
      <w:snapToGrid w:val="0"/>
    </w:pPr>
  </w:style>
  <w:style w:type="character" w:customStyle="1" w:styleId="HeaderChar">
    <w:name w:val="Header Char"/>
    <w:basedOn w:val="DefaultParagraphFont"/>
    <w:link w:val="Header"/>
    <w:uiPriority w:val="99"/>
    <w:rsid w:val="00670E69"/>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670E69"/>
    <w:pPr>
      <w:tabs>
        <w:tab w:val="center" w:pos="4252"/>
        <w:tab w:val="right" w:pos="8504"/>
      </w:tabs>
      <w:snapToGrid w:val="0"/>
    </w:pPr>
  </w:style>
  <w:style w:type="character" w:customStyle="1" w:styleId="FooterChar">
    <w:name w:val="Footer Char"/>
    <w:basedOn w:val="DefaultParagraphFont"/>
    <w:link w:val="Footer"/>
    <w:uiPriority w:val="99"/>
    <w:rsid w:val="00670E69"/>
    <w:rPr>
      <w:rFonts w:ascii="Times New Roman" w:eastAsiaTheme="minorEastAsia" w:hAnsi="Times New Roman" w:cs="Times New Roman"/>
      <w:sz w:val="24"/>
      <w:szCs w:val="24"/>
    </w:rPr>
  </w:style>
  <w:style w:type="table" w:styleId="TableGrid">
    <w:name w:val="Table Grid"/>
    <w:basedOn w:val="TableNormal"/>
    <w:uiPriority w:val="39"/>
    <w:rsid w:val="00670E69"/>
    <w:pPr>
      <w:spacing w:after="0" w:line="240" w:lineRule="auto"/>
    </w:pPr>
    <w:rPr>
      <w:rFonts w:eastAsiaTheme="minorEastAsia"/>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670E69"/>
    <w:pPr>
      <w:spacing w:after="0" w:line="240" w:lineRule="auto"/>
    </w:pPr>
    <w:rPr>
      <w:rFonts w:eastAsiaTheme="minorEastAsia"/>
      <w:lang w:val="en-C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Title">
    <w:name w:val="EndNote Bibliography Title"/>
    <w:basedOn w:val="Normal"/>
    <w:link w:val="EndNoteBibliographyTitleChar"/>
    <w:rsid w:val="00670E69"/>
    <w:pPr>
      <w:spacing w:after="0"/>
      <w:jc w:val="center"/>
    </w:pPr>
    <w:rPr>
      <w:noProof/>
    </w:rPr>
  </w:style>
  <w:style w:type="character" w:customStyle="1" w:styleId="ListParagraphChar">
    <w:name w:val="List Paragraph Char"/>
    <w:basedOn w:val="DefaultParagraphFont"/>
    <w:link w:val="ListParagraph"/>
    <w:uiPriority w:val="34"/>
    <w:rsid w:val="00670E69"/>
    <w:rPr>
      <w:rFonts w:ascii="Times New Roman" w:eastAsiaTheme="minorEastAsia" w:hAnsi="Times New Roman" w:cs="Times New Roman"/>
      <w:sz w:val="24"/>
      <w:szCs w:val="24"/>
    </w:rPr>
  </w:style>
  <w:style w:type="character" w:customStyle="1" w:styleId="EndNoteBibliographyTitleChar">
    <w:name w:val="EndNote Bibliography Title Char"/>
    <w:basedOn w:val="ListParagraphChar"/>
    <w:link w:val="EndNoteBibliographyTitle"/>
    <w:rsid w:val="00670E69"/>
    <w:rPr>
      <w:rFonts w:ascii="Times New Roman" w:eastAsiaTheme="minorEastAsia" w:hAnsi="Times New Roman" w:cs="Times New Roman"/>
      <w:noProof/>
      <w:sz w:val="24"/>
      <w:szCs w:val="24"/>
    </w:rPr>
  </w:style>
  <w:style w:type="paragraph" w:customStyle="1" w:styleId="EndNoteBibliography">
    <w:name w:val="EndNote Bibliography"/>
    <w:basedOn w:val="Normal"/>
    <w:link w:val="EndNoteBibliographyChar"/>
    <w:rsid w:val="00670E69"/>
    <w:pPr>
      <w:spacing w:line="240" w:lineRule="auto"/>
    </w:pPr>
    <w:rPr>
      <w:noProof/>
    </w:rPr>
  </w:style>
  <w:style w:type="character" w:customStyle="1" w:styleId="EndNoteBibliographyChar">
    <w:name w:val="EndNote Bibliography Char"/>
    <w:basedOn w:val="ListParagraphChar"/>
    <w:link w:val="EndNoteBibliography"/>
    <w:rsid w:val="00670E69"/>
    <w:rPr>
      <w:rFonts w:ascii="Times New Roman" w:eastAsiaTheme="minorEastAsia" w:hAnsi="Times New Roman" w:cs="Times New Roman"/>
      <w:noProof/>
      <w:sz w:val="24"/>
      <w:szCs w:val="24"/>
    </w:rPr>
  </w:style>
  <w:style w:type="character" w:customStyle="1" w:styleId="apple-converted-space">
    <w:name w:val="apple-converted-space"/>
    <w:basedOn w:val="DefaultParagraphFont"/>
    <w:rsid w:val="00670E69"/>
  </w:style>
  <w:style w:type="character" w:styleId="Hyperlink">
    <w:name w:val="Hyperlink"/>
    <w:basedOn w:val="DefaultParagraphFont"/>
    <w:uiPriority w:val="99"/>
    <w:unhideWhenUsed/>
    <w:rsid w:val="00670E69"/>
    <w:rPr>
      <w:color w:val="0563C1" w:themeColor="hyperlink"/>
      <w:u w:val="single"/>
    </w:rPr>
  </w:style>
  <w:style w:type="character" w:styleId="FollowedHyperlink">
    <w:name w:val="FollowedHyperlink"/>
    <w:basedOn w:val="DefaultParagraphFont"/>
    <w:uiPriority w:val="99"/>
    <w:semiHidden/>
    <w:unhideWhenUsed/>
    <w:rsid w:val="00670E69"/>
    <w:rPr>
      <w:color w:val="954F72" w:themeColor="followedHyperlink"/>
      <w:u w:val="single"/>
    </w:rPr>
  </w:style>
  <w:style w:type="paragraph" w:styleId="ListBullet">
    <w:name w:val="List Bullet"/>
    <w:basedOn w:val="Normal"/>
    <w:uiPriority w:val="99"/>
    <w:unhideWhenUsed/>
    <w:rsid w:val="00670E69"/>
    <w:pPr>
      <w:numPr>
        <w:numId w:val="6"/>
      </w:numPr>
      <w:contextualSpacing/>
    </w:pPr>
  </w:style>
  <w:style w:type="paragraph" w:styleId="NormalWeb">
    <w:name w:val="Normal (Web)"/>
    <w:basedOn w:val="Normal"/>
    <w:uiPriority w:val="99"/>
    <w:semiHidden/>
    <w:unhideWhenUsed/>
    <w:rsid w:val="00670E69"/>
    <w:pPr>
      <w:spacing w:before="100" w:beforeAutospacing="1" w:after="100" w:afterAutospacing="1" w:line="240" w:lineRule="auto"/>
    </w:pPr>
    <w:rPr>
      <w:rFonts w:eastAsia="Times New Roman"/>
      <w:lang w:eastAsia="en-GB"/>
    </w:rPr>
  </w:style>
  <w:style w:type="paragraph" w:customStyle="1" w:styleId="Default">
    <w:name w:val="Default"/>
    <w:rsid w:val="00670E69"/>
    <w:pPr>
      <w:autoSpaceDE w:val="0"/>
      <w:autoSpaceDN w:val="0"/>
      <w:adjustRightInd w:val="0"/>
      <w:spacing w:after="0" w:line="240" w:lineRule="auto"/>
    </w:pPr>
    <w:rPr>
      <w:rFonts w:ascii="Times New Roman" w:eastAsiaTheme="minorEastAsia" w:hAnsi="Times New Roman" w:cs="Times New Roman"/>
      <w:color w:val="000000"/>
      <w:sz w:val="24"/>
      <w:szCs w:val="24"/>
      <w:lang w:val="en-GB"/>
    </w:rPr>
  </w:style>
  <w:style w:type="character" w:styleId="Emphasis">
    <w:name w:val="Emphasis"/>
    <w:basedOn w:val="DefaultParagraphFont"/>
    <w:uiPriority w:val="20"/>
    <w:qFormat/>
    <w:rsid w:val="00670E69"/>
    <w:rPr>
      <w:i/>
      <w:iCs/>
    </w:rPr>
  </w:style>
  <w:style w:type="paragraph" w:customStyle="1" w:styleId="Firstlevelbullet">
    <w:name w:val="First level bullet"/>
    <w:basedOn w:val="ListParagraph"/>
    <w:link w:val="FirstlevelbulletChar"/>
    <w:qFormat/>
    <w:rsid w:val="00670E69"/>
    <w:pPr>
      <w:ind w:hanging="360"/>
    </w:pPr>
  </w:style>
  <w:style w:type="paragraph" w:customStyle="1" w:styleId="Secondlevelbullet">
    <w:name w:val="Second level bullet"/>
    <w:basedOn w:val="ListParagraph"/>
    <w:link w:val="SecondlevelbulletChar"/>
    <w:qFormat/>
    <w:rsid w:val="00670E69"/>
    <w:pPr>
      <w:ind w:left="1080" w:hanging="360"/>
    </w:pPr>
  </w:style>
  <w:style w:type="character" w:customStyle="1" w:styleId="FirstlevelbulletChar">
    <w:name w:val="First level bullet Char"/>
    <w:basedOn w:val="ListParagraphChar"/>
    <w:link w:val="Firstlevelbullet"/>
    <w:rsid w:val="00670E69"/>
    <w:rPr>
      <w:rFonts w:ascii="Times New Roman" w:eastAsiaTheme="minorEastAsia" w:hAnsi="Times New Roman" w:cs="Times New Roman"/>
      <w:sz w:val="24"/>
      <w:szCs w:val="24"/>
    </w:rPr>
  </w:style>
  <w:style w:type="paragraph" w:customStyle="1" w:styleId="Thirdlevelbullet">
    <w:name w:val="Third level bullet"/>
    <w:basedOn w:val="ListParagraph"/>
    <w:link w:val="ThirdlevelbulletChar"/>
    <w:qFormat/>
    <w:rsid w:val="00670E69"/>
    <w:pPr>
      <w:ind w:left="2160" w:hanging="360"/>
    </w:pPr>
  </w:style>
  <w:style w:type="character" w:customStyle="1" w:styleId="SecondlevelbulletChar">
    <w:name w:val="Second level bullet Char"/>
    <w:basedOn w:val="ListParagraphChar"/>
    <w:link w:val="Secondlevelbullet"/>
    <w:rsid w:val="00670E69"/>
    <w:rPr>
      <w:rFonts w:ascii="Times New Roman" w:eastAsiaTheme="minorEastAsia" w:hAnsi="Times New Roman" w:cs="Times New Roman"/>
      <w:sz w:val="24"/>
      <w:szCs w:val="24"/>
    </w:rPr>
  </w:style>
  <w:style w:type="character" w:customStyle="1" w:styleId="ThirdlevelbulletChar">
    <w:name w:val="Third level bullet Char"/>
    <w:basedOn w:val="ListParagraphChar"/>
    <w:link w:val="Thirdlevelbullet"/>
    <w:rsid w:val="00670E69"/>
    <w:rPr>
      <w:rFonts w:ascii="Times New Roman" w:eastAsiaTheme="minorEastAsia" w:hAnsi="Times New Roman" w:cs="Times New Roman"/>
      <w:sz w:val="24"/>
      <w:szCs w:val="24"/>
    </w:rPr>
  </w:style>
  <w:style w:type="character" w:customStyle="1" w:styleId="UnresolvedMention1">
    <w:name w:val="Unresolved Mention1"/>
    <w:basedOn w:val="DefaultParagraphFont"/>
    <w:uiPriority w:val="99"/>
    <w:semiHidden/>
    <w:unhideWhenUsed/>
    <w:rsid w:val="00670E69"/>
    <w:rPr>
      <w:color w:val="808080"/>
      <w:shd w:val="clear" w:color="auto" w:fill="E6E6E6"/>
    </w:rPr>
  </w:style>
  <w:style w:type="character" w:customStyle="1" w:styleId="Olstomnmnande1">
    <w:name w:val="Olöst omnämnande1"/>
    <w:basedOn w:val="DefaultParagraphFont"/>
    <w:uiPriority w:val="99"/>
    <w:semiHidden/>
    <w:unhideWhenUsed/>
    <w:rsid w:val="00670E69"/>
    <w:rPr>
      <w:color w:val="808080"/>
      <w:shd w:val="clear" w:color="auto" w:fill="E6E6E6"/>
    </w:rPr>
  </w:style>
  <w:style w:type="character" w:customStyle="1" w:styleId="UnresolvedMention2">
    <w:name w:val="Unresolved Mention2"/>
    <w:basedOn w:val="DefaultParagraphFont"/>
    <w:uiPriority w:val="99"/>
    <w:semiHidden/>
    <w:unhideWhenUsed/>
    <w:rsid w:val="00670E69"/>
    <w:rPr>
      <w:color w:val="808080"/>
      <w:shd w:val="clear" w:color="auto" w:fill="E6E6E6"/>
    </w:rPr>
  </w:style>
  <w:style w:type="paragraph" w:styleId="TOCHeading">
    <w:name w:val="TOC Heading"/>
    <w:basedOn w:val="Heading1"/>
    <w:next w:val="Normal"/>
    <w:uiPriority w:val="39"/>
    <w:unhideWhenUsed/>
    <w:qFormat/>
    <w:rsid w:val="00670E69"/>
    <w:pPr>
      <w:keepNext/>
      <w:keepLines/>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670E69"/>
    <w:pPr>
      <w:spacing w:after="100"/>
    </w:pPr>
  </w:style>
  <w:style w:type="paragraph" w:styleId="TOC2">
    <w:name w:val="toc 2"/>
    <w:basedOn w:val="Normal"/>
    <w:next w:val="Normal"/>
    <w:autoRedefine/>
    <w:uiPriority w:val="39"/>
    <w:unhideWhenUsed/>
    <w:rsid w:val="00670E69"/>
    <w:pPr>
      <w:spacing w:after="100"/>
      <w:ind w:left="240"/>
    </w:pPr>
  </w:style>
  <w:style w:type="paragraph" w:styleId="TOC3">
    <w:name w:val="toc 3"/>
    <w:basedOn w:val="Normal"/>
    <w:next w:val="Normal"/>
    <w:autoRedefine/>
    <w:uiPriority w:val="39"/>
    <w:unhideWhenUsed/>
    <w:rsid w:val="00670E69"/>
    <w:pPr>
      <w:spacing w:after="100" w:line="259" w:lineRule="auto"/>
      <w:ind w:left="440"/>
    </w:pPr>
    <w:rPr>
      <w:rFonts w:asciiTheme="minorHAnsi" w:hAnsiTheme="minorHAnsi"/>
      <w:sz w:val="22"/>
      <w:szCs w:val="22"/>
    </w:rPr>
  </w:style>
  <w:style w:type="character" w:customStyle="1" w:styleId="UnresolvedMention">
    <w:name w:val="Unresolved Mention"/>
    <w:basedOn w:val="DefaultParagraphFont"/>
    <w:uiPriority w:val="99"/>
    <w:semiHidden/>
    <w:unhideWhenUsed/>
    <w:rsid w:val="00670E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47DCC-E38B-4232-A357-E03DD3817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5264</Words>
  <Characters>30009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Groupe Conseil RES PUBLICA</Company>
  <LinksUpToDate>false</LinksUpToDate>
  <CharactersWithSpaces>35203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AXON</dc:creator>
  <cp:keywords/>
  <dc:description/>
  <cp:lastModifiedBy>Author</cp:lastModifiedBy>
  <cp:revision>2</cp:revision>
  <dcterms:created xsi:type="dcterms:W3CDTF">2019-02-28T18:09:00Z</dcterms:created>
  <dcterms:modified xsi:type="dcterms:W3CDTF">2019-02-28T18:09:00Z</dcterms:modified>
</cp:coreProperties>
</file>