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D3FF4" w14:textId="40608760" w:rsidR="00164B26" w:rsidRDefault="009667FD" w:rsidP="003F0518">
      <w:pPr>
        <w:spacing w:after="0"/>
        <w:rPr>
          <w:rFonts w:ascii="Arial" w:hAnsi="Arial" w:cs="Arial"/>
          <w:b/>
          <w:sz w:val="32"/>
        </w:rPr>
      </w:pPr>
      <w:proofErr w:type="spellStart"/>
      <w:r>
        <w:rPr>
          <w:rFonts w:ascii="Arial" w:hAnsi="Arial" w:cs="Arial"/>
          <w:b/>
          <w:sz w:val="32"/>
        </w:rPr>
        <w:t>PharmacoEconomics</w:t>
      </w:r>
      <w:proofErr w:type="spellEnd"/>
      <w:r>
        <w:rPr>
          <w:rFonts w:ascii="Arial" w:hAnsi="Arial" w:cs="Arial"/>
          <w:b/>
          <w:sz w:val="32"/>
        </w:rPr>
        <w:t xml:space="preserve"> - Open</w:t>
      </w:r>
    </w:p>
    <w:p w14:paraId="01A6BEFE" w14:textId="77777777" w:rsidR="009667FD" w:rsidRDefault="009667FD" w:rsidP="003F0518">
      <w:pPr>
        <w:spacing w:before="0" w:after="0"/>
        <w:jc w:val="left"/>
        <w:rPr>
          <w:rFonts w:ascii="Arial" w:hAnsi="Arial" w:cs="Arial"/>
          <w:b/>
          <w:sz w:val="32"/>
          <w:szCs w:val="32"/>
        </w:rPr>
      </w:pPr>
    </w:p>
    <w:p w14:paraId="2D3A8156" w14:textId="21562A70" w:rsidR="007D65CF" w:rsidRPr="00391BDF" w:rsidRDefault="001C78B5" w:rsidP="003F0518">
      <w:pPr>
        <w:spacing w:before="0" w:after="0"/>
        <w:jc w:val="left"/>
        <w:rPr>
          <w:rFonts w:ascii="Arial" w:hAnsi="Arial" w:cs="Arial"/>
          <w:b/>
          <w:sz w:val="32"/>
          <w:szCs w:val="32"/>
        </w:rPr>
      </w:pPr>
      <w:r>
        <w:rPr>
          <w:rFonts w:ascii="Arial" w:hAnsi="Arial" w:cs="Arial"/>
          <w:b/>
          <w:sz w:val="32"/>
          <w:szCs w:val="32"/>
        </w:rPr>
        <w:t>H</w:t>
      </w:r>
      <w:r w:rsidR="00391BDF" w:rsidRPr="00391BDF">
        <w:rPr>
          <w:rFonts w:ascii="Arial" w:hAnsi="Arial" w:cs="Arial"/>
          <w:b/>
          <w:sz w:val="32"/>
          <w:szCs w:val="32"/>
        </w:rPr>
        <w:t xml:space="preserve">ealth </w:t>
      </w:r>
      <w:r>
        <w:rPr>
          <w:rFonts w:ascii="Arial" w:hAnsi="Arial" w:cs="Arial"/>
          <w:b/>
          <w:sz w:val="32"/>
          <w:szCs w:val="32"/>
        </w:rPr>
        <w:t>E</w:t>
      </w:r>
      <w:r w:rsidR="00391BDF" w:rsidRPr="00391BDF">
        <w:rPr>
          <w:rFonts w:ascii="Arial" w:hAnsi="Arial" w:cs="Arial"/>
          <w:b/>
          <w:sz w:val="32"/>
          <w:szCs w:val="32"/>
        </w:rPr>
        <w:t xml:space="preserve">conomic </w:t>
      </w:r>
      <w:r>
        <w:rPr>
          <w:rFonts w:ascii="Arial" w:hAnsi="Arial" w:cs="Arial"/>
          <w:b/>
          <w:sz w:val="32"/>
          <w:szCs w:val="32"/>
        </w:rPr>
        <w:t>E</w:t>
      </w:r>
      <w:r w:rsidR="00391BDF" w:rsidRPr="00391BDF">
        <w:rPr>
          <w:rFonts w:ascii="Arial" w:hAnsi="Arial" w:cs="Arial"/>
          <w:b/>
          <w:sz w:val="32"/>
          <w:szCs w:val="32"/>
        </w:rPr>
        <w:t xml:space="preserve">vidence of </w:t>
      </w:r>
      <w:r>
        <w:rPr>
          <w:rFonts w:ascii="Arial" w:hAnsi="Arial" w:cs="Arial"/>
          <w:b/>
          <w:sz w:val="32"/>
          <w:szCs w:val="32"/>
        </w:rPr>
        <w:t>P</w:t>
      </w:r>
      <w:r w:rsidR="007E1862">
        <w:rPr>
          <w:rFonts w:ascii="Arial" w:hAnsi="Arial" w:cs="Arial"/>
          <w:b/>
          <w:sz w:val="32"/>
          <w:szCs w:val="32"/>
        </w:rPr>
        <w:t>oint-of-</w:t>
      </w:r>
      <w:r>
        <w:rPr>
          <w:rFonts w:ascii="Arial" w:hAnsi="Arial" w:cs="Arial"/>
          <w:b/>
          <w:sz w:val="32"/>
          <w:szCs w:val="32"/>
        </w:rPr>
        <w:t>C</w:t>
      </w:r>
      <w:r w:rsidR="007E1862">
        <w:rPr>
          <w:rFonts w:ascii="Arial" w:hAnsi="Arial" w:cs="Arial"/>
          <w:b/>
          <w:sz w:val="32"/>
          <w:szCs w:val="32"/>
        </w:rPr>
        <w:t xml:space="preserve">are </w:t>
      </w:r>
      <w:r>
        <w:rPr>
          <w:rFonts w:ascii="Arial" w:hAnsi="Arial" w:cs="Arial"/>
          <w:b/>
          <w:sz w:val="32"/>
          <w:szCs w:val="32"/>
        </w:rPr>
        <w:t>T</w:t>
      </w:r>
      <w:r w:rsidR="007E1862">
        <w:rPr>
          <w:rFonts w:ascii="Arial" w:hAnsi="Arial" w:cs="Arial"/>
          <w:b/>
          <w:sz w:val="32"/>
          <w:szCs w:val="32"/>
        </w:rPr>
        <w:t>esting</w:t>
      </w:r>
      <w:r w:rsidR="00391BDF" w:rsidRPr="00391BDF">
        <w:rPr>
          <w:rFonts w:ascii="Arial" w:hAnsi="Arial" w:cs="Arial"/>
          <w:b/>
          <w:sz w:val="32"/>
          <w:szCs w:val="32"/>
        </w:rPr>
        <w:t xml:space="preserve">: </w:t>
      </w:r>
      <w:r>
        <w:rPr>
          <w:rFonts w:ascii="Arial" w:hAnsi="Arial" w:cs="Arial"/>
          <w:b/>
          <w:sz w:val="32"/>
          <w:szCs w:val="32"/>
        </w:rPr>
        <w:t>A</w:t>
      </w:r>
      <w:r w:rsidR="00391BDF" w:rsidRPr="00391BDF">
        <w:rPr>
          <w:rFonts w:ascii="Arial" w:hAnsi="Arial" w:cs="Arial"/>
          <w:b/>
          <w:sz w:val="32"/>
          <w:szCs w:val="32"/>
        </w:rPr>
        <w:t xml:space="preserve"> </w:t>
      </w:r>
      <w:r>
        <w:rPr>
          <w:rFonts w:ascii="Arial" w:hAnsi="Arial" w:cs="Arial"/>
          <w:b/>
          <w:sz w:val="32"/>
          <w:szCs w:val="32"/>
        </w:rPr>
        <w:t>S</w:t>
      </w:r>
      <w:r w:rsidR="00391BDF" w:rsidRPr="00391BDF">
        <w:rPr>
          <w:rFonts w:ascii="Arial" w:hAnsi="Arial" w:cs="Arial"/>
          <w:b/>
          <w:sz w:val="32"/>
          <w:szCs w:val="32"/>
        </w:rPr>
        <w:t xml:space="preserve">ystematic </w:t>
      </w:r>
      <w:r>
        <w:rPr>
          <w:rFonts w:ascii="Arial" w:hAnsi="Arial" w:cs="Arial"/>
          <w:b/>
          <w:sz w:val="32"/>
          <w:szCs w:val="32"/>
        </w:rPr>
        <w:t>R</w:t>
      </w:r>
      <w:r w:rsidR="00391BDF" w:rsidRPr="00391BDF">
        <w:rPr>
          <w:rFonts w:ascii="Arial" w:hAnsi="Arial" w:cs="Arial"/>
          <w:b/>
          <w:sz w:val="32"/>
          <w:szCs w:val="32"/>
        </w:rPr>
        <w:t>eview</w:t>
      </w:r>
    </w:p>
    <w:p w14:paraId="401EDC67" w14:textId="77777777" w:rsidR="00164B26" w:rsidRDefault="00164B26" w:rsidP="003F0518">
      <w:pPr>
        <w:spacing w:line="240" w:lineRule="auto"/>
        <w:rPr>
          <w:sz w:val="18"/>
          <w:vertAlign w:val="superscript"/>
          <w:lang w:val="nl-NL"/>
        </w:rPr>
      </w:pPr>
      <w:proofErr w:type="spellStart"/>
      <w:r w:rsidRPr="00CF0BFC">
        <w:rPr>
          <w:sz w:val="22"/>
          <w:lang w:val="nl-NL"/>
        </w:rPr>
        <w:t>Deon</w:t>
      </w:r>
      <w:proofErr w:type="spellEnd"/>
      <w:r w:rsidRPr="00CF0BFC">
        <w:rPr>
          <w:sz w:val="22"/>
          <w:lang w:val="nl-NL"/>
        </w:rPr>
        <w:t xml:space="preserve"> Lingervelder</w:t>
      </w:r>
      <w:r w:rsidRPr="00CF0BFC">
        <w:rPr>
          <w:sz w:val="22"/>
          <w:vertAlign w:val="superscript"/>
          <w:lang w:val="nl-NL"/>
        </w:rPr>
        <w:t>1</w:t>
      </w:r>
      <w:r w:rsidRPr="00CF0BFC">
        <w:rPr>
          <w:sz w:val="22"/>
          <w:lang w:val="nl-NL"/>
        </w:rPr>
        <w:t>; Hendrik Koffijberg</w:t>
      </w:r>
      <w:r w:rsidRPr="00CF0BFC">
        <w:rPr>
          <w:sz w:val="22"/>
          <w:vertAlign w:val="superscript"/>
          <w:lang w:val="nl-NL"/>
        </w:rPr>
        <w:t>1</w:t>
      </w:r>
      <w:r w:rsidRPr="00CF0BFC">
        <w:rPr>
          <w:sz w:val="22"/>
          <w:lang w:val="nl-NL"/>
        </w:rPr>
        <w:t>; Ron Kusters</w:t>
      </w:r>
      <w:r w:rsidRPr="00CF0BFC">
        <w:rPr>
          <w:sz w:val="22"/>
          <w:vertAlign w:val="superscript"/>
          <w:lang w:val="nl-NL"/>
        </w:rPr>
        <w:t>1,2</w:t>
      </w:r>
      <w:r w:rsidRPr="00CF0BFC">
        <w:rPr>
          <w:sz w:val="22"/>
          <w:lang w:val="nl-NL"/>
        </w:rPr>
        <w:t>; Maarten J. IJzerman</w:t>
      </w:r>
      <w:r w:rsidRPr="00CF0BFC">
        <w:rPr>
          <w:sz w:val="22"/>
          <w:vertAlign w:val="superscript"/>
          <w:lang w:val="nl-NL"/>
        </w:rPr>
        <w:t>1,3, 4*.</w:t>
      </w:r>
    </w:p>
    <w:p w14:paraId="7AFA2BE3" w14:textId="77777777" w:rsidR="00164B26" w:rsidRPr="00FA4FEC" w:rsidRDefault="00164B26" w:rsidP="003F0518">
      <w:pPr>
        <w:spacing w:line="240" w:lineRule="auto"/>
        <w:rPr>
          <w:sz w:val="18"/>
          <w:lang w:val="nl-NL"/>
        </w:rPr>
      </w:pPr>
    </w:p>
    <w:p w14:paraId="6A72A6D0" w14:textId="77777777" w:rsidR="00164B26" w:rsidRPr="008B1572" w:rsidRDefault="00164B26" w:rsidP="003F0518">
      <w:pPr>
        <w:spacing w:line="240" w:lineRule="auto"/>
        <w:rPr>
          <w:sz w:val="18"/>
        </w:rPr>
      </w:pPr>
      <w:r w:rsidRPr="00FA4FEC">
        <w:rPr>
          <w:sz w:val="18"/>
          <w:vertAlign w:val="superscript"/>
        </w:rPr>
        <w:t xml:space="preserve">1 </w:t>
      </w:r>
      <w:r w:rsidRPr="006A5D34">
        <w:rPr>
          <w:noProof/>
          <w:sz w:val="18"/>
        </w:rPr>
        <w:t>Health Technology and Services Research Department, Technical Medical Centre, University of Twente, Enschede, The</w:t>
      </w:r>
      <w:r w:rsidRPr="008B1572">
        <w:rPr>
          <w:sz w:val="18"/>
        </w:rPr>
        <w:t xml:space="preserve"> Netherlands</w:t>
      </w:r>
    </w:p>
    <w:p w14:paraId="4B766370" w14:textId="77777777" w:rsidR="00164B26" w:rsidRPr="00FA4FEC" w:rsidRDefault="00164B26" w:rsidP="003F0518">
      <w:pPr>
        <w:spacing w:line="240" w:lineRule="auto"/>
        <w:rPr>
          <w:sz w:val="18"/>
        </w:rPr>
      </w:pPr>
      <w:r w:rsidRPr="00FA4FEC">
        <w:rPr>
          <w:sz w:val="18"/>
          <w:vertAlign w:val="superscript"/>
        </w:rPr>
        <w:t xml:space="preserve">2 </w:t>
      </w:r>
      <w:r w:rsidRPr="006A5D34">
        <w:rPr>
          <w:noProof/>
          <w:sz w:val="18"/>
        </w:rPr>
        <w:t>Laboratory for Clinical Chemistry and Haematology, Jeroen Bosch Hospital;</w:t>
      </w:r>
      <w:r w:rsidRPr="00FA4FEC">
        <w:rPr>
          <w:sz w:val="18"/>
        </w:rPr>
        <w:t xml:space="preserve"> The Netherlands</w:t>
      </w:r>
    </w:p>
    <w:p w14:paraId="17D18C6B" w14:textId="77777777" w:rsidR="00164B26" w:rsidRPr="008B1572" w:rsidRDefault="00164B26" w:rsidP="003F0518">
      <w:pPr>
        <w:spacing w:line="240" w:lineRule="auto"/>
        <w:rPr>
          <w:sz w:val="18"/>
        </w:rPr>
      </w:pPr>
      <w:r w:rsidRPr="00FA4FEC">
        <w:rPr>
          <w:sz w:val="18"/>
          <w:vertAlign w:val="superscript"/>
        </w:rPr>
        <w:t xml:space="preserve">3 </w:t>
      </w:r>
      <w:r w:rsidRPr="008B1572">
        <w:rPr>
          <w:sz w:val="18"/>
        </w:rPr>
        <w:t>Cancer Health Services Research Unit, School of Population and Global Health, Faculty of Medicine, Dentistry and Health Sciences, University of Melbourne, Melbourne, Australia</w:t>
      </w:r>
    </w:p>
    <w:p w14:paraId="5D049858" w14:textId="77777777" w:rsidR="00164B26" w:rsidRPr="00FA4FEC" w:rsidRDefault="00164B26" w:rsidP="003F0518">
      <w:pPr>
        <w:spacing w:line="240" w:lineRule="auto"/>
        <w:rPr>
          <w:sz w:val="18"/>
        </w:rPr>
      </w:pPr>
      <w:r>
        <w:rPr>
          <w:sz w:val="18"/>
          <w:vertAlign w:val="superscript"/>
        </w:rPr>
        <w:t xml:space="preserve">4 </w:t>
      </w:r>
      <w:r w:rsidRPr="008B1572">
        <w:rPr>
          <w:sz w:val="18"/>
        </w:rPr>
        <w:t>Victorian Comprehensive Cancer Centre, Melbourne, Australia</w:t>
      </w:r>
    </w:p>
    <w:p w14:paraId="14556002" w14:textId="77777777" w:rsidR="00164B26" w:rsidRPr="0009320D" w:rsidRDefault="00164B26" w:rsidP="003F0518">
      <w:r>
        <w:rPr>
          <w:sz w:val="18"/>
        </w:rPr>
        <w:t>*</w:t>
      </w:r>
      <w:r w:rsidRPr="008B1572">
        <w:rPr>
          <w:sz w:val="18"/>
        </w:rPr>
        <w:t xml:space="preserve">Corresponding Author: Maarten J. </w:t>
      </w:r>
      <w:proofErr w:type="spellStart"/>
      <w:r w:rsidRPr="008B1572">
        <w:rPr>
          <w:sz w:val="18"/>
        </w:rPr>
        <w:t>IJzerman</w:t>
      </w:r>
      <w:proofErr w:type="spellEnd"/>
      <w:r w:rsidRPr="008B1572">
        <w:rPr>
          <w:sz w:val="18"/>
        </w:rPr>
        <w:t xml:space="preserve">, Health Technology </w:t>
      </w:r>
      <w:r w:rsidRPr="00C35FE6">
        <w:rPr>
          <w:noProof/>
          <w:sz w:val="18"/>
        </w:rPr>
        <w:t>and</w:t>
      </w:r>
      <w:r w:rsidRPr="008B1572">
        <w:rPr>
          <w:sz w:val="18"/>
        </w:rPr>
        <w:t xml:space="preserve"> Services Research Department, Technical Medical Centre, University of Twente, P.O. Box 217, Enschede, 7500 AE, The Netherlands (m.j.ijzerman@utwente.nl).</w:t>
      </w:r>
    </w:p>
    <w:p w14:paraId="2A50DFC1" w14:textId="77777777" w:rsidR="00164B26" w:rsidRDefault="00164B26" w:rsidP="003F0518">
      <w:pPr>
        <w:rPr>
          <w:color w:val="FF0000"/>
        </w:rPr>
      </w:pPr>
    </w:p>
    <w:p w14:paraId="7A6D869F" w14:textId="77777777" w:rsidR="00164B26" w:rsidRDefault="00164B26" w:rsidP="003F0518"/>
    <w:p w14:paraId="03191A45" w14:textId="77777777" w:rsidR="00164B26" w:rsidRDefault="00164B26" w:rsidP="003F0518">
      <w:pPr>
        <w:rPr>
          <w:color w:val="FF0000"/>
        </w:rPr>
      </w:pPr>
    </w:p>
    <w:p w14:paraId="23BADF58" w14:textId="2CAAA445" w:rsidR="00B02794" w:rsidRDefault="00164B26" w:rsidP="003F0518">
      <w:pPr>
        <w:jc w:val="left"/>
      </w:pPr>
      <w:r>
        <w:br w:type="page"/>
      </w:r>
    </w:p>
    <w:p w14:paraId="491DB318" w14:textId="77777777" w:rsidR="00F03ECE" w:rsidRDefault="00F03ECE" w:rsidP="00F03ECE"/>
    <w:p w14:paraId="5E709958" w14:textId="6F6CE9D5" w:rsidR="007A3A37" w:rsidRPr="001E1CEF" w:rsidRDefault="000A3B53" w:rsidP="00CB5018">
      <w:pPr>
        <w:pStyle w:val="Heading1"/>
        <w:numPr>
          <w:ilvl w:val="0"/>
          <w:numId w:val="0"/>
        </w:numPr>
      </w:pPr>
      <w:r>
        <w:t>Supplementary Material</w:t>
      </w:r>
      <w:r w:rsidR="007A62FA">
        <w:t xml:space="preserve"> A. Review Protocol</w:t>
      </w:r>
    </w:p>
    <w:p w14:paraId="464DC515" w14:textId="77777777" w:rsidR="007A62FA" w:rsidRPr="00B57914" w:rsidRDefault="007A62FA" w:rsidP="007A62FA">
      <w:pPr>
        <w:pStyle w:val="NoSpacing"/>
        <w:jc w:val="center"/>
      </w:pPr>
      <w:r w:rsidRPr="00B57914">
        <w:rPr>
          <w:noProof/>
        </w:rPr>
        <w:drawing>
          <wp:inline distT="0" distB="0" distL="0" distR="0" wp14:anchorId="661E5639" wp14:editId="34DEBE32">
            <wp:extent cx="4159459" cy="17754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11711" cy="1797764"/>
                    </a:xfrm>
                    <a:prstGeom prst="rect">
                      <a:avLst/>
                    </a:prstGeom>
                    <a:noFill/>
                  </pic:spPr>
                </pic:pic>
              </a:graphicData>
            </a:graphic>
          </wp:inline>
        </w:drawing>
      </w:r>
    </w:p>
    <w:p w14:paraId="48FD0141" w14:textId="2078D424" w:rsidR="00EB4C79" w:rsidRDefault="007A62FA" w:rsidP="007A62FA">
      <w:pPr>
        <w:pStyle w:val="Caption"/>
        <w:jc w:val="center"/>
      </w:pPr>
      <w:r w:rsidRPr="00B57914">
        <w:t xml:space="preserve">Figure </w:t>
      </w:r>
      <w:r>
        <w:t>A</w:t>
      </w:r>
      <w:r w:rsidRPr="00B57914">
        <w:fldChar w:fldCharType="begin"/>
      </w:r>
      <w:r w:rsidRPr="00B57914">
        <w:instrText xml:space="preserve"> SEQ Figure \* ARABIC </w:instrText>
      </w:r>
      <w:r w:rsidRPr="00B57914">
        <w:fldChar w:fldCharType="separate"/>
      </w:r>
      <w:r w:rsidRPr="00B57914">
        <w:rPr>
          <w:noProof/>
        </w:rPr>
        <w:t>1</w:t>
      </w:r>
      <w:r w:rsidRPr="00B57914">
        <w:fldChar w:fldCharType="end"/>
      </w:r>
      <w:r w:rsidRPr="00B57914">
        <w:t>. Review protocol</w:t>
      </w:r>
    </w:p>
    <w:p w14:paraId="3EBAD3EB" w14:textId="77777777" w:rsidR="00370FA7" w:rsidRPr="00CB5018" w:rsidRDefault="00370FA7" w:rsidP="00CB5018"/>
    <w:p w14:paraId="6FBA5121" w14:textId="5442AFF3" w:rsidR="00C93E87" w:rsidRDefault="00C93E87" w:rsidP="00C93E87"/>
    <w:p w14:paraId="128936E6" w14:textId="15A1800E" w:rsidR="00C93E87" w:rsidRPr="003F0518" w:rsidRDefault="00C93E87">
      <w:pPr>
        <w:rPr>
          <w:i/>
          <w:iCs/>
        </w:rPr>
        <w:sectPr w:rsidR="00C93E87" w:rsidRPr="003F0518">
          <w:pgSz w:w="11906" w:h="16838"/>
          <w:pgMar w:top="1417" w:right="1417" w:bottom="1417" w:left="1417" w:header="708" w:footer="708" w:gutter="0"/>
          <w:cols w:space="708"/>
          <w:docGrid w:linePitch="360"/>
        </w:sectPr>
        <w:pPrChange w:id="0" w:author="Author" w:date="2020-11-18T09:46:00Z">
          <w:pPr>
            <w:pStyle w:val="Caption"/>
            <w:jc w:val="center"/>
          </w:pPr>
        </w:pPrChange>
      </w:pPr>
    </w:p>
    <w:p w14:paraId="35E149FA" w14:textId="3D823118" w:rsidR="00B2138E" w:rsidRPr="001E1CEF" w:rsidRDefault="000A3B53" w:rsidP="00B2138E">
      <w:pPr>
        <w:pStyle w:val="Heading1"/>
        <w:numPr>
          <w:ilvl w:val="0"/>
          <w:numId w:val="0"/>
        </w:numPr>
      </w:pPr>
      <w:r>
        <w:lastRenderedPageBreak/>
        <w:t xml:space="preserve">Supplementary Material </w:t>
      </w:r>
      <w:r w:rsidR="00675D06">
        <w:t>B</w:t>
      </w:r>
    </w:p>
    <w:p w14:paraId="14A26AA0" w14:textId="45B8AD18" w:rsidR="00B2138E" w:rsidRDefault="00B31B41" w:rsidP="00B2138E">
      <w:r>
        <w:t xml:space="preserve">Table </w:t>
      </w:r>
      <w:r w:rsidR="00675D06">
        <w:t>B</w:t>
      </w:r>
      <w:r>
        <w:t>1.</w:t>
      </w:r>
      <w:r w:rsidR="00A17831" w:rsidRPr="00A17831">
        <w:t xml:space="preserve"> </w:t>
      </w:r>
      <w:r w:rsidR="00A17831">
        <w:t xml:space="preserve">Outcomes of </w:t>
      </w:r>
      <w:r w:rsidR="00D173E9">
        <w:t>POCT</w:t>
      </w:r>
      <w:r w:rsidR="00A17831">
        <w:t xml:space="preserve"> for Screening</w:t>
      </w:r>
    </w:p>
    <w:tbl>
      <w:tblPr>
        <w:tblW w:w="12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2516"/>
        <w:gridCol w:w="2693"/>
        <w:gridCol w:w="3260"/>
        <w:gridCol w:w="1684"/>
        <w:gridCol w:w="1531"/>
      </w:tblGrid>
      <w:tr w:rsidR="0027348D" w:rsidRPr="0027348D" w14:paraId="5C623445" w14:textId="77777777" w:rsidTr="005F718B">
        <w:trPr>
          <w:trHeight w:val="283"/>
        </w:trPr>
        <w:tc>
          <w:tcPr>
            <w:tcW w:w="12849" w:type="dxa"/>
            <w:gridSpan w:val="6"/>
            <w:shd w:val="clear" w:color="auto" w:fill="auto"/>
            <w:vAlign w:val="center"/>
          </w:tcPr>
          <w:p w14:paraId="1D80419F"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000000"/>
                <w:sz w:val="16"/>
                <w:szCs w:val="16"/>
              </w:rPr>
              <w:t>Primary Care</w:t>
            </w:r>
          </w:p>
        </w:tc>
      </w:tr>
      <w:tr w:rsidR="0027348D" w:rsidRPr="0027348D" w14:paraId="59C686F4" w14:textId="77777777" w:rsidTr="005F718B">
        <w:trPr>
          <w:trHeight w:val="283"/>
        </w:trPr>
        <w:tc>
          <w:tcPr>
            <w:tcW w:w="1165" w:type="dxa"/>
            <w:shd w:val="clear" w:color="auto" w:fill="auto"/>
            <w:vAlign w:val="center"/>
            <w:hideMark/>
          </w:tcPr>
          <w:p w14:paraId="3E7C2E28"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000000"/>
                <w:sz w:val="16"/>
                <w:szCs w:val="16"/>
              </w:rPr>
              <w:t>Author, Year</w:t>
            </w:r>
          </w:p>
        </w:tc>
        <w:tc>
          <w:tcPr>
            <w:tcW w:w="2516" w:type="dxa"/>
            <w:shd w:val="clear" w:color="auto" w:fill="auto"/>
            <w:vAlign w:val="center"/>
            <w:hideMark/>
          </w:tcPr>
          <w:p w14:paraId="3D038E5F"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000000"/>
                <w:sz w:val="16"/>
                <w:szCs w:val="16"/>
              </w:rPr>
              <w:t>Cost per patient</w:t>
            </w:r>
          </w:p>
        </w:tc>
        <w:tc>
          <w:tcPr>
            <w:tcW w:w="2693" w:type="dxa"/>
            <w:shd w:val="clear" w:color="auto" w:fill="auto"/>
            <w:vAlign w:val="center"/>
            <w:hideMark/>
          </w:tcPr>
          <w:p w14:paraId="4C79A42F"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000000"/>
                <w:sz w:val="16"/>
                <w:szCs w:val="16"/>
              </w:rPr>
              <w:t>Overall cost</w:t>
            </w:r>
          </w:p>
        </w:tc>
        <w:tc>
          <w:tcPr>
            <w:tcW w:w="3260" w:type="dxa"/>
            <w:shd w:val="clear" w:color="auto" w:fill="auto"/>
            <w:vAlign w:val="center"/>
            <w:hideMark/>
          </w:tcPr>
          <w:p w14:paraId="719C7876"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000000"/>
                <w:sz w:val="16"/>
                <w:szCs w:val="16"/>
              </w:rPr>
              <w:t>Effectiveness</w:t>
            </w:r>
          </w:p>
        </w:tc>
        <w:tc>
          <w:tcPr>
            <w:tcW w:w="1684" w:type="dxa"/>
            <w:shd w:val="clear" w:color="auto" w:fill="auto"/>
            <w:vAlign w:val="center"/>
            <w:hideMark/>
          </w:tcPr>
          <w:p w14:paraId="1AC63B75"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000000"/>
                <w:sz w:val="16"/>
                <w:szCs w:val="16"/>
              </w:rPr>
              <w:t>Ratio</w:t>
            </w:r>
          </w:p>
        </w:tc>
        <w:tc>
          <w:tcPr>
            <w:tcW w:w="1531" w:type="dxa"/>
            <w:shd w:val="clear" w:color="auto" w:fill="auto"/>
            <w:vAlign w:val="center"/>
            <w:hideMark/>
          </w:tcPr>
          <w:p w14:paraId="41E3C342"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000000"/>
                <w:sz w:val="16"/>
                <w:szCs w:val="16"/>
              </w:rPr>
              <w:t>Conclusion</w:t>
            </w:r>
          </w:p>
        </w:tc>
      </w:tr>
      <w:tr w:rsidR="0027348D" w:rsidRPr="0027348D" w14:paraId="2252EAC7" w14:textId="77777777" w:rsidTr="005F718B">
        <w:trPr>
          <w:trHeight w:val="795"/>
        </w:trPr>
        <w:tc>
          <w:tcPr>
            <w:tcW w:w="1165" w:type="dxa"/>
            <w:shd w:val="clear" w:color="auto" w:fill="auto"/>
            <w:vAlign w:val="center"/>
          </w:tcPr>
          <w:p w14:paraId="30341F86" w14:textId="349FC85D" w:rsidR="0027348D" w:rsidRPr="0027348D" w:rsidRDefault="00446B9E" w:rsidP="0027348D">
            <w:pPr>
              <w:widowControl/>
              <w:adjustRightInd/>
              <w:spacing w:before="0" w:after="0" w:line="240" w:lineRule="auto"/>
              <w:jc w:val="left"/>
              <w:textAlignment w:val="auto"/>
              <w:rPr>
                <w:rFonts w:ascii="Calibri Light" w:hAnsi="Calibri Light" w:cs="Calibri Light"/>
                <w:color w:val="000000"/>
                <w:sz w:val="16"/>
                <w:szCs w:val="16"/>
              </w:rPr>
            </w:pPr>
            <w:r w:rsidRPr="00F03ECE">
              <w:rPr>
                <w:rFonts w:ascii="Calibri Light" w:hAnsi="Calibri Light" w:cs="Calibri Light"/>
                <w:color w:val="000000"/>
                <w:sz w:val="16"/>
                <w:szCs w:val="16"/>
              </w:rPr>
              <w:t>Gout</w:t>
            </w:r>
            <w:r w:rsidRPr="00F03ECE">
              <w:rPr>
                <w:rFonts w:ascii="Cambria Math" w:hAnsi="Cambria Math" w:cs="Cambria Math"/>
                <w:color w:val="000000"/>
                <w:sz w:val="16"/>
                <w:szCs w:val="16"/>
              </w:rPr>
              <w:t>‑</w:t>
            </w:r>
            <w:r w:rsidRPr="00F03ECE">
              <w:rPr>
                <w:rFonts w:ascii="Calibri Light" w:hAnsi="Calibri Light" w:cs="Calibri Light"/>
                <w:color w:val="000000"/>
                <w:sz w:val="16"/>
                <w:szCs w:val="16"/>
              </w:rPr>
              <w:t>Zwart et al. 2019</w:t>
            </w:r>
            <w:r>
              <w:rPr>
                <w:rFonts w:ascii="Calibri Light" w:hAnsi="Calibri Light" w:cs="Calibri Light"/>
                <w:color w:val="000000"/>
                <w:sz w:val="16"/>
                <w:szCs w:val="16"/>
              </w:rPr>
              <w:t xml:space="preserve"> </w:t>
            </w:r>
            <w:r>
              <w:rPr>
                <w:rFonts w:ascii="Calibri Light" w:hAnsi="Calibri Light" w:cs="Calibri Light"/>
                <w:color w:val="000000"/>
                <w:sz w:val="16"/>
                <w:szCs w:val="16"/>
              </w:rPr>
              <w:fldChar w:fldCharType="begin" w:fldLock="1"/>
            </w:r>
            <w:r>
              <w:rPr>
                <w:rFonts w:ascii="Calibri Light" w:hAnsi="Calibri Light" w:cs="Calibri Light"/>
                <w:color w:val="000000"/>
                <w:sz w:val="16"/>
                <w:szCs w:val="16"/>
              </w:rPr>
              <w:instrText>ADDIN CSL_CITATION {"citationItems":[{"id":"ITEM-1","itemData":{"DOI":"10.1007/s40258-018-0426-2","ISBN":"0123456789","ISSN":"11791896","PMID":"30175396","abstract":"Objectives: Medication errors that lead to adverse drug reactions are a key cause of unintentional patient harm and subsequent economic burden. To prevent this, measurement of renal function could be considered. The aim of this study was to determine the budget impact of obtaining and evaluating renal function in community pharmacies in the Netherlands to prevent antibiotic-related hospitalizations. Methods: A decision model was built to simulate the process of antibiotic prescriptions in community pharmacies with and without the use of a point-of-care test (PoCT) in patients aged 65 years and older. By using a PoCT, the number of patients with renal function values available increases, leading to the possibility of dose adjustment when necessary. In turn, this might avoid hospitalizations. For this study, real-life patient data were used from 351 community pharmacies. Direct costs of renal function screening, antibiotic treatments, and medical care due to antibiotic-related hospitalization were included. Results: The budget impact analysis showed annual cost-savings of €86 per patient through the availability of renal function values in Dutch community pharmacies. Savings were mostly due to avoided hospitalizations. Conclusion: Obtaining and evaluating renal function in community pharmacies by point of care tests is expected to be cost-saving in the Netherlands.","author":[{"dropping-particle":"","family":"Gout-Zwart","given":"Judith J.","non-dropping-particle":"","parse-names":false,"suffix":""},{"dropping-particle":"","family":"Olde Hengel","given":"Erien H.J.","non-dropping-particle":"","parse-names":false,"suffix":""},{"dropping-particle":"","family":"Hoogland","given":"Petra","non-dropping-particle":"","parse-names":false,"suffix":""},{"dropping-particle":"","family":"Postma","given":"Maarten J.","non-dropping-particle":"","parse-names":false,"suffix":""}],"container-title":"Applied Health Economics and Health Policy","id":"ITEM-1","issue":"1","issued":{"date-parts":[["2019"]]},"page":"55-63","publisher":"Springer International Publishing","title":"Budget Impact Analysis of a Renal Point-of-Care Test in Dutch Community Pharmacies to Prevent Antibiotic-Related Hospitalizations","type":"article-journal","volume":"17"},"uris":["http://www.mendeley.com/documents/?uuid=8efa928f-bc07-4046-981e-0ba6f32c8179"]}],"mendeley":{"formattedCitation":"[43]","plainTextFormattedCitation":"[43]","previouslyFormattedCitation":"[42]"},"properties":{"noteIndex":0},"schema":"https://github.com/citation-style-language/schema/raw/master/csl-citation.json"}</w:instrText>
            </w:r>
            <w:r>
              <w:rPr>
                <w:rFonts w:ascii="Calibri Light" w:hAnsi="Calibri Light" w:cs="Calibri Light"/>
                <w:color w:val="000000"/>
                <w:sz w:val="16"/>
                <w:szCs w:val="16"/>
              </w:rPr>
              <w:fldChar w:fldCharType="separate"/>
            </w:r>
            <w:r w:rsidRPr="004A39DD">
              <w:rPr>
                <w:rFonts w:ascii="Calibri Light" w:hAnsi="Calibri Light" w:cs="Calibri Light"/>
                <w:noProof/>
                <w:color w:val="000000"/>
                <w:sz w:val="16"/>
                <w:szCs w:val="16"/>
              </w:rPr>
              <w:t>[43]</w:t>
            </w:r>
            <w:r>
              <w:rPr>
                <w:rFonts w:ascii="Calibri Light" w:hAnsi="Calibri Light" w:cs="Calibri Light"/>
                <w:color w:val="000000"/>
                <w:sz w:val="16"/>
                <w:szCs w:val="16"/>
              </w:rPr>
              <w:fldChar w:fldCharType="end"/>
            </w:r>
          </w:p>
        </w:tc>
        <w:tc>
          <w:tcPr>
            <w:tcW w:w="2516" w:type="dxa"/>
            <w:shd w:val="clear" w:color="auto" w:fill="auto"/>
            <w:vAlign w:val="center"/>
          </w:tcPr>
          <w:p w14:paraId="5AAA2C33"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sz w:val="16"/>
                <w:szCs w:val="16"/>
              </w:rPr>
              <w:t>Standard care: €264.20; POCT: €178.12; Cost savings of €86.08</w:t>
            </w:r>
          </w:p>
        </w:tc>
        <w:tc>
          <w:tcPr>
            <w:tcW w:w="2693" w:type="dxa"/>
            <w:shd w:val="clear" w:color="auto" w:fill="auto"/>
            <w:vAlign w:val="center"/>
          </w:tcPr>
          <w:p w14:paraId="4D6E762B"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p>
        </w:tc>
        <w:tc>
          <w:tcPr>
            <w:tcW w:w="3260" w:type="dxa"/>
            <w:shd w:val="clear" w:color="auto" w:fill="auto"/>
            <w:vAlign w:val="center"/>
          </w:tcPr>
          <w:p w14:paraId="21B84111"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p>
        </w:tc>
        <w:tc>
          <w:tcPr>
            <w:tcW w:w="1684" w:type="dxa"/>
            <w:shd w:val="clear" w:color="auto" w:fill="auto"/>
            <w:vAlign w:val="center"/>
          </w:tcPr>
          <w:p w14:paraId="34A4DCCD"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FF0000"/>
                <w:sz w:val="16"/>
                <w:szCs w:val="16"/>
              </w:rPr>
            </w:pPr>
          </w:p>
        </w:tc>
        <w:tc>
          <w:tcPr>
            <w:tcW w:w="1531" w:type="dxa"/>
            <w:shd w:val="clear" w:color="auto" w:fill="auto"/>
            <w:vAlign w:val="center"/>
          </w:tcPr>
          <w:p w14:paraId="33B78415"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color w:val="000000"/>
                <w:sz w:val="16"/>
                <w:szCs w:val="16"/>
              </w:rPr>
              <w:t>In favor of POCT</w:t>
            </w:r>
          </w:p>
        </w:tc>
      </w:tr>
      <w:tr w:rsidR="0027348D" w:rsidRPr="0027348D" w14:paraId="34CB92E9" w14:textId="77777777" w:rsidTr="005F718B">
        <w:trPr>
          <w:trHeight w:val="795"/>
        </w:trPr>
        <w:tc>
          <w:tcPr>
            <w:tcW w:w="1165" w:type="dxa"/>
            <w:shd w:val="clear" w:color="auto" w:fill="auto"/>
            <w:vAlign w:val="center"/>
            <w:hideMark/>
          </w:tcPr>
          <w:p w14:paraId="6205A344" w14:textId="6FC27AC9" w:rsidR="0027348D" w:rsidRPr="0027348D" w:rsidRDefault="007E3F4F" w:rsidP="0027348D">
            <w:pPr>
              <w:widowControl/>
              <w:adjustRightInd/>
              <w:spacing w:before="0" w:after="0" w:line="240" w:lineRule="auto"/>
              <w:jc w:val="left"/>
              <w:textAlignment w:val="auto"/>
              <w:rPr>
                <w:rFonts w:ascii="Calibri Light" w:hAnsi="Calibri Light" w:cs="Calibri Light"/>
                <w:color w:val="000000"/>
                <w:sz w:val="16"/>
                <w:szCs w:val="16"/>
              </w:rPr>
            </w:pPr>
            <w:r w:rsidRPr="00F03ECE">
              <w:rPr>
                <w:rFonts w:ascii="Calibri Light" w:hAnsi="Calibri Light" w:cs="Calibri Light"/>
                <w:color w:val="000000"/>
                <w:sz w:val="16"/>
                <w:szCs w:val="18"/>
              </w:rPr>
              <w:t>El-</w:t>
            </w:r>
            <w:proofErr w:type="spellStart"/>
            <w:r w:rsidRPr="00F03ECE">
              <w:rPr>
                <w:rFonts w:ascii="Calibri Light" w:hAnsi="Calibri Light" w:cs="Calibri Light"/>
                <w:color w:val="000000"/>
                <w:sz w:val="16"/>
                <w:szCs w:val="18"/>
              </w:rPr>
              <w:t>Osta</w:t>
            </w:r>
            <w:proofErr w:type="spellEnd"/>
            <w:r w:rsidRPr="00F03ECE">
              <w:rPr>
                <w:rFonts w:ascii="Calibri Light" w:hAnsi="Calibri Light" w:cs="Calibri Light"/>
                <w:color w:val="000000"/>
                <w:sz w:val="16"/>
                <w:szCs w:val="18"/>
              </w:rPr>
              <w:t xml:space="preserve"> et al., 2017</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{"citationItems":[{"id":"ITEM-1","itemData":{"DOI":"10.1136/bmjopen-2016-015494","ISSN":"20446055","PMID":"28814583","abstract":"OBJECTIVE To determine if use of point of care testing (POCT) is less costly than laboratory testing to the National Health Service (NHS) in delivering the NHS Health Check (NHSHC) programme in the primary care setting. DESIGN Observational study and theoretical mathematical model with microcosting approach. SETTING We collected data on NHSHC delivered at nine general practices (seven using POCT; two not using POCT). PARTICIPANTS We recruited nine general practices offering NHSHC and a pathology services laboratory in the same area. METHODS We conducted mathematical modelling with permutations in the following fields: provider type (healthcare assistant or nurse), type of test performed (total cholesterol with either lab fasting glucose or HbA1c), cost of consumables and variable uptake rates, including rate of non-response to invite letter and rate of missed [did not attend (DNA)] appointments. We calculated total expected cost (TEC) per 100 invites, number of NHSHC conducted per 100 invites and costs for completed NHSHC for laboratory and POCT-based pathways. A univariate and probabilistic sensitivity analysis was conducted to account for uncertainty in the input parameters. MAIN OUTCOME MEASURES We collected data on cost, volume and type of pathology services performed at seven general practices using POCT and a pathology services laboratory. We collected data on response to the NHSHC invitation letter and DNA rates from two general practices. RESULTS TEC of using POCT to deliver a routine NHSHC is lower than the laboratory-led pathway with savings of £29 per 100 invited patients up the point of cardiovascular disease risk score presentation. Use of POCT can deliver NHSHC in one sitting, whereas the laboratory pathway offers patients several opportunities to DNA appointment. CONCLUSIONS TEC of using POCT to deliver an NHSHC in the primary care setting is lower than the laboratory-led pathway. Using POCT minimises DNA rates associated with laboratory testing and enables completion of NHSHC in one sitting.","author":[{"dropping-particle":"","family":"El-Osta","given":"Austen","non-dropping-particle":"","parse-names":false,"suffix":""},{"dropping-particle":"","family":"Woringer","given":"Maria","non-dropping-particle":"","parse-names":false,"suffix":""},{"dropping-particle":"","family":"Pizzo","given":"Elena","non-dropping-particle":"","parse-names":false,"suffix":""},{"dropping-particle":"","family":"Verhoef","given":"Talitha","non-dropping-particle":"","parse-names":false,"suffix":""},{"dropping-particle":"","family":"Dickie","given":"Claire","non-dropping-particle":"","parse-names":false,"suffix":""},{"dropping-particle":"","family":"Ni","given":"Melody Z.","non-dropping-particle":"","parse-names":false,"suffix":""},{"dropping-particle":"","family":"Huddy","given":"Jeremy R.","non-dropping-particle":"","parse-names":false,"suffix":""},{"dropping-particle":"","family":"Soljak","given":"Michael","non-dropping-particle":"","parse-names":false,"suffix":""},{"dropping-particle":"","family":"Hanna","given":"George B.","non-dropping-particle":"","parse-names":false,"suffix":""},{"dropping-particle":"","family":"Majeed","given":"Azeem","non-dropping-particle":"","parse-names":false,"suffix":""}],"container-title":"BMJ Open","id":"ITEM-1","issue":"8","issued":{"date-parts":[["2017"]]},"title":"Does use of point-of-care testing improve cost-effectiveness of the NHS Health Check programme in the primary care setting? A cost-minimisation analysis","type":"article-journal","volume":"7"},"uris":["http://www.mendeley.com/documents/?uuid=d451f941-59d0-4f4e-9675-beca38a2fe8e"]}],"mendeley":{"formattedCitation":"[52]","plainTextFormattedCitation":"[52]","previouslyFormattedCitation":"[51]"},"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[52]</w:t>
            </w:r>
            <w:r>
              <w:rPr>
                <w:rFonts w:ascii="Calibri Light" w:hAnsi="Calibri Light" w:cs="Calibri Light"/>
                <w:color w:val="000000"/>
                <w:sz w:val="16"/>
                <w:szCs w:val="18"/>
              </w:rPr>
              <w:fldChar w:fldCharType="end"/>
            </w:r>
          </w:p>
        </w:tc>
        <w:tc>
          <w:tcPr>
            <w:tcW w:w="2516" w:type="dxa"/>
            <w:shd w:val="clear" w:color="auto" w:fill="auto"/>
            <w:vAlign w:val="center"/>
            <w:hideMark/>
          </w:tcPr>
          <w:p w14:paraId="0D5552C7"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000000"/>
                <w:sz w:val="16"/>
                <w:szCs w:val="16"/>
              </w:rPr>
              <w:t>POCT: £5.28 less (not taking into account patients that did not respond or show up) OR £7 less (taking into account patients that did not respond or show up).</w:t>
            </w:r>
          </w:p>
        </w:tc>
        <w:tc>
          <w:tcPr>
            <w:tcW w:w="2693" w:type="dxa"/>
            <w:shd w:val="clear" w:color="auto" w:fill="auto"/>
            <w:vAlign w:val="center"/>
            <w:hideMark/>
          </w:tcPr>
          <w:p w14:paraId="1D55656D"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 </w:t>
            </w:r>
          </w:p>
        </w:tc>
        <w:tc>
          <w:tcPr>
            <w:tcW w:w="3260" w:type="dxa"/>
            <w:shd w:val="clear" w:color="auto" w:fill="auto"/>
            <w:vAlign w:val="center"/>
            <w:hideMark/>
          </w:tcPr>
          <w:p w14:paraId="7020C4DC"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Number of NHS Health Checks completed - POCT: 8.74; laboratory testing: 7.50.</w:t>
            </w:r>
          </w:p>
        </w:tc>
        <w:tc>
          <w:tcPr>
            <w:tcW w:w="1684" w:type="dxa"/>
            <w:shd w:val="clear" w:color="auto" w:fill="auto"/>
            <w:vAlign w:val="center"/>
            <w:hideMark/>
          </w:tcPr>
          <w:p w14:paraId="342D29F4"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FF0000"/>
                <w:sz w:val="16"/>
                <w:szCs w:val="16"/>
              </w:rPr>
            </w:pPr>
            <w:r w:rsidRPr="0027348D">
              <w:rPr>
                <w:rFonts w:ascii="Calibri Light" w:hAnsi="Calibri Light" w:cs="Calibri Light"/>
                <w:color w:val="FF0000"/>
                <w:sz w:val="16"/>
                <w:szCs w:val="16"/>
              </w:rPr>
              <w:t> </w:t>
            </w:r>
          </w:p>
        </w:tc>
        <w:tc>
          <w:tcPr>
            <w:tcW w:w="1531" w:type="dxa"/>
            <w:shd w:val="clear" w:color="auto" w:fill="auto"/>
            <w:vAlign w:val="center"/>
            <w:hideMark/>
          </w:tcPr>
          <w:p w14:paraId="43AF3D32"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In favor of POCT</w:t>
            </w:r>
          </w:p>
        </w:tc>
      </w:tr>
      <w:tr w:rsidR="0027348D" w:rsidRPr="0027348D" w14:paraId="312F7122" w14:textId="77777777" w:rsidTr="005F718B">
        <w:trPr>
          <w:trHeight w:val="1071"/>
        </w:trPr>
        <w:tc>
          <w:tcPr>
            <w:tcW w:w="1165" w:type="dxa"/>
            <w:shd w:val="clear" w:color="auto" w:fill="auto"/>
            <w:vAlign w:val="center"/>
            <w:hideMark/>
          </w:tcPr>
          <w:p w14:paraId="00CFD621" w14:textId="715629D8" w:rsidR="0027348D" w:rsidRPr="0027348D" w:rsidRDefault="00294C3C" w:rsidP="0027348D">
            <w:pPr>
              <w:widowControl/>
              <w:adjustRightInd/>
              <w:spacing w:before="0" w:after="0" w:line="240" w:lineRule="auto"/>
              <w:jc w:val="left"/>
              <w:textAlignment w:val="auto"/>
              <w:rPr>
                <w:rFonts w:ascii="Calibri Light" w:hAnsi="Calibri Light" w:cs="Calibri Light"/>
                <w:color w:val="000000"/>
                <w:sz w:val="16"/>
                <w:szCs w:val="16"/>
              </w:rPr>
            </w:pPr>
            <w:r w:rsidRPr="00F03ECE">
              <w:rPr>
                <w:rFonts w:ascii="Calibri Light" w:hAnsi="Calibri Light" w:cs="Calibri Light"/>
                <w:color w:val="000000"/>
                <w:sz w:val="16"/>
                <w:szCs w:val="18"/>
              </w:rPr>
              <w:t>Crocker et al., 2014</w:t>
            </w:r>
            <w:r>
              <w:rPr>
                <w:rFonts w:ascii="Calibri Light" w:hAnsi="Calibri Light" w:cs="Calibri Light"/>
                <w:color w:val="000000"/>
                <w:sz w:val="16"/>
                <w:szCs w:val="18"/>
              </w:rPr>
              <w:t>*</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{"citationItems":[{"id":"ITEM-1","itemData":{"DOI":"10.1309/AJCPYK1KV2KBCDDL","ISBN":"1943-7722 (Electronic)\r0002-9173 (Linking)","ISSN":"19437722","PMID":"25319979","abstract":"OBJECTIVES Point-of-care laboratory testing (POCT) offers reduced turnaround time and may promote improved operational efficiency. Few studies have been reported that document improvements from implementing POCT in primary care. METHODS We measured metrics of practice efficiency in a primary care practice before and after implementation of POCT, including the total number of tests ordered, letters and phone calls to patients, and revisits due to abnormal test results. We performed a cost and revenue analysis. RESULTS Following implementation of POCT, there was a 21% decrease in tests ordered per patient (P &lt; .0001); a decrease in follow-up phone calls and letters by 89% and 85%, respectively (P &lt; .0001 and P &lt; .0001); and a 61% decrease in patient revisits (P = .0002). Estimated testing revenues exceeded expenses by $6.62 per patient, and potential cost savings from improved efficiency were $24.64 per patient. CONCLUSIONS POCT can significantly improve clinical operations with cost reductions through improved practice efficiency.","author":[{"dropping-particle":"","family":"Benjamin Crocker","given":"J.","non-dropping-particle":"","parse-names":false,"suffix":""},{"dropping-particle":"","family":"Lee-Lewandrowski","given":"Elizabeth","non-dropping-particle":"","parse-names":false,"suffix":""},{"dropping-particle":"","family":"Lewandrowski","given":"Nicole","non-dropping-particle":"","parse-names":false,"suffix":""},{"dropping-particle":"","family":"Baron","given":"Jason","non-dropping-particle":"","parse-names":false,"suffix":""},{"dropping-particle":"","family":"Gregory","given":"Kimberly","non-dropping-particle":"","parse-names":false,"suffix":""},{"dropping-particle":"","family":"Lewandrowski","given":"Kent","non-dropping-particle":"","parse-names":false,"suffix":""}],"container-title":"American Journal of Clinical Pathology","id":"ITEM-1","issue":"5","issued":{"date-parts":[["2014"]]},"page":"640-646","title":"Implementation of point-of-care testing in an ambulatory practice of an academic medical center","type":"article-journal","volume":"142"},"uris":["http://www.mendeley.com/documents/?uuid=35ac3ab6-2c0b-4758-b6f4-e93ca76f55a8"]}],"mendeley":{"formattedCitation":"[65]","plainTextFormattedCitation":"[65]","previouslyFormattedCitation":"[64]"},"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[65]</w:t>
            </w:r>
            <w:r>
              <w:rPr>
                <w:rFonts w:ascii="Calibri Light" w:hAnsi="Calibri Light" w:cs="Calibri Light"/>
                <w:color w:val="000000"/>
                <w:sz w:val="16"/>
                <w:szCs w:val="18"/>
              </w:rPr>
              <w:fldChar w:fldCharType="end"/>
            </w:r>
          </w:p>
        </w:tc>
        <w:tc>
          <w:tcPr>
            <w:tcW w:w="2516" w:type="dxa"/>
            <w:shd w:val="clear" w:color="auto" w:fill="auto"/>
            <w:vAlign w:val="center"/>
            <w:hideMark/>
          </w:tcPr>
          <w:p w14:paraId="40566F87"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000000"/>
                <w:sz w:val="16"/>
                <w:szCs w:val="16"/>
              </w:rPr>
              <w:t>Financial benefit due to POCT was $31.26 per patient</w:t>
            </w:r>
          </w:p>
        </w:tc>
        <w:tc>
          <w:tcPr>
            <w:tcW w:w="2693" w:type="dxa"/>
            <w:shd w:val="clear" w:color="auto" w:fill="auto"/>
            <w:vAlign w:val="center"/>
            <w:hideMark/>
          </w:tcPr>
          <w:p w14:paraId="4F016915"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FF0000"/>
                <w:sz w:val="16"/>
                <w:szCs w:val="16"/>
              </w:rPr>
            </w:pPr>
            <w:r w:rsidRPr="0027348D">
              <w:rPr>
                <w:rFonts w:ascii="Calibri Light" w:hAnsi="Calibri Light" w:cs="Calibri Light"/>
                <w:color w:val="FF0000"/>
                <w:sz w:val="16"/>
                <w:szCs w:val="16"/>
              </w:rPr>
              <w:t> </w:t>
            </w:r>
          </w:p>
        </w:tc>
        <w:tc>
          <w:tcPr>
            <w:tcW w:w="3260" w:type="dxa"/>
            <w:shd w:val="clear" w:color="auto" w:fill="auto"/>
            <w:vAlign w:val="center"/>
            <w:hideMark/>
          </w:tcPr>
          <w:p w14:paraId="0429242C"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Total number of tests ordered per patient - 21% decrease due to POCT. Letters and phone calls to patients - 89% decrease due to POCT. Revisits due to abnormal test results - 61% decrease due to POCT.</w:t>
            </w:r>
          </w:p>
        </w:tc>
        <w:tc>
          <w:tcPr>
            <w:tcW w:w="1684" w:type="dxa"/>
            <w:shd w:val="clear" w:color="auto" w:fill="auto"/>
            <w:vAlign w:val="center"/>
            <w:hideMark/>
          </w:tcPr>
          <w:p w14:paraId="395D61C9"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FF0000"/>
                <w:sz w:val="16"/>
                <w:szCs w:val="16"/>
              </w:rPr>
            </w:pPr>
            <w:r w:rsidRPr="0027348D">
              <w:rPr>
                <w:rFonts w:ascii="Calibri Light" w:hAnsi="Calibri Light" w:cs="Calibri Light"/>
                <w:color w:val="FF0000"/>
                <w:sz w:val="16"/>
                <w:szCs w:val="16"/>
              </w:rPr>
              <w:t> </w:t>
            </w:r>
          </w:p>
        </w:tc>
        <w:tc>
          <w:tcPr>
            <w:tcW w:w="1531" w:type="dxa"/>
            <w:shd w:val="clear" w:color="auto" w:fill="auto"/>
            <w:vAlign w:val="center"/>
            <w:hideMark/>
          </w:tcPr>
          <w:p w14:paraId="4E7D1F88"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In favor of POCT</w:t>
            </w:r>
          </w:p>
        </w:tc>
      </w:tr>
      <w:tr w:rsidR="0027348D" w:rsidRPr="0027348D" w14:paraId="7193C407" w14:textId="77777777" w:rsidTr="005F718B">
        <w:trPr>
          <w:trHeight w:val="546"/>
        </w:trPr>
        <w:tc>
          <w:tcPr>
            <w:tcW w:w="1165" w:type="dxa"/>
            <w:shd w:val="clear" w:color="auto" w:fill="auto"/>
            <w:vAlign w:val="center"/>
            <w:hideMark/>
          </w:tcPr>
          <w:p w14:paraId="0413FF32" w14:textId="7F32D22F" w:rsidR="0027348D" w:rsidRPr="0027348D" w:rsidRDefault="00A208B4" w:rsidP="0027348D">
            <w:pPr>
              <w:widowControl/>
              <w:adjustRightInd/>
              <w:spacing w:before="0" w:after="0" w:line="240" w:lineRule="auto"/>
              <w:jc w:val="left"/>
              <w:textAlignment w:val="auto"/>
              <w:rPr>
                <w:rFonts w:ascii="Calibri Light" w:hAnsi="Calibri Light" w:cs="Calibri Light"/>
                <w:color w:val="000000"/>
                <w:sz w:val="16"/>
                <w:szCs w:val="16"/>
              </w:rPr>
            </w:pPr>
            <w:r w:rsidRPr="00F03ECE">
              <w:rPr>
                <w:rFonts w:ascii="Calibri Light" w:hAnsi="Calibri Light" w:cs="Calibri Light"/>
                <w:color w:val="000000"/>
                <w:sz w:val="16"/>
                <w:szCs w:val="18"/>
              </w:rPr>
              <w:t>Huang et al., 2013</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{"citationItems":[{"id":"ITEM-1","itemData":{"DOI":"10.1136/sextrans-2011-050355","ISSN":"13684973","abstract":"OBJECTIVES: To compare the effectiveness and cost-effectiveness of a promising new point-of-care (POC) chlamydia test with traditional nucleic acid amplification testing (NAAT), and to determine the characteristics that would make a POC test most cost-effective.\\n\\nMETHODS: A decision tree was constructed to model chlamydia screening visits to a sexually transmitted disease clinic by a hypothetical cohort of 10,000 women. The model incorporated programmatic screening costs, treatment costs and medical costs averted through prevention of pelvic inflammatory disease (PID) and its sequelae. Parameter values and costs were estimated for each node in the decision tree based on primary data, published data and unpublished health data.\\n\\nRESULTS: For the base-case scenario (POC sensitivity 92.9%; 47.5% of women willing to wait 40 min for test results; test cost $33.48), POC was estimated to save US$5050 for each case of PID averted compared with NAAT. One-way sensitivity analyses indicated that POC would dominate NAAT if the POC test cost is &lt;US$41.52 or if POC sensitivity is ≥ 87.1%. In a probabilistic sensitivity analysis (Monte Carlo simulations, 10 000 iterations), 10.8% of iterations indicated that the POC strategy dominated the NAAT strategy. The mean incremental cost-effectiveness ratio indicated that the POC strategy would save US$28 in total, and avert 14 PID cases.\\n\\nCONCLUSIONS: A promising new chlamydia POC test is likely to be cost-effective compared with traditional NAAT. The POC test sensitivity, cost and proportion of women willing to wait for the POC test result are key elements to determining the cost-effectiveness of any new POC test strategy.","author":[{"dropping-particle":"","family":"Huang","given":"Wei","non-dropping-particle":"","parse-names":false,"suffix":""},{"dropping-particle":"","family":"Gaydos","given":"Charlotte A.","non-dropping-particle":"","parse-names":false,"suffix":""},{"dropping-particle":"","family":"Barnes","given":"Mathilda R.","non-dropping-particle":"","parse-names":false,"suffix":""},{"dropping-particle":"","family":"Jett-Goheen","given":"Mary","non-dropping-particle":"","parse-names":false,"suffix":""},{"dropping-particle":"","family":"Blake","given":"Diane R.","non-dropping-particle":"","parse-names":false,"suffix":""}],"container-title":"Sexually Transmitted Infections","id":"ITEM-1","issue":"2","issued":{"date-parts":[["2013"]]},"page":"108-114","title":"Comparative effectiveness of a rapid point-of-care test for detection of Chlamydia trachomatis among women in a clinical setting","type":"article-journal","volume":"89"},"uris":["http://www.mendeley.com/documents/?uuid=20969cbc-c71d-4e89-b979-d24a58a9046f"]}],"mendeley":{"formattedCitation":"[70]","plainTextFormattedCitation":"[70]","previouslyFormattedCitation":"[69]"},"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[70]</w:t>
            </w:r>
            <w:r>
              <w:rPr>
                <w:rFonts w:ascii="Calibri Light" w:hAnsi="Calibri Light" w:cs="Calibri Light"/>
                <w:color w:val="000000"/>
                <w:sz w:val="16"/>
                <w:szCs w:val="18"/>
              </w:rPr>
              <w:fldChar w:fldCharType="end"/>
            </w:r>
          </w:p>
        </w:tc>
        <w:tc>
          <w:tcPr>
            <w:tcW w:w="2516" w:type="dxa"/>
            <w:shd w:val="clear" w:color="auto" w:fill="auto"/>
            <w:vAlign w:val="center"/>
            <w:hideMark/>
          </w:tcPr>
          <w:p w14:paraId="0E31CC7A"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FF0000"/>
                <w:sz w:val="16"/>
                <w:szCs w:val="16"/>
              </w:rPr>
            </w:pPr>
            <w:r w:rsidRPr="0027348D">
              <w:rPr>
                <w:rFonts w:ascii="Calibri Light" w:hAnsi="Calibri Light" w:cs="Calibri Light"/>
                <w:color w:val="FF0000"/>
                <w:sz w:val="16"/>
                <w:szCs w:val="16"/>
              </w:rPr>
              <w:t> </w:t>
            </w:r>
          </w:p>
        </w:tc>
        <w:tc>
          <w:tcPr>
            <w:tcW w:w="2693" w:type="dxa"/>
            <w:shd w:val="clear" w:color="auto" w:fill="auto"/>
            <w:vAlign w:val="center"/>
            <w:hideMark/>
          </w:tcPr>
          <w:p w14:paraId="277E1759"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POCT: $711,508; NAAT: $782,214; Savings of $70,706 due to POCT.</w:t>
            </w:r>
          </w:p>
        </w:tc>
        <w:tc>
          <w:tcPr>
            <w:tcW w:w="3260" w:type="dxa"/>
            <w:shd w:val="clear" w:color="auto" w:fill="auto"/>
            <w:vAlign w:val="center"/>
            <w:hideMark/>
          </w:tcPr>
          <w:p w14:paraId="2B527F8F"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 xml:space="preserve">Cases of pelvic inflammatory disease averted - POCT: 14; NAAT: 0. </w:t>
            </w:r>
          </w:p>
        </w:tc>
        <w:tc>
          <w:tcPr>
            <w:tcW w:w="1684" w:type="dxa"/>
            <w:shd w:val="clear" w:color="auto" w:fill="auto"/>
            <w:vAlign w:val="center"/>
            <w:hideMark/>
          </w:tcPr>
          <w:p w14:paraId="16F45CB4"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ICER: -$5050 per disease averted</w:t>
            </w:r>
          </w:p>
        </w:tc>
        <w:tc>
          <w:tcPr>
            <w:tcW w:w="1531" w:type="dxa"/>
            <w:shd w:val="clear" w:color="auto" w:fill="auto"/>
            <w:vAlign w:val="center"/>
            <w:hideMark/>
          </w:tcPr>
          <w:p w14:paraId="3795315E"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In favor of POCT</w:t>
            </w:r>
          </w:p>
        </w:tc>
      </w:tr>
      <w:tr w:rsidR="0027348D" w:rsidRPr="0027348D" w14:paraId="55A23FEE" w14:textId="77777777" w:rsidTr="005F718B">
        <w:trPr>
          <w:trHeight w:val="1597"/>
        </w:trPr>
        <w:tc>
          <w:tcPr>
            <w:tcW w:w="1165" w:type="dxa"/>
            <w:shd w:val="clear" w:color="auto" w:fill="auto"/>
            <w:vAlign w:val="center"/>
            <w:hideMark/>
          </w:tcPr>
          <w:p w14:paraId="4CD43B6D" w14:textId="7D0B4866" w:rsidR="0027348D" w:rsidRPr="0027348D" w:rsidRDefault="00D57F9F" w:rsidP="0027348D">
            <w:pPr>
              <w:widowControl/>
              <w:adjustRightInd/>
              <w:spacing w:before="0" w:after="0" w:line="240" w:lineRule="auto"/>
              <w:jc w:val="left"/>
              <w:textAlignment w:val="auto"/>
              <w:rPr>
                <w:rFonts w:ascii="Calibri Light" w:hAnsi="Calibri Light" w:cs="Calibri Light"/>
                <w:color w:val="000000"/>
                <w:sz w:val="16"/>
                <w:szCs w:val="16"/>
                <w:lang w:val="nl-NL"/>
              </w:rPr>
            </w:pPr>
            <w:proofErr w:type="spellStart"/>
            <w:r w:rsidRPr="00F03ECE">
              <w:rPr>
                <w:rFonts w:ascii="Calibri Light" w:hAnsi="Calibri Light" w:cs="Calibri Light"/>
                <w:color w:val="000000"/>
                <w:sz w:val="16"/>
                <w:szCs w:val="18"/>
                <w:lang w:val="nl-NL"/>
              </w:rPr>
              <w:t>Owusu-Edusei</w:t>
            </w:r>
            <w:proofErr w:type="spellEnd"/>
            <w:r w:rsidRPr="00F03ECE">
              <w:rPr>
                <w:rFonts w:ascii="Calibri Light" w:hAnsi="Calibri Light" w:cs="Calibri Light"/>
                <w:color w:val="000000"/>
                <w:sz w:val="16"/>
                <w:szCs w:val="18"/>
                <w:lang w:val="nl-NL"/>
              </w:rPr>
              <w:t xml:space="preserve"> Jr. et al., 2011</w:t>
            </w:r>
            <w:r>
              <w:rPr>
                <w:rFonts w:ascii="Calibri Light" w:hAnsi="Calibri Light" w:cs="Calibri Light"/>
                <w:color w:val="000000"/>
                <w:sz w:val="16"/>
                <w:szCs w:val="18"/>
                <w:lang w:val="nl-NL"/>
              </w:rPr>
              <w:t xml:space="preserve"> </w:t>
            </w:r>
            <w:r>
              <w:rPr>
                <w:rFonts w:ascii="Calibri Light" w:hAnsi="Calibri Light" w:cs="Calibri Light"/>
                <w:color w:val="000000"/>
                <w:sz w:val="16"/>
                <w:szCs w:val="18"/>
                <w:lang w:val="nl-NL"/>
              </w:rPr>
              <w:fldChar w:fldCharType="begin" w:fldLock="1"/>
            </w:r>
            <w:r>
              <w:rPr>
                <w:rFonts w:ascii="Calibri Light" w:hAnsi="Calibri Light" w:cs="Calibri Light"/>
                <w:color w:val="000000"/>
                <w:sz w:val="16"/>
                <w:szCs w:val="18"/>
                <w:lang w:val="nl-NL"/>
              </w:rPr>
              <w:instrText>ADDIN CSL_CITATION {"citationItems":[{"id":"ITEM-1","itemData":{"DOI":"10.1097/OLQ.0b013e3182260987","ISBN":"3182260987","author":[{"dropping-particle":"","family":"Owusu-edusei","given":"Kwame","non-dropping-particle":"","parse-names":false,"suffix":""},{"dropping-particle":"","family":"Gift","given":"Thomas L","non-dropping-particle":"","parse-names":false,"suffix":""},{"dropping-particle":"","family":"Ballard","given":"Ronald C.","non-dropping-particle":"","parse-names":false,"suffix":""}],"container-title":"Sexually Transmitted Diseases","id":"ITEM-1","issue":"11","issued":{"date-parts":[["2011"]]},"page":"997-1003","title":"Cost-Effectiveness of a Dual Test to Prevent Adverse Pregnancy Outcomes in Sub-Saharan Africa","type":"article-journal","volume":"38"},"uris":["http://www.mendeley.com/documents/?uuid=029cb546-5693-4670-af8e-abc6aadfe53d"]}],"mendeley":{"formattedCitation":"[75]","plainTextFormattedCitation":"[75]","previouslyFormattedCitation":"[74]"},"properties":{"noteIndex":0},"schema":"https://github.com/citation-style-language/schema/raw/master/csl-citation.json"}</w:instrText>
            </w:r>
            <w:r>
              <w:rPr>
                <w:rFonts w:ascii="Calibri Light" w:hAnsi="Calibri Light" w:cs="Calibri Light"/>
                <w:color w:val="000000"/>
                <w:sz w:val="16"/>
                <w:szCs w:val="18"/>
                <w:lang w:val="nl-NL"/>
              </w:rPr>
              <w:fldChar w:fldCharType="separate"/>
            </w:r>
            <w:r w:rsidRPr="004A39DD">
              <w:rPr>
                <w:rFonts w:ascii="Calibri Light" w:hAnsi="Calibri Light" w:cs="Calibri Light"/>
                <w:noProof/>
                <w:color w:val="000000"/>
                <w:sz w:val="16"/>
                <w:szCs w:val="18"/>
                <w:lang w:val="nl-NL"/>
              </w:rPr>
              <w:t>[75]</w:t>
            </w:r>
            <w:r>
              <w:rPr>
                <w:rFonts w:ascii="Calibri Light" w:hAnsi="Calibri Light" w:cs="Calibri Light"/>
                <w:color w:val="000000"/>
                <w:sz w:val="16"/>
                <w:szCs w:val="18"/>
                <w:lang w:val="nl-NL"/>
              </w:rPr>
              <w:fldChar w:fldCharType="end"/>
            </w:r>
          </w:p>
        </w:tc>
        <w:tc>
          <w:tcPr>
            <w:tcW w:w="2516" w:type="dxa"/>
            <w:shd w:val="clear" w:color="auto" w:fill="auto"/>
            <w:vAlign w:val="center"/>
            <w:hideMark/>
          </w:tcPr>
          <w:p w14:paraId="04F89A3F"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FF0000"/>
                <w:sz w:val="16"/>
                <w:szCs w:val="16"/>
                <w:lang w:val="nl-NL"/>
              </w:rPr>
            </w:pPr>
            <w:r w:rsidRPr="0027348D">
              <w:rPr>
                <w:rFonts w:ascii="Calibri Light" w:hAnsi="Calibri Light" w:cs="Calibri Light"/>
                <w:color w:val="FF0000"/>
                <w:sz w:val="16"/>
                <w:szCs w:val="16"/>
                <w:lang w:val="nl-NL"/>
              </w:rPr>
              <w:t> </w:t>
            </w:r>
          </w:p>
        </w:tc>
        <w:tc>
          <w:tcPr>
            <w:tcW w:w="2693" w:type="dxa"/>
            <w:shd w:val="clear" w:color="auto" w:fill="auto"/>
            <w:vAlign w:val="center"/>
            <w:hideMark/>
          </w:tcPr>
          <w:p w14:paraId="5042079A"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Dual-POC test: $79,000; Laboratory testing: $86,000; POC RPR testing: $84,000; POC ICS testing: $76,000; No testing: $106,000.</w:t>
            </w:r>
          </w:p>
        </w:tc>
        <w:tc>
          <w:tcPr>
            <w:tcW w:w="3260" w:type="dxa"/>
            <w:shd w:val="clear" w:color="auto" w:fill="auto"/>
            <w:vAlign w:val="center"/>
            <w:hideMark/>
          </w:tcPr>
          <w:p w14:paraId="102A78F0"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DALYs averted - Dual-POC test: 299; Laboratory testing: 234; POC RPR testing: 247; POC ICS testing: 326; No testing: 0. Overtreatment rates – Dual-POC test: 0.18; Laboratory testing: 0; POC RPR testing: 0.32; POC ICS testing: 1.42; No testing: 0.</w:t>
            </w:r>
          </w:p>
        </w:tc>
        <w:tc>
          <w:tcPr>
            <w:tcW w:w="1684" w:type="dxa"/>
            <w:shd w:val="clear" w:color="auto" w:fill="auto"/>
            <w:vAlign w:val="center"/>
            <w:hideMark/>
          </w:tcPr>
          <w:p w14:paraId="486E486F"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FF0000"/>
                <w:sz w:val="16"/>
                <w:szCs w:val="16"/>
              </w:rPr>
            </w:pPr>
            <w:r w:rsidRPr="0027348D">
              <w:rPr>
                <w:rFonts w:ascii="Calibri Light" w:hAnsi="Calibri Light" w:cs="Calibri Light"/>
                <w:color w:val="FF0000"/>
                <w:sz w:val="16"/>
                <w:szCs w:val="16"/>
              </w:rPr>
              <w:t> </w:t>
            </w:r>
          </w:p>
        </w:tc>
        <w:tc>
          <w:tcPr>
            <w:tcW w:w="1531" w:type="dxa"/>
            <w:shd w:val="clear" w:color="auto" w:fill="auto"/>
            <w:vAlign w:val="center"/>
            <w:hideMark/>
          </w:tcPr>
          <w:p w14:paraId="49DD9B79"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 xml:space="preserve">Neither against </w:t>
            </w:r>
            <w:proofErr w:type="gramStart"/>
            <w:r w:rsidRPr="0027348D">
              <w:rPr>
                <w:rFonts w:ascii="Calibri Light" w:hAnsi="Calibri Light" w:cs="Calibri Light"/>
                <w:sz w:val="16"/>
                <w:szCs w:val="16"/>
              </w:rPr>
              <w:t>or</w:t>
            </w:r>
            <w:proofErr w:type="gramEnd"/>
            <w:r w:rsidRPr="0027348D">
              <w:rPr>
                <w:rFonts w:ascii="Calibri Light" w:hAnsi="Calibri Light" w:cs="Calibri Light"/>
                <w:sz w:val="16"/>
                <w:szCs w:val="16"/>
              </w:rPr>
              <w:t xml:space="preserve"> in favor of POCT: will only be cost-effective in resource-poor settings with high prevalence </w:t>
            </w:r>
          </w:p>
        </w:tc>
      </w:tr>
      <w:tr w:rsidR="0027348D" w:rsidRPr="0027348D" w14:paraId="0377323D" w14:textId="77777777" w:rsidTr="005F718B">
        <w:trPr>
          <w:trHeight w:val="1597"/>
        </w:trPr>
        <w:tc>
          <w:tcPr>
            <w:tcW w:w="1165" w:type="dxa"/>
            <w:shd w:val="clear" w:color="auto" w:fill="auto"/>
            <w:vAlign w:val="center"/>
            <w:hideMark/>
          </w:tcPr>
          <w:p w14:paraId="4C7B7888" w14:textId="7F9CCDAC" w:rsidR="0027348D" w:rsidRPr="0027348D" w:rsidRDefault="006D2D2C" w:rsidP="0027348D">
            <w:pPr>
              <w:widowControl/>
              <w:adjustRightInd/>
              <w:spacing w:before="0" w:after="0" w:line="240" w:lineRule="auto"/>
              <w:jc w:val="left"/>
              <w:textAlignment w:val="auto"/>
              <w:rPr>
                <w:rFonts w:ascii="Calibri Light" w:hAnsi="Calibri Light" w:cs="Calibri Light"/>
                <w:color w:val="000000"/>
                <w:sz w:val="16"/>
                <w:szCs w:val="16"/>
              </w:rPr>
            </w:pPr>
            <w:proofErr w:type="spellStart"/>
            <w:r w:rsidRPr="00F03ECE">
              <w:rPr>
                <w:rFonts w:ascii="Calibri Light" w:hAnsi="Calibri Light" w:cs="Calibri Light"/>
                <w:color w:val="000000"/>
                <w:sz w:val="16"/>
                <w:szCs w:val="18"/>
              </w:rPr>
              <w:t>Rydzak</w:t>
            </w:r>
            <w:proofErr w:type="spellEnd"/>
            <w:r w:rsidRPr="00F03ECE">
              <w:rPr>
                <w:rFonts w:ascii="Calibri Light" w:hAnsi="Calibri Light" w:cs="Calibri Light"/>
                <w:color w:val="000000"/>
                <w:sz w:val="16"/>
                <w:szCs w:val="18"/>
              </w:rPr>
              <w:t xml:space="preserve"> et al., 2008</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{"citationItems":[{"id":"ITEM-1","itemData":{"DOI":"10.1097/OLQ.0b013e318176196d","ISSN":"01485717","PMID":"18607319","abstract":"BACKGROUND: Syphilis continues to be an important public health problem among pregnant women in sub-Saharan Africa with prevalence rates as high as 17%. Pregnant women are a critical population to screen to prevent the devastating consequences of infection to their unborn children. Although screening and appropriate treatment of infected pregnant women can prevent fetal and maternal complications, traditional screening algorithms requiring multiple tests have proven to be difficult to implement in resource-poor settings. We assess the cost-effectiveness of on-site prenatal syphilis screening with newly available rapid point-of-care screening tests in sub-Saharan Africa. METHODS: Data from the literature were used to model the acquisition and subsequent natural history of syphilis in pregnant sub-Saharan African women over the course of their lifetime. We assessed the health and economic outcomes associated with screening strategies that differed by the initial test [rapid plasma reagin (RPR), immunochromographic strip (ICS)], need for confirmation with Treponema pallidum hemagglutination assay, and number of visits required. Model outcomes include adverse pregnancy outcomes (miscarriage, low birth weight, congenital syphilis, stillbirth, and neonatal death), life expectancy, lifetime costs (2004 US dollars), and incremental cost-effectiveness ratios. RESULTS: With no screening, for a cohort of 1000 women with an average of 6 pregnancies in their lifetime, there were 256 cases of congenital syphilis, 583 low birth weight infants, and 170 stillbirths or neonatal deaths. The most effective and least costly strategy was one-visit rapid testing with ICS, which averted 178 cases of congenital syphilis, 43 low birth weight infants, and 37 perinatal deaths, and saved $170,030 per 1000 women compared with no screening. The choice between ICS and RPR was most influenced by test kit, labor and supply costs, and test sensitivity. RPR was preferred when the ICS cost more than doubled or ICS test sensitivity fell below 88%. CONCLUSIONS: Universal prenatal syphilis screening using rapid point-of-care tests will improve both maternal and infant outcomes and is cost-effective.","author":[{"dropping-particle":"","family":"Rydzak","given":"Chara E.","non-dropping-particle":"","parse-names":false,"suffix":""},{"dropping-particle":"","family":"Goldie","given":"Sue J.","non-dropping-particle":"","parse-names":false,"suffix":""}],"container-title":"Sexually Transmitted Diseases","id":"ITEM-1","issue":"9","issued":{"date-parts":[["2008"]]},"page":"775-784","title":"Cost-effectiveness of rapid point-of-care prenatal syphilis screening in sub-Saharan Africa","type":"article-journal","volume":"35"},"uris":["http://www.mendeley.com/documents/?uuid=a09fa714-3070-47be-a2d9-39e82c5880d4"]}],"mendeley":{"formattedCitation":"[78]","plainTextFormattedCitation":"[78]","previouslyFormattedCitation":"[77]"},"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[78]</w:t>
            </w:r>
            <w:r>
              <w:rPr>
                <w:rFonts w:ascii="Calibri Light" w:hAnsi="Calibri Light" w:cs="Calibri Light"/>
                <w:color w:val="000000"/>
                <w:sz w:val="16"/>
                <w:szCs w:val="18"/>
              </w:rPr>
              <w:fldChar w:fldCharType="end"/>
            </w:r>
          </w:p>
        </w:tc>
        <w:tc>
          <w:tcPr>
            <w:tcW w:w="2516" w:type="dxa"/>
            <w:shd w:val="clear" w:color="auto" w:fill="auto"/>
            <w:vAlign w:val="center"/>
            <w:hideMark/>
          </w:tcPr>
          <w:p w14:paraId="37CBE8E6"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FF0000"/>
                <w:sz w:val="16"/>
                <w:szCs w:val="16"/>
              </w:rPr>
            </w:pPr>
            <w:r w:rsidRPr="0027348D">
              <w:rPr>
                <w:rFonts w:ascii="Calibri Light" w:hAnsi="Calibri Light" w:cs="Calibri Light"/>
                <w:color w:val="FF0000"/>
                <w:sz w:val="16"/>
                <w:szCs w:val="16"/>
              </w:rPr>
              <w:t> </w:t>
            </w:r>
          </w:p>
        </w:tc>
        <w:tc>
          <w:tcPr>
            <w:tcW w:w="2693" w:type="dxa"/>
            <w:shd w:val="clear" w:color="auto" w:fill="auto"/>
            <w:vAlign w:val="center"/>
            <w:hideMark/>
          </w:tcPr>
          <w:p w14:paraId="24B2A42F"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Per 1000 women compared with no screening - POC RPR screening: cost savings of $161,310; POC ICS Screening: cost savings of $170,030; standard laboratory screening: cost savings of $110,220.</w:t>
            </w:r>
          </w:p>
        </w:tc>
        <w:tc>
          <w:tcPr>
            <w:tcW w:w="3260" w:type="dxa"/>
            <w:shd w:val="clear" w:color="auto" w:fill="auto"/>
            <w:vAlign w:val="center"/>
            <w:hideMark/>
          </w:tcPr>
          <w:p w14:paraId="745176BD"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Life years gained (per 1000 women) - POCT RPR screening: 250; POC ICS screening: 270; standard laboratory screening: 200; no screening: NA. Life years gained (for Children Per 1000 Women) - POCT RPR screening: 6114; POC ICS screening: 6611; standard laboratory screening: 4396; no screening: NA.</w:t>
            </w:r>
          </w:p>
        </w:tc>
        <w:tc>
          <w:tcPr>
            <w:tcW w:w="1684" w:type="dxa"/>
            <w:shd w:val="clear" w:color="auto" w:fill="auto"/>
            <w:vAlign w:val="center"/>
            <w:hideMark/>
          </w:tcPr>
          <w:p w14:paraId="74451E6D"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POC ICS Screening dominates</w:t>
            </w:r>
          </w:p>
        </w:tc>
        <w:tc>
          <w:tcPr>
            <w:tcW w:w="1531" w:type="dxa"/>
            <w:shd w:val="clear" w:color="auto" w:fill="auto"/>
            <w:vAlign w:val="center"/>
            <w:hideMark/>
          </w:tcPr>
          <w:p w14:paraId="1AAD3FD9"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sz w:val="16"/>
                <w:szCs w:val="16"/>
              </w:rPr>
              <w:t>In favor of POCT</w:t>
            </w:r>
          </w:p>
        </w:tc>
      </w:tr>
      <w:tr w:rsidR="0027348D" w:rsidRPr="0027348D" w14:paraId="389DE372" w14:textId="77777777" w:rsidTr="005F718B">
        <w:trPr>
          <w:trHeight w:val="274"/>
        </w:trPr>
        <w:tc>
          <w:tcPr>
            <w:tcW w:w="12849" w:type="dxa"/>
            <w:gridSpan w:val="6"/>
            <w:shd w:val="clear" w:color="auto" w:fill="auto"/>
            <w:vAlign w:val="center"/>
          </w:tcPr>
          <w:p w14:paraId="0ECF0FCD"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color w:val="000000"/>
                <w:sz w:val="16"/>
                <w:szCs w:val="16"/>
              </w:rPr>
              <w:t>Secondary Care</w:t>
            </w:r>
          </w:p>
        </w:tc>
      </w:tr>
      <w:tr w:rsidR="0027348D" w:rsidRPr="0027348D" w14:paraId="32DCFBCD" w14:textId="77777777" w:rsidTr="005F718B">
        <w:trPr>
          <w:trHeight w:val="274"/>
        </w:trPr>
        <w:tc>
          <w:tcPr>
            <w:tcW w:w="1165" w:type="dxa"/>
            <w:shd w:val="clear" w:color="auto" w:fill="auto"/>
            <w:vAlign w:val="center"/>
          </w:tcPr>
          <w:p w14:paraId="1C2B5A31"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000000"/>
                <w:sz w:val="16"/>
                <w:szCs w:val="16"/>
              </w:rPr>
              <w:t>Author, Year</w:t>
            </w:r>
          </w:p>
        </w:tc>
        <w:tc>
          <w:tcPr>
            <w:tcW w:w="2516" w:type="dxa"/>
            <w:shd w:val="clear" w:color="auto" w:fill="auto"/>
            <w:vAlign w:val="center"/>
          </w:tcPr>
          <w:p w14:paraId="462FD21B"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FF0000"/>
                <w:sz w:val="16"/>
                <w:szCs w:val="16"/>
              </w:rPr>
            </w:pPr>
            <w:r w:rsidRPr="0027348D">
              <w:rPr>
                <w:rFonts w:ascii="Calibri Light" w:hAnsi="Calibri Light" w:cs="Calibri Light"/>
                <w:color w:val="000000"/>
                <w:sz w:val="16"/>
                <w:szCs w:val="16"/>
              </w:rPr>
              <w:t>Cost per patient</w:t>
            </w:r>
          </w:p>
        </w:tc>
        <w:tc>
          <w:tcPr>
            <w:tcW w:w="2693" w:type="dxa"/>
            <w:shd w:val="clear" w:color="auto" w:fill="auto"/>
            <w:vAlign w:val="center"/>
          </w:tcPr>
          <w:p w14:paraId="339C3A83"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color w:val="000000"/>
                <w:sz w:val="16"/>
                <w:szCs w:val="16"/>
              </w:rPr>
              <w:t>Overall cost</w:t>
            </w:r>
          </w:p>
        </w:tc>
        <w:tc>
          <w:tcPr>
            <w:tcW w:w="3260" w:type="dxa"/>
            <w:shd w:val="clear" w:color="auto" w:fill="auto"/>
            <w:vAlign w:val="center"/>
          </w:tcPr>
          <w:p w14:paraId="0B7D923A"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color w:val="000000"/>
                <w:sz w:val="16"/>
                <w:szCs w:val="16"/>
              </w:rPr>
              <w:t>Effectiveness</w:t>
            </w:r>
          </w:p>
        </w:tc>
        <w:tc>
          <w:tcPr>
            <w:tcW w:w="1684" w:type="dxa"/>
            <w:shd w:val="clear" w:color="auto" w:fill="auto"/>
            <w:vAlign w:val="center"/>
          </w:tcPr>
          <w:p w14:paraId="6B5F7E5B"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color w:val="000000"/>
                <w:sz w:val="16"/>
                <w:szCs w:val="16"/>
              </w:rPr>
              <w:t>Ratio</w:t>
            </w:r>
          </w:p>
        </w:tc>
        <w:tc>
          <w:tcPr>
            <w:tcW w:w="1531" w:type="dxa"/>
            <w:shd w:val="clear" w:color="auto" w:fill="auto"/>
            <w:vAlign w:val="center"/>
          </w:tcPr>
          <w:p w14:paraId="497F473E"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sz w:val="16"/>
                <w:szCs w:val="16"/>
              </w:rPr>
            </w:pPr>
            <w:r w:rsidRPr="0027348D">
              <w:rPr>
                <w:rFonts w:ascii="Calibri Light" w:hAnsi="Calibri Light" w:cs="Calibri Light"/>
                <w:color w:val="000000"/>
                <w:sz w:val="16"/>
                <w:szCs w:val="16"/>
              </w:rPr>
              <w:t> Conclusion</w:t>
            </w:r>
          </w:p>
        </w:tc>
      </w:tr>
      <w:tr w:rsidR="0027348D" w:rsidRPr="0027348D" w14:paraId="7397A458" w14:textId="77777777" w:rsidTr="005F718B">
        <w:trPr>
          <w:trHeight w:val="274"/>
        </w:trPr>
        <w:tc>
          <w:tcPr>
            <w:tcW w:w="1165" w:type="dxa"/>
            <w:shd w:val="clear" w:color="auto" w:fill="auto"/>
            <w:vAlign w:val="center"/>
          </w:tcPr>
          <w:p w14:paraId="62B4BEFD" w14:textId="310E23CB" w:rsidR="0027348D" w:rsidRPr="0027348D" w:rsidRDefault="00EE151C" w:rsidP="0027348D">
            <w:pPr>
              <w:widowControl/>
              <w:adjustRightInd/>
              <w:spacing w:before="0" w:after="0" w:line="240" w:lineRule="auto"/>
              <w:jc w:val="left"/>
              <w:textAlignment w:val="auto"/>
              <w:rPr>
                <w:rFonts w:ascii="Calibri Light" w:hAnsi="Calibri Light" w:cs="Calibri Light"/>
                <w:color w:val="000000"/>
                <w:sz w:val="16"/>
                <w:szCs w:val="16"/>
              </w:rPr>
            </w:pPr>
            <w:r w:rsidRPr="00F03ECE">
              <w:rPr>
                <w:rFonts w:ascii="Calibri Light" w:hAnsi="Calibri Light" w:cs="Calibri Light"/>
                <w:color w:val="000000"/>
                <w:sz w:val="16"/>
                <w:szCs w:val="18"/>
              </w:rPr>
              <w:lastRenderedPageBreak/>
              <w:t>Ward et al., 2016</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 xml:space="preserve">ADDIN CSL_CITATION {"citationItems":[{"id":"ITEM-1","itemData":{"DOI":"10.1016/j.jcrc.2016.06.031","ISSN":"0883-9441","author":[{"dropping-particle":"","family":"Ward","given":"Michael J","non-dropping-particle":"","parse-names":false,"suffix":""},{"dropping-particle":"","family":"Self","given":"Wesley H","non-dropping-particle":"","parse-names":false,"suffix":""},{"dropping-particle":"","family":"Singer","given":"Adam","non-dropping-particle":"","parse-names":false,"suffix":""},{"dropping-particle":"","family":"Lazar","given":"Danielle","non-dropping-particle":"","parse-names":false,"suffix":""},{"dropping-particle":"","family":"Pines","given":"Jesse M","non-dropping-particle":"","parse-names":false,"suffix":""}],"container-title":"Journal of Critical Care","id":"ITEM-1","issued":{"date-parts":[["2016"]]},"page":"69-75","publisher":"Elsevier Inc.","title":"Cost-effectiveness analysis of early point-of-care lactate testing in the emergency department </w:instrText>
            </w:r>
            <w:r>
              <w:rPr>
                <w:rFonts w:ascii="Segoe UI Symbol" w:hAnsi="Segoe UI Symbol" w:cs="Segoe UI Symbol"/>
                <w:color w:val="000000"/>
                <w:sz w:val="16"/>
                <w:szCs w:val="18"/>
              </w:rPr>
              <w:instrText>☆</w:instrText>
            </w:r>
            <w:r>
              <w:rPr>
                <w:rFonts w:ascii="Calibri Light" w:hAnsi="Calibri Light" w:cs="Calibri Light"/>
                <w:color w:val="000000"/>
                <w:sz w:val="16"/>
                <w:szCs w:val="18"/>
              </w:rPr>
              <w:instrText xml:space="preserve"> , </w:instrText>
            </w:r>
            <w:r>
              <w:rPr>
                <w:rFonts w:ascii="Segoe UI Symbol" w:hAnsi="Segoe UI Symbol" w:cs="Segoe UI Symbol"/>
                <w:color w:val="000000"/>
                <w:sz w:val="16"/>
                <w:szCs w:val="18"/>
              </w:rPr>
              <w:instrText>☆☆</w:instrText>
            </w:r>
            <w:r>
              <w:rPr>
                <w:rFonts w:ascii="Calibri Light" w:hAnsi="Calibri Light" w:cs="Calibri Light"/>
                <w:color w:val="000000"/>
                <w:sz w:val="16"/>
                <w:szCs w:val="18"/>
              </w:rPr>
              <w:instrText>","type":"article-journal","volume":"36"},"uris":["http://www.mendeley.com/documents/?uuid=ac7ae11e-e6d7-49ec-b19b-499b3c203bd0"]}],"mendeley":{"formattedCitation":"[59]","plainTextFormattedCitation":"[59]","previouslyFormattedCitation":"[58]"},"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[59]</w:t>
            </w:r>
            <w:r>
              <w:rPr>
                <w:rFonts w:ascii="Calibri Light" w:hAnsi="Calibri Light" w:cs="Calibri Light"/>
                <w:color w:val="000000"/>
                <w:sz w:val="16"/>
                <w:szCs w:val="18"/>
              </w:rPr>
              <w:fldChar w:fldCharType="end"/>
            </w:r>
          </w:p>
        </w:tc>
        <w:tc>
          <w:tcPr>
            <w:tcW w:w="2516" w:type="dxa"/>
            <w:shd w:val="clear" w:color="auto" w:fill="auto"/>
            <w:vAlign w:val="center"/>
          </w:tcPr>
          <w:p w14:paraId="4B0FCFBE"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sz w:val="16"/>
                <w:szCs w:val="16"/>
              </w:rPr>
              <w:t>POCT Program: $39.53 per patient; Usual Care: $33.20 per patient. POCT Program cost an additional $6.33 per patient.</w:t>
            </w:r>
          </w:p>
        </w:tc>
        <w:tc>
          <w:tcPr>
            <w:tcW w:w="2693" w:type="dxa"/>
            <w:shd w:val="clear" w:color="auto" w:fill="auto"/>
            <w:vAlign w:val="center"/>
          </w:tcPr>
          <w:p w14:paraId="38A19214"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FF0000"/>
                <w:sz w:val="16"/>
                <w:szCs w:val="16"/>
              </w:rPr>
              <w:t> </w:t>
            </w:r>
          </w:p>
        </w:tc>
        <w:tc>
          <w:tcPr>
            <w:tcW w:w="3260" w:type="dxa"/>
            <w:shd w:val="clear" w:color="auto" w:fill="auto"/>
            <w:vAlign w:val="center"/>
          </w:tcPr>
          <w:p w14:paraId="296DCBE1"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sz w:val="16"/>
                <w:szCs w:val="16"/>
              </w:rPr>
              <w:t>QALYs - POCT program: 9.7384 QALYs per patient; Usual Care: 9.7382 QALYs per patient. POCT resulted in an additional 0.0002 QALYs per patient.</w:t>
            </w:r>
          </w:p>
        </w:tc>
        <w:tc>
          <w:tcPr>
            <w:tcW w:w="1684" w:type="dxa"/>
            <w:shd w:val="clear" w:color="auto" w:fill="auto"/>
            <w:vAlign w:val="center"/>
          </w:tcPr>
          <w:p w14:paraId="74333C92"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sz w:val="16"/>
                <w:szCs w:val="16"/>
              </w:rPr>
              <w:t>Extrapolated to an ED with 30 000 annual patient visits, the POCT Program would equate to $33 318 paid per additional QALY gained.</w:t>
            </w:r>
          </w:p>
        </w:tc>
        <w:tc>
          <w:tcPr>
            <w:tcW w:w="1531" w:type="dxa"/>
            <w:shd w:val="clear" w:color="auto" w:fill="auto"/>
            <w:vAlign w:val="center"/>
          </w:tcPr>
          <w:p w14:paraId="6CA791F7"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sz w:val="16"/>
                <w:szCs w:val="16"/>
              </w:rPr>
              <w:t>In favor of POCT</w:t>
            </w:r>
          </w:p>
        </w:tc>
      </w:tr>
      <w:tr w:rsidR="0027348D" w:rsidRPr="0027348D" w14:paraId="64ACF9FD" w14:textId="77777777" w:rsidTr="005F718B">
        <w:trPr>
          <w:trHeight w:val="274"/>
        </w:trPr>
        <w:tc>
          <w:tcPr>
            <w:tcW w:w="1165" w:type="dxa"/>
            <w:shd w:val="clear" w:color="auto" w:fill="auto"/>
            <w:vAlign w:val="center"/>
          </w:tcPr>
          <w:p w14:paraId="1B88A84D" w14:textId="321B34D6" w:rsidR="0027348D" w:rsidRPr="0027348D" w:rsidRDefault="000C29AD" w:rsidP="0027348D">
            <w:pPr>
              <w:widowControl/>
              <w:adjustRightInd/>
              <w:spacing w:before="0" w:after="0" w:line="240" w:lineRule="auto"/>
              <w:jc w:val="left"/>
              <w:textAlignment w:val="auto"/>
              <w:rPr>
                <w:rFonts w:ascii="Calibri Light" w:hAnsi="Calibri Light" w:cs="Calibri Light"/>
                <w:color w:val="000000"/>
                <w:sz w:val="16"/>
                <w:szCs w:val="16"/>
              </w:rPr>
            </w:pPr>
            <w:r w:rsidRPr="00F03ECE">
              <w:rPr>
                <w:rFonts w:ascii="Calibri Light" w:hAnsi="Calibri Light" w:cs="Calibri Light"/>
                <w:color w:val="000000"/>
                <w:sz w:val="16"/>
                <w:szCs w:val="18"/>
              </w:rPr>
              <w:t>Henson et al., 2014</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{"citationItems":[{"id":"ITEM-1","itemData":{"DOI":"nicht verfügbar?","ISBN":"1506020089","ISSN":"0003-4819","PMID":"18349094","abstract":"Seventeen patients with illness resembling Legionnaires' disease were evaluated for antibodies to the Legionnaires' bacillus. Three patients were Legionnaires who developed pneumonia after attending the July 1976 convention. All three were seropositive (titers greater than or equal to 1:128) to the Legionnaires' bacillus. None of the remaining 14 patients were Legionnaires. Five were seropositive and nine, seronegative (titers less than or equal to 1:32). The seropositive patients had illnesses best explained by Legionnaires' disease, whereas the seronegative patients had illnesses better explained by other diagnoses. This correlation between serology and clinical findings supports the specificity of the antibody test for Legionnaires' disease. Of the five non-Legionnaire seropositive cases, two occurred before, and one 3 months after, the convention. The case histories of these five patients are presented. Disease generally involved the lungs, kidneys, and the central nervous system. Although the pathogenesis of this multiple organ involvement is unclear, a possible explanation is the production of a toxin by the Legionnaires' bacillus.","author":[{"dropping-particle":"","family":"Henson","given":"G","non-dropping-particle":"","parse-names":false,"suffix":""},{"dropping-particle":"","family":"Ghonim","given":"E","non-dropping-particle":"","parse-names":false,"suffix":""},{"dropping-particle":"","family":"Swiatlo","given":"A","non-dropping-particle":"","parse-names":false,"suffix":""},{"dropping-particle":"","family":"King","given":"S","non-dropping-particle":"","parse-names":false,"suffix":""},{"dropping-particle":"","family":"Moore","given":"KS","non-dropping-particle":"","parse-names":false,"suffix":""},{"dropping-particle":"","family":"King","given":"ST","non-dropping-particle":"","parse-names":false,"suffix":""},{"dropping-particle":"","family":"Sullivan","given":"D","non-dropping-particle":"","parse-names":false,"suffix":""}],"container-title":"Clinical Laboratory Science Journal","id":"ITEM-1","issue":"1","issued":{"date-parts":[["2014"]]},"page":"13-20","title":"Cost-benefit and effectiveness analysis of rapid testing for MRSA carriage in a hospital setting","type":"article-journal","volume":"27"},"uris":["http://www.mendeley.com/documents/?uuid=bf099c78-67ed-449d-972c-5008bd4cef75"]}],"mendeley":{"formattedCitation":"[28]","plainTextFormattedCitation":"[28]","previouslyFormattedCitation":"[28]"},"properties":{"noteIndex":0},"schema":"https://github.com/citation-style-language/schema/raw/master/csl-citation.json"}</w:instrText>
            </w:r>
            <w:r>
              <w:rPr>
                <w:rFonts w:ascii="Calibri Light" w:hAnsi="Calibri Light" w:cs="Calibri Light"/>
                <w:color w:val="000000"/>
                <w:sz w:val="16"/>
                <w:szCs w:val="18"/>
              </w:rPr>
              <w:fldChar w:fldCharType="separate"/>
            </w:r>
            <w:r w:rsidRPr="00857FB3">
              <w:rPr>
                <w:rFonts w:ascii="Calibri Light" w:hAnsi="Calibri Light" w:cs="Calibri Light"/>
                <w:noProof/>
                <w:color w:val="000000"/>
                <w:sz w:val="16"/>
                <w:szCs w:val="18"/>
              </w:rPr>
              <w:t>[28]</w:t>
            </w:r>
            <w:r>
              <w:rPr>
                <w:rFonts w:ascii="Calibri Light" w:hAnsi="Calibri Light" w:cs="Calibri Light"/>
                <w:color w:val="000000"/>
                <w:sz w:val="16"/>
                <w:szCs w:val="18"/>
              </w:rPr>
              <w:fldChar w:fldCharType="end"/>
            </w:r>
          </w:p>
        </w:tc>
        <w:tc>
          <w:tcPr>
            <w:tcW w:w="2516" w:type="dxa"/>
            <w:shd w:val="clear" w:color="auto" w:fill="auto"/>
            <w:vAlign w:val="center"/>
          </w:tcPr>
          <w:p w14:paraId="64AD4DD7"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000000"/>
                <w:sz w:val="16"/>
                <w:szCs w:val="16"/>
              </w:rPr>
              <w:t>POCT: $602.95/positive detected; Laboratory testing: $364.30/positive detected.</w:t>
            </w:r>
          </w:p>
        </w:tc>
        <w:tc>
          <w:tcPr>
            <w:tcW w:w="2693" w:type="dxa"/>
            <w:shd w:val="clear" w:color="auto" w:fill="auto"/>
            <w:vAlign w:val="center"/>
          </w:tcPr>
          <w:p w14:paraId="67900FF6"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000000"/>
                <w:sz w:val="16"/>
                <w:szCs w:val="16"/>
              </w:rPr>
              <w:t>Total costs - POCT: $37,383; laboratory testing: $22,586.70</w:t>
            </w:r>
          </w:p>
        </w:tc>
        <w:tc>
          <w:tcPr>
            <w:tcW w:w="3260" w:type="dxa"/>
            <w:shd w:val="clear" w:color="auto" w:fill="auto"/>
            <w:vAlign w:val="center"/>
          </w:tcPr>
          <w:p w14:paraId="1CC14EEC"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sz w:val="16"/>
                <w:szCs w:val="16"/>
              </w:rPr>
              <w:t>POCT results in decreased length of stay</w:t>
            </w:r>
          </w:p>
        </w:tc>
        <w:tc>
          <w:tcPr>
            <w:tcW w:w="1684" w:type="dxa"/>
            <w:shd w:val="clear" w:color="auto" w:fill="auto"/>
            <w:vAlign w:val="center"/>
          </w:tcPr>
          <w:p w14:paraId="3EFD858E"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FF0000"/>
                <w:sz w:val="16"/>
                <w:szCs w:val="16"/>
              </w:rPr>
              <w:t> </w:t>
            </w:r>
          </w:p>
        </w:tc>
        <w:tc>
          <w:tcPr>
            <w:tcW w:w="1531" w:type="dxa"/>
            <w:shd w:val="clear" w:color="auto" w:fill="auto"/>
            <w:vAlign w:val="center"/>
          </w:tcPr>
          <w:p w14:paraId="1EF97FEA"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000000"/>
                <w:sz w:val="16"/>
                <w:szCs w:val="16"/>
              </w:rPr>
              <w:t>In favor of POCT</w:t>
            </w:r>
          </w:p>
        </w:tc>
      </w:tr>
      <w:tr w:rsidR="0027348D" w:rsidRPr="0027348D" w14:paraId="2C3C031B" w14:textId="77777777" w:rsidTr="005F718B">
        <w:trPr>
          <w:trHeight w:val="773"/>
        </w:trPr>
        <w:tc>
          <w:tcPr>
            <w:tcW w:w="12849" w:type="dxa"/>
            <w:gridSpan w:val="6"/>
            <w:shd w:val="clear" w:color="auto" w:fill="auto"/>
            <w:vAlign w:val="center"/>
          </w:tcPr>
          <w:p w14:paraId="5AFF51C6"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color w:val="000000"/>
                <w:sz w:val="16"/>
                <w:szCs w:val="16"/>
              </w:rPr>
              <w:t xml:space="preserve">* </w:t>
            </w:r>
            <w:proofErr w:type="gramStart"/>
            <w:r w:rsidRPr="0027348D">
              <w:rPr>
                <w:rFonts w:ascii="Calibri Light" w:hAnsi="Calibri Light" w:cs="Calibri Light"/>
                <w:color w:val="000000"/>
                <w:sz w:val="16"/>
                <w:szCs w:val="16"/>
              </w:rPr>
              <w:t>also</w:t>
            </w:r>
            <w:proofErr w:type="gramEnd"/>
            <w:r w:rsidRPr="0027348D">
              <w:rPr>
                <w:rFonts w:ascii="Calibri Light" w:hAnsi="Calibri Light" w:cs="Calibri Light"/>
                <w:color w:val="000000"/>
                <w:sz w:val="16"/>
                <w:szCs w:val="16"/>
              </w:rPr>
              <w:t xml:space="preserve"> in primary care monitoring</w:t>
            </w:r>
          </w:p>
          <w:p w14:paraId="0FF1043B" w14:textId="77777777" w:rsidR="0027348D" w:rsidRPr="0027348D" w:rsidRDefault="0027348D" w:rsidP="0027348D">
            <w:pPr>
              <w:widowControl/>
              <w:adjustRightInd/>
              <w:spacing w:before="0" w:after="0" w:line="240" w:lineRule="auto"/>
              <w:jc w:val="left"/>
              <w:textAlignment w:val="auto"/>
              <w:rPr>
                <w:rFonts w:ascii="Calibri Light" w:hAnsi="Calibri Light" w:cs="Calibri Light"/>
                <w:color w:val="000000"/>
                <w:sz w:val="16"/>
                <w:szCs w:val="16"/>
              </w:rPr>
            </w:pPr>
            <w:r w:rsidRPr="0027348D">
              <w:rPr>
                <w:rFonts w:ascii="Calibri Light" w:hAnsi="Calibri Light" w:cs="Calibri Light"/>
                <w:i/>
                <w:color w:val="000000"/>
                <w:sz w:val="16"/>
                <w:szCs w:val="16"/>
              </w:rPr>
              <w:t>DALY</w:t>
            </w:r>
            <w:r w:rsidRPr="0027348D">
              <w:rPr>
                <w:rFonts w:ascii="Calibri Light" w:hAnsi="Calibri Light" w:cs="Calibri Light"/>
                <w:color w:val="000000"/>
                <w:sz w:val="16"/>
                <w:szCs w:val="16"/>
              </w:rPr>
              <w:t xml:space="preserve"> Disability-Adjusted Life Year, </w:t>
            </w:r>
            <w:r w:rsidRPr="0027348D">
              <w:rPr>
                <w:rFonts w:ascii="Calibri Light" w:hAnsi="Calibri Light" w:cs="Calibri Light"/>
                <w:i/>
                <w:color w:val="000000"/>
                <w:sz w:val="16"/>
                <w:szCs w:val="16"/>
              </w:rPr>
              <w:t xml:space="preserve">ED </w:t>
            </w:r>
            <w:r w:rsidRPr="0027348D">
              <w:rPr>
                <w:rFonts w:ascii="Calibri Light" w:hAnsi="Calibri Light" w:cs="Calibri Light"/>
                <w:color w:val="000000"/>
                <w:sz w:val="16"/>
                <w:szCs w:val="16"/>
              </w:rPr>
              <w:t xml:space="preserve">Emergency Department, </w:t>
            </w:r>
            <w:r w:rsidRPr="0027348D">
              <w:rPr>
                <w:rFonts w:ascii="Calibri Light" w:hAnsi="Calibri Light" w:cs="Calibri Light"/>
                <w:i/>
                <w:color w:val="000000"/>
                <w:sz w:val="16"/>
                <w:szCs w:val="16"/>
              </w:rPr>
              <w:t>ICER</w:t>
            </w:r>
            <w:r w:rsidRPr="0027348D">
              <w:rPr>
                <w:rFonts w:ascii="Calibri Light" w:hAnsi="Calibri Light" w:cs="Calibri Light"/>
                <w:color w:val="000000"/>
                <w:sz w:val="16"/>
                <w:szCs w:val="16"/>
              </w:rPr>
              <w:t xml:space="preserve"> Incremental Cost Effectiveness Ratio, </w:t>
            </w:r>
            <w:r w:rsidRPr="0027348D">
              <w:rPr>
                <w:rFonts w:ascii="Calibri Light" w:hAnsi="Calibri Light" w:cs="Calibri Light"/>
                <w:i/>
                <w:color w:val="000000"/>
                <w:sz w:val="16"/>
                <w:szCs w:val="16"/>
              </w:rPr>
              <w:t>ICS</w:t>
            </w:r>
            <w:r w:rsidRPr="0027348D">
              <w:rPr>
                <w:rFonts w:ascii="Calibri Light" w:hAnsi="Calibri Light" w:cs="Calibri Light"/>
                <w:color w:val="000000"/>
                <w:sz w:val="16"/>
                <w:szCs w:val="16"/>
              </w:rPr>
              <w:t xml:space="preserve"> </w:t>
            </w:r>
            <w:proofErr w:type="spellStart"/>
            <w:r w:rsidRPr="0027348D">
              <w:rPr>
                <w:rFonts w:ascii="Calibri Light" w:hAnsi="Calibri Light" w:cs="Calibri Light"/>
                <w:color w:val="000000"/>
                <w:sz w:val="16"/>
                <w:szCs w:val="16"/>
              </w:rPr>
              <w:t>Immunochromographic</w:t>
            </w:r>
            <w:proofErr w:type="spellEnd"/>
            <w:r w:rsidRPr="0027348D">
              <w:rPr>
                <w:rFonts w:ascii="Calibri Light" w:hAnsi="Calibri Light" w:cs="Calibri Light"/>
                <w:color w:val="000000"/>
                <w:sz w:val="16"/>
                <w:szCs w:val="16"/>
              </w:rPr>
              <w:t xml:space="preserve"> Strip, </w:t>
            </w:r>
            <w:r w:rsidRPr="0027348D">
              <w:rPr>
                <w:rFonts w:ascii="Calibri Light" w:hAnsi="Calibri Light" w:cs="Calibri Light"/>
                <w:i/>
                <w:sz w:val="16"/>
                <w:szCs w:val="16"/>
              </w:rPr>
              <w:t>NAAT</w:t>
            </w:r>
            <w:r w:rsidRPr="0027348D">
              <w:rPr>
                <w:rFonts w:ascii="Calibri Light" w:hAnsi="Calibri Light" w:cs="Calibri Light"/>
                <w:sz w:val="16"/>
                <w:szCs w:val="16"/>
              </w:rPr>
              <w:t xml:space="preserve"> </w:t>
            </w:r>
            <w:r w:rsidRPr="0027348D">
              <w:rPr>
                <w:rFonts w:ascii="Calibri Light" w:hAnsi="Calibri Light" w:cs="Calibri Light"/>
                <w:color w:val="000000"/>
                <w:sz w:val="16"/>
                <w:szCs w:val="16"/>
              </w:rPr>
              <w:t xml:space="preserve">Nucleic Acid Amplification Testing, </w:t>
            </w:r>
            <w:r w:rsidRPr="0027348D">
              <w:rPr>
                <w:rFonts w:ascii="Calibri Light" w:hAnsi="Calibri Light" w:cs="Calibri Light"/>
                <w:i/>
                <w:color w:val="000000"/>
                <w:sz w:val="16"/>
                <w:szCs w:val="16"/>
              </w:rPr>
              <w:t>NHS</w:t>
            </w:r>
            <w:r w:rsidRPr="0027348D">
              <w:rPr>
                <w:rFonts w:ascii="Calibri Light" w:hAnsi="Calibri Light" w:cs="Calibri Light"/>
                <w:color w:val="000000"/>
                <w:sz w:val="16"/>
                <w:szCs w:val="16"/>
              </w:rPr>
              <w:t xml:space="preserve"> National Health Service, </w:t>
            </w:r>
            <w:r w:rsidRPr="0027348D">
              <w:rPr>
                <w:rFonts w:ascii="Calibri Light" w:hAnsi="Calibri Light" w:cs="Calibri Light"/>
                <w:i/>
                <w:color w:val="000000"/>
                <w:sz w:val="16"/>
                <w:szCs w:val="16"/>
              </w:rPr>
              <w:t>POCT</w:t>
            </w:r>
            <w:r w:rsidRPr="0027348D">
              <w:rPr>
                <w:rFonts w:ascii="Calibri Light" w:hAnsi="Calibri Light" w:cs="Calibri Light"/>
                <w:color w:val="000000"/>
                <w:sz w:val="16"/>
                <w:szCs w:val="16"/>
              </w:rPr>
              <w:t xml:space="preserve"> Point of Care Test(</w:t>
            </w:r>
            <w:proofErr w:type="spellStart"/>
            <w:r w:rsidRPr="0027348D">
              <w:rPr>
                <w:rFonts w:ascii="Calibri Light" w:hAnsi="Calibri Light" w:cs="Calibri Light"/>
                <w:color w:val="000000"/>
                <w:sz w:val="16"/>
                <w:szCs w:val="16"/>
              </w:rPr>
              <w:t>ing</w:t>
            </w:r>
            <w:proofErr w:type="spellEnd"/>
            <w:r w:rsidRPr="0027348D">
              <w:rPr>
                <w:rFonts w:ascii="Calibri Light" w:hAnsi="Calibri Light" w:cs="Calibri Light"/>
                <w:color w:val="000000"/>
                <w:sz w:val="16"/>
                <w:szCs w:val="16"/>
              </w:rPr>
              <w:t xml:space="preserve">), </w:t>
            </w:r>
            <w:r w:rsidRPr="0027348D">
              <w:rPr>
                <w:rFonts w:ascii="Calibri Light" w:hAnsi="Calibri Light" w:cs="Calibri Light"/>
                <w:i/>
                <w:color w:val="000000"/>
                <w:sz w:val="16"/>
                <w:szCs w:val="16"/>
              </w:rPr>
              <w:t>QALY</w:t>
            </w:r>
            <w:r w:rsidRPr="0027348D">
              <w:rPr>
                <w:rFonts w:ascii="Calibri Light" w:hAnsi="Calibri Light" w:cs="Calibri Light"/>
                <w:color w:val="000000"/>
                <w:sz w:val="16"/>
                <w:szCs w:val="16"/>
              </w:rPr>
              <w:t xml:space="preserve"> Quality-Adjusted Life Year, </w:t>
            </w:r>
            <w:r w:rsidRPr="0027348D">
              <w:rPr>
                <w:rFonts w:ascii="Calibri Light" w:hAnsi="Calibri Light" w:cs="Calibri Light"/>
                <w:i/>
                <w:color w:val="000000"/>
                <w:sz w:val="16"/>
                <w:szCs w:val="16"/>
              </w:rPr>
              <w:t>RPR</w:t>
            </w:r>
            <w:r w:rsidRPr="0027348D">
              <w:rPr>
                <w:rFonts w:ascii="Calibri Light" w:hAnsi="Calibri Light" w:cs="Calibri Light"/>
                <w:color w:val="000000"/>
                <w:sz w:val="16"/>
                <w:szCs w:val="16"/>
              </w:rPr>
              <w:t xml:space="preserve"> Rapid Plasma </w:t>
            </w:r>
            <w:proofErr w:type="spellStart"/>
            <w:r w:rsidRPr="0027348D">
              <w:rPr>
                <w:rFonts w:ascii="Calibri Light" w:hAnsi="Calibri Light" w:cs="Calibri Light"/>
                <w:color w:val="000000"/>
                <w:sz w:val="16"/>
                <w:szCs w:val="16"/>
              </w:rPr>
              <w:t>Reagin</w:t>
            </w:r>
            <w:proofErr w:type="spellEnd"/>
            <w:r w:rsidRPr="0027348D">
              <w:rPr>
                <w:rFonts w:ascii="Calibri Light" w:hAnsi="Calibri Light" w:cs="Calibri Light"/>
                <w:color w:val="000000"/>
                <w:sz w:val="16"/>
                <w:szCs w:val="16"/>
              </w:rPr>
              <w:t>.</w:t>
            </w:r>
          </w:p>
        </w:tc>
      </w:tr>
    </w:tbl>
    <w:p w14:paraId="7CBEDFC8" w14:textId="419BFFAE" w:rsidR="00B31B41" w:rsidRDefault="00B31B41" w:rsidP="00B2138E"/>
    <w:p w14:paraId="18AC9227" w14:textId="0C08045F" w:rsidR="00B31B41" w:rsidRDefault="00B31B41" w:rsidP="00B2138E">
      <w:r>
        <w:t xml:space="preserve">Table </w:t>
      </w:r>
      <w:r w:rsidR="00675D06">
        <w:t>B</w:t>
      </w:r>
      <w:r>
        <w:t>2.</w:t>
      </w:r>
      <w:r w:rsidR="00A17831" w:rsidRPr="00A17831">
        <w:t xml:space="preserve"> </w:t>
      </w:r>
      <w:r w:rsidR="00A17831">
        <w:t xml:space="preserve">Outcomes of </w:t>
      </w:r>
      <w:r w:rsidR="00D173E9">
        <w:t>POCT</w:t>
      </w:r>
      <w:r w:rsidR="00A17831">
        <w:t xml:space="preserve"> for Diagnosis</w:t>
      </w:r>
    </w:p>
    <w:tbl>
      <w:tblPr>
        <w:tblW w:w="12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410"/>
        <w:gridCol w:w="1701"/>
        <w:gridCol w:w="3260"/>
        <w:gridCol w:w="2552"/>
        <w:gridCol w:w="1782"/>
      </w:tblGrid>
      <w:tr w:rsidR="00ED4054" w:rsidRPr="00ED4054" w14:paraId="2E55471C" w14:textId="77777777" w:rsidTr="005F718B">
        <w:trPr>
          <w:trHeight w:val="280"/>
        </w:trPr>
        <w:tc>
          <w:tcPr>
            <w:tcW w:w="12839" w:type="dxa"/>
            <w:gridSpan w:val="6"/>
            <w:tcBorders>
              <w:top w:val="single" w:sz="4" w:space="0" w:color="auto"/>
              <w:left w:val="single" w:sz="4" w:space="0" w:color="auto"/>
              <w:bottom w:val="single" w:sz="4" w:space="0" w:color="auto"/>
            </w:tcBorders>
            <w:shd w:val="clear" w:color="auto" w:fill="auto"/>
            <w:vAlign w:val="center"/>
          </w:tcPr>
          <w:p w14:paraId="4E22F672"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Primary care</w:t>
            </w:r>
          </w:p>
        </w:tc>
      </w:tr>
      <w:tr w:rsidR="00ED4054" w:rsidRPr="00ED4054" w14:paraId="78412F0A" w14:textId="77777777" w:rsidTr="005F718B">
        <w:trPr>
          <w:trHeight w:val="280"/>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5D2E4"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Author, Year</w:t>
            </w:r>
          </w:p>
        </w:tc>
        <w:tc>
          <w:tcPr>
            <w:tcW w:w="2410" w:type="dxa"/>
            <w:tcBorders>
              <w:left w:val="single" w:sz="4" w:space="0" w:color="auto"/>
            </w:tcBorders>
            <w:shd w:val="clear" w:color="auto" w:fill="auto"/>
            <w:vAlign w:val="center"/>
            <w:hideMark/>
          </w:tcPr>
          <w:p w14:paraId="46C846E0"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Cost per patient</w:t>
            </w:r>
          </w:p>
        </w:tc>
        <w:tc>
          <w:tcPr>
            <w:tcW w:w="1701" w:type="dxa"/>
            <w:shd w:val="clear" w:color="auto" w:fill="auto"/>
            <w:vAlign w:val="center"/>
            <w:hideMark/>
          </w:tcPr>
          <w:p w14:paraId="0C53D53F"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Overall cost</w:t>
            </w:r>
          </w:p>
        </w:tc>
        <w:tc>
          <w:tcPr>
            <w:tcW w:w="3260" w:type="dxa"/>
            <w:shd w:val="clear" w:color="auto" w:fill="auto"/>
            <w:vAlign w:val="center"/>
            <w:hideMark/>
          </w:tcPr>
          <w:p w14:paraId="07288B83"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Effectiveness</w:t>
            </w:r>
          </w:p>
        </w:tc>
        <w:tc>
          <w:tcPr>
            <w:tcW w:w="2552" w:type="dxa"/>
            <w:shd w:val="clear" w:color="auto" w:fill="auto"/>
            <w:vAlign w:val="center"/>
            <w:hideMark/>
          </w:tcPr>
          <w:p w14:paraId="397CC7DA"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Ratio</w:t>
            </w:r>
          </w:p>
        </w:tc>
        <w:tc>
          <w:tcPr>
            <w:tcW w:w="1782" w:type="dxa"/>
            <w:shd w:val="clear" w:color="auto" w:fill="auto"/>
            <w:vAlign w:val="center"/>
            <w:hideMark/>
          </w:tcPr>
          <w:p w14:paraId="030BD6EF"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 Conclusion</w:t>
            </w:r>
          </w:p>
        </w:tc>
      </w:tr>
      <w:tr w:rsidR="00ED4054" w:rsidRPr="00ED4054" w14:paraId="54C6DB21" w14:textId="77777777" w:rsidTr="005F718B">
        <w:trPr>
          <w:trHeight w:val="586"/>
        </w:trPr>
        <w:tc>
          <w:tcPr>
            <w:tcW w:w="1134" w:type="dxa"/>
            <w:tcBorders>
              <w:top w:val="single" w:sz="4" w:space="0" w:color="auto"/>
            </w:tcBorders>
            <w:shd w:val="clear" w:color="auto" w:fill="auto"/>
            <w:vAlign w:val="center"/>
          </w:tcPr>
          <w:p w14:paraId="77B696E1" w14:textId="546DC4E8" w:rsidR="00ED4054" w:rsidRPr="00ED4054" w:rsidRDefault="00E64B45"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6"/>
              </w:rPr>
              <w:t>Frank et al. 2019</w:t>
            </w:r>
            <w:r>
              <w:rPr>
                <w:rFonts w:ascii="Calibri Light" w:hAnsi="Calibri Light" w:cs="Calibri Light"/>
                <w:color w:val="000000"/>
                <w:sz w:val="16"/>
                <w:szCs w:val="16"/>
              </w:rPr>
              <w:t xml:space="preserve"> </w:t>
            </w:r>
            <w:r>
              <w:rPr>
                <w:rFonts w:ascii="Calibri Light" w:hAnsi="Calibri Light" w:cs="Calibri Light"/>
                <w:color w:val="000000"/>
                <w:sz w:val="16"/>
                <w:szCs w:val="16"/>
              </w:rPr>
              <w:fldChar w:fldCharType="begin" w:fldLock="1"/>
            </w:r>
            <w:r>
              <w:rPr>
                <w:rFonts w:ascii="Calibri Light" w:hAnsi="Calibri Light" w:cs="Calibri Light"/>
                <w:color w:val="000000"/>
                <w:sz w:val="16"/>
                <w:szCs w:val="16"/>
              </w:rPr>
              <w:instrText>ADDIN CSL_CITATION {"citationItems":[{"id":"ITEM-1","itemData":{"DOI":"10.1016/S2352-3018(18)30328-X","ISSN":"2352-3018","author":[{"dropping-particle":"","family":"Frank","given":"Simone C","non-dropping-particle":"","parse-names":false,"suffix":""},{"dropping-particle":"","family":"Cohn","given":"Jennifer","non-dropping-particle":"","parse-names":false,"suffix":""},{"dropping-particle":"","family":"Dunning","given":"Lorna","non-dropping-particle":"","parse-names":false,"suffix":""},{"dropping-particle":"","family":"Sacks","given":"Emma","non-dropping-particle":"","parse-names":false,"suffix":""},{"dropping-particle":"","family":"Walensky","given":"Rochelle P","non-dropping-particle":"","parse-names":false,"suffix":""},{"dropping-particle":"","family":"Mukherjee","given":"Sushant","non-dropping-particle":"","parse-names":false,"suffix":""},{"dropping-particle":"","family":"Dugdale","given":"Caitlin M","non-dropping-particle":"","parse-names":false,"suffix":""},{"dropping-particle":"","family":"Turunga","given":"Esther","non-dropping-particle":"","parse-names":false,"suffix":""},{"dropping-particle":"","family":"Freedberg","given":"Kenneth A","non-dropping-particle":"","parse-names":false,"suffix":""},{"dropping-particle":"","family":"Ciaranello","given":"Andrea L","non-dropping-particle":"","parse-names":false,"suffix":""}],"container-title":"The Lancet HIV","id":"ITEM-1","issue":"18","issued":{"date-parts":[["2019"]]},"page":"1-9","publisher":"Elsevier Ltd","title":"Clinical effect and cost-effectiveness of incorporation of point-of-care assays into early infant HIV diagnosis programmes in Zimbabwe : a modelling study","type":"article-journal","volume":"3018"},"uris":["http://www.mendeley.com/documents/?uuid=e5abaf52-f6ef-4f26-a036-54f1d13a95e1"]}],"mendeley":{"formattedCitation":"[41]","plainTextFormattedCitation":"[41]","previouslyFormattedCitation":"[40]"},"properties":{"noteIndex":0},"schema":"https://github.com/citation-style-language/schema/raw/master/csl-citation.json"}</w:instrText>
            </w:r>
            <w:r>
              <w:rPr>
                <w:rFonts w:ascii="Calibri Light" w:hAnsi="Calibri Light" w:cs="Calibri Light"/>
                <w:color w:val="000000"/>
                <w:sz w:val="16"/>
                <w:szCs w:val="16"/>
              </w:rPr>
              <w:fldChar w:fldCharType="separate"/>
            </w:r>
            <w:r w:rsidRPr="004A39DD">
              <w:rPr>
                <w:rFonts w:ascii="Calibri Light" w:hAnsi="Calibri Light" w:cs="Calibri Light"/>
                <w:noProof/>
                <w:color w:val="000000"/>
                <w:sz w:val="16"/>
                <w:szCs w:val="16"/>
              </w:rPr>
              <w:t>[41]</w:t>
            </w:r>
            <w:r>
              <w:rPr>
                <w:rFonts w:ascii="Calibri Light" w:hAnsi="Calibri Light" w:cs="Calibri Light"/>
                <w:color w:val="000000"/>
                <w:sz w:val="16"/>
                <w:szCs w:val="16"/>
              </w:rPr>
              <w:fldChar w:fldCharType="end"/>
            </w:r>
          </w:p>
        </w:tc>
        <w:tc>
          <w:tcPr>
            <w:tcW w:w="2410" w:type="dxa"/>
            <w:shd w:val="clear" w:color="auto" w:fill="auto"/>
            <w:vAlign w:val="center"/>
          </w:tcPr>
          <w:p w14:paraId="32C73D6F"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Usual care: $610; POCT: $690</w:t>
            </w:r>
          </w:p>
        </w:tc>
        <w:tc>
          <w:tcPr>
            <w:tcW w:w="1701" w:type="dxa"/>
            <w:shd w:val="clear" w:color="auto" w:fill="auto"/>
            <w:vAlign w:val="center"/>
          </w:tcPr>
          <w:p w14:paraId="208CA35E"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3260" w:type="dxa"/>
            <w:shd w:val="clear" w:color="auto" w:fill="auto"/>
            <w:vAlign w:val="center"/>
          </w:tcPr>
          <w:p w14:paraId="4E641108"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Life expectancy – Usual care: 22.7 years; POCT: 25.5 years. Survival at 12 weeks – Usual care: 76.1%; POCT: 83.5%.</w:t>
            </w:r>
          </w:p>
        </w:tc>
        <w:tc>
          <w:tcPr>
            <w:tcW w:w="2552" w:type="dxa"/>
            <w:shd w:val="clear" w:color="auto" w:fill="auto"/>
            <w:vAlign w:val="center"/>
          </w:tcPr>
          <w:p w14:paraId="6FEE4F79"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ICER: $680/YLS</w:t>
            </w:r>
          </w:p>
        </w:tc>
        <w:tc>
          <w:tcPr>
            <w:tcW w:w="1782" w:type="dxa"/>
            <w:shd w:val="clear" w:color="auto" w:fill="auto"/>
            <w:vAlign w:val="center"/>
          </w:tcPr>
          <w:p w14:paraId="246BC08E"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color w:val="000000"/>
                <w:sz w:val="16"/>
                <w:szCs w:val="16"/>
              </w:rPr>
              <w:t>In favor of POCT</w:t>
            </w:r>
          </w:p>
        </w:tc>
      </w:tr>
      <w:tr w:rsidR="00ED4054" w:rsidRPr="00ED4054" w14:paraId="3ECD6853" w14:textId="77777777" w:rsidTr="005F718B">
        <w:trPr>
          <w:trHeight w:val="1060"/>
        </w:trPr>
        <w:tc>
          <w:tcPr>
            <w:tcW w:w="1134" w:type="dxa"/>
            <w:tcBorders>
              <w:top w:val="single" w:sz="4" w:space="0" w:color="auto"/>
            </w:tcBorders>
            <w:shd w:val="clear" w:color="auto" w:fill="auto"/>
            <w:vAlign w:val="center"/>
          </w:tcPr>
          <w:p w14:paraId="6BD16F21" w14:textId="45C1BCC2" w:rsidR="00ED4054" w:rsidRPr="00ED4054" w:rsidRDefault="003E7989"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6"/>
              </w:rPr>
              <w:t>Lee et al. 2019</w:t>
            </w:r>
            <w:r>
              <w:rPr>
                <w:rFonts w:ascii="Calibri Light" w:hAnsi="Calibri Light" w:cs="Calibri Light"/>
                <w:color w:val="000000"/>
                <w:sz w:val="16"/>
                <w:szCs w:val="16"/>
              </w:rPr>
              <w:t xml:space="preserve"> </w:t>
            </w:r>
            <w:r>
              <w:rPr>
                <w:rFonts w:ascii="Calibri Light" w:hAnsi="Calibri Light" w:cs="Calibri Light"/>
                <w:color w:val="000000"/>
                <w:sz w:val="16"/>
                <w:szCs w:val="16"/>
              </w:rPr>
              <w:fldChar w:fldCharType="begin" w:fldLock="1"/>
            </w:r>
            <w:r>
              <w:rPr>
                <w:rFonts w:ascii="Calibri Light" w:hAnsi="Calibri Light" w:cs="Calibri Light"/>
                <w:color w:val="000000"/>
                <w:sz w:val="16"/>
                <w:szCs w:val="16"/>
              </w:rPr>
              <w:instrText>ADDIN CSL_CITATION {"citationItems":[{"id":"ITEM-1","itemData":{"DOI":"10.1371/journal.pone.0218890","ISBN":"1111111111","ISSN":"19326203","PMID":"31265470","abstract":"Background Truenat is a novel molecular assay that rapidly detects tuberculosis (TB) and rifampicin-resistance. Due to the portability of its battery-powered testing platform, it may be valuable in peripheral healthcare settings in India. Methods Using a microsimulation model, we compared four TB diagnostic strategies for HIV-negative adults with presumptive TB: (1) sputum smear microscopy in designated microscopy centers (DMCs) (SSM); (2) Xpert MTB/RIF in DMCs (Xpert); (3) Truenat in DMCs (Truenat DMC); and (4) Truenat for point-of-care testing in primary healthcare facilities (Truenat POC). We projected life expectancy, costs, incremental cost-effectiveness ratios (ICERs), and 5-year budget impact of deploying Truenat POC in India’s public sector. We defined a strategy “cost-effective” if its ICER was &lt;US$990/year-of-life saved (YLS). Model inputs included: TB prevalence, 15% (among those not previously treated for TB) and 27% (among those previously treated for TB); sensitivity for TB detection, 89% (Xpert) and 86% (Truenat); per test cost, $12.63 (Xpert) and $13.20 (Truenat); and linkage-to-care after diagnosis, 84% (DMC) and 95% (POC). We varied these parameters in sensitivity analyses. Results Compared to SSM, Truenat POC increased life expectancy by 0.39 years and was cost-effective (ICER $210/YLS). Compared to Xpert, Truenat POC increased life expectancy by 0.08 years due to improved linkage-to-care and was cost-effective (ICER $120/YLS). In sensitivity analysis, the cost-effectiveness of Truenat POC, relative to Xpert, depended on the diagnostic sensitivity of Truenat and linkage-to-care with Truenat. Deploying Truenat POC instead of Xpert increased 5-year expenditures by $270 million, due mostly to treatment costs. Limitations of our study include uncertainty in Truenat’s sensitivity for TB and not accounting for the “start-up” costs of implementing Truenat in the field. Conclusions Used at the point-of-care in India, Truenat for TB diagnosis should improve linkage-to-care, increase life expectancy, and be cost-effective compared with smear microscopy or Xpert.","author":[{"dropping-particle":"","family":"Lee","given":"David J.","non-dropping-particle":"","parse-names":false,"suffix":""},{"dropping-particle":"","family":"Kumarasamy","given":"Nagalingeswaran","non-dropping-particle":"","parse-names":false,"suffix":""},{"dropping-particle":"","family":"Resch","given":"Stephen C.","non-dropping-particle":"","parse-names":false,"suffix":""},{"dropping-particle":"","family":"Sivaramakrishnan","given":"Gomathi N.","non-dropping-particle":"","parse-names":false,"suffix":""},{"dropping-particle":"","family":"Mayer","given":"Kenneth H.","non-dropping-particle":"","parse-names":false,"suffix":""},{"dropping-particle":"","family":"Tripathy","given":"Srikanth","non-dropping-particle":"","parse-names":false,"suffix":""},{"dropping-particle":"","family":"David Paltiel","given":"A.","non-dropping-particle":"","parse-names":false,"suffix":""},{"dropping-particle":"","family":"Freedberg","given":"Kenneth A.","non-dropping-particle":"","parse-names":false,"suffix":""},{"dropping-particle":"","family":"Reddy","given":"Krishna P.","non-dropping-particle":"","parse-names":false,"suffix":""}],"container-title":"PLoS ONE","id":"ITEM-1","issue":"7","issued":{"date-parts":[["2019"]]},"page":"1-17","title":"Rapid, point-of-care diagnosis of tuberculosis with novel Truenat assay: Cost-effectiveness analysis for India’s public sector","type":"article-journal","volume":"14"},"uris":["http://www.mendeley.com/documents/?uuid=5208de6f-b506-4541-87c9-234cf863dafc"]}],"mendeley":{"formattedCitation":"[44]","plainTextFormattedCitation":"[44]","previouslyFormattedCitation":"[43]"},"properties":{"noteIndex":0},"schema":"https://github.com/citation-style-language/schema/raw/master/csl-citation.json"}</w:instrText>
            </w:r>
            <w:r>
              <w:rPr>
                <w:rFonts w:ascii="Calibri Light" w:hAnsi="Calibri Light" w:cs="Calibri Light"/>
                <w:color w:val="000000"/>
                <w:sz w:val="16"/>
                <w:szCs w:val="16"/>
              </w:rPr>
              <w:fldChar w:fldCharType="separate"/>
            </w:r>
            <w:r w:rsidRPr="004A39DD">
              <w:rPr>
                <w:rFonts w:ascii="Calibri Light" w:hAnsi="Calibri Light" w:cs="Calibri Light"/>
                <w:noProof/>
                <w:color w:val="000000"/>
                <w:sz w:val="16"/>
                <w:szCs w:val="16"/>
              </w:rPr>
              <w:t>[44]</w:t>
            </w:r>
            <w:r>
              <w:rPr>
                <w:rFonts w:ascii="Calibri Light" w:hAnsi="Calibri Light" w:cs="Calibri Light"/>
                <w:color w:val="000000"/>
                <w:sz w:val="16"/>
                <w:szCs w:val="16"/>
              </w:rPr>
              <w:fldChar w:fldCharType="end"/>
            </w:r>
          </w:p>
        </w:tc>
        <w:tc>
          <w:tcPr>
            <w:tcW w:w="2410" w:type="dxa"/>
            <w:shd w:val="clear" w:color="auto" w:fill="auto"/>
            <w:vAlign w:val="center"/>
          </w:tcPr>
          <w:p w14:paraId="5CA145A4"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 xml:space="preserve">Sputum smear microscopy: $80; </w:t>
            </w:r>
            <w:proofErr w:type="spellStart"/>
            <w:r w:rsidRPr="00ED4054">
              <w:rPr>
                <w:rFonts w:cstheme="majorHAnsi"/>
                <w:sz w:val="16"/>
                <w:szCs w:val="16"/>
              </w:rPr>
              <w:t>Xpert</w:t>
            </w:r>
            <w:proofErr w:type="spellEnd"/>
            <w:r w:rsidRPr="00ED4054">
              <w:rPr>
                <w:rFonts w:cstheme="majorHAnsi"/>
                <w:sz w:val="16"/>
                <w:szCs w:val="16"/>
              </w:rPr>
              <w:t xml:space="preserve"> MTB/RIF: $120; </w:t>
            </w:r>
            <w:proofErr w:type="spellStart"/>
            <w:r w:rsidRPr="00ED4054">
              <w:rPr>
                <w:rFonts w:cstheme="majorHAnsi"/>
                <w:sz w:val="16"/>
                <w:szCs w:val="16"/>
              </w:rPr>
              <w:t>Truenat</w:t>
            </w:r>
            <w:proofErr w:type="spellEnd"/>
            <w:r w:rsidRPr="00ED4054">
              <w:rPr>
                <w:rFonts w:cstheme="majorHAnsi"/>
                <w:sz w:val="16"/>
                <w:szCs w:val="16"/>
              </w:rPr>
              <w:t xml:space="preserve"> in DMCs: $120; </w:t>
            </w:r>
            <w:proofErr w:type="spellStart"/>
            <w:r w:rsidRPr="00ED4054">
              <w:rPr>
                <w:rFonts w:cstheme="majorHAnsi"/>
                <w:sz w:val="16"/>
                <w:szCs w:val="16"/>
              </w:rPr>
              <w:t>Truenat</w:t>
            </w:r>
            <w:proofErr w:type="spellEnd"/>
            <w:r w:rsidRPr="00ED4054">
              <w:rPr>
                <w:rFonts w:cstheme="majorHAnsi"/>
                <w:sz w:val="16"/>
                <w:szCs w:val="16"/>
              </w:rPr>
              <w:t xml:space="preserve"> for POCT: $120</w:t>
            </w:r>
          </w:p>
        </w:tc>
        <w:tc>
          <w:tcPr>
            <w:tcW w:w="1701" w:type="dxa"/>
            <w:shd w:val="clear" w:color="auto" w:fill="auto"/>
            <w:vAlign w:val="center"/>
          </w:tcPr>
          <w:p w14:paraId="31F979C6"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roofErr w:type="spellStart"/>
            <w:r w:rsidRPr="00ED4054">
              <w:rPr>
                <w:rFonts w:cstheme="majorHAnsi"/>
                <w:color w:val="000000"/>
                <w:sz w:val="16"/>
                <w:szCs w:val="16"/>
              </w:rPr>
              <w:t>Truenat</w:t>
            </w:r>
            <w:proofErr w:type="spellEnd"/>
            <w:r w:rsidRPr="00ED4054">
              <w:rPr>
                <w:rFonts w:cstheme="majorHAnsi"/>
                <w:color w:val="000000"/>
                <w:sz w:val="16"/>
                <w:szCs w:val="16"/>
              </w:rPr>
              <w:t xml:space="preserve"> POCT instead of </w:t>
            </w:r>
            <w:proofErr w:type="spellStart"/>
            <w:r w:rsidRPr="00ED4054">
              <w:rPr>
                <w:rFonts w:cstheme="majorHAnsi"/>
                <w:color w:val="000000"/>
                <w:sz w:val="16"/>
                <w:szCs w:val="16"/>
              </w:rPr>
              <w:t>Xpert</w:t>
            </w:r>
            <w:proofErr w:type="spellEnd"/>
            <w:r w:rsidRPr="00ED4054">
              <w:rPr>
                <w:rFonts w:cstheme="majorHAnsi"/>
                <w:color w:val="000000"/>
                <w:sz w:val="16"/>
                <w:szCs w:val="16"/>
              </w:rPr>
              <w:t xml:space="preserve"> increased 5-year expenditures by $270 million</w:t>
            </w:r>
          </w:p>
        </w:tc>
        <w:tc>
          <w:tcPr>
            <w:tcW w:w="3260" w:type="dxa"/>
            <w:shd w:val="clear" w:color="auto" w:fill="auto"/>
            <w:vAlign w:val="center"/>
          </w:tcPr>
          <w:p w14:paraId="4AC16890"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 xml:space="preserve">Life expectancy – </w:t>
            </w:r>
            <w:proofErr w:type="spellStart"/>
            <w:r w:rsidRPr="00ED4054">
              <w:rPr>
                <w:rFonts w:cstheme="majorHAnsi"/>
                <w:sz w:val="16"/>
                <w:szCs w:val="16"/>
              </w:rPr>
              <w:t>Truenat</w:t>
            </w:r>
            <w:proofErr w:type="spellEnd"/>
            <w:r w:rsidRPr="00ED4054">
              <w:rPr>
                <w:rFonts w:cstheme="majorHAnsi"/>
                <w:sz w:val="16"/>
                <w:szCs w:val="16"/>
              </w:rPr>
              <w:t xml:space="preserve"> POCT compared to sputum smear microscopy: +0.39 years; </w:t>
            </w:r>
            <w:proofErr w:type="spellStart"/>
            <w:r w:rsidRPr="00ED4054">
              <w:rPr>
                <w:rFonts w:cstheme="majorHAnsi"/>
                <w:sz w:val="16"/>
                <w:szCs w:val="16"/>
              </w:rPr>
              <w:t>Truenat</w:t>
            </w:r>
            <w:proofErr w:type="spellEnd"/>
            <w:r w:rsidRPr="00ED4054">
              <w:rPr>
                <w:rFonts w:cstheme="majorHAnsi"/>
                <w:sz w:val="16"/>
                <w:szCs w:val="16"/>
              </w:rPr>
              <w:t xml:space="preserve"> POCT compared to </w:t>
            </w:r>
            <w:proofErr w:type="spellStart"/>
            <w:r w:rsidRPr="00ED4054">
              <w:rPr>
                <w:rFonts w:cstheme="majorHAnsi"/>
                <w:sz w:val="16"/>
                <w:szCs w:val="16"/>
              </w:rPr>
              <w:t>Xpert</w:t>
            </w:r>
            <w:proofErr w:type="spellEnd"/>
            <w:r w:rsidRPr="00ED4054">
              <w:rPr>
                <w:rFonts w:cstheme="majorHAnsi"/>
                <w:sz w:val="16"/>
                <w:szCs w:val="16"/>
              </w:rPr>
              <w:t xml:space="preserve"> MTB/RIF: +0.08 years; </w:t>
            </w:r>
            <w:proofErr w:type="spellStart"/>
            <w:r w:rsidRPr="00ED4054">
              <w:rPr>
                <w:rFonts w:cstheme="majorHAnsi"/>
                <w:sz w:val="16"/>
                <w:szCs w:val="16"/>
              </w:rPr>
              <w:t>Truenat</w:t>
            </w:r>
            <w:proofErr w:type="spellEnd"/>
            <w:r w:rsidRPr="00ED4054">
              <w:rPr>
                <w:rFonts w:cstheme="majorHAnsi"/>
                <w:sz w:val="16"/>
                <w:szCs w:val="16"/>
              </w:rPr>
              <w:t xml:space="preserve"> POCT compared to </w:t>
            </w:r>
            <w:proofErr w:type="spellStart"/>
            <w:r w:rsidRPr="00ED4054">
              <w:rPr>
                <w:rFonts w:cstheme="majorHAnsi"/>
                <w:sz w:val="16"/>
                <w:szCs w:val="16"/>
              </w:rPr>
              <w:t>Truenat</w:t>
            </w:r>
            <w:proofErr w:type="spellEnd"/>
            <w:r w:rsidRPr="00ED4054">
              <w:rPr>
                <w:rFonts w:cstheme="majorHAnsi"/>
                <w:sz w:val="16"/>
                <w:szCs w:val="16"/>
              </w:rPr>
              <w:t xml:space="preserve"> at DMCs: + 0.09</w:t>
            </w:r>
          </w:p>
        </w:tc>
        <w:tc>
          <w:tcPr>
            <w:tcW w:w="2552" w:type="dxa"/>
            <w:shd w:val="clear" w:color="auto" w:fill="auto"/>
            <w:vAlign w:val="center"/>
          </w:tcPr>
          <w:p w14:paraId="78D528A9"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roofErr w:type="spellStart"/>
            <w:r w:rsidRPr="00ED4054">
              <w:rPr>
                <w:rFonts w:cstheme="majorHAnsi"/>
                <w:sz w:val="16"/>
                <w:szCs w:val="16"/>
              </w:rPr>
              <w:t>Truenat</w:t>
            </w:r>
            <w:proofErr w:type="spellEnd"/>
            <w:r w:rsidRPr="00ED4054">
              <w:rPr>
                <w:rFonts w:cstheme="majorHAnsi"/>
                <w:sz w:val="16"/>
                <w:szCs w:val="16"/>
              </w:rPr>
              <w:t xml:space="preserve"> POCT compared to sputum smear microscopy: $210/YLS; </w:t>
            </w:r>
            <w:proofErr w:type="spellStart"/>
            <w:r w:rsidRPr="00ED4054">
              <w:rPr>
                <w:rFonts w:cstheme="majorHAnsi"/>
                <w:sz w:val="16"/>
                <w:szCs w:val="16"/>
              </w:rPr>
              <w:t>Truenat</w:t>
            </w:r>
            <w:proofErr w:type="spellEnd"/>
            <w:r w:rsidRPr="00ED4054">
              <w:rPr>
                <w:rFonts w:cstheme="majorHAnsi"/>
                <w:sz w:val="16"/>
                <w:szCs w:val="16"/>
              </w:rPr>
              <w:t xml:space="preserve"> POCT compared to </w:t>
            </w:r>
            <w:proofErr w:type="spellStart"/>
            <w:r w:rsidRPr="00ED4054">
              <w:rPr>
                <w:rFonts w:cstheme="majorHAnsi"/>
                <w:sz w:val="16"/>
                <w:szCs w:val="16"/>
              </w:rPr>
              <w:t>Xpert</w:t>
            </w:r>
            <w:proofErr w:type="spellEnd"/>
            <w:r w:rsidRPr="00ED4054">
              <w:rPr>
                <w:rFonts w:cstheme="majorHAnsi"/>
                <w:sz w:val="16"/>
                <w:szCs w:val="16"/>
              </w:rPr>
              <w:t xml:space="preserve"> MTB/RIF: $120/YLS;</w:t>
            </w:r>
          </w:p>
        </w:tc>
        <w:tc>
          <w:tcPr>
            <w:tcW w:w="1782" w:type="dxa"/>
            <w:shd w:val="clear" w:color="auto" w:fill="auto"/>
            <w:vAlign w:val="center"/>
          </w:tcPr>
          <w:p w14:paraId="2485DF1F"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color w:val="000000"/>
                <w:sz w:val="16"/>
                <w:szCs w:val="16"/>
              </w:rPr>
              <w:t>In favor of POCT</w:t>
            </w:r>
          </w:p>
        </w:tc>
      </w:tr>
      <w:tr w:rsidR="00ED4054" w:rsidRPr="00ED4054" w14:paraId="45E741BB" w14:textId="77777777" w:rsidTr="005F718B">
        <w:trPr>
          <w:trHeight w:val="1060"/>
        </w:trPr>
        <w:tc>
          <w:tcPr>
            <w:tcW w:w="1134" w:type="dxa"/>
            <w:tcBorders>
              <w:top w:val="single" w:sz="4" w:space="0" w:color="auto"/>
            </w:tcBorders>
            <w:shd w:val="clear" w:color="auto" w:fill="auto"/>
            <w:vAlign w:val="center"/>
          </w:tcPr>
          <w:p w14:paraId="69281D9A" w14:textId="642CC957" w:rsidR="00ED4054" w:rsidRPr="00ED4054" w:rsidRDefault="00A82FFE" w:rsidP="00ED4054">
            <w:pPr>
              <w:widowControl/>
              <w:adjustRightInd/>
              <w:spacing w:before="0" w:after="0" w:line="240" w:lineRule="auto"/>
              <w:jc w:val="left"/>
              <w:textAlignment w:val="auto"/>
              <w:rPr>
                <w:rFonts w:cstheme="majorHAnsi"/>
                <w:color w:val="000000"/>
                <w:sz w:val="16"/>
                <w:szCs w:val="16"/>
              </w:rPr>
            </w:pPr>
            <w:proofErr w:type="spellStart"/>
            <w:r w:rsidRPr="00F03ECE">
              <w:rPr>
                <w:rFonts w:ascii="Calibri Light" w:hAnsi="Calibri Light" w:cs="Calibri Light"/>
                <w:color w:val="000000"/>
                <w:sz w:val="16"/>
                <w:szCs w:val="16"/>
              </w:rPr>
              <w:t>Pooran</w:t>
            </w:r>
            <w:proofErr w:type="spellEnd"/>
            <w:r w:rsidRPr="00F03ECE">
              <w:rPr>
                <w:rFonts w:ascii="Calibri Light" w:hAnsi="Calibri Light" w:cs="Calibri Light"/>
                <w:color w:val="000000"/>
                <w:sz w:val="16"/>
                <w:szCs w:val="16"/>
              </w:rPr>
              <w:t xml:space="preserve"> et al. 2019</w:t>
            </w:r>
            <w:r>
              <w:rPr>
                <w:rFonts w:ascii="Calibri Light" w:hAnsi="Calibri Light" w:cs="Calibri Light"/>
                <w:color w:val="000000"/>
                <w:sz w:val="16"/>
                <w:szCs w:val="16"/>
              </w:rPr>
              <w:t xml:space="preserve"> </w:t>
            </w:r>
            <w:r>
              <w:rPr>
                <w:rFonts w:ascii="Calibri Light" w:hAnsi="Calibri Light" w:cs="Calibri Light"/>
                <w:color w:val="000000"/>
                <w:sz w:val="16"/>
                <w:szCs w:val="16"/>
              </w:rPr>
              <w:fldChar w:fldCharType="begin" w:fldLock="1"/>
            </w:r>
            <w:r>
              <w:rPr>
                <w:rFonts w:ascii="Calibri Light" w:hAnsi="Calibri Light" w:cs="Calibri Light"/>
                <w:color w:val="000000"/>
                <w:sz w:val="16"/>
                <w:szCs w:val="16"/>
              </w:rPr>
              <w:instrText>ADDIN CSL_CITATION {"citationItems":[{"id":"ITEM-1","itemData":{"DOI":"10.1016/S2214-109X(19)30164-0","ISSN":"2214-109X","author":[{"dropping-particle":"","family":"Pooran","given":"Anil","non-dropping-particle":"","parse-names":false,"suffix":""},{"dropping-particle":"","family":"Theron","given":"Grant","non-dropping-particle":"","parse-names":false,"suffix":""},{"dropping-particle":"","family":"Zijenah","given":"Lynn","non-dropping-particle":"","parse-names":false,"suffix":""},{"dropping-particle":"","family":"Chanda","given":"Duncan","non-dropping-particle":"","parse-names":false,"suffix":""},{"dropping-particle":"","family":"Clowes","given":"Petra","non-dropping-particle":"","parse-names":false,"suffix":""},{"dropping-particle":"","family":"Mwenge","given":"Lawrence","non-dropping-particle":"","parse-names":false,"suffix":""},{"dropping-particle":"","family":"Mutenherwa","given":"Farirai","non-dropping-particle":"","parse-names":false,"suffix":""},{"dropping-particle":"","family":"Lecesse","given":"Paul","non-dropping-particle":"","parse-names":false,"suffix":""},{"dropping-particle":"","family":"Metcalfe","given":"John","non-dropping-particle":"","parse-names":false,"suffix":""}],"container-title":"The Lancet Global Health","id":"ITEM-1","issue":"6","issued":{"date-parts":[["2019"]]},"page":"e798-e807","publisher":"The Author(s). Published by Elsevier Ltd. This is an Open Access article under the CC BY 4.0 license","title":"Point of care Xpert MTB / RIF versus smear microscopy for tuberculosis diagnosis in southern African primary care clinics : a multicentre economic evaluation","type":"article-journal","volume":"7"},"uris":["http://www.mendeley.com/documents/?uuid=52f6bc5a-f30f-449a-9966-4ea2a876d3b1"]}],"mendeley":{"formattedCitation":"[45]","plainTextFormattedCitation":"[45]","previouslyFormattedCitation":"[44]"},"properties":{"noteIndex":0},"schema":"https://github.com/citation-style-language/schema/raw/master/csl-citation.json"}</w:instrText>
            </w:r>
            <w:r>
              <w:rPr>
                <w:rFonts w:ascii="Calibri Light" w:hAnsi="Calibri Light" w:cs="Calibri Light"/>
                <w:color w:val="000000"/>
                <w:sz w:val="16"/>
                <w:szCs w:val="16"/>
              </w:rPr>
              <w:fldChar w:fldCharType="separate"/>
            </w:r>
            <w:r w:rsidRPr="004A39DD">
              <w:rPr>
                <w:rFonts w:ascii="Calibri Light" w:hAnsi="Calibri Light" w:cs="Calibri Light"/>
                <w:noProof/>
                <w:color w:val="000000"/>
                <w:sz w:val="16"/>
                <w:szCs w:val="16"/>
              </w:rPr>
              <w:t>[45]</w:t>
            </w:r>
            <w:r>
              <w:rPr>
                <w:rFonts w:ascii="Calibri Light" w:hAnsi="Calibri Light" w:cs="Calibri Light"/>
                <w:color w:val="000000"/>
                <w:sz w:val="16"/>
                <w:szCs w:val="16"/>
              </w:rPr>
              <w:fldChar w:fldCharType="end"/>
            </w:r>
          </w:p>
        </w:tc>
        <w:tc>
          <w:tcPr>
            <w:tcW w:w="2410" w:type="dxa"/>
            <w:shd w:val="clear" w:color="auto" w:fill="auto"/>
            <w:vAlign w:val="center"/>
          </w:tcPr>
          <w:p w14:paraId="43049AE6"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1701" w:type="dxa"/>
            <w:shd w:val="clear" w:color="auto" w:fill="auto"/>
            <w:vAlign w:val="center"/>
          </w:tcPr>
          <w:p w14:paraId="22B7505C"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POCT cost an additional $35 529</w:t>
            </w:r>
          </w:p>
        </w:tc>
        <w:tc>
          <w:tcPr>
            <w:tcW w:w="3260" w:type="dxa"/>
            <w:shd w:val="clear" w:color="auto" w:fill="auto"/>
            <w:vAlign w:val="center"/>
          </w:tcPr>
          <w:p w14:paraId="6D9294FD"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Initiated on treatment – an additional 24.3 due to POCT; Same day treatment initiations – an addition 63.4 due to POCT; Completing treatment – an additional 29.4 due to POCT</w:t>
            </w:r>
          </w:p>
        </w:tc>
        <w:tc>
          <w:tcPr>
            <w:tcW w:w="2552" w:type="dxa"/>
            <w:shd w:val="clear" w:color="auto" w:fill="auto"/>
            <w:vAlign w:val="center"/>
          </w:tcPr>
          <w:p w14:paraId="2B6A9743"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POCT has 90% chance of being cost-</w:t>
            </w:r>
            <w:proofErr w:type="spellStart"/>
            <w:r w:rsidRPr="00ED4054">
              <w:rPr>
                <w:rFonts w:cstheme="majorHAnsi"/>
                <w:sz w:val="16"/>
                <w:szCs w:val="16"/>
              </w:rPr>
              <w:t>effectiv</w:t>
            </w:r>
            <w:proofErr w:type="spellEnd"/>
            <w:r w:rsidRPr="00ED4054">
              <w:rPr>
                <w:rFonts w:cstheme="majorHAnsi"/>
                <w:sz w:val="16"/>
                <w:szCs w:val="16"/>
              </w:rPr>
              <w:t xml:space="preserve"> in settings willing to pay $9450 per culture positive patient diagnosed, $4450 per patient starting treatment, $1600 per patient starting treatment on the same day as diagnosis, $3820 per patient completing treatment, or $5840 per patient with improved morbidity.</w:t>
            </w:r>
          </w:p>
        </w:tc>
        <w:tc>
          <w:tcPr>
            <w:tcW w:w="1782" w:type="dxa"/>
            <w:shd w:val="clear" w:color="auto" w:fill="auto"/>
            <w:vAlign w:val="center"/>
          </w:tcPr>
          <w:p w14:paraId="3339A7CD"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color w:val="000000"/>
                <w:sz w:val="16"/>
                <w:szCs w:val="16"/>
              </w:rPr>
              <w:t>In favor of POCT</w:t>
            </w:r>
          </w:p>
        </w:tc>
      </w:tr>
      <w:tr w:rsidR="00ED4054" w:rsidRPr="00ED4054" w14:paraId="3670BF6F" w14:textId="77777777" w:rsidTr="005F718B">
        <w:trPr>
          <w:trHeight w:val="494"/>
        </w:trPr>
        <w:tc>
          <w:tcPr>
            <w:tcW w:w="1134" w:type="dxa"/>
            <w:tcBorders>
              <w:top w:val="single" w:sz="4" w:space="0" w:color="auto"/>
            </w:tcBorders>
            <w:shd w:val="clear" w:color="auto" w:fill="auto"/>
            <w:vAlign w:val="center"/>
          </w:tcPr>
          <w:p w14:paraId="53D1901A" w14:textId="408B55EE" w:rsidR="00ED4054" w:rsidRPr="00ED4054" w:rsidRDefault="0058683F"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6"/>
              </w:rPr>
              <w:t>Spaeth et al. 2019</w:t>
            </w:r>
            <w:r>
              <w:rPr>
                <w:rFonts w:ascii="Calibri Light" w:hAnsi="Calibri Light" w:cs="Calibri Light"/>
                <w:color w:val="000000"/>
                <w:sz w:val="16"/>
                <w:szCs w:val="16"/>
              </w:rPr>
              <w:t xml:space="preserve"> </w:t>
            </w:r>
            <w:r>
              <w:rPr>
                <w:rFonts w:ascii="Calibri Light" w:hAnsi="Calibri Light" w:cs="Calibri Light"/>
                <w:color w:val="000000"/>
                <w:sz w:val="16"/>
                <w:szCs w:val="16"/>
              </w:rPr>
              <w:fldChar w:fldCharType="begin" w:fldLock="1"/>
            </w:r>
            <w:r>
              <w:rPr>
                <w:rFonts w:ascii="Calibri Light" w:hAnsi="Calibri Light" w:cs="Calibri Light"/>
                <w:color w:val="000000"/>
                <w:sz w:val="16"/>
                <w:szCs w:val="16"/>
              </w:rPr>
              <w:instrText>ADDIN CSL_CITATION {"citationItems":[{"id":"ITEM-1","itemData":{"DOI":"10.1016/j.pathol.2019.04.003","ISSN":"14653931","PMID":"31262564","abstract":"In Australia's Northern Territory (NT), acute infections are highly prevalent within Indigenous remote communities and difficulties in diagnosing the aetiology of infection are exacerbated by limited access to diagnostic tests. The objective of this study was to investigate the clinical effectiveness of point-of-care (POC) testing for total and 5-part differential white blood cell (WBC DIFF) counts for the triage of patients with possible acute infection. The HemoCue WBC DIFF POC device was introduced into 13 remote health clinics over a 6 month period. A retrospective clinical audit of patient cases meeting the selection criteria for three acute infections (sepsis, respiratory infection and appendicitis) were examined by four registrars in duplicate; one with POC test results available and the other with POC test results removed to determine if WBC DIFF results changed or assisted in patient triage. The number of changed outcomes provided a preliminary cost-benefit analysis. Sixty (23%) patient cases met the selection criteria for the clinical effectiveness analysis. POC test results changed the triage decision for 24 (41%) patients, of which 20 (34%) led to the prevention of an unnecessary medical retrieval and four (7%) indicated the patient had an acute infection which required a medical retrieval. POC test results assisted decision making for a further 13 (22%) patients. Cost savings related to avoiding unnecessary medical retrievals were estimated to be AU$481,440. Extrapolated NT-wide cost savings are projected to be AU$5.33 million per annum. POC testing for WBC DIFF counts aided clinical decision making for triaging patients with three common acute infections.","author":[{"dropping-particle":"","family":"Spaeth","given":"Brooke","non-dropping-particle":"","parse-names":false,"suffix":""},{"dropping-particle":"","family":"Shephard","given":"Mark","non-dropping-particle":"","parse-names":false,"suffix":""},{"dropping-particle":"","family":"Kokcinar","given":"Rana","non-dropping-particle":"","parse-names":false,"suffix":""},{"dropping-particle":"","family":"Duckworth","given":"Lauren","non-dropping-particle":"","parse-names":false,"suffix":""},{"dropping-particle":"","family":"Omond","given":"Rodney","non-dropping-particle":"","parse-names":false,"suffix":""}],"container-title":"Pathology","id":"ITEM-1","issue":"5","issued":{"date-parts":[["2019"]]},"page":"512-517","title":"Impact of point-of-care testing for white blood cell count on triage of patients with infection in the remote Northern Territory of Australia","type":"article-journal","volume":"51"},"uris":["http://www.mendeley.com/documents/?uuid=d4db3872-69e6-48e2-9925-55472aa803c8"]}],"mendeley":{"formattedCitation":"[27]","plainTextFormattedCitation":"[27]","previouslyFormattedCitation":"[27]"},"properties":{"noteIndex":0},"schema":"https://github.com/citation-style-language/schema/raw/master/csl-citation.json"}</w:instrText>
            </w:r>
            <w:r>
              <w:rPr>
                <w:rFonts w:ascii="Calibri Light" w:hAnsi="Calibri Light" w:cs="Calibri Light"/>
                <w:color w:val="000000"/>
                <w:sz w:val="16"/>
                <w:szCs w:val="16"/>
              </w:rPr>
              <w:fldChar w:fldCharType="separate"/>
            </w:r>
            <w:r w:rsidRPr="00857FB3">
              <w:rPr>
                <w:rFonts w:ascii="Calibri Light" w:hAnsi="Calibri Light" w:cs="Calibri Light"/>
                <w:noProof/>
                <w:color w:val="000000"/>
                <w:sz w:val="16"/>
                <w:szCs w:val="16"/>
              </w:rPr>
              <w:t>[27]</w:t>
            </w:r>
            <w:r>
              <w:rPr>
                <w:rFonts w:ascii="Calibri Light" w:hAnsi="Calibri Light" w:cs="Calibri Light"/>
                <w:color w:val="000000"/>
                <w:sz w:val="16"/>
                <w:szCs w:val="16"/>
              </w:rPr>
              <w:fldChar w:fldCharType="end"/>
            </w:r>
          </w:p>
        </w:tc>
        <w:tc>
          <w:tcPr>
            <w:tcW w:w="2410" w:type="dxa"/>
            <w:shd w:val="clear" w:color="auto" w:fill="auto"/>
            <w:vAlign w:val="center"/>
          </w:tcPr>
          <w:p w14:paraId="2992283D"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1701" w:type="dxa"/>
            <w:shd w:val="clear" w:color="auto" w:fill="auto"/>
            <w:vAlign w:val="center"/>
          </w:tcPr>
          <w:p w14:paraId="671E6A20"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AU$481,440 across 6 months</w:t>
            </w:r>
          </w:p>
        </w:tc>
        <w:tc>
          <w:tcPr>
            <w:tcW w:w="3260" w:type="dxa"/>
            <w:shd w:val="clear" w:color="auto" w:fill="auto"/>
            <w:vAlign w:val="center"/>
          </w:tcPr>
          <w:p w14:paraId="14DA2FC9"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Unnecessary medical retrieval prevented: 34% of patients</w:t>
            </w:r>
          </w:p>
        </w:tc>
        <w:tc>
          <w:tcPr>
            <w:tcW w:w="2552" w:type="dxa"/>
            <w:shd w:val="clear" w:color="auto" w:fill="auto"/>
            <w:vAlign w:val="center"/>
          </w:tcPr>
          <w:p w14:paraId="1167E38D"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1782" w:type="dxa"/>
            <w:shd w:val="clear" w:color="auto" w:fill="auto"/>
            <w:vAlign w:val="center"/>
          </w:tcPr>
          <w:p w14:paraId="59914E2B"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color w:val="000000"/>
                <w:sz w:val="16"/>
                <w:szCs w:val="16"/>
              </w:rPr>
              <w:t xml:space="preserve">In favor of POCT </w:t>
            </w:r>
          </w:p>
        </w:tc>
      </w:tr>
      <w:tr w:rsidR="00ED4054" w:rsidRPr="00ED4054" w14:paraId="7C7F0753" w14:textId="77777777" w:rsidTr="005F718B">
        <w:trPr>
          <w:trHeight w:val="1060"/>
        </w:trPr>
        <w:tc>
          <w:tcPr>
            <w:tcW w:w="1134" w:type="dxa"/>
            <w:tcBorders>
              <w:top w:val="single" w:sz="4" w:space="0" w:color="auto"/>
            </w:tcBorders>
            <w:shd w:val="clear" w:color="auto" w:fill="auto"/>
            <w:vAlign w:val="center"/>
            <w:hideMark/>
          </w:tcPr>
          <w:p w14:paraId="1E6CC9D0" w14:textId="0BC7D59B" w:rsidR="00ED4054" w:rsidRPr="00ED4054" w:rsidRDefault="00582E81" w:rsidP="00ED4054">
            <w:pPr>
              <w:widowControl/>
              <w:adjustRightInd/>
              <w:spacing w:before="0" w:after="0" w:line="240" w:lineRule="auto"/>
              <w:jc w:val="left"/>
              <w:textAlignment w:val="auto"/>
              <w:rPr>
                <w:rFonts w:cstheme="majorHAnsi"/>
                <w:color w:val="000000"/>
                <w:sz w:val="16"/>
                <w:szCs w:val="16"/>
              </w:rPr>
            </w:pPr>
            <w:proofErr w:type="spellStart"/>
            <w:r w:rsidRPr="00F03ECE">
              <w:rPr>
                <w:rFonts w:ascii="Calibri Light" w:hAnsi="Calibri Light" w:cs="Calibri Light"/>
                <w:color w:val="000000"/>
                <w:sz w:val="16"/>
                <w:szCs w:val="18"/>
              </w:rPr>
              <w:lastRenderedPageBreak/>
              <w:t>Esteve</w:t>
            </w:r>
            <w:proofErr w:type="spellEnd"/>
            <w:r w:rsidRPr="00F03ECE">
              <w:rPr>
                <w:rFonts w:ascii="Calibri Light" w:hAnsi="Calibri Light" w:cs="Calibri Light"/>
                <w:color w:val="000000"/>
                <w:sz w:val="16"/>
                <w:szCs w:val="18"/>
              </w:rPr>
              <w:t xml:space="preserve"> et al., 2018</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{"citationItems":[{"id":"ITEM-1","itemData":{"DOI":"10.1177/2050640618761700","ISSN":"20506414","abstract":"© 2018, Author(s) 2018. Background: An on-site, rapid, fingertip, whole-blood point-of-care test (POCT) is attractive for active case-finding of coeliac disease (CD) in primary care because of its simplicity. Aim: The aim of this article is to assess the usefulness and cost-effectiveness of adult case-finding using a POCT based on deamidated gliadin peptide antibodies (IgA/IgG-DGP) in primary care for CD diagnosis. Methods: A case-finding study for CD was conducted by using an easy-to-use, on-site, whole-blood for IgA/IgG-DGP-based fingertip POCT compared with tTG2 in 350 individuals. Sample size was calculated based on 0.28% prevalence in the reference population. Duodenal biopsies for histology, intraepithelial lymphocytes and in situ deposition of tTG2 were obtained if tTG2 and/or POCT were positive. Accuracy and cost-effectiveness of strategies using serology or POCT were calculated. Results: Prevalence of CD was 1.14% (95% CI, 0.3–3.4), almost double what was previously observed. Four patients were diagnosed with CD. tTG2 was positive in three (0.85%) and POCT in 29 (8.2%). Sensitivity of POCT for CD was 100%, specificity 93%, PPV 14%, and NPV 100%. POCT followed by duodenal biopsy was the most cost-effective approach in our setting (standard diagnosis: €13,033/case; POCT + duodenal biopsy: €7360/case). Conclusions: A negative POCT allows ruling out CD in primary care, making it suitable for case-finding. POCT strategy was the most cost effective.","author":[{"dropping-particle":"","family":"Esteve","given":"Maria","non-dropping-particle":"","parse-names":false,"suffix":""},{"dropping-particle":"","family":"Rosinach","given":"Mercè","non-dropping-particle":"","parse-names":false,"suffix":""},{"dropping-particle":"","family":"Llordés","given":"Montserrat","non-dropping-particle":"","parse-names":false,"suffix":""},{"dropping-particle":"","family":"Calpe","given":"Judit","non-dropping-particle":"","parse-names":false,"suffix":""},{"dropping-particle":"","family":"Montserrat","given":"Glòria","non-dropping-particle":"","parse-names":false,"suffix":""},{"dropping-particle":"","family":"Pujals","given":"Mar","non-dropping-particle":"","parse-names":false,"suffix":""},{"dropping-particle":"","family":"Cela","given":"Abel","non-dropping-particle":"","parse-names":false,"suffix":""},{"dropping-particle":"","family":"Carrasco","given":"Anna","non-dropping-particle":"","parse-names":false,"suffix":""},{"dropping-particle":"","family":"Ibarra","given":"Montserrat","non-dropping-particle":"","parse-names":false,"suffix":""},{"dropping-particle":"","family":"Ruiz-Ramirez","given":"Pablo","non-dropping-particle":"","parse-names":false,"suffix":""},{"dropping-particle":"","family":"Tristán","given":"Eva","non-dropping-particle":"","parse-names":false,"suffix":""},{"dropping-particle":"","family":"Arau","given":"Beatriz","non-dropping-particle":"","parse-names":false,"suffix":""},{"dropping-particle":"","family":"Ferrer","given":"Carme","non-dropping-particle":"","parse-names":false,"suffix":""},{"dropping-particle":"","family":"Mariné","given":"Meritxell","non-dropping-particle":"","parse-names":false,"suffix":""},{"dropping-particle":"","family":"Ribes","given":"Josepa","non-dropping-particle":"","parse-names":false,"suffix":""},{"dropping-particle":"","family":"Fernández-Bañares","given":"Fernando","non-dropping-particle":"","parse-names":false,"suffix":""}],"container-title":"United European Gastroenterology Journal","id":"ITEM-1","issue":"6","issued":{"date-parts":[["2018"]]},"page":"855-865","title":"Case-finding in primary care for coeliac disease: Accuracy and cost-effectiveness of a rapid point-of-care test","type":"article-journal","volume":"6"},"uris":["http://www.mendeley.com/documents/?uuid=752a4d12-0c93-4c6e-ab9c-2b3d4b84a239"]}],"mendeley":{"formattedCitation":"[48]","plainTextFormattedCitation":"[48]","previouslyFormattedCitation":"[47]"},"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[48]</w:t>
            </w:r>
            <w:r>
              <w:rPr>
                <w:rFonts w:ascii="Calibri Light" w:hAnsi="Calibri Light" w:cs="Calibri Light"/>
                <w:color w:val="000000"/>
                <w:sz w:val="16"/>
                <w:szCs w:val="18"/>
              </w:rPr>
              <w:fldChar w:fldCharType="end"/>
            </w:r>
          </w:p>
        </w:tc>
        <w:tc>
          <w:tcPr>
            <w:tcW w:w="2410" w:type="dxa"/>
            <w:shd w:val="clear" w:color="auto" w:fill="auto"/>
            <w:vAlign w:val="center"/>
            <w:hideMark/>
          </w:tcPr>
          <w:p w14:paraId="4E86E4C9"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POCT + biopsy: €7,360.63/case; POCT + blood analysis and biopsy: €8,929.84/case; standard diagnosis + blood analysis and biopsy: €13,033.33/case</w:t>
            </w:r>
          </w:p>
        </w:tc>
        <w:tc>
          <w:tcPr>
            <w:tcW w:w="1701" w:type="dxa"/>
            <w:shd w:val="clear" w:color="auto" w:fill="auto"/>
            <w:vAlign w:val="center"/>
            <w:hideMark/>
          </w:tcPr>
          <w:p w14:paraId="2803E403"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 </w:t>
            </w:r>
          </w:p>
        </w:tc>
        <w:tc>
          <w:tcPr>
            <w:tcW w:w="3260" w:type="dxa"/>
            <w:shd w:val="clear" w:color="auto" w:fill="auto"/>
            <w:vAlign w:val="center"/>
            <w:hideMark/>
          </w:tcPr>
          <w:p w14:paraId="384F1DA2"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 </w:t>
            </w:r>
          </w:p>
        </w:tc>
        <w:tc>
          <w:tcPr>
            <w:tcW w:w="2552" w:type="dxa"/>
            <w:shd w:val="clear" w:color="auto" w:fill="auto"/>
            <w:vAlign w:val="center"/>
            <w:hideMark/>
          </w:tcPr>
          <w:p w14:paraId="4E30A1D3"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 </w:t>
            </w:r>
          </w:p>
        </w:tc>
        <w:tc>
          <w:tcPr>
            <w:tcW w:w="1782" w:type="dxa"/>
            <w:shd w:val="clear" w:color="auto" w:fill="auto"/>
            <w:vAlign w:val="center"/>
            <w:hideMark/>
          </w:tcPr>
          <w:p w14:paraId="3ABCEA8D"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52D55BE2" w14:textId="77777777" w:rsidTr="005F718B">
        <w:trPr>
          <w:trHeight w:val="1321"/>
        </w:trPr>
        <w:tc>
          <w:tcPr>
            <w:tcW w:w="1134" w:type="dxa"/>
            <w:shd w:val="clear" w:color="auto" w:fill="auto"/>
            <w:vAlign w:val="center"/>
            <w:hideMark/>
          </w:tcPr>
          <w:p w14:paraId="3048EEC5" w14:textId="5DCE83DA" w:rsidR="00ED4054" w:rsidRPr="00ED4054" w:rsidRDefault="00912907"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Holmes et al., 2018</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{"citationItems":[{"id":"ITEM-1","itemData":{"DOI":"10.3390/antibiotics7040106","ISBN":"4412483827","author":[{"dropping-particle":"","family":"Holmes","given":"Emily A F","non-dropping-particle":"","parse-names":false,"suffix":""},{"dropping-particle":"","family":"Harris","given":"Sharman D","non-dropping-particle":"","parse-names":false,"suffix":""},{"dropping-particle":"","family":"Hughes","given":"Alison","non-dropping-particle":"","parse-names":false,"suffix":""},{"dropping-particle":"","family":"Craine","given":"Noel","non-dropping-particle":"","parse-names":false,"suffix":""},{"dropping-particle":"","family":"Hughes","given":"Dyfrig A","non-dropping-particle":"","parse-names":false,"suffix":""}],"id":"ITEM-1","issued":{"date-parts":[["0"]]},"title":"Cost-Effectiveness Analysis of the Use of Point-of-Care C-Reactive Protein Testing to Reduce Antibiotic Prescribing in Primary Care","type":"article-journal"},"uris":["http://www.mendeley.com/documents/?uuid=a787cebf-1c50-47aa-87b5-1968ce08d904"]}],"mendeley":{"formattedCitation":"[49]","plainTextFormattedCitation":"[49]","previouslyFormattedCitation":"[48]"},"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[49]</w:t>
            </w:r>
            <w:r>
              <w:rPr>
                <w:rFonts w:ascii="Calibri Light" w:hAnsi="Calibri Light" w:cs="Calibri Light"/>
                <w:color w:val="000000"/>
                <w:sz w:val="16"/>
                <w:szCs w:val="18"/>
              </w:rPr>
              <w:fldChar w:fldCharType="end"/>
            </w:r>
          </w:p>
        </w:tc>
        <w:tc>
          <w:tcPr>
            <w:tcW w:w="2410" w:type="dxa"/>
            <w:shd w:val="clear" w:color="auto" w:fill="auto"/>
            <w:vAlign w:val="center"/>
            <w:hideMark/>
          </w:tcPr>
          <w:p w14:paraId="78FCB987"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 </w:t>
            </w:r>
          </w:p>
        </w:tc>
        <w:tc>
          <w:tcPr>
            <w:tcW w:w="1701" w:type="dxa"/>
            <w:shd w:val="clear" w:color="auto" w:fill="auto"/>
            <w:vAlign w:val="center"/>
            <w:hideMark/>
          </w:tcPr>
          <w:p w14:paraId="12667891"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1) Routine practice. POCT: £52.35; usual care: £40.41. 2) Adherence to guidelines. POCT: £48.79; usual care: £39.48.</w:t>
            </w:r>
          </w:p>
        </w:tc>
        <w:tc>
          <w:tcPr>
            <w:tcW w:w="3260" w:type="dxa"/>
            <w:shd w:val="clear" w:color="auto" w:fill="auto"/>
            <w:vAlign w:val="center"/>
            <w:hideMark/>
          </w:tcPr>
          <w:p w14:paraId="002C045C"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1) Routine practice. QALYs - POCT: 0.0615 QALYs; Usual care: 0.0609 QALYs. Antibiotic prescription avoided - POCT: 0.74; Usual care: 0.00. 2) Adherence to guidelines. QALYs - POCT: 0.0577 QALYs; Usual care: 0.0556 QALYs. Antibiotic prescription avoided - POCT: 1.00; Usual care: 0.00.</w:t>
            </w:r>
          </w:p>
        </w:tc>
        <w:tc>
          <w:tcPr>
            <w:tcW w:w="2552" w:type="dxa"/>
            <w:shd w:val="clear" w:color="auto" w:fill="auto"/>
            <w:vAlign w:val="center"/>
            <w:hideMark/>
          </w:tcPr>
          <w:p w14:paraId="33AFDAF2"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ICER (routine practice): £19,705 per QALY gained &amp; £16.07 per antibiotic prescription avoided; ICER (adherence to guidelines): £4390 per QALY gained and £9.31 per antibiotic prescription avoided.</w:t>
            </w:r>
          </w:p>
        </w:tc>
        <w:tc>
          <w:tcPr>
            <w:tcW w:w="1782" w:type="dxa"/>
            <w:shd w:val="clear" w:color="auto" w:fill="auto"/>
            <w:vAlign w:val="center"/>
            <w:hideMark/>
          </w:tcPr>
          <w:p w14:paraId="7C6F3F1E"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 xml:space="preserve">Neither against </w:t>
            </w:r>
            <w:proofErr w:type="gramStart"/>
            <w:r w:rsidRPr="00ED4054">
              <w:rPr>
                <w:rFonts w:cstheme="majorHAnsi"/>
                <w:color w:val="000000"/>
                <w:sz w:val="16"/>
                <w:szCs w:val="16"/>
              </w:rPr>
              <w:t>or</w:t>
            </w:r>
            <w:proofErr w:type="gramEnd"/>
            <w:r w:rsidRPr="00ED4054">
              <w:rPr>
                <w:rFonts w:cstheme="majorHAnsi"/>
                <w:color w:val="000000"/>
                <w:sz w:val="16"/>
                <w:szCs w:val="16"/>
              </w:rPr>
              <w:t xml:space="preserve"> in favor of POCT: is more effective with closer adherence to clinical guidelines</w:t>
            </w:r>
          </w:p>
        </w:tc>
      </w:tr>
      <w:tr w:rsidR="00ED4054" w:rsidRPr="00ED4054" w14:paraId="5FA22EEB" w14:textId="77777777" w:rsidTr="005F718B">
        <w:trPr>
          <w:trHeight w:val="540"/>
        </w:trPr>
        <w:tc>
          <w:tcPr>
            <w:tcW w:w="1134" w:type="dxa"/>
            <w:shd w:val="clear" w:color="auto" w:fill="auto"/>
            <w:vAlign w:val="center"/>
            <w:hideMark/>
          </w:tcPr>
          <w:p w14:paraId="5E32BBDA" w14:textId="01688A46" w:rsidR="00ED4054" w:rsidRPr="00ED4054" w:rsidRDefault="00A04962" w:rsidP="00ED4054">
            <w:pPr>
              <w:widowControl/>
              <w:adjustRightInd/>
              <w:spacing w:before="0" w:after="0" w:line="240" w:lineRule="auto"/>
              <w:jc w:val="left"/>
              <w:textAlignment w:val="auto"/>
              <w:rPr>
                <w:rFonts w:cstheme="majorHAnsi"/>
                <w:color w:val="000000"/>
                <w:sz w:val="16"/>
                <w:szCs w:val="16"/>
              </w:rPr>
            </w:pPr>
            <w:proofErr w:type="spellStart"/>
            <w:r w:rsidRPr="00F03ECE">
              <w:rPr>
                <w:rFonts w:ascii="Calibri Light" w:hAnsi="Calibri Light" w:cs="Calibri Light"/>
                <w:color w:val="000000"/>
                <w:sz w:val="16"/>
                <w:szCs w:val="18"/>
              </w:rPr>
              <w:t>Lubell</w:t>
            </w:r>
            <w:proofErr w:type="spellEnd"/>
            <w:r w:rsidRPr="00F03ECE">
              <w:rPr>
                <w:rFonts w:ascii="Calibri Light" w:hAnsi="Calibri Light" w:cs="Calibri Light"/>
                <w:color w:val="000000"/>
                <w:sz w:val="16"/>
                <w:szCs w:val="18"/>
              </w:rPr>
              <w:t xml:space="preserve"> et al., 2018</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{"citationItems":[{"id":"ITEM-1","itemData":{"author":[{"dropping-particle":"","family":"Lubell","given":"Yoel","non-dropping-particle":"","parse-names":false,"suffix":""},{"dropping-particle":"","family":"Do","given":"Nga T T","non-dropping-particle":"","parse-names":false,"suffix":""},{"dropping-particle":"V","family":"Nguyen","given":"Kinh","non-dropping-particle":"","parse-names":false,"suffix":""},{"dropping-particle":"","family":"Ta","given":"Ngan T D","non-dropping-particle":"","parse-names":false,"suffix":""},{"dropping-particle":"","family":"Tran","given":"Ninh T H","non-dropping-particle":"","parse-names":false,"suffix":""},{"dropping-particle":"","family":"Than","given":"Hung M","non-dropping-particle":"","parse-names":false,"suffix":""},{"dropping-particle":"","family":"Hoang","given":"Long B","non-dropping-particle":"","parse-names":false,"suffix":""},{"dropping-particle":"","family":"Shrestha","given":"Poojan","non-dropping-particle":"","parse-names":false,"suffix":""},{"dropping-particle":"Van","family":"Doorn","given":"Rogier H","non-dropping-particle":"","parse-names":false,"suffix":""},{"dropping-particle":"","family":"Nadjm","given":"Behzad","non-dropping-particle":"","parse-names":false,"suffix":""},{"dropping-particle":"","family":"Wertheim","given":"Heiman F L","non-dropping-particle":"","parse-names":false,"suffix":""}],"id":"ITEM-1","issued":{"date-parts":[["2018"]]},"page":"1-6","publisher":"Antimicrobial Resistance &amp; Infection Control","title":"C-reactive protein point of care testing in the management of acute respiratory infections in the Vietnamese primary healthcare setting – a cost benefit analysis","type":"article-journal"},"uris":["http://www.mendeley.com/documents/?uuid=9e5df374-d362-455e-9dc7-8560c893337f"]}],"mendeley":{"formattedCitation":"[50]","plainTextFormattedCitation":"[50]","previouslyFormattedCitation":"[49]"},"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[50]</w:t>
            </w:r>
            <w:r>
              <w:rPr>
                <w:rFonts w:ascii="Calibri Light" w:hAnsi="Calibri Light" w:cs="Calibri Light"/>
                <w:color w:val="000000"/>
                <w:sz w:val="16"/>
                <w:szCs w:val="18"/>
              </w:rPr>
              <w:fldChar w:fldCharType="end"/>
            </w:r>
          </w:p>
        </w:tc>
        <w:tc>
          <w:tcPr>
            <w:tcW w:w="2410" w:type="dxa"/>
            <w:shd w:val="clear" w:color="auto" w:fill="auto"/>
            <w:vAlign w:val="center"/>
            <w:hideMark/>
          </w:tcPr>
          <w:p w14:paraId="5B5D705D"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POCT: $1.24 (SD:1.53); clinical judgement: $1.31 (SD:1.52).</w:t>
            </w:r>
          </w:p>
        </w:tc>
        <w:tc>
          <w:tcPr>
            <w:tcW w:w="1701" w:type="dxa"/>
            <w:shd w:val="clear" w:color="auto" w:fill="auto"/>
            <w:noWrap/>
            <w:vAlign w:val="bottom"/>
            <w:hideMark/>
          </w:tcPr>
          <w:p w14:paraId="2AAC7548"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3260" w:type="dxa"/>
            <w:shd w:val="clear" w:color="auto" w:fill="auto"/>
            <w:vAlign w:val="center"/>
            <w:hideMark/>
          </w:tcPr>
          <w:p w14:paraId="351C084C"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Antibiotic prescribing on first attendance - POCT: 43%; Clinical judgement: 63%.</w:t>
            </w:r>
          </w:p>
        </w:tc>
        <w:tc>
          <w:tcPr>
            <w:tcW w:w="2552" w:type="dxa"/>
            <w:shd w:val="clear" w:color="auto" w:fill="auto"/>
            <w:vAlign w:val="center"/>
            <w:hideMark/>
          </w:tcPr>
          <w:p w14:paraId="0F772DD8"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 </w:t>
            </w:r>
          </w:p>
        </w:tc>
        <w:tc>
          <w:tcPr>
            <w:tcW w:w="1782" w:type="dxa"/>
            <w:shd w:val="clear" w:color="auto" w:fill="auto"/>
            <w:vAlign w:val="center"/>
            <w:hideMark/>
          </w:tcPr>
          <w:p w14:paraId="6A266FF6"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Against POCT</w:t>
            </w:r>
          </w:p>
        </w:tc>
      </w:tr>
      <w:tr w:rsidR="00ED4054" w:rsidRPr="00ED4054" w14:paraId="00F5AABF" w14:textId="77777777" w:rsidTr="005F718B">
        <w:trPr>
          <w:trHeight w:val="1020"/>
        </w:trPr>
        <w:tc>
          <w:tcPr>
            <w:tcW w:w="1134" w:type="dxa"/>
            <w:shd w:val="clear" w:color="auto" w:fill="auto"/>
            <w:vAlign w:val="center"/>
            <w:hideMark/>
          </w:tcPr>
          <w:p w14:paraId="6BEEE58E" w14:textId="236CFC72" w:rsidR="00ED4054" w:rsidRPr="00ED4054" w:rsidRDefault="00747304"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Spaeth et al., 2018</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{"citationItems":[{"id":"ITEM-1","itemData":{"DOI":"10.2147/CEOR.S160291","ISSN":"11786981","abstract":"Aim: To determine the cost-effectiveness of utilizing point-of-care testing (POCT) on the Abbott i-STAT device as a support tool to aid decisions regarding the emergency medical retrievals of patients at remote health centers in the Northern Territory (NT) of Australia. Methods: A decision analytic simulation model–based economic evaluation was conducted using data from patients presenting with three common acute conditions (chest pain, chronic renal failure due to missed dialysis session(s), and acute diarrhea) at six remote NT health centers from July to December 2015. The specific outcomes measured in this study were the number of unnecessary emergency medical retrieval prevented through POCT. Cost savings through prevented unnecessary medical retrievals for each presentation type were then determined and extrapolated to give per annum NT-wide estimates. Results: POCT prevented 60 unnecessary medical evacuations from a total of 200 patient cases meeting the selection criteria (48/147 for chest pain, 10/28 for missed dialysis, and 2/25 for acute diarrhea). The associated cost savings were AUD $4,674, $8,034, and $786 per patient translating to NT-wide savings of AUD $13.72 million, $6.45 million, and $1.57 million per annum (AUD $21.75 million in total) for chest pain, missed dialysis, and acute diarrhea presentations, respectively. Conclusion: This study demonstrated that POCT when used to aid decision making for acutely ill patients delivered significant cost savings for the NT health care system by preventing unnecessary emergency medical retrievals.","author":[{"dropping-particle":"","family":"Spaeth","given":"Brooke A.","non-dropping-particle":"","parse-names":false,"suffix":""},{"dropping-particle":"","family":"Kaambwa","given":"Billingsley","non-dropping-particle":"","parse-names":false,"suffix":""},{"dropping-particle":"","family":"Shephard","given":"Mark D.S.","non-dropping-particle":"","parse-names":false,"suffix":""},{"dropping-particle":"","family":"Omond","given":"Rodney","non-dropping-particle":"","parse-names":false,"suffix":""}],"container-title":"ClinicoEconomics and Outcomes Research","id":"ITEM-1","issued":{"date-parts":[["2018"]]},"page":"269-277","title":"Economic evaluation of point-of-care testing in the remote primary health care setting of Australia’s Northern Territory","type":"article-journal","volume":"10"},"uris":["http://www.mendeley.com/documents/?uuid=d7a6a9d4-4c8a-4945-babe-49721561da38"]}],"mendeley":{"formattedCitation":"[51]","plainTextFormattedCitation":"[51]","previouslyFormattedCitation":"[50]"},"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[51]</w:t>
            </w:r>
            <w:r>
              <w:rPr>
                <w:rFonts w:ascii="Calibri Light" w:hAnsi="Calibri Light" w:cs="Calibri Light"/>
                <w:color w:val="000000"/>
                <w:sz w:val="16"/>
                <w:szCs w:val="18"/>
              </w:rPr>
              <w:fldChar w:fldCharType="end"/>
            </w:r>
            <w:r w:rsidR="00ED4054" w:rsidRPr="00ED4054">
              <w:rPr>
                <w:rFonts w:cstheme="majorHAnsi"/>
                <w:color w:val="000000"/>
                <w:sz w:val="16"/>
                <w:szCs w:val="16"/>
                <w:vertAlign w:val="superscript"/>
              </w:rPr>
              <w:t>1</w:t>
            </w:r>
          </w:p>
        </w:tc>
        <w:tc>
          <w:tcPr>
            <w:tcW w:w="2410" w:type="dxa"/>
            <w:shd w:val="clear" w:color="auto" w:fill="auto"/>
            <w:vAlign w:val="center"/>
            <w:hideMark/>
          </w:tcPr>
          <w:p w14:paraId="46E95FE9"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POCT: $84 more expensive per patient; (95%CI: $81–$86) but would lead to cost savings (due to unnecessary medical evacuations avoided) of $4,674 per patient.</w:t>
            </w:r>
          </w:p>
        </w:tc>
        <w:tc>
          <w:tcPr>
            <w:tcW w:w="1701" w:type="dxa"/>
            <w:shd w:val="clear" w:color="auto" w:fill="auto"/>
            <w:vAlign w:val="center"/>
            <w:hideMark/>
          </w:tcPr>
          <w:p w14:paraId="02115A12"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POCT: cost savings of $13.72 million per annum.</w:t>
            </w:r>
          </w:p>
        </w:tc>
        <w:tc>
          <w:tcPr>
            <w:tcW w:w="3260" w:type="dxa"/>
            <w:shd w:val="clear" w:color="auto" w:fill="auto"/>
            <w:vAlign w:val="center"/>
            <w:hideMark/>
          </w:tcPr>
          <w:p w14:paraId="6EB911A5"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Unnecessary medical evacuations avoided - 0.2109 per patient (95% CI: 0.2106–0.2112)</w:t>
            </w:r>
          </w:p>
        </w:tc>
        <w:tc>
          <w:tcPr>
            <w:tcW w:w="2552" w:type="dxa"/>
            <w:shd w:val="clear" w:color="000000" w:fill="FFFFFF"/>
            <w:vAlign w:val="center"/>
            <w:hideMark/>
          </w:tcPr>
          <w:p w14:paraId="4CE6CE1F"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 </w:t>
            </w:r>
          </w:p>
        </w:tc>
        <w:tc>
          <w:tcPr>
            <w:tcW w:w="1782" w:type="dxa"/>
            <w:shd w:val="clear" w:color="auto" w:fill="auto"/>
            <w:vAlign w:val="center"/>
            <w:hideMark/>
          </w:tcPr>
          <w:p w14:paraId="4D7E4A50"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46D685DD" w14:textId="77777777" w:rsidTr="005F718B">
        <w:trPr>
          <w:trHeight w:val="1070"/>
        </w:trPr>
        <w:tc>
          <w:tcPr>
            <w:tcW w:w="1134" w:type="dxa"/>
            <w:shd w:val="clear" w:color="auto" w:fill="auto"/>
            <w:vAlign w:val="center"/>
            <w:hideMark/>
          </w:tcPr>
          <w:p w14:paraId="6BA40008" w14:textId="0207EFE9" w:rsidR="00ED4054" w:rsidRPr="00ED4054" w:rsidRDefault="00747304"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Spaeth et al., 2018</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{"citationItems":[{"id":"ITEM-1","itemData":{"DOI":"10.2147/CEOR.S160291","ISSN":"11786981","abstract":"Aim: To determine the cost-effectiveness of utilizing point-of-care testing (POCT) on the Abbott i-STAT device as a support tool to aid decisions regarding the emergency medical retrievals of patients at remote health centers in the Northern Territory (NT) of Australia. Methods: A decision analytic simulation model–based economic evaluation was conducted using data from patients presenting with three common acute conditions (chest pain, chronic renal failure due to missed dialysis session(s), and acute diarrhea) at six remote NT health centers from July to December 2015. The specific outcomes measured in this study were the number of unnecessary emergency medical retrieval prevented through POCT. Cost savings through prevented unnecessary medical retrievals for each presentation type were then determined and extrapolated to give per annum NT-wide estimates. Results: POCT prevented 60 unnecessary medical evacuations from a total of 200 patient cases meeting the selection criteria (48/147 for chest pain, 10/28 for missed dialysis, and 2/25 for acute diarrhea). The associated cost savings were AUD $4,674, $8,034, and $786 per patient translating to NT-wide savings of AUD $13.72 million, $6.45 million, and $1.57 million per annum (AUD $21.75 million in total) for chest pain, missed dialysis, and acute diarrhea presentations, respectively. Conclusion: This study demonstrated that POCT when used to aid decision making for acutely ill patients delivered significant cost savings for the NT health care system by preventing unnecessary emergency medical retrievals.","author":[{"dropping-particle":"","family":"Spaeth","given":"Brooke A.","non-dropping-particle":"","parse-names":false,"suffix":""},{"dropping-particle":"","family":"Kaambwa","given":"Billingsley","non-dropping-particle":"","parse-names":false,"suffix":""},{"dropping-particle":"","family":"Shephard","given":"Mark D.S.","non-dropping-particle":"","parse-names":false,"suffix":""},{"dropping-particle":"","family":"Omond","given":"Rodney","non-dropping-particle":"","parse-names":false,"suffix":""}],"container-title":"ClinicoEconomics and Outcomes Research","id":"ITEM-1","issued":{"date-parts":[["2018"]]},"page":"269-277","title":"Economic evaluation of point-of-care testing in the remote primary health care setting of Australia’s Northern Territory","type":"article-journal","volume":"10"},"uris":["http://www.mendeley.com/documents/?uuid=d7a6a9d4-4c8a-4945-babe-49721561da38"]}],"mendeley":{"formattedCitation":"[51]","plainTextFormattedCitation":"[51]","previouslyFormattedCitation":"[50]"},"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[51]</w:t>
            </w:r>
            <w:r>
              <w:rPr>
                <w:rFonts w:ascii="Calibri Light" w:hAnsi="Calibri Light" w:cs="Calibri Light"/>
                <w:color w:val="000000"/>
                <w:sz w:val="16"/>
                <w:szCs w:val="18"/>
              </w:rPr>
              <w:fldChar w:fldCharType="end"/>
            </w:r>
            <w:r w:rsidR="00ED4054" w:rsidRPr="00ED4054">
              <w:rPr>
                <w:rFonts w:cstheme="majorHAnsi"/>
                <w:color w:val="000000"/>
                <w:sz w:val="16"/>
                <w:szCs w:val="16"/>
                <w:vertAlign w:val="superscript"/>
              </w:rPr>
              <w:t>2</w:t>
            </w:r>
          </w:p>
        </w:tc>
        <w:tc>
          <w:tcPr>
            <w:tcW w:w="2410" w:type="dxa"/>
            <w:shd w:val="clear" w:color="auto" w:fill="auto"/>
            <w:vAlign w:val="center"/>
            <w:hideMark/>
          </w:tcPr>
          <w:p w14:paraId="0DA217EA"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POCT: $34 more expensive per patient; (95%CI: $32-$36) but would lead to cost savings (due to unnecessary medical evacuations avoided) of $8,035 per patient.</w:t>
            </w:r>
          </w:p>
        </w:tc>
        <w:tc>
          <w:tcPr>
            <w:tcW w:w="1701" w:type="dxa"/>
            <w:shd w:val="clear" w:color="auto" w:fill="auto"/>
            <w:vAlign w:val="center"/>
            <w:hideMark/>
          </w:tcPr>
          <w:p w14:paraId="1E7C2555"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POCT: cost savings of $6.45 million per annum</w:t>
            </w:r>
          </w:p>
        </w:tc>
        <w:tc>
          <w:tcPr>
            <w:tcW w:w="3260" w:type="dxa"/>
            <w:shd w:val="clear" w:color="auto" w:fill="auto"/>
            <w:vAlign w:val="center"/>
            <w:hideMark/>
          </w:tcPr>
          <w:p w14:paraId="1BB0DFA2"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Unnecessary medical evacuations avoided: 0.3577 per patient (95% CI: 0.3572–0.3582)</w:t>
            </w:r>
          </w:p>
        </w:tc>
        <w:tc>
          <w:tcPr>
            <w:tcW w:w="2552" w:type="dxa"/>
            <w:shd w:val="clear" w:color="000000" w:fill="FFFFFF"/>
            <w:vAlign w:val="center"/>
            <w:hideMark/>
          </w:tcPr>
          <w:p w14:paraId="6B8014B4"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 </w:t>
            </w:r>
          </w:p>
        </w:tc>
        <w:tc>
          <w:tcPr>
            <w:tcW w:w="1782" w:type="dxa"/>
            <w:shd w:val="clear" w:color="auto" w:fill="auto"/>
            <w:vAlign w:val="center"/>
            <w:hideMark/>
          </w:tcPr>
          <w:p w14:paraId="2BA728D7"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09A374DF" w14:textId="77777777" w:rsidTr="005F718B">
        <w:trPr>
          <w:trHeight w:val="890"/>
        </w:trPr>
        <w:tc>
          <w:tcPr>
            <w:tcW w:w="1134" w:type="dxa"/>
            <w:shd w:val="clear" w:color="auto" w:fill="auto"/>
            <w:vAlign w:val="center"/>
            <w:hideMark/>
          </w:tcPr>
          <w:p w14:paraId="2EDA4D3F" w14:textId="68B99A8F" w:rsidR="00ED4054" w:rsidRPr="00ED4054" w:rsidRDefault="00747304"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Spaeth et al., 2018</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{"citationItems":[{"id":"ITEM-1","itemData":{"DOI":"10.2147/CEOR.S160291","ISSN":"11786981","abstract":"Aim: To determine the cost-effectiveness of utilizing point-of-care testing (POCT) on the Abbott i-STAT device as a support tool to aid decisions regarding the emergency medical retrievals of patients at remote health centers in the Northern Territory (NT) of Australia. Methods: A decision analytic simulation model–based economic evaluation was conducted using data from patients presenting with three common acute conditions (chest pain, chronic renal failure due to missed dialysis session(s), and acute diarrhea) at six remote NT health centers from July to December 2015. The specific outcomes measured in this study were the number of unnecessary emergency medical retrieval prevented through POCT. Cost savings through prevented unnecessary medical retrievals for each presentation type were then determined and extrapolated to give per annum NT-wide estimates. Results: POCT prevented 60 unnecessary medical evacuations from a total of 200 patient cases meeting the selection criteria (48/147 for chest pain, 10/28 for missed dialysis, and 2/25 for acute diarrhea). The associated cost savings were AUD $4,674, $8,034, and $786 per patient translating to NT-wide savings of AUD $13.72 million, $6.45 million, and $1.57 million per annum (AUD $21.75 million in total) for chest pain, missed dialysis, and acute diarrhea presentations, respectively. Conclusion: This study demonstrated that POCT when used to aid decision making for acutely ill patients delivered significant cost savings for the NT health care system by preventing unnecessary emergency medical retrievals.","author":[{"dropping-particle":"","family":"Spaeth","given":"Brooke A.","non-dropping-particle":"","parse-names":false,"suffix":""},{"dropping-particle":"","family":"Kaambwa","given":"Billingsley","non-dropping-particle":"","parse-names":false,"suffix":""},{"dropping-particle":"","family":"Shephard","given":"Mark D.S.","non-dropping-particle":"","parse-names":false,"suffix":""},{"dropping-particle":"","family":"Omond","given":"Rodney","non-dropping-particle":"","parse-names":false,"suffix":""}],"container-title":"ClinicoEconomics and Outcomes Research","id":"ITEM-1","issued":{"date-parts":[["2018"]]},"page":"269-277","title":"Economic evaluation of point-of-care testing in the remote primary health care setting of Australia’s Northern Territory","type":"article-journal","volume":"10"},"uris":["http://www.mendeley.com/documents/?uuid=d7a6a9d4-4c8a-4945-babe-49721561da38"]}],"mendeley":{"formattedCitation":"[51]","plainTextFormattedCitation":"[51]","previouslyFormattedCitation":"[50]"},"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[51]</w:t>
            </w:r>
            <w:r>
              <w:rPr>
                <w:rFonts w:ascii="Calibri Light" w:hAnsi="Calibri Light" w:cs="Calibri Light"/>
                <w:color w:val="000000"/>
                <w:sz w:val="16"/>
                <w:szCs w:val="18"/>
              </w:rPr>
              <w:fldChar w:fldCharType="end"/>
            </w:r>
            <w:r w:rsidR="00ED4054" w:rsidRPr="00ED4054">
              <w:rPr>
                <w:rFonts w:cstheme="majorHAnsi"/>
                <w:color w:val="000000"/>
                <w:sz w:val="16"/>
                <w:szCs w:val="16"/>
                <w:vertAlign w:val="superscript"/>
              </w:rPr>
              <w:t>3</w:t>
            </w:r>
          </w:p>
        </w:tc>
        <w:tc>
          <w:tcPr>
            <w:tcW w:w="2410" w:type="dxa"/>
            <w:shd w:val="clear" w:color="auto" w:fill="auto"/>
            <w:vAlign w:val="center"/>
            <w:hideMark/>
          </w:tcPr>
          <w:p w14:paraId="07D23B30"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POCT: $102 more expensive per patient (95% CI: $100–$103) but would lead to cost savings (due to unnecessary medical evacuations avoided) of $786 per patient.</w:t>
            </w:r>
          </w:p>
        </w:tc>
        <w:tc>
          <w:tcPr>
            <w:tcW w:w="1701" w:type="dxa"/>
            <w:shd w:val="clear" w:color="auto" w:fill="auto"/>
            <w:vAlign w:val="center"/>
            <w:hideMark/>
          </w:tcPr>
          <w:p w14:paraId="273556FD"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POCT: cost savings of $1.57 million per annum</w:t>
            </w:r>
          </w:p>
        </w:tc>
        <w:tc>
          <w:tcPr>
            <w:tcW w:w="3260" w:type="dxa"/>
            <w:shd w:val="clear" w:color="auto" w:fill="auto"/>
            <w:vAlign w:val="center"/>
            <w:hideMark/>
          </w:tcPr>
          <w:p w14:paraId="4456E461"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Unnecessary medical evacuations avoided: 0.04 per patient (95% CI: 0.0384–0.0403)</w:t>
            </w:r>
          </w:p>
        </w:tc>
        <w:tc>
          <w:tcPr>
            <w:tcW w:w="2552" w:type="dxa"/>
            <w:shd w:val="clear" w:color="000000" w:fill="FFFFFF"/>
            <w:vAlign w:val="center"/>
            <w:hideMark/>
          </w:tcPr>
          <w:p w14:paraId="5484271E"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 </w:t>
            </w:r>
          </w:p>
        </w:tc>
        <w:tc>
          <w:tcPr>
            <w:tcW w:w="1782" w:type="dxa"/>
            <w:shd w:val="clear" w:color="auto" w:fill="auto"/>
            <w:vAlign w:val="center"/>
            <w:hideMark/>
          </w:tcPr>
          <w:p w14:paraId="6CDD877B"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3E5ED80D" w14:textId="77777777" w:rsidTr="005F718B">
        <w:trPr>
          <w:trHeight w:val="1020"/>
        </w:trPr>
        <w:tc>
          <w:tcPr>
            <w:tcW w:w="1134" w:type="dxa"/>
            <w:shd w:val="clear" w:color="auto" w:fill="auto"/>
            <w:vAlign w:val="center"/>
            <w:hideMark/>
          </w:tcPr>
          <w:p w14:paraId="5EC733CD" w14:textId="1C8514BE" w:rsidR="00ED4054" w:rsidRPr="00ED4054" w:rsidRDefault="008D51FB"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Kip et al., 2017</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{"citationItems":[{"id":"ITEM-1","itemData":{"DOI":"10.1186/s12872-017-0647-6","author":[{"dropping-particle":"","family":"Kip","given":"Michelle M A","non-dropping-particle":"","parse-names":false,"suffix":""},{"dropping-particle":"","family":"Koffijberg","given":"Hendrik","non-dropping-particle":"","parse-names":false,"suffix":""},{"dropping-particle":"","family":"Moesker","given":"Marco J","non-dropping-particle":"","parse-names":false,"suffix":""},{"dropping-particle":"","family":"Ijzerman","given":"Maarten J","non-dropping-particle":"","parse-names":false,"suffix":""},{"dropping-particle":"","family":"Kusters","given":"Ron","non-dropping-particle":"","parse-names":false,"suffix":""}],"id":"ITEM-1","issued":{"date-parts":[["2017"]]},"page":"1-9","publisher":"BMC Cardiovascular Disorders","title":"The cost-utility of point-of-care troponin testing to diagnose acute coronary syndrome in primary care","type":"article-journal"},"uris":["http://www.mendeley.com/documents/?uuid=673af599-0ee1-4c22-abde-1a41fefc1b21"]}],"mendeley":{"formattedCitation":"[54]","plainTextFormattedCitation":"[54]","previouslyFormattedCitation":"[53]"},"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[54]</w:t>
            </w:r>
            <w:r>
              <w:rPr>
                <w:rFonts w:ascii="Calibri Light" w:hAnsi="Calibri Light" w:cs="Calibri Light"/>
                <w:color w:val="000000"/>
                <w:sz w:val="16"/>
                <w:szCs w:val="18"/>
              </w:rPr>
              <w:fldChar w:fldCharType="end"/>
            </w:r>
          </w:p>
        </w:tc>
        <w:tc>
          <w:tcPr>
            <w:tcW w:w="2410" w:type="dxa"/>
            <w:shd w:val="clear" w:color="auto" w:fill="auto"/>
            <w:vAlign w:val="center"/>
            <w:hideMark/>
          </w:tcPr>
          <w:p w14:paraId="1B1B206F"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POCT: €1144 (95% CI €892 to €1451); clinical judgement: €1221 (95% CI €955 to €1541); cost savings of €77 [95% CI €-127 to €-33].</w:t>
            </w:r>
          </w:p>
        </w:tc>
        <w:tc>
          <w:tcPr>
            <w:tcW w:w="1701" w:type="dxa"/>
            <w:shd w:val="clear" w:color="auto" w:fill="auto"/>
            <w:vAlign w:val="center"/>
            <w:hideMark/>
          </w:tcPr>
          <w:p w14:paraId="7AB7F772"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 </w:t>
            </w:r>
          </w:p>
        </w:tc>
        <w:tc>
          <w:tcPr>
            <w:tcW w:w="3260" w:type="dxa"/>
            <w:shd w:val="clear" w:color="auto" w:fill="auto"/>
            <w:vAlign w:val="center"/>
            <w:hideMark/>
          </w:tcPr>
          <w:p w14:paraId="7E9CC84C"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QALYs - change in QALYs is negligible (−0.0004); Hospital referrals - decrease referrals in non-ACS patients from 38.46% to 31.85%; increase non-referral among ACS patients from 0.22% to 0.27%.</w:t>
            </w:r>
          </w:p>
        </w:tc>
        <w:tc>
          <w:tcPr>
            <w:tcW w:w="2552" w:type="dxa"/>
            <w:shd w:val="clear" w:color="auto" w:fill="auto"/>
            <w:vAlign w:val="center"/>
            <w:hideMark/>
          </w:tcPr>
          <w:p w14:paraId="5FBCFD6D"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Not calculated due to negligible impact on health outcomes</w:t>
            </w:r>
          </w:p>
        </w:tc>
        <w:tc>
          <w:tcPr>
            <w:tcW w:w="1782" w:type="dxa"/>
            <w:shd w:val="clear" w:color="auto" w:fill="auto"/>
            <w:vAlign w:val="center"/>
            <w:hideMark/>
          </w:tcPr>
          <w:p w14:paraId="70531523"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203189C2" w14:textId="77777777" w:rsidTr="005F718B">
        <w:trPr>
          <w:trHeight w:val="1020"/>
        </w:trPr>
        <w:tc>
          <w:tcPr>
            <w:tcW w:w="1134" w:type="dxa"/>
            <w:shd w:val="clear" w:color="auto" w:fill="auto"/>
            <w:vAlign w:val="center"/>
          </w:tcPr>
          <w:p w14:paraId="579339C5" w14:textId="2C4717D8" w:rsidR="00ED4054" w:rsidRPr="00ED4054" w:rsidRDefault="00906B34" w:rsidP="00ED4054">
            <w:pPr>
              <w:widowControl/>
              <w:adjustRightInd/>
              <w:spacing w:before="0" w:after="0" w:line="240" w:lineRule="auto"/>
              <w:jc w:val="left"/>
              <w:textAlignment w:val="auto"/>
              <w:rPr>
                <w:rFonts w:cstheme="majorHAnsi"/>
                <w:color w:val="000000"/>
                <w:sz w:val="16"/>
                <w:szCs w:val="16"/>
              </w:rPr>
            </w:pPr>
            <w:proofErr w:type="spellStart"/>
            <w:r w:rsidRPr="00F03ECE">
              <w:rPr>
                <w:rFonts w:ascii="Calibri Light" w:hAnsi="Calibri Light" w:cs="Calibri Light"/>
                <w:color w:val="000000"/>
                <w:sz w:val="16"/>
                <w:szCs w:val="18"/>
              </w:rPr>
              <w:t>Lewandrowski</w:t>
            </w:r>
            <w:proofErr w:type="spellEnd"/>
            <w:r w:rsidRPr="00F03ECE">
              <w:rPr>
                <w:rFonts w:ascii="Calibri Light" w:hAnsi="Calibri Light" w:cs="Calibri Light"/>
                <w:color w:val="000000"/>
                <w:sz w:val="16"/>
                <w:szCs w:val="18"/>
              </w:rPr>
              <w:t xml:space="preserve"> et al., 2017</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10.1016/j.cca.2017.08.019","author":[{"dropping-particle":"","family":"Lewandrowski","given":"Elizabeth-lee","non-dropping-particle":"","parse-names":false,"suffix":""},{"dropping-particle":"","family":"Yeh","given":"Sunu","non-dropping-particle":"","parse-names":false,"suffix":""},{"dropping-particle":"","family":"Baron","given":"Jason","non-dropping-particle":"","parse-names":false,"suffix":""},{"dropping-particle":"","family":"Crocker","given":"J Benjamin","non-dropping-particle":"","parse-names":false,"suffix":""},{"dropping-particle":"","family":"Lewandrowski","given":"Kent","non-dropping-particle":"","parse-names":false,"suffix":""}],"container-title":"Clinica Chimica Acta","id":"ITEM-1","issue":"August","issued":{"date-parts":[["2017"]]},"page":"71-74","title":"Implementation of point-of-care testing in a general internal medicine practice : A con fi rmation study","type":"article-journal","volume":"473"},"uris":["http://www.mendeley.com/documents/?uuid=4a098323-59c8-41b8-9928-5e0af55769e9"]}],"mendeley":{"formattedCitation":"[55]","plainTextFormattedCitation":"[55]","previouslyFormattedCitation":"[54]"},"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[55]</w:t>
            </w:r>
            <w:r>
              <w:rPr>
                <w:rFonts w:ascii="Calibri Light" w:hAnsi="Calibri Light" w:cs="Calibri Light"/>
                <w:color w:val="000000"/>
                <w:sz w:val="16"/>
                <w:szCs w:val="18"/>
              </w:rPr>
              <w:fldChar w:fldCharType="end"/>
            </w:r>
          </w:p>
        </w:tc>
        <w:tc>
          <w:tcPr>
            <w:tcW w:w="2410" w:type="dxa"/>
            <w:shd w:val="clear" w:color="auto" w:fill="auto"/>
            <w:vAlign w:val="center"/>
          </w:tcPr>
          <w:p w14:paraId="461C2C9B"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Financial benefit of $11.90–14.74 per patient visit due to POCT.</w:t>
            </w:r>
          </w:p>
        </w:tc>
        <w:tc>
          <w:tcPr>
            <w:tcW w:w="1701" w:type="dxa"/>
            <w:shd w:val="clear" w:color="auto" w:fill="auto"/>
            <w:vAlign w:val="center"/>
          </w:tcPr>
          <w:p w14:paraId="41E821AE" w14:textId="77777777" w:rsidR="00ED4054" w:rsidRPr="00ED4054" w:rsidRDefault="00ED4054" w:rsidP="00ED4054">
            <w:pPr>
              <w:widowControl/>
              <w:adjustRightInd/>
              <w:spacing w:before="0" w:after="0" w:line="240" w:lineRule="auto"/>
              <w:jc w:val="left"/>
              <w:textAlignment w:val="auto"/>
              <w:rPr>
                <w:rFonts w:cstheme="majorHAnsi"/>
                <w:sz w:val="16"/>
                <w:szCs w:val="16"/>
              </w:rPr>
            </w:pPr>
          </w:p>
        </w:tc>
        <w:tc>
          <w:tcPr>
            <w:tcW w:w="3260" w:type="dxa"/>
            <w:shd w:val="clear" w:color="auto" w:fill="auto"/>
            <w:vAlign w:val="center"/>
          </w:tcPr>
          <w:p w14:paraId="0160F538"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Follow-up tests – 50% reduction due to POCT;</w:t>
            </w:r>
          </w:p>
          <w:p w14:paraId="7FAC131F"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Patient letters – 99% reduction due to POCT;</w:t>
            </w:r>
          </w:p>
          <w:p w14:paraId="07668BCB"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Patient calls – 75% reduction due to POCT;</w:t>
            </w:r>
          </w:p>
          <w:p w14:paraId="040DAF9C"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Follow-up appointments – 39% reduction due to POCT.</w:t>
            </w:r>
          </w:p>
        </w:tc>
        <w:tc>
          <w:tcPr>
            <w:tcW w:w="2552" w:type="dxa"/>
            <w:shd w:val="clear" w:color="auto" w:fill="auto"/>
            <w:vAlign w:val="center"/>
          </w:tcPr>
          <w:p w14:paraId="1C16A461" w14:textId="77777777" w:rsidR="00ED4054" w:rsidRPr="00ED4054" w:rsidRDefault="00ED4054" w:rsidP="00ED4054">
            <w:pPr>
              <w:widowControl/>
              <w:adjustRightInd/>
              <w:spacing w:before="0" w:after="0" w:line="240" w:lineRule="auto"/>
              <w:jc w:val="left"/>
              <w:textAlignment w:val="auto"/>
              <w:rPr>
                <w:rFonts w:cstheme="majorHAnsi"/>
                <w:sz w:val="16"/>
                <w:szCs w:val="16"/>
              </w:rPr>
            </w:pPr>
          </w:p>
        </w:tc>
        <w:tc>
          <w:tcPr>
            <w:tcW w:w="1782" w:type="dxa"/>
            <w:shd w:val="clear" w:color="auto" w:fill="auto"/>
            <w:vAlign w:val="center"/>
          </w:tcPr>
          <w:p w14:paraId="2BACD343"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2AC9F4CB" w14:textId="77777777" w:rsidTr="005F718B">
        <w:trPr>
          <w:trHeight w:val="850"/>
        </w:trPr>
        <w:tc>
          <w:tcPr>
            <w:tcW w:w="1134" w:type="dxa"/>
            <w:shd w:val="clear" w:color="auto" w:fill="auto"/>
            <w:vAlign w:val="center"/>
            <w:hideMark/>
          </w:tcPr>
          <w:p w14:paraId="277E97D7" w14:textId="39D721B9" w:rsidR="00ED4054" w:rsidRPr="00ED4054" w:rsidRDefault="001E078C" w:rsidP="00ED4054">
            <w:pPr>
              <w:widowControl/>
              <w:adjustRightInd/>
              <w:spacing w:before="0" w:after="0" w:line="240" w:lineRule="auto"/>
              <w:jc w:val="left"/>
              <w:textAlignment w:val="auto"/>
              <w:rPr>
                <w:rFonts w:cstheme="majorHAnsi"/>
                <w:sz w:val="16"/>
                <w:szCs w:val="16"/>
                <w:vertAlign w:val="superscript"/>
              </w:rPr>
            </w:pPr>
            <w:r w:rsidRPr="00F03ECE">
              <w:rPr>
                <w:rFonts w:ascii="Calibri Light" w:hAnsi="Calibri Light" w:cs="Calibri Light"/>
                <w:color w:val="000000"/>
                <w:sz w:val="16"/>
                <w:szCs w:val="18"/>
              </w:rPr>
              <w:t>Heffernan et al., 2016</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{"citationItems":[{"id":"ITEM-1","itemData":{"DOI":"10.1371/journal.pone.0158303","ISSN":"19326203","abstract":"Rapid diagnostic tools have been shown to improve linkage of patients to care. In the context of infectious diseases, assessing the impact and cost-effectiveness of such tools at the population level, accounting for both direct and indirect effects, is key to informing adoption of these tools. Point-of-care (POC) CD4 testing has been shown to be highly effective in increasing the proportion of HIV positive patients who initiate ART. We assess the impact and cost-effectiveness of introducing POC CD4 testing at the population level in South Africa in a range of care contexts, using a dynamic compartmental model of HIV transmission, calibrated to the South African HIV epidemic. We performed a meta-analysis to quantify the differences between POC and laboratory CD4 testing on the proportion linking to care following CD4 testing. Cumulative infections averted and incremental cost-effectiveness ratios (ICERs) were estimated over one and three years. We estimated that POC CD4 testing introduced in the current South African care context can prevent 1.7% (95% CI: 0.4% - 4.3%) of new HIV infections over 1 year. In that context, POC CD4 testing was cost-effective 99.8% of the time after 1 year with a median estimated ICER of US$4,468/DALY averted. In healthcare contexts with expanded HIV testing and improved retention in care, POC CD4 testing only became cost-effective after 3 years. The results were similar when, in addition, ART was offered irrespective of CD4 count, and CD4 testing was used for clinical assessment. Our findings suggest that even if ART is expanded to all HIV positive individuals and HIV testing efforts are increased in the near future, POC CD4 testing is a cost-effective tool, even within a short time horizon. Our study also illustrates the importance of evaluating the potential impact of such diagnostic technologies at the population level, so that indirect benefits and costs can be incorporated into estimations of cost-effectiveness.","author":[{"dropping-particle":"","family":"Heffernan","given":"Alastair","non-dropping-particle":"","parse-names":false,"suffix":""},{"dropping-particle":"","family":"Barber","given":"Ella","non-dropping-particle":"","parse-names":false,"suffix":""},{"dropping-particle":"","family":"Thomas","given":"Ranjeeta","non-dropping-particle":"","parse-names":false,"suffix":""},{"dropping-particle":"","family":"Fraser","given":"Christophe","non-dropping-particle":"","parse-names":false,"suffix":""},{"dropping-particle":"","family":"Pickles","given":"Michael","non-dropping-particle":"","parse-names":false,"suffix":""},{"dropping-particle":"","family":"Cori","given":"Anne","non-dropping-particle":"","parse-names":false,"suffix":""}],"container-title":"PLoS ONE","id":"ITEM-1","issue":"7","issued":{"date-parts":[["2016"]]},"page":"1-12","title":"Impact and cost-effectiveness of point-of-care CD4 testing on the HIV epidemic in South Africa","type":"article-journal","volume":"11"},"uris":["http://www.mendeley.com/documents/?uuid=8b5021d9-6996-4238-aae7-6e7c39d3b4e8"]}],"mendeley":{"formattedCitation":"[57]","plainTextFormattedCitation":"[57]","previouslyFormattedCitation":"[56]"},"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[57]</w:t>
            </w:r>
            <w:r>
              <w:rPr>
                <w:rFonts w:ascii="Calibri Light" w:hAnsi="Calibri Light" w:cs="Calibri Light"/>
                <w:color w:val="000000"/>
                <w:sz w:val="16"/>
                <w:szCs w:val="18"/>
              </w:rPr>
              <w:fldChar w:fldCharType="end"/>
            </w:r>
            <w:r w:rsidR="00ED4054" w:rsidRPr="00ED4054">
              <w:rPr>
                <w:rFonts w:cstheme="majorHAnsi"/>
                <w:sz w:val="16"/>
                <w:szCs w:val="16"/>
                <w:vertAlign w:val="superscript"/>
              </w:rPr>
              <w:t>4</w:t>
            </w:r>
          </w:p>
        </w:tc>
        <w:tc>
          <w:tcPr>
            <w:tcW w:w="2410" w:type="dxa"/>
            <w:shd w:val="clear" w:color="auto" w:fill="auto"/>
            <w:vAlign w:val="center"/>
            <w:hideMark/>
          </w:tcPr>
          <w:p w14:paraId="3E93EE12" w14:textId="77777777" w:rsidR="00ED4054" w:rsidRPr="00ED4054" w:rsidRDefault="00ED4054" w:rsidP="00ED4054">
            <w:pPr>
              <w:widowControl/>
              <w:adjustRightInd/>
              <w:spacing w:before="0" w:after="0" w:line="240" w:lineRule="auto"/>
              <w:jc w:val="left"/>
              <w:textAlignment w:val="auto"/>
              <w:rPr>
                <w:rFonts w:cstheme="majorHAnsi"/>
                <w:color w:val="FF0000"/>
                <w:sz w:val="16"/>
                <w:szCs w:val="16"/>
              </w:rPr>
            </w:pPr>
            <w:r w:rsidRPr="00ED4054">
              <w:rPr>
                <w:rFonts w:cstheme="majorHAnsi"/>
                <w:color w:val="FF0000"/>
                <w:sz w:val="16"/>
                <w:szCs w:val="16"/>
              </w:rPr>
              <w:t> </w:t>
            </w:r>
          </w:p>
        </w:tc>
        <w:tc>
          <w:tcPr>
            <w:tcW w:w="1701" w:type="dxa"/>
            <w:shd w:val="clear" w:color="auto" w:fill="auto"/>
            <w:vAlign w:val="center"/>
            <w:hideMark/>
          </w:tcPr>
          <w:p w14:paraId="4C20EFA5"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POCT: $0.11 billion (only the additional costs from introducing POCT)</w:t>
            </w:r>
          </w:p>
        </w:tc>
        <w:tc>
          <w:tcPr>
            <w:tcW w:w="3260" w:type="dxa"/>
            <w:shd w:val="clear" w:color="auto" w:fill="auto"/>
            <w:vAlign w:val="center"/>
            <w:hideMark/>
          </w:tcPr>
          <w:p w14:paraId="2696753E"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DALYs averted were 0.02m DALYs (0.01 million —0.04 million DALYs)</w:t>
            </w:r>
          </w:p>
        </w:tc>
        <w:tc>
          <w:tcPr>
            <w:tcW w:w="2552" w:type="dxa"/>
            <w:shd w:val="clear" w:color="auto" w:fill="auto"/>
            <w:vAlign w:val="center"/>
            <w:hideMark/>
          </w:tcPr>
          <w:p w14:paraId="751C9F5E"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$4,468/DALY averted</w:t>
            </w:r>
          </w:p>
        </w:tc>
        <w:tc>
          <w:tcPr>
            <w:tcW w:w="1782" w:type="dxa"/>
            <w:shd w:val="clear" w:color="auto" w:fill="auto"/>
            <w:vAlign w:val="center"/>
            <w:hideMark/>
          </w:tcPr>
          <w:p w14:paraId="661ABCCD"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167E7EB8" w14:textId="77777777" w:rsidTr="005F718B">
        <w:trPr>
          <w:trHeight w:val="850"/>
        </w:trPr>
        <w:tc>
          <w:tcPr>
            <w:tcW w:w="1134" w:type="dxa"/>
            <w:shd w:val="clear" w:color="auto" w:fill="auto"/>
            <w:vAlign w:val="center"/>
            <w:hideMark/>
          </w:tcPr>
          <w:p w14:paraId="20C0CDF0" w14:textId="33425ADC" w:rsidR="00ED4054" w:rsidRPr="00ED4054" w:rsidRDefault="001E078C" w:rsidP="00ED4054">
            <w:pPr>
              <w:widowControl/>
              <w:adjustRightInd/>
              <w:spacing w:before="0" w:after="0" w:line="240" w:lineRule="auto"/>
              <w:jc w:val="left"/>
              <w:textAlignment w:val="auto"/>
              <w:rPr>
                <w:rFonts w:cstheme="majorHAnsi"/>
                <w:sz w:val="16"/>
                <w:szCs w:val="16"/>
                <w:vertAlign w:val="superscript"/>
              </w:rPr>
            </w:pPr>
            <w:r w:rsidRPr="00F03ECE">
              <w:rPr>
                <w:rFonts w:ascii="Calibri Light" w:hAnsi="Calibri Light" w:cs="Calibri Light"/>
                <w:color w:val="000000"/>
                <w:sz w:val="16"/>
                <w:szCs w:val="18"/>
              </w:rPr>
              <w:lastRenderedPageBreak/>
              <w:t>Heffernan et al., 2016</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{"citationItems":[{"id":"ITEM-1","itemData":{"DOI":"10.1371/journal.pone.0158303","ISSN":"19326203","abstract":"Rapid diagnostic tools have been shown to improve linkage of patients to care. In the context of infectious diseases, assessing the impact and cost-effectiveness of such tools at the population level, accounting for both direct and indirect effects, is key to informing adoption of these tools. Point-of-care (POC) CD4 testing has been shown to be highly effective in increasing the proportion of HIV positive patients who initiate ART. We assess the impact and cost-effectiveness of introducing POC CD4 testing at the population level in South Africa in a range of care contexts, using a dynamic compartmental model of HIV transmission, calibrated to the South African HIV epidemic. We performed a meta-analysis to quantify the differences between POC and laboratory CD4 testing on the proportion linking to care following CD4 testing. Cumulative infections averted and incremental cost-effectiveness ratios (ICERs) were estimated over one and three years. We estimated that POC CD4 testing introduced in the current South African care context can prevent 1.7% (95% CI: 0.4% - 4.3%) of new HIV infections over 1 year. In that context, POC CD4 testing was cost-effective 99.8% of the time after 1 year with a median estimated ICER of US$4,468/DALY averted. In healthcare contexts with expanded HIV testing and improved retention in care, POC CD4 testing only became cost-effective after 3 years. The results were similar when, in addition, ART was offered irrespective of CD4 count, and CD4 testing was used for clinical assessment. Our findings suggest that even if ART is expanded to all HIV positive individuals and HIV testing efforts are increased in the near future, POC CD4 testing is a cost-effective tool, even within a short time horizon. Our study also illustrates the importance of evaluating the potential impact of such diagnostic technologies at the population level, so that indirect benefits and costs can be incorporated into estimations of cost-effectiveness.","author":[{"dropping-particle":"","family":"Heffernan","given":"Alastair","non-dropping-particle":"","parse-names":false,"suffix":""},{"dropping-particle":"","family":"Barber","given":"Ella","non-dropping-particle":"","parse-names":false,"suffix":""},{"dropping-particle":"","family":"Thomas","given":"Ranjeeta","non-dropping-particle":"","parse-names":false,"suffix":""},{"dropping-particle":"","family":"Fraser","given":"Christophe","non-dropping-particle":"","parse-names":false,"suffix":""},{"dropping-particle":"","family":"Pickles","given":"Michael","non-dropping-particle":"","parse-names":false,"suffix":""},{"dropping-particle":"","family":"Cori","given":"Anne","non-dropping-particle":"","parse-names":false,"suffix":""}],"container-title":"PLoS ONE","id":"ITEM-1","issue":"7","issued":{"date-parts":[["2016"]]},"page":"1-12","title":"Impact and cost-effectiveness of point-of-care CD4 testing on the HIV epidemic in South Africa","type":"article-journal","volume":"11"},"uris":["http://www.mendeley.com/documents/?uuid=8b5021d9-6996-4238-aae7-6e7c39d3b4e8"]}],"mendeley":{"formattedCitation":"[57]","plainTextFormattedCitation":"[57]","previouslyFormattedCitation":"[56]"},"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[57]</w:t>
            </w:r>
            <w:r>
              <w:rPr>
                <w:rFonts w:ascii="Calibri Light" w:hAnsi="Calibri Light" w:cs="Calibri Light"/>
                <w:color w:val="000000"/>
                <w:sz w:val="16"/>
                <w:szCs w:val="18"/>
              </w:rPr>
              <w:fldChar w:fldCharType="end"/>
            </w:r>
            <w:r w:rsidR="00ED4054" w:rsidRPr="00ED4054">
              <w:rPr>
                <w:rFonts w:cstheme="majorHAnsi"/>
                <w:sz w:val="16"/>
                <w:szCs w:val="16"/>
                <w:vertAlign w:val="superscript"/>
              </w:rPr>
              <w:t>5</w:t>
            </w:r>
          </w:p>
        </w:tc>
        <w:tc>
          <w:tcPr>
            <w:tcW w:w="2410" w:type="dxa"/>
            <w:shd w:val="clear" w:color="auto" w:fill="auto"/>
            <w:vAlign w:val="center"/>
            <w:hideMark/>
          </w:tcPr>
          <w:p w14:paraId="1FA940E3" w14:textId="77777777" w:rsidR="00ED4054" w:rsidRPr="00ED4054" w:rsidRDefault="00ED4054" w:rsidP="00ED4054">
            <w:pPr>
              <w:widowControl/>
              <w:adjustRightInd/>
              <w:spacing w:before="0" w:after="0" w:line="240" w:lineRule="auto"/>
              <w:jc w:val="left"/>
              <w:textAlignment w:val="auto"/>
              <w:rPr>
                <w:rFonts w:cstheme="majorHAnsi"/>
                <w:color w:val="FF0000"/>
                <w:sz w:val="16"/>
                <w:szCs w:val="16"/>
              </w:rPr>
            </w:pPr>
            <w:r w:rsidRPr="00ED4054">
              <w:rPr>
                <w:rFonts w:cstheme="majorHAnsi"/>
                <w:color w:val="FF0000"/>
                <w:sz w:val="16"/>
                <w:szCs w:val="16"/>
              </w:rPr>
              <w:t> </w:t>
            </w:r>
          </w:p>
        </w:tc>
        <w:tc>
          <w:tcPr>
            <w:tcW w:w="1701" w:type="dxa"/>
            <w:shd w:val="clear" w:color="auto" w:fill="auto"/>
            <w:vAlign w:val="center"/>
            <w:hideMark/>
          </w:tcPr>
          <w:p w14:paraId="3B2B0FFE"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POCT: $0.22 billion (only the additional costs from introducing POCT)</w:t>
            </w:r>
          </w:p>
        </w:tc>
        <w:tc>
          <w:tcPr>
            <w:tcW w:w="3260" w:type="dxa"/>
            <w:shd w:val="clear" w:color="auto" w:fill="auto"/>
            <w:vAlign w:val="center"/>
            <w:hideMark/>
          </w:tcPr>
          <w:p w14:paraId="7E1160B5"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DALYs averted were 0.03m DALYs (0.02 million—0.05 million DALYs)</w:t>
            </w:r>
          </w:p>
        </w:tc>
        <w:tc>
          <w:tcPr>
            <w:tcW w:w="2552" w:type="dxa"/>
            <w:shd w:val="clear" w:color="auto" w:fill="auto"/>
            <w:vAlign w:val="center"/>
            <w:hideMark/>
          </w:tcPr>
          <w:p w14:paraId="7BB7ECFF"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$6,986/DALY averted</w:t>
            </w:r>
          </w:p>
        </w:tc>
        <w:tc>
          <w:tcPr>
            <w:tcW w:w="1782" w:type="dxa"/>
            <w:shd w:val="clear" w:color="auto" w:fill="auto"/>
            <w:vAlign w:val="center"/>
            <w:hideMark/>
          </w:tcPr>
          <w:p w14:paraId="5A0BEC8B"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253B07DA" w14:textId="77777777" w:rsidTr="005F718B">
        <w:trPr>
          <w:trHeight w:val="850"/>
        </w:trPr>
        <w:tc>
          <w:tcPr>
            <w:tcW w:w="1134" w:type="dxa"/>
            <w:shd w:val="clear" w:color="auto" w:fill="auto"/>
            <w:vAlign w:val="center"/>
            <w:hideMark/>
          </w:tcPr>
          <w:p w14:paraId="0DD013BE" w14:textId="45270BA0" w:rsidR="00ED4054" w:rsidRPr="00ED4054" w:rsidRDefault="001E078C" w:rsidP="00ED4054">
            <w:pPr>
              <w:widowControl/>
              <w:adjustRightInd/>
              <w:spacing w:before="0" w:after="0" w:line="240" w:lineRule="auto"/>
              <w:jc w:val="left"/>
              <w:textAlignment w:val="auto"/>
              <w:rPr>
                <w:rFonts w:cstheme="majorHAnsi"/>
                <w:sz w:val="16"/>
                <w:szCs w:val="16"/>
              </w:rPr>
            </w:pPr>
            <w:r w:rsidRPr="00F03ECE">
              <w:rPr>
                <w:rFonts w:ascii="Calibri Light" w:hAnsi="Calibri Light" w:cs="Calibri Light"/>
                <w:color w:val="000000"/>
                <w:sz w:val="16"/>
                <w:szCs w:val="18"/>
              </w:rPr>
              <w:t>Heffernan et al., 2016</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{"citationItems":[{"id":"ITEM-1","itemData":{"DOI":"10.1371/journal.pone.0158303","ISSN":"19326203","abstract":"Rapid diagnostic tools have been shown to improve linkage of patients to care. In the context of infectious diseases, assessing the impact and cost-effectiveness of such tools at the population level, accounting for both direct and indirect effects, is key to informing adoption of these tools. Point-of-care (POC) CD4 testing has been shown to be highly effective in increasing the proportion of HIV positive patients who initiate ART. We assess the impact and cost-effectiveness of introducing POC CD4 testing at the population level in South Africa in a range of care contexts, using a dynamic compartmental model of HIV transmission, calibrated to the South African HIV epidemic. We performed a meta-analysis to quantify the differences between POC and laboratory CD4 testing on the proportion linking to care following CD4 testing. Cumulative infections averted and incremental cost-effectiveness ratios (ICERs) were estimated over one and three years. We estimated that POC CD4 testing introduced in the current South African care context can prevent 1.7% (95% CI: 0.4% - 4.3%) of new HIV infections over 1 year. In that context, POC CD4 testing was cost-effective 99.8% of the time after 1 year with a median estimated ICER of US$4,468/DALY averted. In healthcare contexts with expanded HIV testing and improved retention in care, POC CD4 testing only became cost-effective after 3 years. The results were similar when, in addition, ART was offered irrespective of CD4 count, and CD4 testing was used for clinical assessment. Our findings suggest that even if ART is expanded to all HIV positive individuals and HIV testing efforts are increased in the near future, POC CD4 testing is a cost-effective tool, even within a short time horizon. Our study also illustrates the importance of evaluating the potential impact of such diagnostic technologies at the population level, so that indirect benefits and costs can be incorporated into estimations of cost-effectiveness.","author":[{"dropping-particle":"","family":"Heffernan","given":"Alastair","non-dropping-particle":"","parse-names":false,"suffix":""},{"dropping-particle":"","family":"Barber","given":"Ella","non-dropping-particle":"","parse-names":false,"suffix":""},{"dropping-particle":"","family":"Thomas","given":"Ranjeeta","non-dropping-particle":"","parse-names":false,"suffix":""},{"dropping-particle":"","family":"Fraser","given":"Christophe","non-dropping-particle":"","parse-names":false,"suffix":""},{"dropping-particle":"","family":"Pickles","given":"Michael","non-dropping-particle":"","parse-names":false,"suffix":""},{"dropping-particle":"","family":"Cori","given":"Anne","non-dropping-particle":"","parse-names":false,"suffix":""}],"container-title":"PLoS ONE","id":"ITEM-1","issue":"7","issued":{"date-parts":[["2016"]]},"page":"1-12","title":"Impact and cost-effectiveness of point-of-care CD4 testing on the HIV epidemic in South Africa","type":"article-journal","volume":"11"},"uris":["http://www.mendeley.com/documents/?uuid=8b5021d9-6996-4238-aae7-6e7c39d3b4e8"]}],"mendeley":{"formattedCitation":"[57]","plainTextFormattedCitation":"[57]","previouslyFormattedCitation":"[56]"},"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[57]</w:t>
            </w:r>
            <w:r>
              <w:rPr>
                <w:rFonts w:ascii="Calibri Light" w:hAnsi="Calibri Light" w:cs="Calibri Light"/>
                <w:color w:val="000000"/>
                <w:sz w:val="16"/>
                <w:szCs w:val="18"/>
              </w:rPr>
              <w:fldChar w:fldCharType="end"/>
            </w:r>
            <w:r w:rsidR="00ED4054" w:rsidRPr="00ED4054">
              <w:rPr>
                <w:rFonts w:cstheme="majorHAnsi"/>
                <w:sz w:val="16"/>
                <w:szCs w:val="16"/>
                <w:vertAlign w:val="superscript"/>
              </w:rPr>
              <w:t>6</w:t>
            </w:r>
            <w:r w:rsidR="00ED4054" w:rsidRPr="00ED4054">
              <w:rPr>
                <w:rFonts w:cstheme="majorHAnsi"/>
                <w:sz w:val="16"/>
                <w:szCs w:val="16"/>
              </w:rPr>
              <w:t> </w:t>
            </w:r>
          </w:p>
        </w:tc>
        <w:tc>
          <w:tcPr>
            <w:tcW w:w="2410" w:type="dxa"/>
            <w:shd w:val="clear" w:color="auto" w:fill="auto"/>
            <w:vAlign w:val="center"/>
            <w:hideMark/>
          </w:tcPr>
          <w:p w14:paraId="02920AA9" w14:textId="77777777" w:rsidR="00ED4054" w:rsidRPr="00ED4054" w:rsidRDefault="00ED4054" w:rsidP="00ED4054">
            <w:pPr>
              <w:widowControl/>
              <w:adjustRightInd/>
              <w:spacing w:before="0" w:after="0" w:line="240" w:lineRule="auto"/>
              <w:jc w:val="left"/>
              <w:textAlignment w:val="auto"/>
              <w:rPr>
                <w:rFonts w:cstheme="majorHAnsi"/>
                <w:color w:val="FF0000"/>
                <w:sz w:val="16"/>
                <w:szCs w:val="16"/>
              </w:rPr>
            </w:pPr>
            <w:r w:rsidRPr="00ED4054">
              <w:rPr>
                <w:rFonts w:cstheme="majorHAnsi"/>
                <w:color w:val="FF0000"/>
                <w:sz w:val="16"/>
                <w:szCs w:val="16"/>
              </w:rPr>
              <w:t> </w:t>
            </w:r>
          </w:p>
        </w:tc>
        <w:tc>
          <w:tcPr>
            <w:tcW w:w="1701" w:type="dxa"/>
            <w:shd w:val="clear" w:color="auto" w:fill="auto"/>
            <w:vAlign w:val="center"/>
            <w:hideMark/>
          </w:tcPr>
          <w:p w14:paraId="37AFB66F"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POCT: $0.29 billion (only the additional costs from introducing POCT)</w:t>
            </w:r>
          </w:p>
        </w:tc>
        <w:tc>
          <w:tcPr>
            <w:tcW w:w="3260" w:type="dxa"/>
            <w:shd w:val="clear" w:color="auto" w:fill="auto"/>
            <w:vAlign w:val="center"/>
            <w:hideMark/>
          </w:tcPr>
          <w:p w14:paraId="6AF68D47"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DALYs averted were 0.03m DALYs (0.02 million—0.05 million DALYs)</w:t>
            </w:r>
          </w:p>
        </w:tc>
        <w:tc>
          <w:tcPr>
            <w:tcW w:w="2552" w:type="dxa"/>
            <w:shd w:val="clear" w:color="auto" w:fill="auto"/>
            <w:vAlign w:val="center"/>
            <w:hideMark/>
          </w:tcPr>
          <w:p w14:paraId="0F96BC2E"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$9,215/DALY averted</w:t>
            </w:r>
          </w:p>
        </w:tc>
        <w:tc>
          <w:tcPr>
            <w:tcW w:w="1782" w:type="dxa"/>
            <w:shd w:val="clear" w:color="auto" w:fill="auto"/>
            <w:vAlign w:val="center"/>
            <w:hideMark/>
          </w:tcPr>
          <w:p w14:paraId="24BDED08"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218492A1" w14:textId="77777777" w:rsidTr="005F718B">
        <w:trPr>
          <w:trHeight w:val="913"/>
        </w:trPr>
        <w:tc>
          <w:tcPr>
            <w:tcW w:w="1134" w:type="dxa"/>
            <w:shd w:val="clear" w:color="auto" w:fill="auto"/>
            <w:vAlign w:val="center"/>
            <w:hideMark/>
          </w:tcPr>
          <w:p w14:paraId="64A8F5A8" w14:textId="50CEA74B"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J</w:t>
            </w:r>
            <w:r w:rsidR="00180886" w:rsidRPr="00F03ECE">
              <w:rPr>
                <w:rFonts w:ascii="Calibri Light" w:hAnsi="Calibri Light" w:cs="Calibri Light"/>
                <w:color w:val="000000"/>
                <w:sz w:val="16"/>
                <w:szCs w:val="18"/>
              </w:rPr>
              <w:t xml:space="preserve"> </w:t>
            </w:r>
            <w:proofErr w:type="spellStart"/>
            <w:r w:rsidR="00180886" w:rsidRPr="00F03ECE">
              <w:rPr>
                <w:rFonts w:ascii="Calibri Light" w:hAnsi="Calibri Light" w:cs="Calibri Light"/>
                <w:color w:val="000000"/>
                <w:sz w:val="16"/>
                <w:szCs w:val="18"/>
              </w:rPr>
              <w:t>Janković</w:t>
            </w:r>
            <w:proofErr w:type="spellEnd"/>
            <w:r w:rsidR="00180886" w:rsidRPr="00F03ECE">
              <w:rPr>
                <w:rFonts w:ascii="Calibri Light" w:hAnsi="Calibri Light" w:cs="Calibri Light"/>
                <w:color w:val="000000"/>
                <w:sz w:val="16"/>
                <w:szCs w:val="18"/>
              </w:rPr>
              <w:t xml:space="preserve"> et al., 2016</w:t>
            </w:r>
            <w:r w:rsidR="00180886">
              <w:rPr>
                <w:rFonts w:ascii="Calibri Light" w:hAnsi="Calibri Light" w:cs="Calibri Light"/>
                <w:color w:val="000000"/>
                <w:sz w:val="16"/>
                <w:szCs w:val="18"/>
              </w:rPr>
              <w:t xml:space="preserve"> </w:t>
            </w:r>
            <w:r w:rsidR="00180886">
              <w:rPr>
                <w:rFonts w:ascii="Calibri Light" w:hAnsi="Calibri Light" w:cs="Calibri Light"/>
                <w:color w:val="000000"/>
                <w:sz w:val="16"/>
                <w:szCs w:val="18"/>
              </w:rPr>
              <w:fldChar w:fldCharType="begin" w:fldLock="1"/>
            </w:r>
            <w:r w:rsidR="00180886">
              <w:rPr>
                <w:rFonts w:ascii="Calibri Light" w:hAnsi="Calibri Light" w:cs="Calibri Light"/>
                <w:color w:val="000000"/>
                <w:sz w:val="16"/>
                <w:szCs w:val="18"/>
              </w:rPr>
              <w:instrText>ADDIN CSL_CITATION {"citationItems":[{"id":"ITEM-1","itemData":{"DOI":"10.1016/j.vhri.2016.08.003","ISSN":"22121102","abstract":"Background The detection of specific biomarkers in the early phase of acute coronary syndrome (ACS) is important for the early diagnosis and appropriate management of patients with ACS. Objectives To estimate the cost-effectiveness of introducing a diagnostic point-of-care (POC) test for determining the levels of glycogen phosphorylase BB isoform (GPBB) in a standard diagnostic algorithm for the early diagnosis of ACS within the health system of the Republic of Serbia. Methods The probabilistic decision-tree model was constructed for patients with nontraumatic chest pain comparing the use of standard diagnostic procedure, physical examination, and electrocardiogram monitoring with the use of a diagnostic test for the detection of the levels of specific biomarkers. The perspective of the health care services purchaser (the Republic Institute for Health Insurance, Serbia) was used in the model, and only direct costs were taken into account. The time horizon was set at one treatment episode of ACS, and the discount rate was not included because of the short length of the time horizon. Results Using the GPBB POC test in comparison with not using it in the early diagnosis of ACS results in a significant reduction in the cost per treatment episode (10,034.48 ± 7,283.80 Serbian dinar [RSD]), increase in the number of survivors per 1000 treatment episodes (16 ± 18), decrease in the number of hospitalizations per 1000 treatment episodes (104 ± 44), and decrease in the number of performed coronarographies per 1000 treatment episodes (22 ± 19). The costs per hospitalization avoided (incremental cost-effectiveness ratio) were −145,887.57 ± 5,271.54 RSD, and the costs per coronarography avoided were −137,295.68 ± 4,681.05 RSD. Conclusions In the circumstances of limited health resources, reducing hospitalizations and decreasing unnecessary treatments and invasive diagnostic procedures by a GPBB POC test could be an effective way to improve the economic status of other Balkan countries with limited health care budgets.","author":[{"dropping-particle":"","family":"Janković","given":"Slobodan M.","non-dropping-particle":"","parse-names":false,"suffix":""},{"dropping-particle":"","family":"Kostić","given":"Marina","non-dropping-particle":"","parse-names":false,"suffix":""}],"container-title":"Value in Health Regional Issues","id":"ITEM-1","issued":{"date-parts":[["2016"]]},"page":"79-84","title":"Cost-Effectiveness of Introducing Point-of-Care Test for Detection of Level of Glycogen Phosphorylase in Early Diagnostic Algorithm of Acute Coronary Syndrome","type":"article-journal","volume":"10"},"uris":["http://www.mendeley.com/documents/?uuid=2c261988-51f7-4cd7-a00b-efe151b8b70e"]}],"mendeley":{"formattedCitation":"[58]","plainTextFormattedCitation":"[58]","previouslyFormattedCitation":"[57]"},"properties":{"noteIndex":0},"schema":"https://github.com/citation-style-language/schema/raw/master/csl-citation.json"}</w:instrText>
            </w:r>
            <w:r w:rsidR="00180886">
              <w:rPr>
                <w:rFonts w:ascii="Calibri Light" w:hAnsi="Calibri Light" w:cs="Calibri Light"/>
                <w:color w:val="000000"/>
                <w:sz w:val="16"/>
                <w:szCs w:val="18"/>
              </w:rPr>
              <w:fldChar w:fldCharType="separate"/>
            </w:r>
            <w:r w:rsidR="00180886" w:rsidRPr="004A39DD">
              <w:rPr>
                <w:rFonts w:ascii="Calibri Light" w:hAnsi="Calibri Light" w:cs="Calibri Light"/>
                <w:noProof/>
                <w:color w:val="000000"/>
                <w:sz w:val="16"/>
                <w:szCs w:val="18"/>
              </w:rPr>
              <w:t>[58]</w:t>
            </w:r>
            <w:r w:rsidR="00180886">
              <w:rPr>
                <w:rFonts w:ascii="Calibri Light" w:hAnsi="Calibri Light" w:cs="Calibri Light"/>
                <w:color w:val="000000"/>
                <w:sz w:val="16"/>
                <w:szCs w:val="18"/>
              </w:rPr>
              <w:fldChar w:fldCharType="end"/>
            </w:r>
          </w:p>
        </w:tc>
        <w:tc>
          <w:tcPr>
            <w:tcW w:w="2410" w:type="dxa"/>
            <w:shd w:val="clear" w:color="auto" w:fill="auto"/>
            <w:vAlign w:val="center"/>
            <w:hideMark/>
          </w:tcPr>
          <w:p w14:paraId="40E52877"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POCT: 24,653.53 ± 4,121.40 RSD (99%CI); Standard procedure: 30,269.25 ± 4,834.17 RSD (99%CI); POCT results in a saving of 5,615.72 Serbian dinar per treatment episode</w:t>
            </w:r>
          </w:p>
        </w:tc>
        <w:tc>
          <w:tcPr>
            <w:tcW w:w="1701" w:type="dxa"/>
            <w:shd w:val="clear" w:color="auto" w:fill="auto"/>
            <w:vAlign w:val="center"/>
            <w:hideMark/>
          </w:tcPr>
          <w:p w14:paraId="324E2F6E" w14:textId="77777777" w:rsidR="00ED4054" w:rsidRPr="00ED4054" w:rsidRDefault="00ED4054" w:rsidP="00ED4054">
            <w:pPr>
              <w:widowControl/>
              <w:adjustRightInd/>
              <w:spacing w:before="0" w:after="0" w:line="240" w:lineRule="auto"/>
              <w:jc w:val="left"/>
              <w:textAlignment w:val="auto"/>
              <w:rPr>
                <w:rFonts w:cstheme="majorHAnsi"/>
                <w:color w:val="FF0000"/>
                <w:sz w:val="16"/>
                <w:szCs w:val="16"/>
              </w:rPr>
            </w:pPr>
            <w:r w:rsidRPr="00ED4054">
              <w:rPr>
                <w:rFonts w:cstheme="majorHAnsi"/>
                <w:color w:val="FF0000"/>
                <w:sz w:val="16"/>
                <w:szCs w:val="16"/>
              </w:rPr>
              <w:t> </w:t>
            </w:r>
          </w:p>
        </w:tc>
        <w:tc>
          <w:tcPr>
            <w:tcW w:w="3260" w:type="dxa"/>
            <w:shd w:val="clear" w:color="auto" w:fill="auto"/>
            <w:vAlign w:val="center"/>
            <w:hideMark/>
          </w:tcPr>
          <w:p w14:paraId="7C7E4C66"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Number of patients who survived per 1000 treatment episodes – POCT: 981 ± 11 (99%CI), Standard procedure: 971 ± 3 (99%CI). Number of hospitalizations per 1000 treatment episodes – POCT: 160 ± 30 (99%CI), Standard procedure: 270 ± 40 (99%CI). Number of performed coronarographies per 1000 treatment episodes: POCT: 16 ± 10 (99%CI), Standard procedure: 32 ± 14 (99%CI).</w:t>
            </w:r>
          </w:p>
        </w:tc>
        <w:tc>
          <w:tcPr>
            <w:tcW w:w="2552" w:type="dxa"/>
            <w:shd w:val="clear" w:color="auto" w:fill="auto"/>
            <w:vAlign w:val="center"/>
            <w:hideMark/>
          </w:tcPr>
          <w:p w14:paraId="1445E329"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The cost per hospitalization avoided: 120,620.27 RSD; cost per coronarography avoided was 110,351.83 RSD</w:t>
            </w:r>
          </w:p>
        </w:tc>
        <w:tc>
          <w:tcPr>
            <w:tcW w:w="1782" w:type="dxa"/>
            <w:shd w:val="clear" w:color="auto" w:fill="auto"/>
            <w:vAlign w:val="center"/>
            <w:hideMark/>
          </w:tcPr>
          <w:p w14:paraId="58286A58"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3E09DE43" w14:textId="77777777" w:rsidTr="005F718B">
        <w:trPr>
          <w:trHeight w:val="1182"/>
        </w:trPr>
        <w:tc>
          <w:tcPr>
            <w:tcW w:w="1134" w:type="dxa"/>
            <w:shd w:val="clear" w:color="auto" w:fill="auto"/>
            <w:vAlign w:val="center"/>
            <w:hideMark/>
          </w:tcPr>
          <w:p w14:paraId="75F9EA19" w14:textId="6A4A0FD2" w:rsidR="00ED4054" w:rsidRPr="00ED4054" w:rsidRDefault="002C39D1" w:rsidP="00ED4054">
            <w:pPr>
              <w:widowControl/>
              <w:adjustRightInd/>
              <w:spacing w:before="0" w:after="0" w:line="240" w:lineRule="auto"/>
              <w:jc w:val="left"/>
              <w:textAlignment w:val="auto"/>
              <w:rPr>
                <w:rFonts w:cstheme="majorHAnsi"/>
                <w:color w:val="FF0000"/>
                <w:sz w:val="16"/>
                <w:szCs w:val="16"/>
              </w:rPr>
            </w:pPr>
            <w:r w:rsidRPr="00F03ECE">
              <w:rPr>
                <w:rFonts w:ascii="Calibri Light" w:hAnsi="Calibri Light" w:cs="Calibri Light"/>
                <w:color w:val="000000"/>
                <w:sz w:val="16"/>
                <w:szCs w:val="18"/>
              </w:rPr>
              <w:t>Hendriksen et al., 2015</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{"citationItems":[{"id":"ITEM-1","itemData":{"DOI":"10.1586/14737159.2015.976202","ISSN":"17448352","abstract":"OBJECTIVE Point-of-care (POC) D-dimer tests have been developed to exclude deep venous thrombosis quickly and on the spot, but are known to have lower sensitivity compared with laboratory-based tests. Their cost-effectiveness is still unknown. METHODS We updated and extended a previously published Markov model to assess the cost-effectiveness of POC D-dimer tests ('Simplify', 'Cardiac', 'Triage' and 'Nycocard') compared with a laboratory-based latex assay to diagnose deep venous thrombosis in primary care. RESULTS The 'Laboratory' strategy resulted in 6.986 quality-adjusted life years at the cost of €8354 per patient. All POC D-dimer tests resulted in health outcomes similar to the 'Laboratory' strategy. The 'Simplify' strategy maximized cost savings (-€155 [95% CI: -€246 to -€83]). CONCLUSIONS POC D-dimer tests yield similar health outcomes as laboratory-based testing procedures but can be performed more easily and at lower costs. Therefore, these tests are an alternative to laboratory-based testing and might be considered for exclusion of deep venous thrombosis in primary care.","author":[{"dropping-particle":"","family":"Hendriksen","given":"Janneke Mt","non-dropping-particle":"","parse-names":false,"suffix":""},{"dropping-particle":"","family":"Geersing","given":"Geert Jan","non-dropping-particle":"","parse-names":false,"suffix":""},{"dropping-particle":"","family":"Voorthuizen","given":"Suzanne C.","non-dropping-particle":"Van","parse-names":false,"suffix":""},{"dropping-particle":"","family":"Oudega","given":"Ruud","non-dropping-particle":"","parse-names":false,"suffix":""},{"dropping-particle":"","family":"Cate-Hoek","given":"Arina J.","non-dropping-particle":"Ten","parse-names":false,"suffix":""},{"dropping-particle":"","family":"Joore","given":"Manuela A.","non-dropping-particle":"","parse-names":false,"suffix":""},{"dropping-particle":"","family":"Moons","given":"Karel G M","non-dropping-particle":"","parse-names":false,"suffix":""},{"dropping-particle":"","family":"Koffijberg","given":"Hendrik","non-dropping-particle":"","parse-names":false,"suffix":""}],"container-title":"Expert Review of Molecular Diagnostics","id":"ITEM-1","issue":"1","issued":{"date-parts":[["2015"]]},"page":"125-136","title":"The cost-effectiveness of point-of-care D-dimer tests compared with a laboratory test to rule out deep venous thrombosis in primary care","type":"article-journal","volume":"15"},"uris":["http://www.mendeley.com/documents/?uuid=70165e19-924c-4573-bba6-03ca0bc7a906"]}],"mendeley":{"formattedCitation":"[63]","plainTextFormattedCitation":"[63]","previouslyFormattedCitation":"[62]"},"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[63]</w:t>
            </w:r>
            <w:r>
              <w:rPr>
                <w:rFonts w:ascii="Calibri Light" w:hAnsi="Calibri Light" w:cs="Calibri Light"/>
                <w:color w:val="000000"/>
                <w:sz w:val="16"/>
                <w:szCs w:val="18"/>
              </w:rPr>
              <w:fldChar w:fldCharType="end"/>
            </w:r>
          </w:p>
        </w:tc>
        <w:tc>
          <w:tcPr>
            <w:tcW w:w="2410" w:type="dxa"/>
            <w:shd w:val="clear" w:color="auto" w:fill="auto"/>
            <w:vAlign w:val="center"/>
            <w:hideMark/>
          </w:tcPr>
          <w:p w14:paraId="0F96C974"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 xml:space="preserve">Laboratory testing: €8354; POCT </w:t>
            </w:r>
            <w:proofErr w:type="spellStart"/>
            <w:r w:rsidRPr="00ED4054">
              <w:rPr>
                <w:rFonts w:cstheme="majorHAnsi"/>
                <w:sz w:val="16"/>
                <w:szCs w:val="16"/>
              </w:rPr>
              <w:t>Nycocard</w:t>
            </w:r>
            <w:proofErr w:type="spellEnd"/>
            <w:r w:rsidRPr="00ED4054">
              <w:rPr>
                <w:rFonts w:cstheme="majorHAnsi"/>
                <w:sz w:val="16"/>
                <w:szCs w:val="16"/>
              </w:rPr>
              <w:t>: €8297.57; POCT Simplify: €8198.63; POCT Cardiac: €8270.80; POCT Triage: €8370.87; Referral to hospital: €8467.59.</w:t>
            </w:r>
          </w:p>
        </w:tc>
        <w:tc>
          <w:tcPr>
            <w:tcW w:w="1701" w:type="dxa"/>
            <w:shd w:val="clear" w:color="auto" w:fill="auto"/>
            <w:vAlign w:val="center"/>
            <w:hideMark/>
          </w:tcPr>
          <w:p w14:paraId="26BB3119" w14:textId="77777777" w:rsidR="00ED4054" w:rsidRPr="00ED4054" w:rsidRDefault="00ED4054" w:rsidP="00ED4054">
            <w:pPr>
              <w:widowControl/>
              <w:adjustRightInd/>
              <w:spacing w:before="0" w:after="0" w:line="240" w:lineRule="auto"/>
              <w:jc w:val="left"/>
              <w:textAlignment w:val="auto"/>
              <w:rPr>
                <w:rFonts w:cstheme="majorHAnsi"/>
                <w:color w:val="FF0000"/>
                <w:sz w:val="16"/>
                <w:szCs w:val="16"/>
              </w:rPr>
            </w:pPr>
            <w:r w:rsidRPr="00ED4054">
              <w:rPr>
                <w:rFonts w:cstheme="majorHAnsi"/>
                <w:color w:val="FF0000"/>
                <w:sz w:val="16"/>
                <w:szCs w:val="16"/>
              </w:rPr>
              <w:t> </w:t>
            </w:r>
          </w:p>
        </w:tc>
        <w:tc>
          <w:tcPr>
            <w:tcW w:w="3260" w:type="dxa"/>
            <w:shd w:val="clear" w:color="auto" w:fill="auto"/>
            <w:vAlign w:val="center"/>
            <w:hideMark/>
          </w:tcPr>
          <w:p w14:paraId="76574A45"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 xml:space="preserve">Laboratory testing: 6.986 QALYs per patient; POCT </w:t>
            </w:r>
            <w:proofErr w:type="spellStart"/>
            <w:r w:rsidRPr="00ED4054">
              <w:rPr>
                <w:rFonts w:cstheme="majorHAnsi"/>
                <w:sz w:val="16"/>
                <w:szCs w:val="16"/>
              </w:rPr>
              <w:t>Nycocard</w:t>
            </w:r>
            <w:proofErr w:type="spellEnd"/>
            <w:r w:rsidRPr="00ED4054">
              <w:rPr>
                <w:rFonts w:cstheme="majorHAnsi"/>
                <w:sz w:val="16"/>
                <w:szCs w:val="16"/>
              </w:rPr>
              <w:t>: 6.9845 QALYs; POCT Simplify: 6.982 QALYs; POCT Cardiac: 6.987QALYs; POCT Triage: 6.988QALYs; Referral to hospital: 6.989 QALYs.</w:t>
            </w:r>
          </w:p>
        </w:tc>
        <w:tc>
          <w:tcPr>
            <w:tcW w:w="2552" w:type="dxa"/>
            <w:shd w:val="clear" w:color="auto" w:fill="auto"/>
            <w:vAlign w:val="center"/>
            <w:hideMark/>
          </w:tcPr>
          <w:p w14:paraId="0DC93021"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Not calculated due to marginal differences in health outcomes</w:t>
            </w:r>
          </w:p>
        </w:tc>
        <w:tc>
          <w:tcPr>
            <w:tcW w:w="1782" w:type="dxa"/>
            <w:shd w:val="clear" w:color="auto" w:fill="auto"/>
            <w:vAlign w:val="center"/>
            <w:hideMark/>
          </w:tcPr>
          <w:p w14:paraId="7A482D96"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2F010772" w14:textId="77777777" w:rsidTr="005F718B">
        <w:trPr>
          <w:trHeight w:val="2188"/>
        </w:trPr>
        <w:tc>
          <w:tcPr>
            <w:tcW w:w="1134" w:type="dxa"/>
            <w:shd w:val="clear" w:color="auto" w:fill="auto"/>
            <w:vAlign w:val="center"/>
            <w:hideMark/>
          </w:tcPr>
          <w:p w14:paraId="1BA0731A" w14:textId="20E7CE8B" w:rsidR="00ED4054" w:rsidRPr="00ED4054" w:rsidRDefault="00F14970" w:rsidP="00ED4054">
            <w:pPr>
              <w:widowControl/>
              <w:adjustRightInd/>
              <w:spacing w:before="0" w:after="0" w:line="240" w:lineRule="auto"/>
              <w:jc w:val="left"/>
              <w:textAlignment w:val="auto"/>
              <w:rPr>
                <w:rFonts w:cstheme="majorHAnsi"/>
                <w:sz w:val="16"/>
                <w:szCs w:val="16"/>
              </w:rPr>
            </w:pPr>
            <w:r w:rsidRPr="00F03ECE">
              <w:rPr>
                <w:rFonts w:ascii="Calibri Light" w:hAnsi="Calibri Light" w:cs="Calibri Light"/>
                <w:color w:val="000000"/>
                <w:sz w:val="16"/>
                <w:szCs w:val="18"/>
              </w:rPr>
              <w:t>Hunter et al., 2015</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{"citationItems":[{"id":"ITEM-1","itemData":{"DOI":"10.1007/s12325-015-0180-x","ISBN":"0741-238X\\r1865-8652","ISSN":"18658652","PMID":"25620538","abstract":"INTRODUCTION: Despite recommendations that general practitioners (GPs) delay antibiotic prescribing for respiratory tract infections (RTIs), antibiotic prescriptions in primary care in England increased by 4.1% from 2010 to 2013. C-reactive protein (CRP) point-of-care tests (POCT), for example, the Afinion™ Analyzer (Alere Ltd, Stockport, UK) device, are widely used in several countries in the European Union. Studies suggest that CRP POCT use, either alone or in combination with communication training, reduces antibiotic prescribing and improves quality of life for patients presenting with RTI symptoms. The aim of this study is to evaluate the cost-effectiveness of CRP POCT for RTIs in primary care in England over 3 years for three different strategies of care compared to standard practice.\\n\\nMETHODS: An economic evaluation was carried out to compare the costs and benefits of three different strategies of CRP testing (GP plus CRP; practice nurse plus CRP; and GP plus CRP and communication training) for patients with RTI symptoms as defined by National Institute for Health and Care Excellence guideline CG69, compared with current standard GP practice without CRP testing. Analysis consisted of a decision tree and Markov model to describe the quality-adjusted life years (QALYs) and cost per 100 patients, together with the number of antibiotic prescriptions and RTIs for each group.\\n\\nRESULTS: Compared with current standard practice, the GP plus CRP and practice nurse plus CRP test strategies result in increased QALYs and reduced costs, while the GP plus CRP testing and communication training strategy is associated with increased costs and reduced QALYs. Additionally, all three CRP arms led to fewer antibiotic prescriptions and infections over 3 years.\\n\\nCONCLUSION: The additional cost per patient of the CRP test is outweighed by the associated cost savings and QALY increment associated with a reduction in infections in the long term.","author":[{"dropping-particle":"","family":"Hunter","given":"Rachael","non-dropping-particle":"","parse-names":false,"suffix":""}],"container-title":"Advances in Therapy","id":"ITEM-1","issue":"1","issued":{"date-parts":[["2015"]]},"page":"69-85","title":"Cost-Effectiveness of Point-of-Care C-Reactive Protein Tests for Respiratory Tract Infection in Primary Care in England","type":"article-journal","volume":"32"},"uris":["http://www.mendeley.com/documents/?uuid=4986f0ee-c054-4f6b-aea4-dc17ac187843"]}],"mendeley":{"formattedCitation":"[25]","plainTextFormattedCitation":"[25]","previouslyFormattedCitation":"[25]"},"properties":{"noteIndex":0},"schema":"https://github.com/citation-style-language/schema/raw/master/csl-citation.json"}</w:instrText>
            </w:r>
            <w:r>
              <w:rPr>
                <w:rFonts w:ascii="Calibri Light" w:hAnsi="Calibri Light" w:cs="Calibri Light"/>
                <w:color w:val="000000"/>
                <w:sz w:val="16"/>
                <w:szCs w:val="18"/>
              </w:rPr>
              <w:fldChar w:fldCharType="separate"/>
            </w:r>
            <w:r w:rsidRPr="00857FB3">
              <w:rPr>
                <w:rFonts w:ascii="Calibri Light" w:hAnsi="Calibri Light" w:cs="Calibri Light"/>
                <w:noProof/>
                <w:color w:val="000000"/>
                <w:sz w:val="16"/>
                <w:szCs w:val="18"/>
              </w:rPr>
              <w:t>[25]</w:t>
            </w:r>
            <w:r>
              <w:rPr>
                <w:rFonts w:ascii="Calibri Light" w:hAnsi="Calibri Light" w:cs="Calibri Light"/>
                <w:color w:val="000000"/>
                <w:sz w:val="16"/>
                <w:szCs w:val="18"/>
              </w:rPr>
              <w:fldChar w:fldCharType="end"/>
            </w:r>
          </w:p>
        </w:tc>
        <w:tc>
          <w:tcPr>
            <w:tcW w:w="2410" w:type="dxa"/>
            <w:shd w:val="clear" w:color="auto" w:fill="auto"/>
            <w:vAlign w:val="center"/>
            <w:hideMark/>
          </w:tcPr>
          <w:p w14:paraId="756C8036"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br/>
              <w:t>Per 100 patients - Clinical judgement: £18,081; GP + POCT: £18,039; Nurse + POCT: £17,401; GP + POCT + Communications training: £18,431.</w:t>
            </w:r>
          </w:p>
        </w:tc>
        <w:tc>
          <w:tcPr>
            <w:tcW w:w="1701" w:type="dxa"/>
            <w:shd w:val="clear" w:color="auto" w:fill="auto"/>
            <w:vAlign w:val="center"/>
            <w:hideMark/>
          </w:tcPr>
          <w:p w14:paraId="5E7F9AAA"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 </w:t>
            </w:r>
          </w:p>
        </w:tc>
        <w:tc>
          <w:tcPr>
            <w:tcW w:w="3260" w:type="dxa"/>
            <w:shd w:val="clear" w:color="auto" w:fill="auto"/>
            <w:vAlign w:val="center"/>
            <w:hideMark/>
          </w:tcPr>
          <w:p w14:paraId="605D601F"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QALYs (per 100 patients) – Clinical judgement: 255.630 QALYs; GP + POCT: 255.764 QALYs; Nurse + POCT: 255.761 QALYs; GP + POCT + Communications training: 255.588 QALYs. Antibiotic courses prescribed (per 100 patients) – Clinical judgement: 184; GP + POCT: 136; Nurse + POCT: 167; GP + POCT + Communications training: 137. Infections (per 100 patients) – Clinical judgement: 217.89; GP + POCT: 202.97; Nurse + POCT: 202.97; GP + POCT + Communications training: 199.98.</w:t>
            </w:r>
          </w:p>
        </w:tc>
        <w:tc>
          <w:tcPr>
            <w:tcW w:w="2552" w:type="dxa"/>
            <w:shd w:val="clear" w:color="auto" w:fill="auto"/>
            <w:vAlign w:val="center"/>
            <w:hideMark/>
          </w:tcPr>
          <w:p w14:paraId="793D6278"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GP + POCT and practice nurse + POCT both dominate compared to current practice over 3 years. GP + POCT + communications training is dominated by current practice as it costs more and results in fewer QALYs.</w:t>
            </w:r>
          </w:p>
        </w:tc>
        <w:tc>
          <w:tcPr>
            <w:tcW w:w="1782" w:type="dxa"/>
            <w:shd w:val="clear" w:color="auto" w:fill="auto"/>
            <w:vAlign w:val="center"/>
            <w:hideMark/>
          </w:tcPr>
          <w:p w14:paraId="42F7944C"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61EB6585" w14:textId="77777777" w:rsidTr="005F718B">
        <w:trPr>
          <w:trHeight w:val="1060"/>
        </w:trPr>
        <w:tc>
          <w:tcPr>
            <w:tcW w:w="1134" w:type="dxa"/>
            <w:shd w:val="clear" w:color="auto" w:fill="auto"/>
            <w:vAlign w:val="center"/>
          </w:tcPr>
          <w:p w14:paraId="5587601A" w14:textId="463D3443" w:rsidR="00ED4054" w:rsidRPr="00ED4054" w:rsidRDefault="00286BF9"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Nilsson et al., 2014</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10.3109/02813432.2014.984901","author":[{"dropping-particle":"","family":"Nilsson","given":"Staffan","non-dropping-particle":"","parse-names":false,"suffix":""},{"dropping-particle":"","family":"Andersson","given":"Agneta","non-dropping-particle":"","parse-names":false,"suffix":""},{"dropping-particle":"","family":"Janzon","given":"Magnus","non-dropping-particle":"","parse-names":false,"suffix":""},{"dropping-particle":"","family":"Karlsson","given":"Jan-erik","non-dropping-particle":"","parse-names":false,"suffix":""},{"dropping-particle":"","family":"Levin","given":"Lars-åke","non-dropping-particle":"","parse-names":false,"suffix":""},{"dropping-particle":"","family":"Nilsson","given":"Staffan","non-dropping-particle":"","parse-names":false,"suffix":""},{"dropping-particle":"","family":"Andersson","given":"Agneta","non-dropping-particle":"","parse-names":false,"suffix":""},{"dropping-particle":"","family":"Janzon","given":"Magnus","non-dropping-particle":"","parse-names":false,"suffix":""}],"container-title":"Scandinavian Journal of Primary Health Care","id":"ITEM-1","issue":"4","issued":{"date-parts":[["2014"]]},"page":"241-247","title":"Cost consequences of point-of-care troponin T testing in a Swedish primary health care setting Cost consequences of point-of-care troponin T testing in a Swedish primary health care setting","type":"article-journal","volume":"32"},"uris":["http://www.mendeley.com/documents/?uuid=3e19abb1-90ce-4ed7-935e-95ee65eb94d3"]}],"mendeley":{"formattedCitation":"[68]","plainTextFormattedCitation":"[68]","previouslyFormattedCitation":"[67]"},"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[68]</w:t>
            </w:r>
            <w:r>
              <w:rPr>
                <w:rFonts w:ascii="Calibri Light" w:hAnsi="Calibri Light" w:cs="Calibri Light"/>
                <w:color w:val="000000"/>
                <w:sz w:val="16"/>
                <w:szCs w:val="18"/>
              </w:rPr>
              <w:fldChar w:fldCharType="end"/>
            </w:r>
          </w:p>
        </w:tc>
        <w:tc>
          <w:tcPr>
            <w:tcW w:w="2410" w:type="dxa"/>
            <w:shd w:val="clear" w:color="auto" w:fill="auto"/>
            <w:vAlign w:val="center"/>
          </w:tcPr>
          <w:p w14:paraId="457EAE6B" w14:textId="77777777" w:rsidR="00ED4054" w:rsidRPr="00ED4054" w:rsidRDefault="00ED4054" w:rsidP="00ED4054">
            <w:pPr>
              <w:widowControl/>
              <w:adjustRightInd/>
              <w:spacing w:before="0" w:after="0" w:line="240" w:lineRule="auto"/>
              <w:jc w:val="left"/>
              <w:textAlignment w:val="auto"/>
              <w:rPr>
                <w:rFonts w:cstheme="majorHAnsi"/>
                <w:color w:val="FF0000"/>
                <w:sz w:val="16"/>
                <w:szCs w:val="16"/>
              </w:rPr>
            </w:pPr>
            <w:r w:rsidRPr="00ED4054">
              <w:rPr>
                <w:rFonts w:cstheme="majorHAnsi"/>
                <w:sz w:val="16"/>
                <w:szCs w:val="16"/>
              </w:rPr>
              <w:t xml:space="preserve">POCT: </w:t>
            </w:r>
            <w:proofErr w:type="spellStart"/>
            <w:r w:rsidRPr="00ED4054">
              <w:rPr>
                <w:rFonts w:cstheme="majorHAnsi"/>
                <w:sz w:val="16"/>
                <w:szCs w:val="16"/>
              </w:rPr>
              <w:t>SKr</w:t>
            </w:r>
            <w:proofErr w:type="spellEnd"/>
            <w:r w:rsidRPr="00ED4054">
              <w:rPr>
                <w:rFonts w:cstheme="majorHAnsi"/>
                <w:sz w:val="16"/>
                <w:szCs w:val="16"/>
              </w:rPr>
              <w:t xml:space="preserve"> 11 247; No POCT: </w:t>
            </w:r>
            <w:proofErr w:type="spellStart"/>
            <w:r w:rsidRPr="00ED4054">
              <w:rPr>
                <w:rFonts w:cstheme="majorHAnsi"/>
                <w:sz w:val="16"/>
                <w:szCs w:val="16"/>
              </w:rPr>
              <w:t>SKr</w:t>
            </w:r>
            <w:proofErr w:type="spellEnd"/>
            <w:r w:rsidRPr="00ED4054">
              <w:rPr>
                <w:rFonts w:cstheme="majorHAnsi"/>
                <w:sz w:val="16"/>
                <w:szCs w:val="16"/>
              </w:rPr>
              <w:t xml:space="preserve"> 16 010.</w:t>
            </w:r>
          </w:p>
        </w:tc>
        <w:tc>
          <w:tcPr>
            <w:tcW w:w="1701" w:type="dxa"/>
            <w:shd w:val="clear" w:color="auto" w:fill="auto"/>
            <w:vAlign w:val="center"/>
          </w:tcPr>
          <w:p w14:paraId="27F62B12" w14:textId="77777777" w:rsidR="00ED4054" w:rsidRPr="00ED4054" w:rsidRDefault="00ED4054" w:rsidP="00ED4054">
            <w:pPr>
              <w:widowControl/>
              <w:adjustRightInd/>
              <w:spacing w:before="0" w:after="0" w:line="240" w:lineRule="auto"/>
              <w:jc w:val="left"/>
              <w:textAlignment w:val="auto"/>
              <w:rPr>
                <w:rFonts w:cstheme="majorHAnsi"/>
                <w:sz w:val="16"/>
                <w:szCs w:val="16"/>
              </w:rPr>
            </w:pPr>
          </w:p>
        </w:tc>
        <w:tc>
          <w:tcPr>
            <w:tcW w:w="3260" w:type="dxa"/>
            <w:shd w:val="clear" w:color="auto" w:fill="auto"/>
            <w:vAlign w:val="center"/>
          </w:tcPr>
          <w:p w14:paraId="29DF101B"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Emergency referrals – POCT: 25% of patients; No POCT: 43% of patients. Diagnosed patients – POCT: 6.2% of patients; No POCT: 8.8% of patients. Missed cases – POCT: 2 missed cases; No POCT: 0 missed cases.</w:t>
            </w:r>
          </w:p>
          <w:p w14:paraId="6D79A8FB" w14:textId="77777777" w:rsidR="00ED4054" w:rsidRPr="00ED4054" w:rsidRDefault="00ED4054" w:rsidP="00ED4054">
            <w:pPr>
              <w:widowControl/>
              <w:adjustRightInd/>
              <w:spacing w:before="0" w:after="0" w:line="240" w:lineRule="auto"/>
              <w:jc w:val="left"/>
              <w:textAlignment w:val="auto"/>
              <w:rPr>
                <w:rFonts w:cstheme="majorHAnsi"/>
                <w:sz w:val="16"/>
                <w:szCs w:val="16"/>
              </w:rPr>
            </w:pPr>
          </w:p>
        </w:tc>
        <w:tc>
          <w:tcPr>
            <w:tcW w:w="2552" w:type="dxa"/>
            <w:shd w:val="clear" w:color="auto" w:fill="auto"/>
            <w:vAlign w:val="center"/>
          </w:tcPr>
          <w:p w14:paraId="6F54A8D4" w14:textId="77777777" w:rsidR="00ED4054" w:rsidRPr="00ED4054" w:rsidRDefault="00ED4054" w:rsidP="00ED4054">
            <w:pPr>
              <w:widowControl/>
              <w:adjustRightInd/>
              <w:spacing w:before="0" w:after="0" w:line="240" w:lineRule="auto"/>
              <w:jc w:val="left"/>
              <w:textAlignment w:val="auto"/>
              <w:rPr>
                <w:rFonts w:cstheme="majorHAnsi"/>
                <w:sz w:val="16"/>
                <w:szCs w:val="16"/>
              </w:rPr>
            </w:pPr>
            <w:proofErr w:type="spellStart"/>
            <w:r w:rsidRPr="00ED4054">
              <w:rPr>
                <w:rFonts w:cstheme="majorHAnsi"/>
                <w:sz w:val="16"/>
                <w:szCs w:val="16"/>
              </w:rPr>
              <w:t>SKr</w:t>
            </w:r>
            <w:proofErr w:type="spellEnd"/>
            <w:r w:rsidRPr="00ED4054">
              <w:rPr>
                <w:rFonts w:cstheme="majorHAnsi"/>
                <w:sz w:val="16"/>
                <w:szCs w:val="16"/>
              </w:rPr>
              <w:t xml:space="preserve"> 290 000 was saved per missed case of AMI or UA.</w:t>
            </w:r>
          </w:p>
        </w:tc>
        <w:tc>
          <w:tcPr>
            <w:tcW w:w="1782" w:type="dxa"/>
            <w:shd w:val="clear" w:color="auto" w:fill="auto"/>
            <w:vAlign w:val="center"/>
          </w:tcPr>
          <w:p w14:paraId="1DDDD2C4"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 xml:space="preserve">Neither against </w:t>
            </w:r>
            <w:proofErr w:type="gramStart"/>
            <w:r w:rsidRPr="00ED4054">
              <w:rPr>
                <w:rFonts w:cstheme="majorHAnsi"/>
                <w:sz w:val="16"/>
                <w:szCs w:val="16"/>
              </w:rPr>
              <w:t>or</w:t>
            </w:r>
            <w:proofErr w:type="gramEnd"/>
            <w:r w:rsidRPr="00ED4054">
              <w:rPr>
                <w:rFonts w:cstheme="majorHAnsi"/>
                <w:sz w:val="16"/>
                <w:szCs w:val="16"/>
              </w:rPr>
              <w:t xml:space="preserve"> in favor of POCT: may be cost saving but at the expense of missed cases.</w:t>
            </w:r>
          </w:p>
        </w:tc>
      </w:tr>
      <w:tr w:rsidR="00ED4054" w:rsidRPr="00ED4054" w14:paraId="52122E9B" w14:textId="77777777" w:rsidTr="005F718B">
        <w:trPr>
          <w:trHeight w:val="1060"/>
        </w:trPr>
        <w:tc>
          <w:tcPr>
            <w:tcW w:w="1134" w:type="dxa"/>
            <w:shd w:val="clear" w:color="auto" w:fill="auto"/>
            <w:vAlign w:val="center"/>
            <w:hideMark/>
          </w:tcPr>
          <w:p w14:paraId="1EA281A0" w14:textId="09572E20" w:rsidR="00ED4054" w:rsidRPr="00ED4054" w:rsidRDefault="00E93C4B"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lastRenderedPageBreak/>
              <w:t>Turner et al., 2014</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{"citationItems":[{"id":"ITEM-1","itemData":{"DOI":"10.1136/sextrans-2013-051147","author":[{"dropping-particle":"","family":"Turner","given":"Katherine M E","non-dropping-particle":"","parse-names":false,"suffix":""},{"dropping-particle":"","family":"Round","given":"Jeff","non-dropping-particle":"","parse-names":false,"suffix":""},{"dropping-particle":"","family":"Horner","given":"Patrick","non-dropping-particle":"","parse-names":false,"suffix":""},{"dropping-particle":"","family":"Macleod","given":"John","non-dropping-particle":"","parse-names":false,"suffix":""},{"dropping-particle":"","family":"Goldenberg","given":"Simon","non-dropping-particle":"","parse-names":false,"suffix":""},{"dropping-particle":"","family":"Deol","given":"Arminder","non-dropping-particle":"","parse-names":false,"suffix":""},{"dropping-particle":"","family":"Adams","given":"Elisabeth J","non-dropping-particle":"","parse-names":false,"suffix":""}],"id":"ITEM-1","issued":{"date-parts":[["2014"]]},"page":"104-111","title":"An early evaluation of clinical and economic costs and bene fi ts of implementing point of care NAAT tests for Chlamydia trachomatis and Neisseria gonorrhoea in genitourinary medicine clinics in England","type":"article-journal"},"uris":["http://www.mendeley.com/documents/?uuid=dca624ec-833c-44ab-85cf-db40c637f0c7"]}],"mendeley":{"formattedCitation":"[69]","plainTextFormattedCitation":"[69]","previouslyFormattedCitation":"[68]"},"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[69]</w:t>
            </w:r>
            <w:r>
              <w:rPr>
                <w:rFonts w:ascii="Calibri Light" w:hAnsi="Calibri Light" w:cs="Calibri Light"/>
                <w:color w:val="000000"/>
                <w:sz w:val="16"/>
                <w:szCs w:val="18"/>
              </w:rPr>
              <w:fldChar w:fldCharType="end"/>
            </w:r>
          </w:p>
        </w:tc>
        <w:tc>
          <w:tcPr>
            <w:tcW w:w="2410" w:type="dxa"/>
            <w:shd w:val="clear" w:color="auto" w:fill="auto"/>
            <w:vAlign w:val="center"/>
            <w:hideMark/>
          </w:tcPr>
          <w:p w14:paraId="5B539697" w14:textId="77777777" w:rsidR="00ED4054" w:rsidRPr="00ED4054" w:rsidRDefault="00ED4054" w:rsidP="00ED4054">
            <w:pPr>
              <w:widowControl/>
              <w:adjustRightInd/>
              <w:spacing w:before="0" w:after="0" w:line="240" w:lineRule="auto"/>
              <w:jc w:val="left"/>
              <w:textAlignment w:val="auto"/>
              <w:rPr>
                <w:rFonts w:cstheme="majorHAnsi"/>
                <w:color w:val="FF0000"/>
                <w:sz w:val="16"/>
                <w:szCs w:val="16"/>
              </w:rPr>
            </w:pPr>
            <w:r w:rsidRPr="00ED4054">
              <w:rPr>
                <w:rFonts w:cstheme="majorHAnsi"/>
                <w:color w:val="FF0000"/>
                <w:sz w:val="16"/>
                <w:szCs w:val="16"/>
              </w:rPr>
              <w:t> </w:t>
            </w:r>
          </w:p>
        </w:tc>
        <w:tc>
          <w:tcPr>
            <w:tcW w:w="1701" w:type="dxa"/>
            <w:shd w:val="clear" w:color="auto" w:fill="auto"/>
            <w:vAlign w:val="center"/>
            <w:hideMark/>
          </w:tcPr>
          <w:p w14:paraId="30C4F2ED"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POC NAAT: £103.9 million; Standard care: £115.6 million; POCT cost £11.7 million less.</w:t>
            </w:r>
          </w:p>
        </w:tc>
        <w:tc>
          <w:tcPr>
            <w:tcW w:w="3260" w:type="dxa"/>
            <w:shd w:val="clear" w:color="auto" w:fill="auto"/>
            <w:vAlign w:val="center"/>
            <w:hideMark/>
          </w:tcPr>
          <w:p w14:paraId="0EA8404C"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QALYs - POCT: increase of 46 QALYs. Inappropriate treatments - POCT: 95 000 avoided. Onward transmissions - POCT: 17 561 avoided.</w:t>
            </w:r>
          </w:p>
        </w:tc>
        <w:tc>
          <w:tcPr>
            <w:tcW w:w="2552" w:type="dxa"/>
            <w:shd w:val="clear" w:color="auto" w:fill="auto"/>
            <w:vAlign w:val="center"/>
            <w:hideMark/>
          </w:tcPr>
          <w:p w14:paraId="67B7610C"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POCT pathway dominates, the ICER is not meaningful and is not presented.</w:t>
            </w:r>
          </w:p>
        </w:tc>
        <w:tc>
          <w:tcPr>
            <w:tcW w:w="1782" w:type="dxa"/>
            <w:shd w:val="clear" w:color="auto" w:fill="auto"/>
            <w:vAlign w:val="center"/>
            <w:hideMark/>
          </w:tcPr>
          <w:p w14:paraId="01130778"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2C2FF762" w14:textId="77777777" w:rsidTr="005F718B">
        <w:trPr>
          <w:trHeight w:val="1020"/>
        </w:trPr>
        <w:tc>
          <w:tcPr>
            <w:tcW w:w="1134" w:type="dxa"/>
            <w:shd w:val="clear" w:color="auto" w:fill="auto"/>
            <w:vAlign w:val="center"/>
            <w:hideMark/>
          </w:tcPr>
          <w:p w14:paraId="1E92CA00" w14:textId="6E55202C" w:rsidR="00ED4054" w:rsidRPr="00ED4054" w:rsidRDefault="00C72301"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Oppong et al., 2013</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{"citationItems":[{"id":"ITEM-1","itemData":{"DOI":"10.3399/bjgp13X669185","ISBN":"1478-5242 (Electronic)\\r0960-1643 (Linking)","ISSN":"09601643","PMID":"23834883","abstract":"BACKGROUND: Point-of-care C-reactive protein (POCCRP) is a biomarker of inflammation that offers clinicians a rapid POC test to guide antibiotic prescribing decisions for acute cough and lower respiratory tract infections (LRTI). However, evidence that POCCRP is cost-effective is limited, particularly outside experimental settings., AIM: To assess the cost-effectiveness of POCCRP as a diagnostic tool for acute cough and LRTI from the perspective of the health service., DESIGN AND SETTING: Observational study of the presentation, management, and outcomes of patients with acute cough and LRTI in primary care settings in Norway and Sweden., METHOD: Using hierarchical regression, data were analysed in terms of the effect on antibiotic use, cost, and patient outcomes (symptom severity after 7 and 14 days, time to recovery, and EQ-5D), while controlling for patient characteristics (self-reported symptom severity, comorbidities, and health-related quality of life) at first attendance., RESULTS: POCCRP testing is associated with non-significant positive reductions in antibiotic prescribing (P = 0.078) and increased cost (P = 0.092). Despite the uncertainty, POCCRP testing is also associated with a cost per quality-adjusted life year (QALY) gain of 9391. At a willingness-to-pay threshold of 30,000 per QALY gained, there is a 70% probability of CRP being cost-effective., CONCLUSION: POCCRP testing is likely to provide a cost-effective diagnostic intervention both in terms of reducing antibiotic prescribing and in terms of QALYs gained.","author":[{"dropping-particle":"","family":"Oppong","given":"Raymond","non-dropping-particle":"","parse-names":false,"suffix":""},{"dropping-particle":"","family":"Jit","given":"Mark","non-dropping-particle":"","parse-names":false,"suffix":""},{"dropping-particle":"","family":"Smith","given":"Richard D.","non-dropping-particle":"","parse-names":false,"suffix":""},{"dropping-particle":"","family":"Butler","given":"Christopher C.","non-dropping-particle":"","parse-names":false,"suffix":""},{"dropping-particle":"","family":"Melbye","given":"Hasse","non-dropping-particle":"","parse-names":false,"suffix":""},{"dropping-particle":"","family":"Mölstad","given":"Sigvard","non-dropping-particle":"","parse-names":false,"suffix":""},{"dropping-particle":"","family":"Coast","given":"Joanna","non-dropping-particle":"","parse-names":false,"suffix":""}],"container-title":"British Journal of General Practice","id":"ITEM-1","issue":"612","issued":{"date-parts":[["2013"]]},"page":"465-471","title":"Cost-effectiveness of point-of-care C-reactive protein testing to inform antibiotic prescribing decisions","type":"article-journal","volume":"63"},"uris":["http://www.mendeley.com/documents/?uuid=2a282fb3-c4c6-4b09-8b8c-900baf43817c"]}],"mendeley":{"formattedCitation":"[71]","plainTextFormattedCitation":"[71]","previouslyFormattedCitation":"[70]"},"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[71]</w:t>
            </w:r>
            <w:r>
              <w:rPr>
                <w:rFonts w:ascii="Calibri Light" w:hAnsi="Calibri Light" w:cs="Calibri Light"/>
                <w:color w:val="000000"/>
                <w:sz w:val="16"/>
                <w:szCs w:val="18"/>
              </w:rPr>
              <w:fldChar w:fldCharType="end"/>
            </w:r>
          </w:p>
        </w:tc>
        <w:tc>
          <w:tcPr>
            <w:tcW w:w="2410" w:type="dxa"/>
            <w:shd w:val="clear" w:color="auto" w:fill="auto"/>
            <w:vAlign w:val="center"/>
            <w:hideMark/>
          </w:tcPr>
          <w:p w14:paraId="005C3134"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POCT: increases costs by €11.27</w:t>
            </w:r>
          </w:p>
        </w:tc>
        <w:tc>
          <w:tcPr>
            <w:tcW w:w="1701" w:type="dxa"/>
            <w:shd w:val="clear" w:color="auto" w:fill="auto"/>
            <w:vAlign w:val="center"/>
            <w:hideMark/>
          </w:tcPr>
          <w:p w14:paraId="6BD84B24" w14:textId="77777777" w:rsidR="00ED4054" w:rsidRPr="00ED4054" w:rsidRDefault="00ED4054" w:rsidP="00ED4054">
            <w:pPr>
              <w:widowControl/>
              <w:adjustRightInd/>
              <w:spacing w:before="0" w:after="0" w:line="240" w:lineRule="auto"/>
              <w:jc w:val="left"/>
              <w:textAlignment w:val="auto"/>
              <w:rPr>
                <w:rFonts w:cstheme="majorHAnsi"/>
                <w:color w:val="FF0000"/>
                <w:sz w:val="16"/>
                <w:szCs w:val="16"/>
              </w:rPr>
            </w:pPr>
            <w:r w:rsidRPr="00ED4054">
              <w:rPr>
                <w:rFonts w:cstheme="majorHAnsi"/>
                <w:color w:val="FF0000"/>
                <w:sz w:val="16"/>
                <w:szCs w:val="16"/>
              </w:rPr>
              <w:t> </w:t>
            </w:r>
          </w:p>
        </w:tc>
        <w:tc>
          <w:tcPr>
            <w:tcW w:w="3260" w:type="dxa"/>
            <w:shd w:val="clear" w:color="auto" w:fill="auto"/>
            <w:vAlign w:val="center"/>
            <w:hideMark/>
          </w:tcPr>
          <w:p w14:paraId="63C78735"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QALY - POCT: QALY gain of 0.002 (95% CI –0.001 to 0.004). Antibiotic prescribing - POCT: reduces probability of prescribing by 10% per patient but relationship was not statistically significant at the 5% level.</w:t>
            </w:r>
          </w:p>
        </w:tc>
        <w:tc>
          <w:tcPr>
            <w:tcW w:w="2552" w:type="dxa"/>
            <w:shd w:val="clear" w:color="auto" w:fill="auto"/>
            <w:vAlign w:val="center"/>
            <w:hideMark/>
          </w:tcPr>
          <w:p w14:paraId="789AF077"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POCT: cost per QALY gain of €9391 and cost per patient prescription avoided of €112.70.</w:t>
            </w:r>
          </w:p>
        </w:tc>
        <w:tc>
          <w:tcPr>
            <w:tcW w:w="1782" w:type="dxa"/>
            <w:shd w:val="clear" w:color="auto" w:fill="auto"/>
            <w:vAlign w:val="center"/>
            <w:hideMark/>
          </w:tcPr>
          <w:p w14:paraId="6B07FADE"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0098AFF2" w14:textId="77777777" w:rsidTr="005F718B">
        <w:trPr>
          <w:trHeight w:val="1321"/>
        </w:trPr>
        <w:tc>
          <w:tcPr>
            <w:tcW w:w="1134" w:type="dxa"/>
            <w:shd w:val="clear" w:color="auto" w:fill="auto"/>
            <w:vAlign w:val="center"/>
            <w:hideMark/>
          </w:tcPr>
          <w:p w14:paraId="47323142" w14:textId="5230BDBE" w:rsidR="00ED4054" w:rsidRPr="00ED4054" w:rsidRDefault="00B66AA5"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Van Dyck et al., 2012</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{"citationItems":[{"id":"ITEM-1","itemData":{"DOI":"10.1016/j.hlpt.2012.07.002","ISSN":"22118837","abstract":"This study is a cost-analysis that calculates the impact of three interventions for patients identified as 'at risk' for Acute Coronary Syndrome - a cardio-vascular exercise programme, point-of-care digital diagnostics, and telemonitoring adherence tools. The methodology utilizes a model of the annualized costs of ACS for the entire treatment value chain, and measures the impact of the three interventions by the change in treatment cost, incremental net benefit, and QALY. The results demonstrate that the largest impact is measured when all three interventions are utilized simultaneously producing a cumulative savings of €4424 and 0.126 QALY per patient. We also find a significant decrease in Emergency Room visits by 15% and changes in rates of utilization of Catharization (-59%), Angioplasty (-59%), Bypass (-17%), Medication (-14%) and Rehabilitation (-13%). © 2012 Fellowship of Postgraduate Medicine.","author":[{"dropping-particle":"","family":"Dyck","given":"Walter","non-dropping-particle":"Van","parse-names":false,"suffix":""},{"dropping-particle":"","family":"Vértes","given":"Gergely","non-dropping-particle":"","parse-names":false,"suffix":""},{"dropping-particle":"","family":"Palaniappan","given":"Muhilan","non-dropping-particle":"","parse-names":false,"suffix":""},{"dropping-particle":"","family":"Gassull","given":"Daniel","non-dropping-particle":"","parse-names":false,"suffix":""},{"dropping-particle":"","family":"Jain","given":"Prateek","non-dropping-particle":"","parse-names":false,"suffix":""},{"dropping-particle":"","family":"Schulthess","given":"Duane","non-dropping-particle":"","parse-names":false,"suffix":""},{"dropping-particle":"","family":"Tambuyzer","given":"Erik","non-dropping-particle":"","parse-names":false,"suffix":""},{"dropping-particle":"","family":"Hudson","given":"Richard","non-dropping-particle":"","parse-names":false,"suffix":""},{"dropping-particle":"","family":"Moran","given":"Nuala","non-dropping-particle":"","parse-names":false,"suffix":""}],"container-title":"Health Policy and Technology","id":"ITEM-1","issue":"3","issued":{"date-parts":[["2012"]]},"page":"173-177","title":"Acute coronary syndrome: What is the cost-effectiveness of prevention, point-of-care technology and telemonitoring?","type":"article-journal","volume":"1"},"uris":["http://www.mendeley.com/documents/?uuid=f11feaa7-d146-4c08-a13f-2d84fb057227"]}],"mendeley":{"formattedCitation":"[72]","plainTextFormattedCitation":"[72]","previouslyFormattedCitation":"[71]"},"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[72]</w:t>
            </w:r>
            <w:r>
              <w:rPr>
                <w:rFonts w:ascii="Calibri Light" w:hAnsi="Calibri Light" w:cs="Calibri Light"/>
                <w:color w:val="000000"/>
                <w:sz w:val="16"/>
                <w:szCs w:val="18"/>
              </w:rPr>
              <w:fldChar w:fldCharType="end"/>
            </w:r>
          </w:p>
        </w:tc>
        <w:tc>
          <w:tcPr>
            <w:tcW w:w="2410" w:type="dxa"/>
            <w:shd w:val="clear" w:color="auto" w:fill="auto"/>
            <w:vAlign w:val="center"/>
            <w:hideMark/>
          </w:tcPr>
          <w:p w14:paraId="6B9895D4"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All three interventions simultaneously: -€3164; Primary Prevention: increased costs by €292; POCT: increased costs by €480; Telemonitoring for adherence: -€3008.</w:t>
            </w:r>
          </w:p>
        </w:tc>
        <w:tc>
          <w:tcPr>
            <w:tcW w:w="1701" w:type="dxa"/>
            <w:shd w:val="clear" w:color="auto" w:fill="auto"/>
            <w:vAlign w:val="center"/>
            <w:hideMark/>
          </w:tcPr>
          <w:p w14:paraId="57B8D296" w14:textId="77777777" w:rsidR="00ED4054" w:rsidRPr="00ED4054" w:rsidRDefault="00ED4054" w:rsidP="00ED4054">
            <w:pPr>
              <w:widowControl/>
              <w:adjustRightInd/>
              <w:spacing w:before="0" w:after="0" w:line="240" w:lineRule="auto"/>
              <w:jc w:val="left"/>
              <w:textAlignment w:val="auto"/>
              <w:rPr>
                <w:rFonts w:cstheme="majorHAnsi"/>
                <w:color w:val="FF0000"/>
                <w:sz w:val="16"/>
                <w:szCs w:val="16"/>
              </w:rPr>
            </w:pPr>
            <w:r w:rsidRPr="00ED4054">
              <w:rPr>
                <w:rFonts w:cstheme="majorHAnsi"/>
                <w:color w:val="FF0000"/>
                <w:sz w:val="16"/>
                <w:szCs w:val="16"/>
              </w:rPr>
              <w:t> </w:t>
            </w:r>
          </w:p>
        </w:tc>
        <w:tc>
          <w:tcPr>
            <w:tcW w:w="3260" w:type="dxa"/>
            <w:shd w:val="clear" w:color="auto" w:fill="auto"/>
            <w:vAlign w:val="center"/>
            <w:hideMark/>
          </w:tcPr>
          <w:p w14:paraId="6873A5F9"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All three interventions simultaneously: +0.036 QALYs; Primary Prevention: +0.018 QALYs; POCT: +0.006 QALYs; Tele monitoring for adherence: +0.019 QALYs.</w:t>
            </w:r>
          </w:p>
        </w:tc>
        <w:tc>
          <w:tcPr>
            <w:tcW w:w="2552" w:type="dxa"/>
            <w:shd w:val="clear" w:color="auto" w:fill="auto"/>
            <w:vAlign w:val="center"/>
            <w:hideMark/>
          </w:tcPr>
          <w:p w14:paraId="37B3275C" w14:textId="77777777" w:rsidR="00ED4054" w:rsidRPr="00ED4054" w:rsidRDefault="00ED4054" w:rsidP="00ED4054">
            <w:pPr>
              <w:widowControl/>
              <w:adjustRightInd/>
              <w:spacing w:before="0" w:after="0" w:line="240" w:lineRule="auto"/>
              <w:jc w:val="left"/>
              <w:textAlignment w:val="auto"/>
              <w:rPr>
                <w:rFonts w:cstheme="majorHAnsi"/>
                <w:color w:val="FF0000"/>
                <w:sz w:val="16"/>
                <w:szCs w:val="16"/>
              </w:rPr>
            </w:pPr>
            <w:r w:rsidRPr="00ED4054">
              <w:rPr>
                <w:rFonts w:cstheme="majorHAnsi"/>
                <w:color w:val="FF0000"/>
                <w:sz w:val="16"/>
                <w:szCs w:val="16"/>
              </w:rPr>
              <w:t> </w:t>
            </w:r>
          </w:p>
        </w:tc>
        <w:tc>
          <w:tcPr>
            <w:tcW w:w="1782" w:type="dxa"/>
            <w:shd w:val="clear" w:color="auto" w:fill="auto"/>
            <w:vAlign w:val="center"/>
            <w:hideMark/>
          </w:tcPr>
          <w:p w14:paraId="6EF9CF75"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 xml:space="preserve">Neither against </w:t>
            </w:r>
            <w:proofErr w:type="gramStart"/>
            <w:r w:rsidRPr="00ED4054">
              <w:rPr>
                <w:rFonts w:cstheme="majorHAnsi"/>
                <w:sz w:val="16"/>
                <w:szCs w:val="16"/>
              </w:rPr>
              <w:t>or</w:t>
            </w:r>
            <w:proofErr w:type="gramEnd"/>
            <w:r w:rsidRPr="00ED4054">
              <w:rPr>
                <w:rFonts w:cstheme="majorHAnsi"/>
                <w:sz w:val="16"/>
                <w:szCs w:val="16"/>
              </w:rPr>
              <w:t xml:space="preserve"> in favor of POCT: it is cost-effective, but keeping people out of the system has larger benefit</w:t>
            </w:r>
          </w:p>
        </w:tc>
      </w:tr>
      <w:tr w:rsidR="00ED4054" w:rsidRPr="00ED4054" w14:paraId="4A327076" w14:textId="77777777" w:rsidTr="005F718B">
        <w:trPr>
          <w:trHeight w:val="1321"/>
        </w:trPr>
        <w:tc>
          <w:tcPr>
            <w:tcW w:w="1134" w:type="dxa"/>
            <w:shd w:val="clear" w:color="auto" w:fill="auto"/>
            <w:vAlign w:val="center"/>
            <w:hideMark/>
          </w:tcPr>
          <w:p w14:paraId="7CA294E0" w14:textId="06A06771" w:rsidR="00ED4054" w:rsidRPr="00ED4054" w:rsidRDefault="009A2602"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Cals et al., 2011</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{"citationItems":[{"id":"ITEM-1","itemData":{"DOI":"10.1111/j.1365-2753.2010.01472.x","ISBN":"1365-2753","ISSN":"13561294","PMID":"20666881","abstract":"RATIONALE, AIMS AND OBJECTIVES: An economic evaluation of general practitioner (GP) use of C-reactive protein (CRP) point of care test, GP communication skills training, and both GP use of CRP and communication skills training on antibiotic use for lower respiratory tract infections (LRTIs) in general practice.\\n\\nMETHODS: Cost-effectiveness analysis with a time horizon of 28 days alongside a factorial, cluster randomized trial in 431 patients with LRTIs recruited by 40 GPs.\\n\\nINTERVENTIONS: usual care (control group), GP use of CRP point of care test, GP communication skills training, and both CRP use and communication skills training.\\n\\nMAIN OUTCOME MEASURE: health care costs. Cost-effectiveness, using the primary outcome measure antibiotic prescribing at index consultation, was assessed by incremental cost-effectiveness ratios (ICER). To adjust for skewed data and clustering, we used non-parametric bootstrapping re-sampling to derive percentile intervals for the mean difference in total costs and the mean difference in effectiveness between the groups. Various implementation scenarios according to GP preference were modelled with corresponding net monetary benefit (NMB) curves based on a given willingness-to-pay (λ) for a 1% lower antibiotic prescribing rate.\\n\\nRESULTS: The total mean cost per patient in the usual care group was €35.96 with antibiotic prescribing of 68%, €37.58 per patient managed by GPs using CRP tests (antibiotic prescribing 39%, ICER €5.79), €25.61 per patient managed by GPs trained in enhanced communication skills (antibiotic prescribing 33%, dominant) and €37.78 per patient managed by GPs using both interventions (antibiotic prescribing 23%, ICER €4.15). The interventions are cost-effective in any combination (yielding NMB at no willingness-to-pay), taking into account GPs' preferences where at least 15% of GPs chose to implement the communication skills training.\\n\\nCONCLUSIONS: The two strategies, both singly and combined, are cost-effective interventions to reduce antibiotic prescribing for LRTI, at no, or low willingness-to-pay. Taking GP preferences into account will optimize investment in strategies to reduce antibiotic prescribing for LRTI.","author":[{"dropping-particle":"","family":"Cals","given":"Jochen W. L.","non-dropping-particle":"","parse-names":false,"suffix":""},{"dropping-particle":"","family":"Ament","given":"Andre J. H. A.","non-dropping-particle":"","parse-names":false,"suffix":""},{"dropping-particle":"","family":"Hood","given":"Kerenza","non-dropping-particle":"","parse-names":false,"suffix":""},{"dropping-particle":"","family":"Butler","given":"Christopher C.","non-dropping-particle":"","parse-names":false,"suffix":""},{"dropping-particle":"","family":"Hopstaken","given":"Rogier M","non-dropping-particle":"","parse-names":false,"suffix":""},{"dropping-particle":"","family":"Wassink","given":"Geert F.","non-dropping-particle":"","parse-names":false,"suffix":""},{"dropping-particle":"","family":"Dinant","given":"Geert-Jan","non-dropping-particle":"","parse-names":false,"suffix":""}],"container-title":"Journal of Evaluation in Clinical Practice","id":"ITEM-1","issue":"6","issued":{"date-parts":[["2011"]]},"page":"1059-1069","title":"C-reactive protein point of care testing and physician communication skills training for lower respiratory tract infections in general practice: economic evaluation of a cluster randomized trial","type":"article-journal","volume":"17"},"uris":["http://www.mendeley.com/documents/?uuid=a99a270e-5a06-4951-8767-90e8dd707b2e"]}],"mendeley":{"formattedCitation":"[73]","plainTextFormattedCitation":"[73]","previouslyFormattedCitation":"[72]"},"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[73]</w:t>
            </w:r>
            <w:r>
              <w:rPr>
                <w:rFonts w:ascii="Calibri Light" w:hAnsi="Calibri Light" w:cs="Calibri Light"/>
                <w:color w:val="000000"/>
                <w:sz w:val="16"/>
                <w:szCs w:val="18"/>
              </w:rPr>
              <w:fldChar w:fldCharType="end"/>
            </w:r>
          </w:p>
        </w:tc>
        <w:tc>
          <w:tcPr>
            <w:tcW w:w="2410" w:type="dxa"/>
            <w:shd w:val="clear" w:color="auto" w:fill="auto"/>
            <w:vAlign w:val="center"/>
            <w:hideMark/>
          </w:tcPr>
          <w:p w14:paraId="04365DE6"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Usual care: €35.96 (SD 58.12); POCT: €37.58 (SD 45.24); POCT with Communications training: €37.78 (SD 42.08)</w:t>
            </w:r>
          </w:p>
        </w:tc>
        <w:tc>
          <w:tcPr>
            <w:tcW w:w="1701" w:type="dxa"/>
            <w:shd w:val="clear" w:color="auto" w:fill="auto"/>
            <w:noWrap/>
            <w:vAlign w:val="center"/>
            <w:hideMark/>
          </w:tcPr>
          <w:p w14:paraId="34BCFD9F" w14:textId="77777777" w:rsidR="00ED4054" w:rsidRPr="00ED4054" w:rsidRDefault="00ED4054" w:rsidP="00ED4054">
            <w:pPr>
              <w:widowControl/>
              <w:adjustRightInd/>
              <w:spacing w:before="0" w:after="0" w:line="240" w:lineRule="auto"/>
              <w:jc w:val="left"/>
              <w:textAlignment w:val="auto"/>
              <w:rPr>
                <w:rFonts w:cstheme="majorHAnsi"/>
                <w:color w:val="FF0000"/>
                <w:sz w:val="16"/>
                <w:szCs w:val="16"/>
              </w:rPr>
            </w:pPr>
            <w:r w:rsidRPr="00ED4054">
              <w:rPr>
                <w:rFonts w:cstheme="majorHAnsi"/>
                <w:color w:val="FF0000"/>
                <w:sz w:val="16"/>
                <w:szCs w:val="16"/>
              </w:rPr>
              <w:t> </w:t>
            </w:r>
          </w:p>
        </w:tc>
        <w:tc>
          <w:tcPr>
            <w:tcW w:w="3260" w:type="dxa"/>
            <w:shd w:val="clear" w:color="auto" w:fill="auto"/>
            <w:vAlign w:val="center"/>
            <w:hideMark/>
          </w:tcPr>
          <w:p w14:paraId="515A9806"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Antibiotic prescribing - Usual care: 68%; POCT: 39%; POCT with communications training: 23%.</w:t>
            </w:r>
          </w:p>
        </w:tc>
        <w:tc>
          <w:tcPr>
            <w:tcW w:w="2552" w:type="dxa"/>
            <w:shd w:val="clear" w:color="auto" w:fill="auto"/>
            <w:vAlign w:val="center"/>
            <w:hideMark/>
          </w:tcPr>
          <w:p w14:paraId="1B87012A"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POCT &amp; usual care: €5.79 for every 1% reduction in antibiotic prescribing; POCT with communications training &amp; usual care: €4.15 for every 1% reduction in antibiotic prescribing.</w:t>
            </w:r>
          </w:p>
        </w:tc>
        <w:tc>
          <w:tcPr>
            <w:tcW w:w="1782" w:type="dxa"/>
            <w:shd w:val="clear" w:color="auto" w:fill="auto"/>
            <w:vAlign w:val="center"/>
            <w:hideMark/>
          </w:tcPr>
          <w:p w14:paraId="254459B6"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21FED91F" w14:textId="77777777" w:rsidTr="005F718B">
        <w:trPr>
          <w:trHeight w:val="1060"/>
        </w:trPr>
        <w:tc>
          <w:tcPr>
            <w:tcW w:w="1134" w:type="dxa"/>
            <w:shd w:val="clear" w:color="auto" w:fill="auto"/>
            <w:vAlign w:val="center"/>
            <w:hideMark/>
          </w:tcPr>
          <w:p w14:paraId="0C113470" w14:textId="24362A0D" w:rsidR="00ED4054" w:rsidRPr="00ED4054" w:rsidRDefault="0030620C" w:rsidP="00ED4054">
            <w:pPr>
              <w:widowControl/>
              <w:adjustRightInd/>
              <w:spacing w:before="0" w:after="0" w:line="240" w:lineRule="auto"/>
              <w:jc w:val="left"/>
              <w:textAlignment w:val="auto"/>
              <w:rPr>
                <w:rFonts w:cstheme="majorHAnsi"/>
                <w:color w:val="000000"/>
                <w:sz w:val="16"/>
                <w:szCs w:val="16"/>
              </w:rPr>
            </w:pPr>
            <w:proofErr w:type="spellStart"/>
            <w:r w:rsidRPr="00F03ECE">
              <w:rPr>
                <w:rFonts w:ascii="Calibri Light" w:hAnsi="Calibri Light" w:cs="Calibri Light"/>
                <w:color w:val="000000"/>
                <w:sz w:val="16"/>
                <w:szCs w:val="18"/>
              </w:rPr>
              <w:t>Udeh</w:t>
            </w:r>
            <w:proofErr w:type="spellEnd"/>
            <w:r w:rsidRPr="00F03ECE">
              <w:rPr>
                <w:rFonts w:ascii="Calibri Light" w:hAnsi="Calibri Light" w:cs="Calibri Light"/>
                <w:color w:val="000000"/>
                <w:sz w:val="16"/>
                <w:szCs w:val="18"/>
              </w:rPr>
              <w:t xml:space="preserve"> et al., 2008</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{"citationItems":[{"id":"ITEM-1","itemData":{"DOI":"10.1097/MAJ.0b013e3181637417","ISSN":"0002-9629","abstract":"Background: Conjunctivitis is a relatively common condition of the eye that can be caused by a number of different pathogens including bacteria and viruses. Clinical differentiation between adenoviral and bacterial conjunctivitis is difficult, often resulting in misdiagnosis and the provision of inappropriate treatment. Methods: A cost-effectiveness analysis was performed from a societal perspective using primary, secondary, published literature, and expert opinion data sources. The incremental costs and effects (cases of unnecessary antibiotic treatment avoided) for a rapid point-of-care test for adenoviral conjunctivitis (RPS Adeno Detector) were modeled. Results: Using base case values, the incremental cost of using no point-of-care test compared with the point-of-care test is $71.30 with 0.1786 cases of unnecessary antibiotic treatment. Extrapolating these costs to the entire U.S. population per annum, society could potentially save nearly $430 million currently spent on unnecessary medical care and avoid over 1 million cases of unnecessary antibiotic treatment. The no-point-of-care test strategy is both more costly and less effective; indicating that the point-of-care test strategy is the most cost-effective option. The results were robust to variation in key model parameters. Conclusions: Through the use of a rapid point-of-care test for adenovirus, much of the cost to society caused by acute conjunctivitis can be avoided through more timely and accurate diagnosis. © Copyright 2008 Southern Society for Clinical Investigation.","author":[{"dropping-particle":"","family":"Udeh","given":"B.L","non-dropping-particle":"","parse-names":false,"suffix":""},{"dropping-particle":"","family":"Schneider","given":"J.E","non-dropping-particle":"","parse-names":false,"suffix":""},{"dropping-particle":"","family":"Ohsfeldt","given":"R.L","non-dropping-particle":"","parse-names":false,"suffix":""}],"container-title":"American Journal of the Medical Sciences","id":"ITEM-1","issue":"3","issued":{"date-parts":[["2008"]]},"page":"254-264","title":"Cost effectiveness of a point-of-care test for adenoviral conjunctivitis","type":"article-journal","volume":"336"},"uris":["http://www.mendeley.com/documents/?uuid=ff9fd91f-71d8-46ed-8b19-55ff549d6749"]}],"mendeley":{"formattedCitation":"[79]","plainTextFormattedCitation":"[79]","previouslyFormattedCitation":"[78]"},"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[79]</w:t>
            </w:r>
            <w:r>
              <w:rPr>
                <w:rFonts w:ascii="Calibri Light" w:hAnsi="Calibri Light" w:cs="Calibri Light"/>
                <w:color w:val="000000"/>
                <w:sz w:val="16"/>
                <w:szCs w:val="18"/>
              </w:rPr>
              <w:fldChar w:fldCharType="end"/>
            </w:r>
          </w:p>
        </w:tc>
        <w:tc>
          <w:tcPr>
            <w:tcW w:w="2410" w:type="dxa"/>
            <w:shd w:val="clear" w:color="auto" w:fill="auto"/>
            <w:vAlign w:val="center"/>
            <w:hideMark/>
          </w:tcPr>
          <w:p w14:paraId="0B1570CD"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 xml:space="preserve">Clinical judgement: $111.56; POCT: $40.25 </w:t>
            </w:r>
          </w:p>
        </w:tc>
        <w:tc>
          <w:tcPr>
            <w:tcW w:w="1701" w:type="dxa"/>
            <w:shd w:val="clear" w:color="auto" w:fill="auto"/>
            <w:vAlign w:val="center"/>
            <w:hideMark/>
          </w:tcPr>
          <w:p w14:paraId="50952038"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 </w:t>
            </w:r>
          </w:p>
        </w:tc>
        <w:tc>
          <w:tcPr>
            <w:tcW w:w="3260" w:type="dxa"/>
            <w:shd w:val="clear" w:color="auto" w:fill="auto"/>
            <w:vAlign w:val="center"/>
            <w:hideMark/>
          </w:tcPr>
          <w:p w14:paraId="0401E395"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Inappropriate antibiotic use - Clinical judgement: no cases avoided; POCT: 0.1786 cases of inappropriate antibiotic use avoided.</w:t>
            </w:r>
          </w:p>
        </w:tc>
        <w:tc>
          <w:tcPr>
            <w:tcW w:w="2552" w:type="dxa"/>
            <w:shd w:val="clear" w:color="auto" w:fill="auto"/>
            <w:vAlign w:val="center"/>
            <w:hideMark/>
          </w:tcPr>
          <w:p w14:paraId="5784796F"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POCT: of $225.40 per case of inappropriate antibiotic treatment avoided; Clinical judgement: more costly and less effective</w:t>
            </w:r>
          </w:p>
        </w:tc>
        <w:tc>
          <w:tcPr>
            <w:tcW w:w="1782" w:type="dxa"/>
            <w:shd w:val="clear" w:color="auto" w:fill="auto"/>
            <w:vAlign w:val="center"/>
            <w:hideMark/>
          </w:tcPr>
          <w:p w14:paraId="10337AE8"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In favor of POCT</w:t>
            </w:r>
          </w:p>
        </w:tc>
      </w:tr>
      <w:tr w:rsidR="00ED4054" w:rsidRPr="00ED4054" w14:paraId="41F5FBC8" w14:textId="77777777" w:rsidTr="005F718B">
        <w:trPr>
          <w:trHeight w:val="274"/>
        </w:trPr>
        <w:tc>
          <w:tcPr>
            <w:tcW w:w="12839" w:type="dxa"/>
            <w:gridSpan w:val="6"/>
            <w:shd w:val="clear" w:color="auto" w:fill="auto"/>
            <w:vAlign w:val="center"/>
          </w:tcPr>
          <w:p w14:paraId="48DC2EA3"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color w:val="000000"/>
                <w:sz w:val="16"/>
                <w:szCs w:val="16"/>
              </w:rPr>
              <w:t>Secondary care</w:t>
            </w:r>
          </w:p>
        </w:tc>
      </w:tr>
      <w:tr w:rsidR="00ED4054" w:rsidRPr="00ED4054" w14:paraId="787CD5CD" w14:textId="77777777" w:rsidTr="005F718B">
        <w:trPr>
          <w:trHeight w:val="274"/>
        </w:trPr>
        <w:tc>
          <w:tcPr>
            <w:tcW w:w="1134" w:type="dxa"/>
            <w:shd w:val="clear" w:color="auto" w:fill="auto"/>
            <w:vAlign w:val="center"/>
          </w:tcPr>
          <w:p w14:paraId="14C8F5F6"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Author, Year</w:t>
            </w:r>
          </w:p>
        </w:tc>
        <w:tc>
          <w:tcPr>
            <w:tcW w:w="2410" w:type="dxa"/>
            <w:shd w:val="clear" w:color="auto" w:fill="auto"/>
            <w:vAlign w:val="center"/>
          </w:tcPr>
          <w:p w14:paraId="7C908AB9"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color w:val="000000"/>
                <w:sz w:val="16"/>
                <w:szCs w:val="16"/>
              </w:rPr>
              <w:t>Cost per patient</w:t>
            </w:r>
          </w:p>
        </w:tc>
        <w:tc>
          <w:tcPr>
            <w:tcW w:w="1701" w:type="dxa"/>
            <w:shd w:val="clear" w:color="auto" w:fill="auto"/>
            <w:vAlign w:val="center"/>
          </w:tcPr>
          <w:p w14:paraId="5026C96D"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color w:val="000000"/>
                <w:sz w:val="16"/>
                <w:szCs w:val="16"/>
              </w:rPr>
              <w:t>Overall cost</w:t>
            </w:r>
          </w:p>
        </w:tc>
        <w:tc>
          <w:tcPr>
            <w:tcW w:w="3260" w:type="dxa"/>
            <w:shd w:val="clear" w:color="auto" w:fill="auto"/>
            <w:vAlign w:val="center"/>
          </w:tcPr>
          <w:p w14:paraId="7B0A3BED"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color w:val="000000"/>
                <w:sz w:val="16"/>
                <w:szCs w:val="16"/>
              </w:rPr>
              <w:t>Effectiveness</w:t>
            </w:r>
          </w:p>
        </w:tc>
        <w:tc>
          <w:tcPr>
            <w:tcW w:w="2552" w:type="dxa"/>
            <w:shd w:val="clear" w:color="auto" w:fill="auto"/>
            <w:vAlign w:val="center"/>
          </w:tcPr>
          <w:p w14:paraId="52A9F16D"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color w:val="000000"/>
                <w:sz w:val="16"/>
                <w:szCs w:val="16"/>
              </w:rPr>
              <w:t>Ratio</w:t>
            </w:r>
          </w:p>
        </w:tc>
        <w:tc>
          <w:tcPr>
            <w:tcW w:w="1782" w:type="dxa"/>
            <w:shd w:val="clear" w:color="auto" w:fill="auto"/>
            <w:vAlign w:val="center"/>
          </w:tcPr>
          <w:p w14:paraId="5C9FC607"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color w:val="000000"/>
                <w:sz w:val="16"/>
                <w:szCs w:val="16"/>
              </w:rPr>
              <w:t> Conclusion</w:t>
            </w:r>
          </w:p>
        </w:tc>
      </w:tr>
      <w:tr w:rsidR="00ED4054" w:rsidRPr="00ED4054" w14:paraId="7F47EFE3" w14:textId="77777777" w:rsidTr="005F718B">
        <w:trPr>
          <w:trHeight w:val="274"/>
        </w:trPr>
        <w:tc>
          <w:tcPr>
            <w:tcW w:w="1134" w:type="dxa"/>
            <w:shd w:val="clear" w:color="auto" w:fill="auto"/>
            <w:vAlign w:val="center"/>
          </w:tcPr>
          <w:p w14:paraId="682322D0" w14:textId="7FB50679" w:rsidR="00ED4054" w:rsidRPr="00ED4054" w:rsidRDefault="00E51068"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6"/>
              </w:rPr>
              <w:t>Goldstein et al. 2019</w:t>
            </w:r>
            <w:r>
              <w:rPr>
                <w:rFonts w:ascii="Calibri Light" w:hAnsi="Calibri Light" w:cs="Calibri Light"/>
                <w:color w:val="000000"/>
                <w:sz w:val="16"/>
                <w:szCs w:val="16"/>
              </w:rPr>
              <w:t xml:space="preserve"> </w:t>
            </w:r>
            <w:r>
              <w:rPr>
                <w:rFonts w:ascii="Calibri Light" w:hAnsi="Calibri Light" w:cs="Calibri Light"/>
                <w:color w:val="000000"/>
                <w:sz w:val="16"/>
                <w:szCs w:val="16"/>
              </w:rPr>
              <w:fldChar w:fldCharType="begin" w:fldLock="1"/>
            </w:r>
            <w:r>
              <w:rPr>
                <w:rFonts w:ascii="Calibri Light" w:hAnsi="Calibri Light" w:cs="Calibri Light"/>
                <w:color w:val="000000"/>
                <w:sz w:val="16"/>
                <w:szCs w:val="16"/>
              </w:rPr>
              <w:instrText>ADDIN CSL_CITATION {"citationItems":[{"id":"ITEM-1","itemData":{"DOI":"10.1016/j.afjem.2019.01.011","ISSN":"2211419X","abstract":"Introduction: Time and cost constraints abound in the Emergency Centre (EC). These resource-constraints are further magnified in low- and middle-income countries (LMIC). Almost half of all patients presenting to the EC require laboratory tests. Unfortunately, access to laboratory services in LMIC is commonly inadequate. Point-of-Care (POC)tests may assist to avert this shortcoming. The aims of this study were to evaluate the cost effectiveness of upfront POC blood tests performed prior to doctor assessment compared to the standard EC workflow. Methods: A secondary analysis was performed on data from a prospective, randomised, controlled trial where patients with abdominal/chest symptoms or generalised body pain/weakness followed either the normal EC workflow pathway or one of two enhanced workflow pathways with POC tests (i-STAT with and without a complete blood count (CBC))prior to doctor evaluation. The incremental cost effectiveness ratio (ICER)was used to perform the cost effectiveness analysis. Results: There were 248 patients enrolled in the study. The use of the two upfront, POC test pathways significantly exceeded the primary outcome measure of a 20% reduction in treatment time. In the i-STAT + CBC group, the 31 min. time-saving translated into cost-saving of US$14.96 per patient (IECR 0.27)whereas the 21 min. time-saving in the i-STAT only group only had an additional net cost of US$3.11 per patient (IECR 0.90). Conclusion: Upfront, POC blood tests can be utilised in the resource-constrained EC to manage patients more efficiently by saving time. This time-saving can, in fact, be more cost effective than traditional EC workflow making it an economically viable option for implementation in LMIC.","author":[{"dropping-particle":"","family":"Goldstein","given":"Lara Nicole","non-dropping-particle":"","parse-names":false,"suffix":""},{"dropping-particle":"","family":"Wells","given":"Mike","non-dropping-particle":"","parse-names":false,"suffix":""},{"dropping-particle":"","family":"Vincent-Lambert","given":"Craig","non-dropping-particle":"","parse-names":false,"suffix":""}],"container-title":"African Journal of Emergency Medicine","id":"ITEM-1","issue":"2","issued":{"date-parts":[["2019"]]},"page":"57-63","publisher":"Elsevier B.V.","title":"The cost of time: A randomised, controlled trial to assess the economic impact of upfront, point-of-care blood tests in the Emergency Centre","type":"article-journal","volume":"9"},"uris":["http://www.mendeley.com/documents/?uuid=bbf0680c-114b-4af5-8f6a-eecbc7b3895b"]}],"mendeley":{"formattedCitation":"[42]","plainTextFormattedCitation":"[42]","previouslyFormattedCitation":"[41]"},"properties":{"noteIndex":0},"schema":"https://github.com/citation-style-language/schema/raw/master/csl-citation.json"}</w:instrText>
            </w:r>
            <w:r>
              <w:rPr>
                <w:rFonts w:ascii="Calibri Light" w:hAnsi="Calibri Light" w:cs="Calibri Light"/>
                <w:color w:val="000000"/>
                <w:sz w:val="16"/>
                <w:szCs w:val="16"/>
              </w:rPr>
              <w:fldChar w:fldCharType="separate"/>
            </w:r>
            <w:r w:rsidRPr="004A39DD">
              <w:rPr>
                <w:rFonts w:ascii="Calibri Light" w:hAnsi="Calibri Light" w:cs="Calibri Light"/>
                <w:noProof/>
                <w:color w:val="000000"/>
                <w:sz w:val="16"/>
                <w:szCs w:val="16"/>
              </w:rPr>
              <w:t>[42]</w:t>
            </w:r>
            <w:r>
              <w:rPr>
                <w:rFonts w:ascii="Calibri Light" w:hAnsi="Calibri Light" w:cs="Calibri Light"/>
                <w:color w:val="000000"/>
                <w:sz w:val="16"/>
                <w:szCs w:val="16"/>
              </w:rPr>
              <w:fldChar w:fldCharType="end"/>
            </w:r>
          </w:p>
        </w:tc>
        <w:tc>
          <w:tcPr>
            <w:tcW w:w="2410" w:type="dxa"/>
            <w:shd w:val="clear" w:color="auto" w:fill="auto"/>
            <w:vAlign w:val="center"/>
          </w:tcPr>
          <w:p w14:paraId="26FB83D2"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Laboratory testing: $10.53; POCT with complete blood count: $18.79; POCT without complete blood count: $29.37.</w:t>
            </w:r>
          </w:p>
        </w:tc>
        <w:tc>
          <w:tcPr>
            <w:tcW w:w="1701" w:type="dxa"/>
            <w:shd w:val="clear" w:color="auto" w:fill="auto"/>
            <w:vAlign w:val="center"/>
          </w:tcPr>
          <w:p w14:paraId="19FCC53D"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3260" w:type="dxa"/>
            <w:shd w:val="clear" w:color="auto" w:fill="auto"/>
            <w:vAlign w:val="center"/>
          </w:tcPr>
          <w:p w14:paraId="1127869C"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color w:val="000000"/>
                <w:sz w:val="16"/>
                <w:szCs w:val="16"/>
              </w:rPr>
              <w:t>Time saved using POCT – POCT with complete blood count: 31min; POCT without complete blood count: 21min.</w:t>
            </w:r>
          </w:p>
        </w:tc>
        <w:tc>
          <w:tcPr>
            <w:tcW w:w="2552" w:type="dxa"/>
            <w:shd w:val="clear" w:color="auto" w:fill="auto"/>
            <w:vAlign w:val="center"/>
          </w:tcPr>
          <w:p w14:paraId="3463D328"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color w:val="000000"/>
                <w:sz w:val="16"/>
                <w:szCs w:val="16"/>
              </w:rPr>
              <w:t>POCT with complete blood count: 0.27 US$/min; POCT without complete blood count: 0.90 US$/min.</w:t>
            </w:r>
          </w:p>
        </w:tc>
        <w:tc>
          <w:tcPr>
            <w:tcW w:w="1782" w:type="dxa"/>
            <w:shd w:val="clear" w:color="auto" w:fill="auto"/>
            <w:vAlign w:val="center"/>
          </w:tcPr>
          <w:p w14:paraId="74A8801E"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color w:val="000000"/>
                <w:sz w:val="16"/>
                <w:szCs w:val="16"/>
              </w:rPr>
              <w:t>In favor of POCT (in a LMIC resource-constrained environment)</w:t>
            </w:r>
          </w:p>
        </w:tc>
      </w:tr>
      <w:tr w:rsidR="00ED4054" w:rsidRPr="00ED4054" w14:paraId="6ACFADF2" w14:textId="77777777" w:rsidTr="005F718B">
        <w:trPr>
          <w:trHeight w:val="274"/>
        </w:trPr>
        <w:tc>
          <w:tcPr>
            <w:tcW w:w="1134" w:type="dxa"/>
            <w:shd w:val="clear" w:color="auto" w:fill="auto"/>
            <w:vAlign w:val="center"/>
          </w:tcPr>
          <w:p w14:paraId="05CAD460" w14:textId="123EF63D" w:rsidR="00ED4054" w:rsidRPr="00ED4054" w:rsidRDefault="0036004C" w:rsidP="00ED4054">
            <w:pPr>
              <w:widowControl/>
              <w:adjustRightInd/>
              <w:spacing w:before="0" w:after="0" w:line="240" w:lineRule="auto"/>
              <w:jc w:val="left"/>
              <w:textAlignment w:val="auto"/>
              <w:rPr>
                <w:rFonts w:cstheme="majorHAnsi"/>
                <w:color w:val="000000"/>
                <w:sz w:val="16"/>
                <w:szCs w:val="16"/>
              </w:rPr>
            </w:pPr>
            <w:proofErr w:type="spellStart"/>
            <w:r w:rsidRPr="00F03ECE">
              <w:rPr>
                <w:rFonts w:ascii="Calibri Light" w:hAnsi="Calibri Light" w:cs="Calibri Light"/>
                <w:color w:val="000000"/>
                <w:sz w:val="16"/>
                <w:szCs w:val="16"/>
              </w:rPr>
              <w:t>Rahamat‐Langendoen</w:t>
            </w:r>
            <w:proofErr w:type="spellEnd"/>
            <w:r w:rsidRPr="00F03ECE">
              <w:rPr>
                <w:rFonts w:ascii="Calibri Light" w:hAnsi="Calibri Light" w:cs="Calibri Light"/>
                <w:color w:val="000000"/>
                <w:sz w:val="16"/>
                <w:szCs w:val="16"/>
              </w:rPr>
              <w:t xml:space="preserve"> et al. 2019</w:t>
            </w:r>
            <w:r>
              <w:rPr>
                <w:rFonts w:ascii="Calibri Light" w:hAnsi="Calibri Light" w:cs="Calibri Light"/>
                <w:color w:val="000000"/>
                <w:sz w:val="16"/>
                <w:szCs w:val="16"/>
              </w:rPr>
              <w:t xml:space="preserve"> </w:t>
            </w:r>
            <w:r>
              <w:rPr>
                <w:rFonts w:ascii="Calibri Light" w:hAnsi="Calibri Light" w:cs="Calibri Light"/>
                <w:color w:val="000000"/>
                <w:sz w:val="16"/>
                <w:szCs w:val="16"/>
              </w:rPr>
              <w:fldChar w:fldCharType="begin" w:fldLock="1"/>
            </w:r>
            <w:r>
              <w:rPr>
                <w:rFonts w:ascii="Calibri Light" w:hAnsi="Calibri Light" w:cs="Calibri Light"/>
                <w:color w:val="000000"/>
                <w:sz w:val="16"/>
                <w:szCs w:val="16"/>
              </w:rPr>
              <w:instrText>ADDIN CSL_CITATION {"citationItems":[{"id":"ITEM-1","itemData":{"DOI":"10.1002/jmv.25479","author":[{"dropping-particle":"","family":"Rahamat-Langendoen","given":"Janette","non-dropping-particle":"","parse-names":false,"suffix":""},{"dropping-particle":"","family":"Melchers","given":"Willem J G","non-dropping-particle":"","parse-names":false,"suffix":""},{"dropping-particle":"Van Der","family":"Wilt","given":"Gert Jan","non-dropping-particle":"","parse-names":false,"suffix":""}],"container-title":"Journal of Medical Virology","id":"ITEM-1","issue":"January","issued":{"date-parts":[["2019"]]},"page":"1408-1414","title":"Impact of molecular point ‐ of ‐ care testing on clinical management and in ‐ hospital costs of patients suspected of influenza or RSV infection : a modeling study","type":"article-journal","volume":"91"},"uris":["http://www.mendeley.com/documents/?uuid=fd8c701c-7096-4127-83ee-15457c72ba32"]}],"mendeley":{"formattedCitation":"[46]","plainTextFormattedCitation":"[46]","previouslyFormattedCitation":"[45]"},"properties":{"noteIndex":0},"schema":"https://github.com/citation-style-language/schema/raw/master/csl-citation.json"}</w:instrText>
            </w:r>
            <w:r>
              <w:rPr>
                <w:rFonts w:ascii="Calibri Light" w:hAnsi="Calibri Light" w:cs="Calibri Light"/>
                <w:color w:val="000000"/>
                <w:sz w:val="16"/>
                <w:szCs w:val="16"/>
              </w:rPr>
              <w:fldChar w:fldCharType="separate"/>
            </w:r>
            <w:r w:rsidRPr="004A39DD">
              <w:rPr>
                <w:rFonts w:ascii="Calibri Light" w:hAnsi="Calibri Light" w:cs="Calibri Light"/>
                <w:noProof/>
                <w:color w:val="000000"/>
                <w:sz w:val="16"/>
                <w:szCs w:val="16"/>
              </w:rPr>
              <w:t>[46]</w:t>
            </w:r>
            <w:r>
              <w:rPr>
                <w:rFonts w:ascii="Calibri Light" w:hAnsi="Calibri Light" w:cs="Calibri Light"/>
                <w:color w:val="000000"/>
                <w:sz w:val="16"/>
                <w:szCs w:val="16"/>
              </w:rPr>
              <w:fldChar w:fldCharType="end"/>
            </w:r>
          </w:p>
        </w:tc>
        <w:tc>
          <w:tcPr>
            <w:tcW w:w="2410" w:type="dxa"/>
            <w:shd w:val="clear" w:color="auto" w:fill="auto"/>
            <w:vAlign w:val="center"/>
          </w:tcPr>
          <w:p w14:paraId="5142128F"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Laboratory testing: € 5243; POCT: €4206 – €4904</w:t>
            </w:r>
          </w:p>
        </w:tc>
        <w:tc>
          <w:tcPr>
            <w:tcW w:w="1701" w:type="dxa"/>
            <w:shd w:val="clear" w:color="auto" w:fill="auto"/>
            <w:vAlign w:val="center"/>
          </w:tcPr>
          <w:p w14:paraId="6ECECDD1"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3260" w:type="dxa"/>
            <w:shd w:val="clear" w:color="auto" w:fill="auto"/>
            <w:vAlign w:val="center"/>
          </w:tcPr>
          <w:p w14:paraId="0EBAAAEA"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sz w:val="16"/>
                <w:szCs w:val="16"/>
              </w:rPr>
              <w:t>POCT reduced time‐to‐diagnosis and hospital stay</w:t>
            </w:r>
          </w:p>
        </w:tc>
        <w:tc>
          <w:tcPr>
            <w:tcW w:w="2552" w:type="dxa"/>
            <w:shd w:val="clear" w:color="auto" w:fill="auto"/>
            <w:vAlign w:val="center"/>
          </w:tcPr>
          <w:p w14:paraId="2A3B7A59" w14:textId="77777777" w:rsidR="00ED4054" w:rsidRPr="00ED4054" w:rsidRDefault="00ED4054" w:rsidP="00ED4054">
            <w:pPr>
              <w:widowControl/>
              <w:adjustRightInd/>
              <w:spacing w:before="0" w:after="0" w:line="240" w:lineRule="auto"/>
              <w:jc w:val="left"/>
              <w:textAlignment w:val="auto"/>
              <w:rPr>
                <w:rFonts w:cstheme="majorHAnsi"/>
                <w:sz w:val="16"/>
                <w:szCs w:val="16"/>
              </w:rPr>
            </w:pPr>
          </w:p>
        </w:tc>
        <w:tc>
          <w:tcPr>
            <w:tcW w:w="1782" w:type="dxa"/>
            <w:shd w:val="clear" w:color="auto" w:fill="auto"/>
            <w:vAlign w:val="center"/>
          </w:tcPr>
          <w:p w14:paraId="46D169AB" w14:textId="77777777" w:rsidR="00ED4054" w:rsidRPr="00ED4054" w:rsidRDefault="00ED4054" w:rsidP="00ED4054">
            <w:pPr>
              <w:widowControl/>
              <w:adjustRightInd/>
              <w:spacing w:before="0" w:after="0" w:line="240" w:lineRule="auto"/>
              <w:jc w:val="left"/>
              <w:textAlignment w:val="auto"/>
              <w:rPr>
                <w:rFonts w:cstheme="majorHAnsi"/>
                <w:sz w:val="16"/>
                <w:szCs w:val="16"/>
              </w:rPr>
            </w:pPr>
            <w:r w:rsidRPr="00ED4054">
              <w:rPr>
                <w:rFonts w:cstheme="majorHAnsi"/>
                <w:color w:val="000000"/>
                <w:sz w:val="16"/>
                <w:szCs w:val="16"/>
              </w:rPr>
              <w:t>In favor of POCT</w:t>
            </w:r>
          </w:p>
        </w:tc>
      </w:tr>
      <w:tr w:rsidR="00ED4054" w:rsidRPr="00ED4054" w14:paraId="4511C005" w14:textId="77777777" w:rsidTr="005F718B">
        <w:trPr>
          <w:trHeight w:val="274"/>
        </w:trPr>
        <w:tc>
          <w:tcPr>
            <w:tcW w:w="1134" w:type="dxa"/>
            <w:shd w:val="clear" w:color="auto" w:fill="auto"/>
            <w:vAlign w:val="center"/>
          </w:tcPr>
          <w:p w14:paraId="3C50FB2D" w14:textId="33F7352B" w:rsidR="00ED4054" w:rsidRPr="00ED4054" w:rsidRDefault="00F47EA9"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You et al., 2017</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{"citationItems":[{"id":"ITEM-1","itemData":{"DOI":"10.1371/journal.pone.0182091","ISBN":"1111111111","ISSN":"19326203","abstract":"BACKGROUND Early initiation of antiviral therapy in elderly patients with influenza is associated with reduced risk of extra clinic visit, hospitalization and death. This study examined the cost-effectiveness of molecular POCT for detection of influenza viruses in Hong Kong elderly patients with influenza-like illness (ILI) in the outpatient clinics. METHODS A decision analytic model was used to simulate outcomes of a hypothetical cohort of elderly patients presented with ILI at outpatient clinics during peak season of influenza with two diagnostic approaches: Rapid molecular assay (POCT-PCR group) and clinical judgement with no POCT. Outcome measures included influenza-associated direct medical cost, hospitalization and mortality rates, quality-adjusted life year loss (QALY loss), and incremental cost per QALY saved (ICER). RESULTS In base-case analysis, POCT-PCR group was expected to reduce hospitalization (1.38% versus 2.85%) and mortality rate (0.08% versus 0.16%) and save 0.00112 QALYs at higher cost (by USD33.2 per ILI patient), comparing with clinical judgement group. The ICER of POCT-PCR was 29,582 USD/QALY saved. One-way sensitivity analyses found ICER sensitive to: Hospitalization rate without prompt antiviral therapy; odds ratio of hospitalization with prompt therapy; influenza prevalence; patient age and mortality rate of hospitalized patients. POCT-PCR was cost-effective in 60.6% and 99.4% of 10,000 Monte Carlo simulations at willingness-to-pay threshold of 1x and 3x gross domestic product per capita of Hong Kong, respectively. CONCLUSIONS Molecular POCT for influenza detection in elderly patients with ILI at outpatient clinics during peak influenza season appeared to be cost-effective in Hong Kong.","author":[{"dropping-particle":"","family":"You","given":"Joyce H.S.","non-dropping-particle":"","parse-names":false,"suffix":""},{"dropping-particle":"","family":"Tam","given":"Lok pui","non-dropping-particle":"","parse-names":false,"suffix":""},{"dropping-particle":"","family":"Lee","given":"Nelson L.S.","non-dropping-particle":"","parse-names":false,"suffix":""}],"container-title":"PLoS ONE","id":"ITEM-1","issue":"7","issued":{"date-parts":[["2017"]]},"page":"1-11","title":"Cost-effectiveness of molecular point-of-care testing for influenza viruses in elderly patients at ambulatory care setting","type":"article-journal","volume":"12"},"uris":["http://www.mendeley.com/documents/?uuid=d858e8b9-1e6f-45d8-8feb-83677a3062f7"]}],"mendeley":{"formattedCitation":"[56]","plainTextFormattedCitation":"[56]","previouslyFormattedCitation":"[55]"},"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[56]</w:t>
            </w:r>
            <w:r>
              <w:rPr>
                <w:rFonts w:ascii="Calibri Light" w:hAnsi="Calibri Light" w:cs="Calibri Light"/>
                <w:color w:val="000000"/>
                <w:sz w:val="16"/>
                <w:szCs w:val="18"/>
              </w:rPr>
              <w:fldChar w:fldCharType="end"/>
            </w:r>
          </w:p>
        </w:tc>
        <w:tc>
          <w:tcPr>
            <w:tcW w:w="2410" w:type="dxa"/>
            <w:shd w:val="clear" w:color="auto" w:fill="auto"/>
            <w:vAlign w:val="center"/>
          </w:tcPr>
          <w:p w14:paraId="09C0B44F"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POCT: $116.6; Clinical judgement: $83.4</w:t>
            </w:r>
          </w:p>
        </w:tc>
        <w:tc>
          <w:tcPr>
            <w:tcW w:w="1701" w:type="dxa"/>
            <w:shd w:val="clear" w:color="auto" w:fill="auto"/>
            <w:vAlign w:val="center"/>
          </w:tcPr>
          <w:p w14:paraId="40D1EEB3"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3260" w:type="dxa"/>
            <w:shd w:val="clear" w:color="auto" w:fill="auto"/>
            <w:vAlign w:val="center"/>
          </w:tcPr>
          <w:p w14:paraId="50BF251D"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QALYs - Clinical judgement: -0.00251 QALYs; POCT: -0.00139 QALYs. Hospitalization - clinical judgement: 2.85</w:t>
            </w:r>
            <w:proofErr w:type="gramStart"/>
            <w:r w:rsidRPr="00ED4054">
              <w:rPr>
                <w:rFonts w:cstheme="majorHAnsi"/>
                <w:sz w:val="16"/>
                <w:szCs w:val="16"/>
              </w:rPr>
              <w:t>% ;</w:t>
            </w:r>
            <w:proofErr w:type="gramEnd"/>
            <w:r w:rsidRPr="00ED4054">
              <w:rPr>
                <w:rFonts w:cstheme="majorHAnsi"/>
                <w:sz w:val="16"/>
                <w:szCs w:val="16"/>
              </w:rPr>
              <w:t xml:space="preserve"> POCT: 1.38%. Mortality rate - clinical judgement: 0.16%; POCT: 0.08%.</w:t>
            </w:r>
          </w:p>
        </w:tc>
        <w:tc>
          <w:tcPr>
            <w:tcW w:w="2552" w:type="dxa"/>
            <w:shd w:val="clear" w:color="auto" w:fill="auto"/>
            <w:vAlign w:val="center"/>
          </w:tcPr>
          <w:p w14:paraId="4FFFAC71"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ICER: $29,582 per QALY saved.</w:t>
            </w:r>
          </w:p>
        </w:tc>
        <w:tc>
          <w:tcPr>
            <w:tcW w:w="1782" w:type="dxa"/>
            <w:shd w:val="clear" w:color="auto" w:fill="auto"/>
            <w:vAlign w:val="center"/>
          </w:tcPr>
          <w:p w14:paraId="1E873BE7"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In favor of POCT</w:t>
            </w:r>
          </w:p>
        </w:tc>
      </w:tr>
      <w:tr w:rsidR="00ED4054" w:rsidRPr="00ED4054" w14:paraId="66F5C013" w14:textId="77777777" w:rsidTr="005F718B">
        <w:trPr>
          <w:trHeight w:val="274"/>
        </w:trPr>
        <w:tc>
          <w:tcPr>
            <w:tcW w:w="1134" w:type="dxa"/>
            <w:shd w:val="clear" w:color="auto" w:fill="auto"/>
            <w:vAlign w:val="center"/>
          </w:tcPr>
          <w:p w14:paraId="55005502" w14:textId="7A046A5A" w:rsidR="00ED4054" w:rsidRPr="00ED4054" w:rsidRDefault="001A095D"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lastRenderedPageBreak/>
              <w:t>Whitney et al., 2016</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{"citationItems":[{"id":"ITEM-1","itemData":{"DOI":"10.1016/j.ajem.2016.05.075","ISSN":"15328171","PMID":"27289438","abstract":"Objectives Acute gastroenteritis (AGE) and subsequent dehydration account for a large proportion of pediatric emergency department (PED) visits. Point-of-care (POC) testing has been used in conjunction with clinical assessment to determine the degree of dehydration. Despite the wide acceptance of POC testing, little formal cost-effective analysis of POC testing in the PED exists. We aim to examine the cost-effectiveness of using POC electrolyte testing vs traditional serum chemistry testing in the PED for children with AGE. Methods This was a cost-effective analysis using data from a randomized control trial of children with AGE. A decision analysis model was constructed to calculate cost-savings from the point of view of the payer and the provider. We used parameters obtained from the trial, including cost of testing, admission rates, cost of admission, and length of stay. Sensitivity analyses were performed to evaluate the stability of our model. Results Using the data set of 225 subjects, POC testing results in a cost savings of $303.30 per patient compared with traditional serum testing from the point of the view of the payer. From the point-of-view of the provider, POC testing results in consistent mean savings of $36.32 ($8.29-$64.35) per patient. Sensitivity analyses demonstrated the stability of the model and consistent savings. Conclusions This decision analysis provides evidence that POC testing in children with gastroenteritis-related moderate dehydration results in significant cost savings from the points of view of payers and providers compared to traditional serum chemistry testing.","author":[{"dropping-particle":"","family":"Whitney","given":"Rachel E.","non-dropping-particle":"","parse-names":false,"suffix":""},{"dropping-particle":"","family":"Santucci","given":"Karen","non-dropping-particle":"","parse-names":false,"suffix":""},{"dropping-particle":"","family":"Hsiao","given":"Allen","non-dropping-particle":"","parse-names":false,"suffix":""},{"dropping-particle":"","family":"Chen","given":"Lei","non-dropping-particle":"","parse-names":false,"suffix":""}],"container-title":"American Journal of Emergency Medicine","id":"ITEM-1","issue":"8","issued":{"date-parts":[["2016"]]},"page":"1573-1575","publisher":"Elsevier Inc.","title":"Cost-effectiveness of point-of-care testing for dehydration in the pediatric ED","type":"article-journal","volume":"34"},"uris":["http://www.mendeley.com/documents/?uuid=8a014008-7b75-4b3d-aa21-e8e74fee44c6"]}],"mendeley":{"formattedCitation":"[60]","plainTextFormattedCitation":"[60]","previouslyFormattedCitation":"[59]"},"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[60]</w:t>
            </w:r>
            <w:r>
              <w:rPr>
                <w:rFonts w:ascii="Calibri Light" w:hAnsi="Calibri Light" w:cs="Calibri Light"/>
                <w:color w:val="000000"/>
                <w:sz w:val="16"/>
                <w:szCs w:val="18"/>
              </w:rPr>
              <w:fldChar w:fldCharType="end"/>
            </w:r>
          </w:p>
        </w:tc>
        <w:tc>
          <w:tcPr>
            <w:tcW w:w="2410" w:type="dxa"/>
            <w:shd w:val="clear" w:color="auto" w:fill="auto"/>
            <w:vAlign w:val="center"/>
          </w:tcPr>
          <w:p w14:paraId="08CA1BBA"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POCT: $784.48; Serum electrolytes: $1087.78. POCT results in a cost savings of $303.30 per patient. Time saved with POCT factored by average nursing salary shows a mean cost savings of $33.60 per patient.</w:t>
            </w:r>
          </w:p>
        </w:tc>
        <w:tc>
          <w:tcPr>
            <w:tcW w:w="1701" w:type="dxa"/>
            <w:shd w:val="clear" w:color="auto" w:fill="auto"/>
            <w:vAlign w:val="center"/>
          </w:tcPr>
          <w:p w14:paraId="4C96548F"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3260" w:type="dxa"/>
            <w:shd w:val="clear" w:color="auto" w:fill="auto"/>
            <w:vAlign w:val="center"/>
          </w:tcPr>
          <w:p w14:paraId="3E36CF4F"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FF0000"/>
                <w:sz w:val="16"/>
                <w:szCs w:val="16"/>
              </w:rPr>
              <w:t>.</w:t>
            </w:r>
          </w:p>
        </w:tc>
        <w:tc>
          <w:tcPr>
            <w:tcW w:w="2552" w:type="dxa"/>
            <w:shd w:val="clear" w:color="auto" w:fill="auto"/>
            <w:vAlign w:val="center"/>
          </w:tcPr>
          <w:p w14:paraId="57BBEFFA"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FF0000"/>
                <w:sz w:val="16"/>
                <w:szCs w:val="16"/>
              </w:rPr>
              <w:t> </w:t>
            </w:r>
          </w:p>
        </w:tc>
        <w:tc>
          <w:tcPr>
            <w:tcW w:w="1782" w:type="dxa"/>
            <w:shd w:val="clear" w:color="auto" w:fill="auto"/>
            <w:vAlign w:val="center"/>
          </w:tcPr>
          <w:p w14:paraId="5FF22156"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In favor of POCT</w:t>
            </w:r>
          </w:p>
        </w:tc>
      </w:tr>
      <w:tr w:rsidR="00ED4054" w:rsidRPr="00ED4054" w14:paraId="038BCD5A" w14:textId="77777777" w:rsidTr="005F718B">
        <w:trPr>
          <w:trHeight w:val="274"/>
        </w:trPr>
        <w:tc>
          <w:tcPr>
            <w:tcW w:w="1134" w:type="dxa"/>
            <w:shd w:val="clear" w:color="auto" w:fill="auto"/>
            <w:vAlign w:val="center"/>
          </w:tcPr>
          <w:p w14:paraId="7CD67EF4" w14:textId="78E197FA" w:rsidR="00ED4054" w:rsidRPr="00ED4054" w:rsidRDefault="00A775BF" w:rsidP="00ED4054">
            <w:pPr>
              <w:widowControl/>
              <w:adjustRightInd/>
              <w:spacing w:before="0" w:after="0" w:line="240" w:lineRule="auto"/>
              <w:jc w:val="left"/>
              <w:textAlignment w:val="auto"/>
              <w:rPr>
                <w:rFonts w:cstheme="majorHAnsi"/>
                <w:color w:val="000000"/>
                <w:sz w:val="16"/>
                <w:szCs w:val="16"/>
              </w:rPr>
            </w:pPr>
            <w:r w:rsidRPr="00FA4161">
              <w:rPr>
                <w:rFonts w:ascii="Calibri Light" w:eastAsia="Calibri" w:hAnsi="Calibri Light" w:cs="Calibri Light"/>
                <w:color w:val="000000"/>
                <w:sz w:val="16"/>
                <w:szCs w:val="16"/>
              </w:rPr>
              <w:t>Whiting et al., 2015</w:t>
            </w:r>
            <w:r>
              <w:rPr>
                <w:rFonts w:ascii="Calibri Light" w:eastAsia="Calibri" w:hAnsi="Calibri Light" w:cs="Calibri Light"/>
                <w:color w:val="000000"/>
                <w:sz w:val="16"/>
                <w:szCs w:val="16"/>
              </w:rPr>
              <w:t xml:space="preserve"> </w:t>
            </w:r>
            <w:r>
              <w:rPr>
                <w:rFonts w:ascii="Calibri Light" w:eastAsia="Calibri" w:hAnsi="Calibri Light" w:cs="Calibri Light"/>
                <w:color w:val="000000"/>
                <w:sz w:val="16"/>
                <w:szCs w:val="16"/>
              </w:rPr>
              <w:fldChar w:fldCharType="begin" w:fldLock="1"/>
            </w:r>
            <w:r>
              <w:rPr>
                <w:rFonts w:ascii="Calibri Light" w:eastAsia="Calibri" w:hAnsi="Calibri Light" w:cs="Calibri Light"/>
                <w:color w:val="000000"/>
                <w:sz w:val="16"/>
                <w:szCs w:val="16"/>
              </w:rPr>
              <w:instrText>ADDIN CSL_CITATION {"citationItems":[{"id":"ITEM-1","itemData":{"DOI":"10.3310/hta19580","ISSN":"20464924","abstract":"BACKGROUND: Patients with substantive bleeding usually require transfusion and/or (re-)operation. Red blood cell (RBC) transfusion is independently associated with a greater risk of infection, morbidity, increased hospital stay and mortality. ROTEM (ROTEM(®) Delta, TEM International GmbH, Munich, Germany; www.rotem.de ), TEG (TEG(®) 5000 analyser, Haemonetics Corporation, Niles, IL, USA; www.haemonetics.com ) and Sonoclot (Sonoclot(®) coagulation and platelet function analyser, Sienco Inc., Arvada, CO) are point-of-care viscoelastic (VE) devices that use thromboelastometry to test for haemostasis in whole blood. They have a number of proposed advantages over standard laboratory tests (SLTs): they provide a result much quicker, are able to identify what part of the clotting process is disrupted, and provide information on clot formation over time and fibrinolysis.\\n\\nOBJECTIVES: This assessment aimed to assess the clinical effectiveness and cost-effectiveness of VE devices to assist with the diagnosis, management and monitoring of haemostasis disorders during and after cardiac surgery, trauma-induced coagulopathy and post-partum haemorrhage (PPH).\\n\\nMETHODS: Sixteen databases were searched to December 2013: MEDLINE (OvidSP), MEDLINE In-Process and Other Non-Indexed Citations and Daily Update (OvidSP), EMBASE (OvidSP), BIOSIS Previews (Web of Knowledge), Science Citation Index (SCI) (Web of Science), Conference Proceedings Citation Index (CPCI-S) (Web of Science), Cochrane Database of Systematic Reviews (CDSR), Cochrane Central Register of Controlled Trials (CENTRAL), Database of Abstracts of Reviews of Effects (DARE), Health Technology Assessment (HTA) database, Latin American and Caribbean Health Sciences Literature (LILACS), International Network of Agencies for Health Technology Assessment (INAHTA), National Institute for Health Research (NIHR) HTA programme, Aggressive Research Intelligence Facility (ARIF), Medion, and the International Prospective Register of Systematic Reviews (PROSPERO). Randomised controlled trials (RCTs) were assessed for quality using the Cochrane Risk of Bias tool. Prediction studies were assessed using QUADAS-2. For RCTs, summary relative risks (RRs) were estimated using random-effects models. Continuous data were summarised narratively. For prediction studies, the odds ratio (OR) was selected as the primary effect estimate. The health-economic analysis considered the costs and quality-adjusted life-years of ROTEM, TEG and S…","author":[{"dropping-particle":"","family":"Whiting","given":"Penny","non-dropping-particle":"","parse-names":false,"suffix":""},{"dropping-particle":"","family":"Al","given":"Maiwenn","non-dropping-particle":"","parse-names":false,"suffix":""},{"dropping-particle":"","family":"Westwood","given":"Marie","non-dropping-particle":"","parse-names":false,"suffix":""},{"dropping-particle":"","family":"Ramos","given":"Isaac Corro","non-dropping-particle":"","parse-names":false,"suffix":""},{"dropping-particle":"","family":"Ryder","given":"Steve","non-dropping-particle":"","parse-names":false,"suffix":""},{"dropping-particle":"","family":"Armstrong","given":"Nigel","non-dropping-particle":"","parse-names":false,"suffix":""},{"dropping-particle":"","family":"Misso","given":"Kate","non-dropping-particle":"","parse-names":false,"suffix":""},{"dropping-particle":"","family":"Ross","given":"Janine","non-dropping-particle":"","parse-names":false,"suffix":""},{"dropping-particle":"","family":"Severens","given":"Johan","non-dropping-particle":"","parse-names":false,"suffix":""},{"dropping-particle":"","family":"Kleijnen","given":"Jos","non-dropping-particle":"","parse-names":false,"suffix":""}],"container-title":"Health Technology Assessment","id":"ITEM-1","issue":"58","issued":{"date-parts":[["2015"]]},"page":"1-228","title":"Viscoelastic point-of-care testing to assist with the diagnosis, management and monitoring of haemostasis: A systematic review and cost-effectiveness analysis","type":"article-journal","volume":"19"},"uris":["http://www.mendeley.com/documents/?uuid=ac1b2414-cc41-4b04-a53c-56b04dd7d0d9"]}],"mendeley":{"formattedCitation":"[26]","plainTextFormattedCitation":"[26]","previouslyFormattedCitation":"[26]"},"properties":{"noteIndex":0},"schema":"https://github.com/citation-style-language/schema/raw/master/csl-citation.json"}</w:instrText>
            </w:r>
            <w:r>
              <w:rPr>
                <w:rFonts w:ascii="Calibri Light" w:eastAsia="Calibri" w:hAnsi="Calibri Light" w:cs="Calibri Light"/>
                <w:color w:val="000000"/>
                <w:sz w:val="16"/>
                <w:szCs w:val="16"/>
              </w:rPr>
              <w:fldChar w:fldCharType="separate"/>
            </w:r>
            <w:r w:rsidRPr="00857FB3">
              <w:rPr>
                <w:rFonts w:ascii="Calibri Light" w:eastAsia="Calibri" w:hAnsi="Calibri Light" w:cs="Calibri Light"/>
                <w:noProof/>
                <w:color w:val="000000"/>
                <w:sz w:val="16"/>
                <w:szCs w:val="16"/>
              </w:rPr>
              <w:t>[26]</w:t>
            </w:r>
            <w:r>
              <w:rPr>
                <w:rFonts w:ascii="Calibri Light" w:eastAsia="Calibri" w:hAnsi="Calibri Light" w:cs="Calibri Light"/>
                <w:color w:val="000000"/>
                <w:sz w:val="16"/>
                <w:szCs w:val="16"/>
              </w:rPr>
              <w:fldChar w:fldCharType="end"/>
            </w:r>
            <w:r w:rsidR="00ED4054" w:rsidRPr="00ED4054">
              <w:rPr>
                <w:rFonts w:cstheme="majorHAnsi"/>
                <w:color w:val="000000"/>
                <w:sz w:val="16"/>
                <w:szCs w:val="16"/>
                <w:vertAlign w:val="superscript"/>
              </w:rPr>
              <w:t>7*</w:t>
            </w:r>
          </w:p>
        </w:tc>
        <w:tc>
          <w:tcPr>
            <w:tcW w:w="2410" w:type="dxa"/>
            <w:shd w:val="clear" w:color="auto" w:fill="auto"/>
            <w:vAlign w:val="center"/>
          </w:tcPr>
          <w:p w14:paraId="4BD13F9D"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 xml:space="preserve">POCTs - ROTEM: £139; TEG: £103; SLTs: £78; and </w:t>
            </w:r>
            <w:proofErr w:type="spellStart"/>
            <w:r w:rsidRPr="00ED4054">
              <w:rPr>
                <w:rFonts w:cstheme="majorHAnsi"/>
                <w:sz w:val="16"/>
                <w:szCs w:val="16"/>
              </w:rPr>
              <w:t>Sonoclot</w:t>
            </w:r>
            <w:proofErr w:type="spellEnd"/>
            <w:r w:rsidRPr="00ED4054">
              <w:rPr>
                <w:rFonts w:cstheme="majorHAnsi"/>
                <w:sz w:val="16"/>
                <w:szCs w:val="16"/>
              </w:rPr>
              <w:t xml:space="preserve">: £50. Laboratory tests: £182. Cost-saving was slightly smaller for ROTEM (£43) than for TEG (£79) or </w:t>
            </w:r>
            <w:proofErr w:type="spellStart"/>
            <w:r w:rsidRPr="00ED4054">
              <w:rPr>
                <w:rFonts w:cstheme="majorHAnsi"/>
                <w:sz w:val="16"/>
                <w:szCs w:val="16"/>
              </w:rPr>
              <w:t>Sonoclot</w:t>
            </w:r>
            <w:proofErr w:type="spellEnd"/>
            <w:r w:rsidRPr="00ED4054">
              <w:rPr>
                <w:rFonts w:cstheme="majorHAnsi"/>
                <w:sz w:val="16"/>
                <w:szCs w:val="16"/>
              </w:rPr>
              <w:t xml:space="preserve"> (£132).</w:t>
            </w:r>
          </w:p>
        </w:tc>
        <w:tc>
          <w:tcPr>
            <w:tcW w:w="1701" w:type="dxa"/>
            <w:shd w:val="clear" w:color="auto" w:fill="auto"/>
            <w:vAlign w:val="center"/>
          </w:tcPr>
          <w:p w14:paraId="3582564F"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3260" w:type="dxa"/>
            <w:shd w:val="clear" w:color="auto" w:fill="auto"/>
            <w:vAlign w:val="center"/>
          </w:tcPr>
          <w:p w14:paraId="6435DA3B"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QALYs - Laboratory test: 0.8762 QALYs; All POCTs: 0.8773 QALYs.</w:t>
            </w:r>
          </w:p>
        </w:tc>
        <w:tc>
          <w:tcPr>
            <w:tcW w:w="2552" w:type="dxa"/>
            <w:shd w:val="clear" w:color="auto" w:fill="auto"/>
            <w:vAlign w:val="center"/>
          </w:tcPr>
          <w:p w14:paraId="0101F8DB"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POCT dominates standard laboratory tests (in all three cases)</w:t>
            </w:r>
          </w:p>
        </w:tc>
        <w:tc>
          <w:tcPr>
            <w:tcW w:w="1782" w:type="dxa"/>
            <w:shd w:val="clear" w:color="auto" w:fill="auto"/>
            <w:vAlign w:val="center"/>
          </w:tcPr>
          <w:p w14:paraId="43B4A0DB"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In favor of POCT</w:t>
            </w:r>
          </w:p>
        </w:tc>
      </w:tr>
      <w:tr w:rsidR="00ED4054" w:rsidRPr="00ED4054" w14:paraId="002ABE69" w14:textId="77777777" w:rsidTr="005F718B">
        <w:trPr>
          <w:trHeight w:val="274"/>
        </w:trPr>
        <w:tc>
          <w:tcPr>
            <w:tcW w:w="1134" w:type="dxa"/>
            <w:shd w:val="clear" w:color="auto" w:fill="auto"/>
            <w:vAlign w:val="center"/>
          </w:tcPr>
          <w:p w14:paraId="2551A1D4" w14:textId="5E596AD9" w:rsidR="00ED4054" w:rsidRPr="00ED4054" w:rsidRDefault="00A775BF" w:rsidP="00ED4054">
            <w:pPr>
              <w:widowControl/>
              <w:adjustRightInd/>
              <w:spacing w:before="0" w:after="0" w:line="240" w:lineRule="auto"/>
              <w:jc w:val="left"/>
              <w:textAlignment w:val="auto"/>
              <w:rPr>
                <w:rFonts w:cstheme="majorHAnsi"/>
                <w:color w:val="000000"/>
                <w:sz w:val="16"/>
                <w:szCs w:val="16"/>
              </w:rPr>
            </w:pPr>
            <w:r w:rsidRPr="00FA4161">
              <w:rPr>
                <w:rFonts w:ascii="Calibri Light" w:eastAsia="Calibri" w:hAnsi="Calibri Light" w:cs="Calibri Light"/>
                <w:color w:val="000000"/>
                <w:sz w:val="16"/>
                <w:szCs w:val="16"/>
              </w:rPr>
              <w:t>Whiting et al., 2015</w:t>
            </w:r>
            <w:r>
              <w:rPr>
                <w:rFonts w:ascii="Calibri Light" w:eastAsia="Calibri" w:hAnsi="Calibri Light" w:cs="Calibri Light"/>
                <w:color w:val="000000"/>
                <w:sz w:val="16"/>
                <w:szCs w:val="16"/>
              </w:rPr>
              <w:t xml:space="preserve"> </w:t>
            </w:r>
            <w:r>
              <w:rPr>
                <w:rFonts w:ascii="Calibri Light" w:eastAsia="Calibri" w:hAnsi="Calibri Light" w:cs="Calibri Light"/>
                <w:color w:val="000000"/>
                <w:sz w:val="16"/>
                <w:szCs w:val="16"/>
              </w:rPr>
              <w:fldChar w:fldCharType="begin" w:fldLock="1"/>
            </w:r>
            <w:r>
              <w:rPr>
                <w:rFonts w:ascii="Calibri Light" w:eastAsia="Calibri" w:hAnsi="Calibri Light" w:cs="Calibri Light"/>
                <w:color w:val="000000"/>
                <w:sz w:val="16"/>
                <w:szCs w:val="16"/>
              </w:rPr>
              <w:instrText>ADDIN CSL_CITATION {"citationItems":[{"id":"ITEM-1","itemData":{"DOI":"10.3310/hta19580","ISSN":"20464924","abstract":"BACKGROUND: Patients with substantive bleeding usually require transfusion and/or (re-)operation. Red blood cell (RBC) transfusion is independently associated with a greater risk of infection, morbidity, increased hospital stay and mortality. ROTEM (ROTEM(®) Delta, TEM International GmbH, Munich, Germany; www.rotem.de ), TEG (TEG(®) 5000 analyser, Haemonetics Corporation, Niles, IL, USA; www.haemonetics.com ) and Sonoclot (Sonoclot(®) coagulation and platelet function analyser, Sienco Inc., Arvada, CO) are point-of-care viscoelastic (VE) devices that use thromboelastometry to test for haemostasis in whole blood. They have a number of proposed advantages over standard laboratory tests (SLTs): they provide a result much quicker, are able to identify what part of the clotting process is disrupted, and provide information on clot formation over time and fibrinolysis.\\n\\nOBJECTIVES: This assessment aimed to assess the clinical effectiveness and cost-effectiveness of VE devices to assist with the diagnosis, management and monitoring of haemostasis disorders during and after cardiac surgery, trauma-induced coagulopathy and post-partum haemorrhage (PPH).\\n\\nMETHODS: Sixteen databases were searched to December 2013: MEDLINE (OvidSP), MEDLINE In-Process and Other Non-Indexed Citations and Daily Update (OvidSP), EMBASE (OvidSP), BIOSIS Previews (Web of Knowledge), Science Citation Index (SCI) (Web of Science), Conference Proceedings Citation Index (CPCI-S) (Web of Science), Cochrane Database of Systematic Reviews (CDSR), Cochrane Central Register of Controlled Trials (CENTRAL), Database of Abstracts of Reviews of Effects (DARE), Health Technology Assessment (HTA) database, Latin American and Caribbean Health Sciences Literature (LILACS), International Network of Agencies for Health Technology Assessment (INAHTA), National Institute for Health Research (NIHR) HTA programme, Aggressive Research Intelligence Facility (ARIF), Medion, and the International Prospective Register of Systematic Reviews (PROSPERO). Randomised controlled trials (RCTs) were assessed for quality using the Cochrane Risk of Bias tool. Prediction studies were assessed using QUADAS-2. For RCTs, summary relative risks (RRs) were estimated using random-effects models. Continuous data were summarised narratively. For prediction studies, the odds ratio (OR) was selected as the primary effect estimate. The health-economic analysis considered the costs and quality-adjusted life-years of ROTEM, TEG and S…","author":[{"dropping-particle":"","family":"Whiting","given":"Penny","non-dropping-particle":"","parse-names":false,"suffix":""},{"dropping-particle":"","family":"Al","given":"Maiwenn","non-dropping-particle":"","parse-names":false,"suffix":""},{"dropping-particle":"","family":"Westwood","given":"Marie","non-dropping-particle":"","parse-names":false,"suffix":""},{"dropping-particle":"","family":"Ramos","given":"Isaac Corro","non-dropping-particle":"","parse-names":false,"suffix":""},{"dropping-particle":"","family":"Ryder","given":"Steve","non-dropping-particle":"","parse-names":false,"suffix":""},{"dropping-particle":"","family":"Armstrong","given":"Nigel","non-dropping-particle":"","parse-names":false,"suffix":""},{"dropping-particle":"","family":"Misso","given":"Kate","non-dropping-particle":"","parse-names":false,"suffix":""},{"dropping-particle":"","family":"Ross","given":"Janine","non-dropping-particle":"","parse-names":false,"suffix":""},{"dropping-particle":"","family":"Severens","given":"Johan","non-dropping-particle":"","parse-names":false,"suffix":""},{"dropping-particle":"","family":"Kleijnen","given":"Jos","non-dropping-particle":"","parse-names":false,"suffix":""}],"container-title":"Health Technology Assessment","id":"ITEM-1","issue":"58","issued":{"date-parts":[["2015"]]},"page":"1-228","title":"Viscoelastic point-of-care testing to assist with the diagnosis, management and monitoring of haemostasis: A systematic review and cost-effectiveness analysis","type":"article-journal","volume":"19"},"uris":["http://www.mendeley.com/documents/?uuid=ac1b2414-cc41-4b04-a53c-56b04dd7d0d9"]}],"mendeley":{"formattedCitation":"[26]","plainTextFormattedCitation":"[26]","previouslyFormattedCitation":"[26]"},"properties":{"noteIndex":0},"schema":"https://github.com/citation-style-language/schema/raw/master/csl-citation.json"}</w:instrText>
            </w:r>
            <w:r>
              <w:rPr>
                <w:rFonts w:ascii="Calibri Light" w:eastAsia="Calibri" w:hAnsi="Calibri Light" w:cs="Calibri Light"/>
                <w:color w:val="000000"/>
                <w:sz w:val="16"/>
                <w:szCs w:val="16"/>
              </w:rPr>
              <w:fldChar w:fldCharType="separate"/>
            </w:r>
            <w:r w:rsidRPr="00857FB3">
              <w:rPr>
                <w:rFonts w:ascii="Calibri Light" w:eastAsia="Calibri" w:hAnsi="Calibri Light" w:cs="Calibri Light"/>
                <w:noProof/>
                <w:color w:val="000000"/>
                <w:sz w:val="16"/>
                <w:szCs w:val="16"/>
              </w:rPr>
              <w:t>[26]</w:t>
            </w:r>
            <w:r>
              <w:rPr>
                <w:rFonts w:ascii="Calibri Light" w:eastAsia="Calibri" w:hAnsi="Calibri Light" w:cs="Calibri Light"/>
                <w:color w:val="000000"/>
                <w:sz w:val="16"/>
                <w:szCs w:val="16"/>
              </w:rPr>
              <w:fldChar w:fldCharType="end"/>
            </w:r>
            <w:r w:rsidR="00ED4054" w:rsidRPr="00ED4054">
              <w:rPr>
                <w:rFonts w:cstheme="majorHAnsi"/>
                <w:color w:val="000000"/>
                <w:sz w:val="16"/>
                <w:szCs w:val="16"/>
                <w:vertAlign w:val="superscript"/>
              </w:rPr>
              <w:t>8*</w:t>
            </w:r>
          </w:p>
        </w:tc>
        <w:tc>
          <w:tcPr>
            <w:tcW w:w="2410" w:type="dxa"/>
            <w:shd w:val="clear" w:color="auto" w:fill="auto"/>
            <w:vAlign w:val="center"/>
          </w:tcPr>
          <w:p w14:paraId="47BA1B54"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 xml:space="preserve">POCTs - ROTEM: £203; TEG: £170; SLTs: £130; and </w:t>
            </w:r>
            <w:proofErr w:type="spellStart"/>
            <w:r w:rsidRPr="00ED4054">
              <w:rPr>
                <w:rFonts w:cstheme="majorHAnsi"/>
                <w:sz w:val="16"/>
                <w:szCs w:val="16"/>
              </w:rPr>
              <w:t>Sonoclot</w:t>
            </w:r>
            <w:proofErr w:type="spellEnd"/>
            <w:r w:rsidRPr="00ED4054">
              <w:rPr>
                <w:rFonts w:cstheme="majorHAnsi"/>
                <w:sz w:val="16"/>
                <w:szCs w:val="16"/>
              </w:rPr>
              <w:t xml:space="preserve">: £73. Laboratory tests: £891. Cost-saving were £688 for ROTEM, £721 for TEG and £818 for </w:t>
            </w:r>
            <w:proofErr w:type="spellStart"/>
            <w:r w:rsidRPr="00ED4054">
              <w:rPr>
                <w:rFonts w:cstheme="majorHAnsi"/>
                <w:sz w:val="16"/>
                <w:szCs w:val="16"/>
              </w:rPr>
              <w:t>Sonoclot</w:t>
            </w:r>
            <w:proofErr w:type="spellEnd"/>
            <w:r w:rsidRPr="00ED4054">
              <w:rPr>
                <w:rFonts w:cstheme="majorHAnsi"/>
                <w:sz w:val="16"/>
                <w:szCs w:val="16"/>
              </w:rPr>
              <w:t>.</w:t>
            </w:r>
          </w:p>
        </w:tc>
        <w:tc>
          <w:tcPr>
            <w:tcW w:w="1701" w:type="dxa"/>
            <w:shd w:val="clear" w:color="auto" w:fill="auto"/>
            <w:vAlign w:val="center"/>
          </w:tcPr>
          <w:p w14:paraId="49B75323"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3260" w:type="dxa"/>
            <w:shd w:val="clear" w:color="auto" w:fill="auto"/>
            <w:vAlign w:val="center"/>
          </w:tcPr>
          <w:p w14:paraId="18FD3597"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QALYs -Laboratory test: 0.5644 QALYs; All POCTs: 0.5713 QALYs</w:t>
            </w:r>
          </w:p>
        </w:tc>
        <w:tc>
          <w:tcPr>
            <w:tcW w:w="2552" w:type="dxa"/>
            <w:shd w:val="clear" w:color="auto" w:fill="auto"/>
            <w:vAlign w:val="center"/>
          </w:tcPr>
          <w:p w14:paraId="44FDAD75"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POCT dominates standard laboratory tests (in all three cases)</w:t>
            </w:r>
          </w:p>
        </w:tc>
        <w:tc>
          <w:tcPr>
            <w:tcW w:w="1782" w:type="dxa"/>
            <w:shd w:val="clear" w:color="auto" w:fill="auto"/>
            <w:vAlign w:val="center"/>
          </w:tcPr>
          <w:p w14:paraId="52F445E8"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In favor of POCT</w:t>
            </w:r>
          </w:p>
        </w:tc>
      </w:tr>
      <w:tr w:rsidR="00ED4054" w:rsidRPr="00ED4054" w14:paraId="542BAFF7" w14:textId="77777777" w:rsidTr="005F718B">
        <w:trPr>
          <w:trHeight w:val="274"/>
        </w:trPr>
        <w:tc>
          <w:tcPr>
            <w:tcW w:w="1134" w:type="dxa"/>
            <w:shd w:val="clear" w:color="auto" w:fill="auto"/>
            <w:vAlign w:val="center"/>
          </w:tcPr>
          <w:p w14:paraId="02D76F8E" w14:textId="546BF9DB" w:rsidR="00ED4054" w:rsidRPr="00ED4054" w:rsidRDefault="00FB4DCE"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Asha et al., 2014</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10.1136/emermed-2013-202632","author":[{"dropping-particle":"","family":"Asha","given":"SE","non-dropping-particle":"","parse-names":false,"suffix":""},{"dropping-particle":"","family":"AC","given":"Chan","non-dropping-particle":"","parse-names":false,"suffix":""},{"dropping-particle":"","family":"E","given":"Walter","non-dropping-particle":"","parse-names":false,"suffix":""},{"dropping-particle":"","family":"PJ","given":"Kelly","non-dropping-particle":"","parse-names":false,"suffix":""},{"dropping-particle":"","family":"RL","given":"Morton","non-dropping-particle":"","parse-names":false,"suffix":""},{"dropping-particle":"","family":"A","given":"Ajami","non-dropping-particle":"","parse-names":false,"suffix":""},{"dropping-particle":"","family":"RD","given":"Wilson","non-dropping-particle":"","parse-names":false,"suffix":""},{"dropping-particle":"","family":"D.","given":"Honneyman","non-dropping-particle":"","parse-names":false,"suffix":""}],"container-title":"Emergency Medicine Journal","id":"ITEM-1","issue":"9","issued":{"date-parts":[["2014"]]},"page":"714-719","title":"Impact from point of care devices on emergency department patient processing times compared to central laboratory testing of blood samples: a randomised controlled trial and cost-effectiveness analysis.","type":"article-journal","volume":"31"},"uris":["http://www.mendeley.com/documents/?uuid=65fecfa0-1099-4013-a477-67474cf66e6e"]}],"mendeley":{"formattedCitation":"[64]","plainTextFormattedCitation":"[64]","previouslyFormattedCitation":"[63]"},"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[64]</w:t>
            </w:r>
            <w:r>
              <w:rPr>
                <w:rFonts w:ascii="Calibri Light" w:hAnsi="Calibri Light" w:cs="Calibri Light"/>
                <w:color w:val="000000"/>
                <w:sz w:val="16"/>
                <w:szCs w:val="18"/>
              </w:rPr>
              <w:fldChar w:fldCharType="end"/>
            </w:r>
          </w:p>
        </w:tc>
        <w:tc>
          <w:tcPr>
            <w:tcW w:w="2410" w:type="dxa"/>
            <w:shd w:val="clear" w:color="auto" w:fill="auto"/>
            <w:vAlign w:val="center"/>
          </w:tcPr>
          <w:p w14:paraId="1DDF50EA"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POCT: $174+/-$157; Laboratory testing: $150+/-$129; net difference: $24 (95%CI $4–$44).</w:t>
            </w:r>
          </w:p>
        </w:tc>
        <w:tc>
          <w:tcPr>
            <w:tcW w:w="1701" w:type="dxa"/>
            <w:shd w:val="clear" w:color="auto" w:fill="auto"/>
            <w:vAlign w:val="center"/>
          </w:tcPr>
          <w:p w14:paraId="1B2FD6F2"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3260" w:type="dxa"/>
            <w:shd w:val="clear" w:color="auto" w:fill="auto"/>
            <w:vAlign w:val="center"/>
          </w:tcPr>
          <w:p w14:paraId="1555D37A"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Time to disposition decision - POCT: 3.24 hours; laboratory testing: 3.50 hours. Emergency department length-of-stay - POCT: 4.32 hours; laboratory testing: 4.52 hours.</w:t>
            </w:r>
          </w:p>
        </w:tc>
        <w:tc>
          <w:tcPr>
            <w:tcW w:w="2552" w:type="dxa"/>
            <w:shd w:val="clear" w:color="auto" w:fill="auto"/>
            <w:vAlign w:val="center"/>
          </w:tcPr>
          <w:p w14:paraId="189EAB14"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ICER: $113 per hour saved in time to disposition decision</w:t>
            </w:r>
          </w:p>
        </w:tc>
        <w:tc>
          <w:tcPr>
            <w:tcW w:w="1782" w:type="dxa"/>
            <w:shd w:val="clear" w:color="auto" w:fill="auto"/>
            <w:vAlign w:val="center"/>
          </w:tcPr>
          <w:p w14:paraId="1A15DF7E"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In favor of POCT</w:t>
            </w:r>
          </w:p>
        </w:tc>
      </w:tr>
      <w:tr w:rsidR="00ED4054" w:rsidRPr="00ED4054" w14:paraId="4696B624" w14:textId="77777777" w:rsidTr="005F718B">
        <w:trPr>
          <w:trHeight w:val="274"/>
        </w:trPr>
        <w:tc>
          <w:tcPr>
            <w:tcW w:w="1134" w:type="dxa"/>
            <w:shd w:val="clear" w:color="auto" w:fill="auto"/>
            <w:vAlign w:val="center"/>
          </w:tcPr>
          <w:p w14:paraId="2B0A67FE" w14:textId="7917275F" w:rsidR="00ED4054" w:rsidRPr="00ED4054" w:rsidRDefault="008D231C" w:rsidP="00ED4054">
            <w:pPr>
              <w:widowControl/>
              <w:adjustRightInd/>
              <w:spacing w:before="0" w:after="0" w:line="240" w:lineRule="auto"/>
              <w:jc w:val="left"/>
              <w:textAlignment w:val="auto"/>
              <w:rPr>
                <w:rFonts w:cstheme="majorHAnsi"/>
                <w:color w:val="000000"/>
                <w:sz w:val="16"/>
                <w:szCs w:val="16"/>
              </w:rPr>
            </w:pPr>
            <w:proofErr w:type="spellStart"/>
            <w:r w:rsidRPr="00F03ECE">
              <w:rPr>
                <w:rFonts w:ascii="Calibri Light" w:hAnsi="Calibri Light" w:cs="Calibri Light"/>
                <w:color w:val="000000"/>
                <w:sz w:val="16"/>
                <w:szCs w:val="18"/>
              </w:rPr>
              <w:t>Hyle</w:t>
            </w:r>
            <w:proofErr w:type="spellEnd"/>
            <w:r w:rsidRPr="00F03ECE">
              <w:rPr>
                <w:rFonts w:ascii="Calibri Light" w:hAnsi="Calibri Light" w:cs="Calibri Light"/>
                <w:color w:val="000000"/>
                <w:sz w:val="16"/>
                <w:szCs w:val="18"/>
              </w:rPr>
              <w:t xml:space="preserve"> et al., 2014</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10.1371/journal.pmed.1001725","author":[{"dropping-particle":"","family":"Resch","given":"Stephen","non-dropping-particle":"","parse-names":false,"suffix":""},{"dropping-particle":"","family":"Lehe","given":"Jonathan","non-dropping-particle":"","parse-names":false,"suffix":""},{"dropping-particle":"","family":"Su","given":"Amanda E.","non-dropping-particle":"","parse-names":false,"suffix":""},{"dropping-particle":"V.","family":"Jani","given":"Ilesh","non-dropping-particle":"","parse-names":false,"suffix":""},{"dropping-particle":"","family":"Peter","given":"Trevor","non-dropping-particle":"","parse-names":false,"suffix":""},{"dropping-particle":"","family":"Quevedo","given":"Jorge","non-dropping-particle":"","parse-names":false,"suffix":""},{"dropping-particle":"","family":"Walensky","given":"Rochelle P.","non-dropping-particle":"","parse-names":false,"suffix":""},{"dropping-particle":"","family":"Wood","given":"Robin","non-dropping-particle":"","parse-names":false,"suffix":""},{"dropping-particle":"","family":"Freedberg","given":"Kenneth A.","non-dropping-particle":"","parse-names":false,"suffix":""},{"dropping-particle":"","family":"Hyle","given":"Emily P.","non-dropping-particle":"","parse-names":false,"suffix":""},{"dropping-particle":"","family":"Paltiel","given":"A. David","non-dropping-particle":"","parse-names":false,"suffix":""},{"dropping-particle":"","family":"Losina","given":"Elena","non-dropping-particle":"","parse-names":false,"suffix":""},{"dropping-particle":"","family":"Pei","given":"Pamela P.","non-dropping-particle":"","parse-names":false,"suffix":""},{"dropping-particle":"V.","family":"Bassett","given":"Ingrid","non-dropping-particle":"","parse-names":false,"suffix":""}],"container-title":"PLoS Medicine","id":"ITEM-1","issue":"9","issued":{"date-parts":[["2014"]]},"page":"e1001725","title":"The Clinical and Economic Impact of Point-of-Care CD4 Testing in Mozambique and Other Resource-Limited Settings: A Cost-Effectiveness Analysis","type":"article-journal","volume":"11"},"uris":["http://www.mendeley.com/documents/?uuid=a164c768-a5d6-4ac5-93ae-155d7c1f51a9"]}],"mendeley":{"formattedCitation":"[67]","plainTextFormattedCitation":"[67]","previouslyFormattedCitation":"[66]"},"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[67]</w:t>
            </w:r>
            <w:r>
              <w:rPr>
                <w:rFonts w:ascii="Calibri Light" w:hAnsi="Calibri Light" w:cs="Calibri Light"/>
                <w:color w:val="000000"/>
                <w:sz w:val="16"/>
                <w:szCs w:val="18"/>
              </w:rPr>
              <w:fldChar w:fldCharType="end"/>
            </w:r>
          </w:p>
        </w:tc>
        <w:tc>
          <w:tcPr>
            <w:tcW w:w="2410" w:type="dxa"/>
            <w:shd w:val="clear" w:color="auto" w:fill="auto"/>
            <w:vAlign w:val="center"/>
          </w:tcPr>
          <w:p w14:paraId="4944418E"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 xml:space="preserve">POCT: $2,800 (95% CI, $2,790–$2,800); Laboratory testing: $2,440 (95% CI, $2,440–$2,450). </w:t>
            </w:r>
          </w:p>
        </w:tc>
        <w:tc>
          <w:tcPr>
            <w:tcW w:w="1701" w:type="dxa"/>
            <w:shd w:val="clear" w:color="auto" w:fill="auto"/>
            <w:vAlign w:val="center"/>
          </w:tcPr>
          <w:p w14:paraId="5A93CCF6"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3260" w:type="dxa"/>
            <w:shd w:val="clear" w:color="auto" w:fill="auto"/>
            <w:vAlign w:val="center"/>
          </w:tcPr>
          <w:p w14:paraId="732AD42D"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5-year survival - laboratory testing: 60.9% (95% CI, 60.9%–61.0%); POCT: 65.0% (95% CI, 64.9%–65.1%). Life expectancy - laboratory testing: 9.6 years (95% CI, 9.6–9.6); POCT: 10.3 years (95% CI, 10.3–10.3).</w:t>
            </w:r>
          </w:p>
        </w:tc>
        <w:tc>
          <w:tcPr>
            <w:tcW w:w="2552" w:type="dxa"/>
            <w:shd w:val="clear" w:color="auto" w:fill="auto"/>
            <w:vAlign w:val="center"/>
          </w:tcPr>
          <w:p w14:paraId="4D1AC83E"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ICER: $500/YLS (95% confidence interval: $480–$520/YLS)</w:t>
            </w:r>
          </w:p>
        </w:tc>
        <w:tc>
          <w:tcPr>
            <w:tcW w:w="1782" w:type="dxa"/>
            <w:shd w:val="clear" w:color="auto" w:fill="auto"/>
            <w:vAlign w:val="center"/>
          </w:tcPr>
          <w:p w14:paraId="1780E325"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In favor of POCT</w:t>
            </w:r>
          </w:p>
        </w:tc>
      </w:tr>
      <w:tr w:rsidR="00ED4054" w:rsidRPr="00ED4054" w14:paraId="7CAC793B" w14:textId="77777777" w:rsidTr="005F718B">
        <w:trPr>
          <w:trHeight w:val="274"/>
        </w:trPr>
        <w:tc>
          <w:tcPr>
            <w:tcW w:w="1134" w:type="dxa"/>
            <w:shd w:val="clear" w:color="auto" w:fill="auto"/>
            <w:vAlign w:val="center"/>
          </w:tcPr>
          <w:p w14:paraId="1ED669A8" w14:textId="4F9318C2" w:rsidR="00ED4054" w:rsidRPr="00ED4054" w:rsidRDefault="00656226"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Fitzgerald et al., 2011</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author":[{"dropping-particle":"","family":"Fitzgerald","given":"P","non-dropping-particle":"","parse-names":false,"suffix":""},{"dropping-particle":"","family":"Goodacre","given":"S.W","non-dropping-particle":"","parse-names":false,"suffix":""},{"dropping-particle":"","family":"Cross","given":"E","non-dropping-particle":"","parse-names":false,"suffix":""},{"dropping-particle":"","family":"Dixon","given":"S","non-dropping-particle":"","parse-names":false,"suffix":""}],"container-title":"Academic Emergency Medicine","id":"ITEM-1","issue":"5","issued":{"date-parts":[["2011"]]},"page":"488-495","title":"Cost-effectiveness of Point-of-care Biomarker Assessment for Suspected Myocardial Infarction: The Randomized Assessment of Treatment Using Panel Assay of Cardiac Markers (RATPAC) Trial","type":"article-journal","volume":"18"},"uris":["http://www.mendeley.com/documents/?uuid=61e797da-5ba0-4b1d-814e-5d87ab10e4e5"]}],"mendeley":{"formattedCitation":"[74]","plainTextFormattedCitation":"[74]","previouslyFormattedCitation":"[73]"},"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[74]</w:t>
            </w:r>
            <w:r>
              <w:rPr>
                <w:rFonts w:ascii="Calibri Light" w:hAnsi="Calibri Light" w:cs="Calibri Light"/>
                <w:color w:val="000000"/>
                <w:sz w:val="16"/>
                <w:szCs w:val="18"/>
              </w:rPr>
              <w:fldChar w:fldCharType="end"/>
            </w:r>
          </w:p>
        </w:tc>
        <w:tc>
          <w:tcPr>
            <w:tcW w:w="2410" w:type="dxa"/>
            <w:shd w:val="clear" w:color="auto" w:fill="auto"/>
            <w:vAlign w:val="center"/>
          </w:tcPr>
          <w:p w14:paraId="22A01F0F"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POCT: £1217.14 (standard deviation [SD] ± 3164.93); Standard care: £1005.91 (SD ± £1907.55).</w:t>
            </w:r>
          </w:p>
        </w:tc>
        <w:tc>
          <w:tcPr>
            <w:tcW w:w="1701" w:type="dxa"/>
            <w:shd w:val="clear" w:color="auto" w:fill="auto"/>
            <w:vAlign w:val="center"/>
          </w:tcPr>
          <w:p w14:paraId="73D451CC"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3260" w:type="dxa"/>
            <w:shd w:val="clear" w:color="auto" w:fill="auto"/>
            <w:vAlign w:val="center"/>
          </w:tcPr>
          <w:p w14:paraId="3352E6A9"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QALYs - Standard care: 0.161 (SD ± 0.052) QALYs; POCT: 0.158 (SD ± 0.056); Difference: -0.003.</w:t>
            </w:r>
          </w:p>
        </w:tc>
        <w:tc>
          <w:tcPr>
            <w:tcW w:w="2552" w:type="dxa"/>
            <w:shd w:val="clear" w:color="auto" w:fill="auto"/>
            <w:vAlign w:val="center"/>
          </w:tcPr>
          <w:p w14:paraId="0E67BC70"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High probability that POC strategy is dominated by standard care (empirical probability = 0.888). Probability of POCT being cost effective at £20,000 ⁄ QALY ($31,229) is very low (0.004).</w:t>
            </w:r>
          </w:p>
        </w:tc>
        <w:tc>
          <w:tcPr>
            <w:tcW w:w="1782" w:type="dxa"/>
            <w:shd w:val="clear" w:color="auto" w:fill="auto"/>
            <w:vAlign w:val="center"/>
          </w:tcPr>
          <w:p w14:paraId="3CB4BC66"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Against POCT</w:t>
            </w:r>
          </w:p>
        </w:tc>
      </w:tr>
      <w:tr w:rsidR="00ED4054" w:rsidRPr="00ED4054" w14:paraId="66E1FFF2" w14:textId="77777777" w:rsidTr="005F718B">
        <w:trPr>
          <w:trHeight w:val="274"/>
        </w:trPr>
        <w:tc>
          <w:tcPr>
            <w:tcW w:w="1134" w:type="dxa"/>
            <w:shd w:val="clear" w:color="auto" w:fill="auto"/>
            <w:vAlign w:val="center"/>
          </w:tcPr>
          <w:p w14:paraId="7FB3C703" w14:textId="0C7E1BFE" w:rsidR="00ED4054" w:rsidRPr="00ED4054" w:rsidRDefault="00AA6FD3" w:rsidP="00ED4054">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Golden et al., 2010</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{"citationItems":[{"id":"ITEM-1","itemData":{"DOI":"10.1097/POC.0b013e3181d9f72d","ISSN":"1533029X","abstract":"Although point-of-care testing (POCT) generally improves laboratory test turnaround times (TATs), it has been difficult to demonstrate objective improvements in patient outcomes. The goal of this study was to provide objective evidence that POCT for arterial blood gases (ABGs) during cardiac catheterization (CC) improves clinical outcomes in pediatric patients. Secondary objectives were to assess physician satisfaction and cost-benefit ratio. Patients undergoing CC during the first quarter of 2007 (n = 38), during which time ABG samples were manually transported to the central laboratory, and patients undergoing CC during the first quarter of 2008 (n = 50), after implementation of a POC blood gas analyzer, were included in the study. The predictor variable was ABG TAT. The outcome variables were the number of ABG analyses performed, the total anesthesia time, and pH, Pco2, and base deficit at the conclusion of the procedure. The mean TAT for the ABG analyses performed in the central laboratory was 10 minutes (range, 2-21 minutes), and the TAT for the ABG analyses performed by the POC analyzer was 2.5 minutes. The only outcome variable that achieved statistical significance was the base deficit; however, the difference was not clinically significant. The rapid availability of ABG results had a demonstrable impact on successful resuscitation and contributed to improved physician satisfaction with the care they provided. The incremental cost of POCT was estimated to be $33 per test. Although the study did not demonstrate objective measures of improved patient outcomes, subjective determinations of improved patient care may be sufficient to justify the increased costs of POCT. Copyright © 2010 by Lippincott Williams &amp; Wilkins.","author":[{"dropping-particle":"","family":"Golden","given":"Alex B.","non-dropping-particle":"","parse-names":false,"suffix":""},{"dropping-particle":"","family":"Hill","given":"James A.","non-dropping-particle":"","parse-names":false,"suffix":""},{"dropping-particle":"","family":"O'Riordan","given":"Mary Anne","non-dropping-particle":"","parse-names":false,"suffix":""},{"dropping-particle":"","family":"Sandhaus","given":"Linda M.","non-dropping-particle":"","parse-names":false,"suffix":""}],"container-title":"Point of Care","id":"ITEM-1","issue":"2","issued":{"date-parts":[["2010"]]},"page":"108-110","title":"Point-of-care blood gas analysis in the pediatric cardiac catheterization suite: A clinical outcome study","type":"article-journal","volume":"9"},"uris":["http://www.mendeley.com/documents/?uuid=ad9afe3c-63cd-4c3c-9cc3-1a969ecc00ed"]}],"mendeley":{"formattedCitation":"[76]","plainTextFormattedCitation":"[76]","previouslyFormattedCitation":"[75]"},"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[76]</w:t>
            </w:r>
            <w:r>
              <w:rPr>
                <w:rFonts w:ascii="Calibri Light" w:hAnsi="Calibri Light" w:cs="Calibri Light"/>
                <w:color w:val="000000"/>
                <w:sz w:val="16"/>
                <w:szCs w:val="18"/>
              </w:rPr>
              <w:fldChar w:fldCharType="end"/>
            </w:r>
          </w:p>
        </w:tc>
        <w:tc>
          <w:tcPr>
            <w:tcW w:w="2410" w:type="dxa"/>
            <w:shd w:val="clear" w:color="auto" w:fill="auto"/>
            <w:vAlign w:val="center"/>
          </w:tcPr>
          <w:p w14:paraId="2EE6C496"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sz w:val="16"/>
                <w:szCs w:val="16"/>
              </w:rPr>
              <w:t>POCT: $37; Laboratory testing: $4</w:t>
            </w:r>
          </w:p>
        </w:tc>
        <w:tc>
          <w:tcPr>
            <w:tcW w:w="1701" w:type="dxa"/>
            <w:shd w:val="clear" w:color="auto" w:fill="auto"/>
            <w:vAlign w:val="center"/>
          </w:tcPr>
          <w:p w14:paraId="66108A21"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3260" w:type="dxa"/>
            <w:shd w:val="clear" w:color="auto" w:fill="auto"/>
            <w:vAlign w:val="center"/>
          </w:tcPr>
          <w:p w14:paraId="238FF373"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 xml:space="preserve">TAT – POCT: 2.5; Laboratory testing: 10min. Total anesthesia time: no difference. Physician satisfaction: improved satisfaction when using POCT. </w:t>
            </w:r>
          </w:p>
        </w:tc>
        <w:tc>
          <w:tcPr>
            <w:tcW w:w="2552" w:type="dxa"/>
            <w:shd w:val="clear" w:color="auto" w:fill="auto"/>
            <w:vAlign w:val="center"/>
          </w:tcPr>
          <w:p w14:paraId="647B45FC"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p>
        </w:tc>
        <w:tc>
          <w:tcPr>
            <w:tcW w:w="1782" w:type="dxa"/>
            <w:shd w:val="clear" w:color="auto" w:fill="auto"/>
            <w:vAlign w:val="center"/>
          </w:tcPr>
          <w:p w14:paraId="6838D220" w14:textId="77777777" w:rsidR="00ED4054" w:rsidRPr="00ED4054" w:rsidRDefault="00ED4054" w:rsidP="00ED4054">
            <w:pPr>
              <w:widowControl/>
              <w:adjustRightInd/>
              <w:spacing w:before="0" w:after="0" w:line="240" w:lineRule="auto"/>
              <w:jc w:val="left"/>
              <w:textAlignment w:val="auto"/>
              <w:rPr>
                <w:rFonts w:cstheme="majorHAnsi"/>
                <w:color w:val="000000"/>
                <w:sz w:val="16"/>
                <w:szCs w:val="16"/>
              </w:rPr>
            </w:pPr>
            <w:r w:rsidRPr="00ED4054">
              <w:rPr>
                <w:rFonts w:cstheme="majorHAnsi"/>
                <w:color w:val="000000"/>
                <w:sz w:val="16"/>
                <w:szCs w:val="16"/>
              </w:rPr>
              <w:t>Neither against nor in favor of POCT: did not improve patient outcomes, but can improve patient care</w:t>
            </w:r>
          </w:p>
        </w:tc>
      </w:tr>
      <w:tr w:rsidR="00ED4054" w:rsidRPr="00ED4054" w14:paraId="51BB5AC2" w14:textId="77777777" w:rsidTr="005F718B">
        <w:trPr>
          <w:trHeight w:val="699"/>
        </w:trPr>
        <w:tc>
          <w:tcPr>
            <w:tcW w:w="12839" w:type="dxa"/>
            <w:gridSpan w:val="6"/>
            <w:shd w:val="clear" w:color="auto" w:fill="auto"/>
            <w:vAlign w:val="center"/>
          </w:tcPr>
          <w:p w14:paraId="0724DD74" w14:textId="77777777" w:rsidR="00ED4054" w:rsidRPr="00ED4054" w:rsidRDefault="00ED4054" w:rsidP="00ED4054">
            <w:pPr>
              <w:widowControl/>
              <w:adjustRightInd/>
              <w:spacing w:before="0" w:after="0" w:line="240" w:lineRule="auto"/>
              <w:jc w:val="left"/>
              <w:textAlignment w:val="auto"/>
              <w:rPr>
                <w:rFonts w:ascii="Calibri Light" w:hAnsi="Calibri Light" w:cs="Calibri Light"/>
                <w:color w:val="000000"/>
                <w:sz w:val="16"/>
                <w:szCs w:val="16"/>
              </w:rPr>
            </w:pPr>
            <w:r w:rsidRPr="00ED4054">
              <w:rPr>
                <w:rFonts w:ascii="Calibri Light" w:hAnsi="Calibri Light" w:cs="Calibri Light"/>
                <w:color w:val="000000"/>
                <w:sz w:val="16"/>
                <w:szCs w:val="16"/>
                <w:vertAlign w:val="superscript"/>
              </w:rPr>
              <w:t>1</w:t>
            </w:r>
            <w:r w:rsidRPr="00ED4054">
              <w:rPr>
                <w:rFonts w:ascii="Calibri Light" w:hAnsi="Calibri Light" w:cs="Calibri Light"/>
                <w:color w:val="000000"/>
                <w:sz w:val="16"/>
                <w:szCs w:val="16"/>
              </w:rPr>
              <w:t xml:space="preserve"> Acute coronary syndrome</w:t>
            </w:r>
          </w:p>
          <w:p w14:paraId="2C506C41" w14:textId="77777777" w:rsidR="00ED4054" w:rsidRPr="00ED4054" w:rsidRDefault="00ED4054" w:rsidP="00ED4054">
            <w:pPr>
              <w:widowControl/>
              <w:adjustRightInd/>
              <w:spacing w:before="0" w:after="0" w:line="240" w:lineRule="auto"/>
              <w:jc w:val="left"/>
              <w:textAlignment w:val="auto"/>
              <w:rPr>
                <w:rFonts w:ascii="Calibri Light" w:hAnsi="Calibri Light" w:cs="Calibri Light"/>
                <w:color w:val="000000"/>
                <w:sz w:val="16"/>
                <w:szCs w:val="16"/>
              </w:rPr>
            </w:pPr>
            <w:r w:rsidRPr="00ED4054">
              <w:rPr>
                <w:rFonts w:ascii="Calibri Light" w:hAnsi="Calibri Light" w:cs="Calibri Light"/>
                <w:color w:val="000000"/>
                <w:sz w:val="16"/>
                <w:szCs w:val="16"/>
                <w:vertAlign w:val="superscript"/>
              </w:rPr>
              <w:t>2</w:t>
            </w:r>
            <w:r w:rsidRPr="00ED4054">
              <w:rPr>
                <w:rFonts w:ascii="Calibri Light" w:hAnsi="Calibri Light" w:cs="Calibri Light"/>
                <w:color w:val="000000"/>
                <w:sz w:val="16"/>
                <w:szCs w:val="16"/>
              </w:rPr>
              <w:t xml:space="preserve"> Renal failure</w:t>
            </w:r>
          </w:p>
          <w:p w14:paraId="2455CD89" w14:textId="77777777" w:rsidR="00ED4054" w:rsidRPr="00ED4054" w:rsidRDefault="00ED4054" w:rsidP="00ED4054">
            <w:pPr>
              <w:widowControl/>
              <w:adjustRightInd/>
              <w:spacing w:before="0" w:after="0" w:line="240" w:lineRule="auto"/>
              <w:jc w:val="left"/>
              <w:textAlignment w:val="auto"/>
              <w:rPr>
                <w:rFonts w:ascii="Calibri Light" w:hAnsi="Calibri Light" w:cs="Calibri Light"/>
                <w:color w:val="000000"/>
                <w:sz w:val="16"/>
                <w:szCs w:val="16"/>
              </w:rPr>
            </w:pPr>
            <w:r w:rsidRPr="00ED4054">
              <w:rPr>
                <w:rFonts w:ascii="Calibri Light" w:hAnsi="Calibri Light" w:cs="Calibri Light"/>
                <w:color w:val="000000"/>
                <w:sz w:val="16"/>
                <w:szCs w:val="16"/>
                <w:vertAlign w:val="superscript"/>
              </w:rPr>
              <w:t>3</w:t>
            </w:r>
            <w:r w:rsidRPr="00ED4054">
              <w:rPr>
                <w:rFonts w:ascii="Calibri Light" w:hAnsi="Calibri Light" w:cs="Calibri Light"/>
                <w:color w:val="000000"/>
                <w:sz w:val="16"/>
                <w:szCs w:val="16"/>
              </w:rPr>
              <w:t xml:space="preserve"> Diarrhea/dehydration</w:t>
            </w:r>
          </w:p>
          <w:p w14:paraId="0ABAC508" w14:textId="77777777" w:rsidR="00ED4054" w:rsidRPr="00ED4054" w:rsidRDefault="00ED4054" w:rsidP="00ED4054">
            <w:pPr>
              <w:widowControl/>
              <w:adjustRightInd/>
              <w:spacing w:before="0" w:after="0" w:line="240" w:lineRule="auto"/>
              <w:jc w:val="left"/>
              <w:textAlignment w:val="auto"/>
              <w:rPr>
                <w:rFonts w:ascii="Calibri Light" w:hAnsi="Calibri Light" w:cs="Calibri Light"/>
                <w:color w:val="000000"/>
                <w:sz w:val="16"/>
                <w:szCs w:val="16"/>
              </w:rPr>
            </w:pPr>
            <w:r w:rsidRPr="00ED4054">
              <w:rPr>
                <w:rFonts w:ascii="Calibri Light" w:hAnsi="Calibri Light" w:cs="Calibri Light"/>
                <w:color w:val="000000"/>
                <w:sz w:val="16"/>
                <w:szCs w:val="16"/>
                <w:vertAlign w:val="superscript"/>
              </w:rPr>
              <w:t>4</w:t>
            </w:r>
            <w:r w:rsidRPr="00ED4054">
              <w:rPr>
                <w:rFonts w:ascii="Calibri Light" w:hAnsi="Calibri Light" w:cs="Calibri Light"/>
                <w:color w:val="000000"/>
                <w:sz w:val="16"/>
                <w:szCs w:val="16"/>
              </w:rPr>
              <w:t xml:space="preserve"> Current care</w:t>
            </w:r>
          </w:p>
          <w:p w14:paraId="3A258997" w14:textId="77777777" w:rsidR="00ED4054" w:rsidRPr="00ED4054" w:rsidRDefault="00ED4054" w:rsidP="00ED4054">
            <w:pPr>
              <w:widowControl/>
              <w:adjustRightInd/>
              <w:spacing w:before="0" w:after="0" w:line="240" w:lineRule="auto"/>
              <w:jc w:val="left"/>
              <w:textAlignment w:val="auto"/>
              <w:rPr>
                <w:rFonts w:ascii="Calibri Light" w:hAnsi="Calibri Light" w:cs="Calibri Light"/>
                <w:color w:val="000000"/>
                <w:sz w:val="16"/>
                <w:szCs w:val="16"/>
              </w:rPr>
            </w:pPr>
            <w:r w:rsidRPr="00ED4054">
              <w:rPr>
                <w:rFonts w:ascii="Calibri Light" w:hAnsi="Calibri Light" w:cs="Calibri Light"/>
                <w:color w:val="000000"/>
                <w:sz w:val="16"/>
                <w:szCs w:val="16"/>
                <w:vertAlign w:val="superscript"/>
              </w:rPr>
              <w:t>5</w:t>
            </w:r>
            <w:r w:rsidRPr="00ED4054">
              <w:rPr>
                <w:rFonts w:ascii="Calibri Light" w:hAnsi="Calibri Light" w:cs="Calibri Light"/>
                <w:color w:val="000000"/>
                <w:sz w:val="16"/>
                <w:szCs w:val="16"/>
              </w:rPr>
              <w:t xml:space="preserve"> Enhanced counselling and testing context</w:t>
            </w:r>
          </w:p>
          <w:p w14:paraId="4D1C3CD9" w14:textId="77777777" w:rsidR="00ED4054" w:rsidRPr="00ED4054" w:rsidRDefault="00ED4054" w:rsidP="00ED4054">
            <w:pPr>
              <w:widowControl/>
              <w:adjustRightInd/>
              <w:spacing w:before="0" w:after="0" w:line="240" w:lineRule="auto"/>
              <w:jc w:val="left"/>
              <w:textAlignment w:val="auto"/>
              <w:rPr>
                <w:rFonts w:ascii="Calibri Light" w:hAnsi="Calibri Light" w:cs="Calibri Light"/>
                <w:color w:val="000000"/>
                <w:sz w:val="16"/>
                <w:szCs w:val="16"/>
              </w:rPr>
            </w:pPr>
            <w:r w:rsidRPr="00ED4054">
              <w:rPr>
                <w:rFonts w:ascii="Calibri Light" w:hAnsi="Calibri Light" w:cs="Calibri Light"/>
                <w:color w:val="000000"/>
                <w:sz w:val="16"/>
                <w:szCs w:val="16"/>
                <w:vertAlign w:val="superscript"/>
              </w:rPr>
              <w:t>6</w:t>
            </w:r>
            <w:r w:rsidRPr="00ED4054">
              <w:rPr>
                <w:rFonts w:ascii="Calibri Light" w:hAnsi="Calibri Light" w:cs="Calibri Light"/>
                <w:color w:val="000000"/>
                <w:sz w:val="16"/>
                <w:szCs w:val="16"/>
              </w:rPr>
              <w:t xml:space="preserve"> Universal test and treat context</w:t>
            </w:r>
          </w:p>
          <w:p w14:paraId="4F572640" w14:textId="77777777" w:rsidR="00ED4054" w:rsidRPr="00ED4054" w:rsidRDefault="00ED4054" w:rsidP="00ED4054">
            <w:pPr>
              <w:widowControl/>
              <w:adjustRightInd/>
              <w:spacing w:before="0" w:after="0" w:line="240" w:lineRule="auto"/>
              <w:jc w:val="left"/>
              <w:textAlignment w:val="auto"/>
              <w:rPr>
                <w:rFonts w:ascii="Calibri Light" w:hAnsi="Calibri Light" w:cs="Calibri Light"/>
                <w:sz w:val="16"/>
                <w:szCs w:val="18"/>
              </w:rPr>
            </w:pPr>
            <w:r w:rsidRPr="00ED4054">
              <w:rPr>
                <w:rFonts w:ascii="Calibri Light" w:hAnsi="Calibri Light" w:cs="Calibri Light"/>
                <w:color w:val="000000"/>
                <w:sz w:val="16"/>
                <w:szCs w:val="18"/>
                <w:vertAlign w:val="superscript"/>
              </w:rPr>
              <w:lastRenderedPageBreak/>
              <w:t>7</w:t>
            </w:r>
            <w:r w:rsidRPr="00ED4054">
              <w:rPr>
                <w:rFonts w:ascii="Calibri Light" w:hAnsi="Calibri Light" w:cs="Calibri Light"/>
                <w:color w:val="000000"/>
                <w:sz w:val="16"/>
                <w:szCs w:val="18"/>
              </w:rPr>
              <w:t xml:space="preserve"> </w:t>
            </w:r>
            <w:r w:rsidRPr="00ED4054">
              <w:rPr>
                <w:rFonts w:ascii="Calibri Light" w:hAnsi="Calibri Light" w:cs="Calibri Light"/>
                <w:sz w:val="16"/>
                <w:szCs w:val="18"/>
              </w:rPr>
              <w:t>Cardiac surgery patients with high risk of bleeding</w:t>
            </w:r>
          </w:p>
          <w:p w14:paraId="5D6341C9" w14:textId="77777777" w:rsidR="00ED4054" w:rsidRPr="00ED4054" w:rsidRDefault="00ED4054" w:rsidP="00ED4054">
            <w:pPr>
              <w:widowControl/>
              <w:adjustRightInd/>
              <w:spacing w:before="0" w:after="0" w:line="240" w:lineRule="auto"/>
              <w:jc w:val="left"/>
              <w:textAlignment w:val="auto"/>
              <w:rPr>
                <w:rFonts w:ascii="Calibri Light" w:hAnsi="Calibri Light" w:cs="Calibri Light"/>
                <w:sz w:val="16"/>
                <w:szCs w:val="18"/>
              </w:rPr>
            </w:pPr>
            <w:r w:rsidRPr="00ED4054">
              <w:rPr>
                <w:rFonts w:ascii="Calibri Light" w:hAnsi="Calibri Light" w:cs="Calibri Light"/>
                <w:color w:val="000000"/>
                <w:sz w:val="16"/>
                <w:szCs w:val="18"/>
                <w:vertAlign w:val="superscript"/>
              </w:rPr>
              <w:t>8</w:t>
            </w:r>
            <w:r w:rsidRPr="00ED4054">
              <w:rPr>
                <w:rFonts w:ascii="Calibri Light" w:hAnsi="Calibri Light" w:cs="Calibri Light"/>
                <w:sz w:val="16"/>
                <w:szCs w:val="18"/>
              </w:rPr>
              <w:t xml:space="preserve"> Trauma patients with high risk of bleeding</w:t>
            </w:r>
          </w:p>
          <w:p w14:paraId="43DFA25F" w14:textId="77777777" w:rsidR="00ED4054" w:rsidRPr="00ED4054" w:rsidRDefault="00ED4054" w:rsidP="00ED4054">
            <w:pPr>
              <w:widowControl/>
              <w:adjustRightInd/>
              <w:spacing w:before="0" w:after="0" w:line="240" w:lineRule="auto"/>
              <w:jc w:val="left"/>
              <w:textAlignment w:val="auto"/>
              <w:rPr>
                <w:rFonts w:ascii="Calibri Light" w:hAnsi="Calibri Light" w:cs="Calibri Light"/>
                <w:sz w:val="16"/>
                <w:szCs w:val="18"/>
              </w:rPr>
            </w:pPr>
            <w:r w:rsidRPr="00ED4054">
              <w:rPr>
                <w:rFonts w:ascii="Calibri Light" w:hAnsi="Calibri Light" w:cs="Calibri Light"/>
                <w:sz w:val="16"/>
                <w:szCs w:val="18"/>
              </w:rPr>
              <w:t xml:space="preserve">* </w:t>
            </w:r>
            <w:proofErr w:type="gramStart"/>
            <w:r w:rsidRPr="00ED4054">
              <w:rPr>
                <w:rFonts w:ascii="Calibri Light" w:hAnsi="Calibri Light" w:cs="Calibri Light"/>
                <w:sz w:val="16"/>
                <w:szCs w:val="18"/>
              </w:rPr>
              <w:t>also</w:t>
            </w:r>
            <w:proofErr w:type="gramEnd"/>
            <w:r w:rsidRPr="00ED4054">
              <w:rPr>
                <w:rFonts w:ascii="Calibri Light" w:hAnsi="Calibri Light" w:cs="Calibri Light"/>
                <w:sz w:val="16"/>
                <w:szCs w:val="18"/>
              </w:rPr>
              <w:t xml:space="preserve"> in monitoring</w:t>
            </w:r>
          </w:p>
          <w:p w14:paraId="7564F4FE" w14:textId="77777777" w:rsidR="00ED4054" w:rsidRPr="00ED4054" w:rsidRDefault="00ED4054" w:rsidP="00ED4054">
            <w:pPr>
              <w:widowControl/>
              <w:adjustRightInd/>
              <w:spacing w:before="0" w:after="0" w:line="240" w:lineRule="auto"/>
              <w:jc w:val="left"/>
              <w:textAlignment w:val="auto"/>
              <w:rPr>
                <w:rFonts w:ascii="Calibri Light" w:hAnsi="Calibri Light" w:cs="Calibri Light"/>
                <w:color w:val="000000"/>
                <w:sz w:val="16"/>
                <w:szCs w:val="16"/>
              </w:rPr>
            </w:pPr>
          </w:p>
          <w:p w14:paraId="3D17B659" w14:textId="77777777" w:rsidR="00ED4054" w:rsidRPr="00ED4054" w:rsidRDefault="00ED4054" w:rsidP="00ED4054">
            <w:pPr>
              <w:widowControl/>
              <w:adjustRightInd/>
              <w:spacing w:before="0" w:after="0" w:line="240" w:lineRule="auto"/>
              <w:jc w:val="left"/>
              <w:textAlignment w:val="auto"/>
              <w:rPr>
                <w:rFonts w:ascii="Calibri Light" w:hAnsi="Calibri Light" w:cs="Calibri Light"/>
                <w:color w:val="000000"/>
                <w:sz w:val="16"/>
                <w:szCs w:val="16"/>
              </w:rPr>
            </w:pPr>
            <w:r w:rsidRPr="00ED4054">
              <w:rPr>
                <w:rFonts w:ascii="Calibri Light" w:hAnsi="Calibri Light" w:cs="Calibri Light"/>
                <w:i/>
                <w:color w:val="000000"/>
                <w:sz w:val="16"/>
                <w:szCs w:val="16"/>
              </w:rPr>
              <w:t>CI</w:t>
            </w:r>
            <w:r w:rsidRPr="00ED4054">
              <w:rPr>
                <w:rFonts w:ascii="Calibri Light" w:hAnsi="Calibri Light" w:cs="Calibri Light"/>
                <w:color w:val="000000"/>
                <w:sz w:val="16"/>
                <w:szCs w:val="16"/>
              </w:rPr>
              <w:t xml:space="preserve"> Confidence Interval, </w:t>
            </w:r>
            <w:r w:rsidRPr="00ED4054">
              <w:rPr>
                <w:rFonts w:ascii="Calibri Light" w:hAnsi="Calibri Light" w:cs="Calibri Light"/>
                <w:i/>
                <w:color w:val="000000"/>
                <w:sz w:val="16"/>
                <w:szCs w:val="16"/>
              </w:rPr>
              <w:t>DALY</w:t>
            </w:r>
            <w:r w:rsidRPr="00ED4054">
              <w:rPr>
                <w:rFonts w:ascii="Calibri Light" w:hAnsi="Calibri Light" w:cs="Calibri Light"/>
                <w:color w:val="000000"/>
                <w:sz w:val="16"/>
                <w:szCs w:val="16"/>
              </w:rPr>
              <w:t xml:space="preserve"> Disability-Adjusted Life Year, </w:t>
            </w:r>
            <w:r w:rsidRPr="00ED4054">
              <w:rPr>
                <w:rFonts w:ascii="Calibri Light" w:hAnsi="Calibri Light" w:cs="Calibri Light"/>
                <w:i/>
                <w:color w:val="000000"/>
                <w:sz w:val="16"/>
                <w:szCs w:val="16"/>
              </w:rPr>
              <w:t>GP</w:t>
            </w:r>
            <w:r w:rsidRPr="00ED4054">
              <w:rPr>
                <w:rFonts w:ascii="Calibri Light" w:hAnsi="Calibri Light" w:cs="Calibri Light"/>
                <w:color w:val="000000"/>
                <w:sz w:val="16"/>
                <w:szCs w:val="16"/>
              </w:rPr>
              <w:t xml:space="preserve"> General Practice, </w:t>
            </w:r>
            <w:r w:rsidRPr="00ED4054">
              <w:rPr>
                <w:rFonts w:ascii="Calibri Light" w:hAnsi="Calibri Light" w:cs="Calibri Light"/>
                <w:i/>
                <w:color w:val="000000"/>
                <w:sz w:val="16"/>
                <w:szCs w:val="16"/>
              </w:rPr>
              <w:t>ICER</w:t>
            </w:r>
            <w:r w:rsidRPr="00ED4054">
              <w:rPr>
                <w:rFonts w:ascii="Calibri Light" w:hAnsi="Calibri Light" w:cs="Calibri Light"/>
                <w:color w:val="000000"/>
                <w:sz w:val="16"/>
                <w:szCs w:val="16"/>
              </w:rPr>
              <w:t xml:space="preserve"> Incremental Cost Effectiveness Ratio, </w:t>
            </w:r>
            <w:r w:rsidRPr="00ED4054">
              <w:rPr>
                <w:rFonts w:ascii="Calibri Light" w:hAnsi="Calibri Light" w:cs="Calibri Light"/>
                <w:i/>
                <w:color w:val="000000"/>
                <w:sz w:val="16"/>
                <w:szCs w:val="16"/>
              </w:rPr>
              <w:t>NAAT</w:t>
            </w:r>
            <w:r w:rsidRPr="00ED4054">
              <w:rPr>
                <w:rFonts w:ascii="Calibri Light" w:hAnsi="Calibri Light" w:cs="Calibri Light"/>
                <w:color w:val="000000"/>
                <w:sz w:val="16"/>
                <w:szCs w:val="16"/>
              </w:rPr>
              <w:t xml:space="preserve"> Nucleic Acid Amplification Testing, </w:t>
            </w:r>
            <w:r w:rsidRPr="00ED4054">
              <w:rPr>
                <w:rFonts w:ascii="Calibri Light" w:hAnsi="Calibri Light" w:cs="Calibri Light"/>
                <w:i/>
                <w:color w:val="000000"/>
                <w:sz w:val="16"/>
                <w:szCs w:val="16"/>
              </w:rPr>
              <w:t>POCT</w:t>
            </w:r>
            <w:r w:rsidRPr="00ED4054">
              <w:rPr>
                <w:rFonts w:ascii="Calibri Light" w:hAnsi="Calibri Light" w:cs="Calibri Light"/>
                <w:color w:val="000000"/>
                <w:sz w:val="16"/>
                <w:szCs w:val="16"/>
              </w:rPr>
              <w:t xml:space="preserve"> Point of Care Test(</w:t>
            </w:r>
            <w:proofErr w:type="spellStart"/>
            <w:r w:rsidRPr="00ED4054">
              <w:rPr>
                <w:rFonts w:ascii="Calibri Light" w:hAnsi="Calibri Light" w:cs="Calibri Light"/>
                <w:color w:val="000000"/>
                <w:sz w:val="16"/>
                <w:szCs w:val="16"/>
              </w:rPr>
              <w:t>ing</w:t>
            </w:r>
            <w:proofErr w:type="spellEnd"/>
            <w:r w:rsidRPr="00ED4054">
              <w:rPr>
                <w:rFonts w:ascii="Calibri Light" w:hAnsi="Calibri Light" w:cs="Calibri Light"/>
                <w:color w:val="000000"/>
                <w:sz w:val="16"/>
                <w:szCs w:val="16"/>
              </w:rPr>
              <w:t xml:space="preserve">), </w:t>
            </w:r>
            <w:r w:rsidRPr="00ED4054">
              <w:rPr>
                <w:rFonts w:ascii="Calibri Light" w:hAnsi="Calibri Light" w:cs="Calibri Light"/>
                <w:i/>
                <w:color w:val="000000"/>
                <w:sz w:val="16"/>
                <w:szCs w:val="16"/>
              </w:rPr>
              <w:t>QALY</w:t>
            </w:r>
            <w:r w:rsidRPr="00ED4054">
              <w:rPr>
                <w:rFonts w:ascii="Calibri Light" w:hAnsi="Calibri Light" w:cs="Calibri Light"/>
                <w:color w:val="000000"/>
                <w:sz w:val="16"/>
                <w:szCs w:val="16"/>
              </w:rPr>
              <w:t xml:space="preserve"> Quality-Adjusted Life Year, </w:t>
            </w:r>
            <w:r w:rsidRPr="00ED4054">
              <w:rPr>
                <w:rFonts w:ascii="Calibri Light" w:hAnsi="Calibri Light" w:cs="Calibri Light"/>
                <w:i/>
                <w:color w:val="000000"/>
                <w:sz w:val="16"/>
                <w:szCs w:val="16"/>
              </w:rPr>
              <w:t>RSD</w:t>
            </w:r>
            <w:r w:rsidRPr="00ED4054">
              <w:rPr>
                <w:rFonts w:ascii="Calibri Light" w:hAnsi="Calibri Light" w:cs="Calibri Light"/>
                <w:color w:val="000000"/>
                <w:sz w:val="16"/>
                <w:szCs w:val="16"/>
              </w:rPr>
              <w:t xml:space="preserve"> Serbian Dinar, </w:t>
            </w:r>
            <w:r w:rsidRPr="00ED4054">
              <w:rPr>
                <w:rFonts w:ascii="Calibri Light" w:hAnsi="Calibri Light" w:cs="Calibri Light"/>
                <w:i/>
                <w:color w:val="000000"/>
                <w:sz w:val="16"/>
                <w:szCs w:val="16"/>
              </w:rPr>
              <w:t>SD</w:t>
            </w:r>
            <w:r w:rsidRPr="00ED4054">
              <w:rPr>
                <w:rFonts w:ascii="Calibri Light" w:hAnsi="Calibri Light" w:cs="Calibri Light"/>
                <w:color w:val="000000"/>
                <w:sz w:val="16"/>
                <w:szCs w:val="16"/>
              </w:rPr>
              <w:t xml:space="preserve"> Standard Deviation, </w:t>
            </w:r>
            <w:proofErr w:type="spellStart"/>
            <w:r w:rsidRPr="00ED4054">
              <w:rPr>
                <w:rFonts w:ascii="Calibri Light" w:hAnsi="Calibri Light" w:cs="Calibri Light"/>
                <w:i/>
                <w:color w:val="000000"/>
                <w:sz w:val="16"/>
                <w:szCs w:val="16"/>
              </w:rPr>
              <w:t>SKr</w:t>
            </w:r>
            <w:proofErr w:type="spellEnd"/>
            <w:r w:rsidRPr="00ED4054">
              <w:rPr>
                <w:rFonts w:ascii="Calibri Light" w:hAnsi="Calibri Light" w:cs="Calibri Light"/>
                <w:color w:val="000000"/>
                <w:sz w:val="16"/>
                <w:szCs w:val="16"/>
              </w:rPr>
              <w:t xml:space="preserve"> Swedish Krona, </w:t>
            </w:r>
            <w:r w:rsidRPr="00ED4054">
              <w:rPr>
                <w:rFonts w:ascii="Calibri Light" w:hAnsi="Calibri Light" w:cs="Calibri Light"/>
                <w:i/>
                <w:color w:val="000000"/>
                <w:sz w:val="16"/>
                <w:szCs w:val="16"/>
              </w:rPr>
              <w:t>TAT</w:t>
            </w:r>
            <w:r w:rsidRPr="00ED4054">
              <w:rPr>
                <w:rFonts w:ascii="Calibri Light" w:hAnsi="Calibri Light" w:cs="Calibri Light"/>
                <w:color w:val="000000"/>
                <w:sz w:val="16"/>
                <w:szCs w:val="16"/>
              </w:rPr>
              <w:t xml:space="preserve"> Turnaround time, </w:t>
            </w:r>
            <w:r w:rsidRPr="00ED4054">
              <w:rPr>
                <w:rFonts w:ascii="Calibri Light" w:hAnsi="Calibri Light" w:cs="Calibri Light"/>
                <w:i/>
                <w:color w:val="000000"/>
                <w:sz w:val="16"/>
                <w:szCs w:val="16"/>
              </w:rPr>
              <w:t>YLS</w:t>
            </w:r>
            <w:r w:rsidRPr="00ED4054">
              <w:rPr>
                <w:rFonts w:ascii="Calibri Light" w:hAnsi="Calibri Light" w:cs="Calibri Light"/>
                <w:color w:val="000000"/>
                <w:sz w:val="16"/>
                <w:szCs w:val="16"/>
              </w:rPr>
              <w:t xml:space="preserve"> Year of Life Saved. </w:t>
            </w:r>
          </w:p>
        </w:tc>
      </w:tr>
    </w:tbl>
    <w:p w14:paraId="03A81B02" w14:textId="6320CDC7" w:rsidR="00B31B41" w:rsidRDefault="00B31B41" w:rsidP="00B2138E"/>
    <w:p w14:paraId="60E3F3E9" w14:textId="4DC0068E" w:rsidR="00B31B41" w:rsidRDefault="00B31B41" w:rsidP="00B2138E">
      <w:r>
        <w:t xml:space="preserve">Table </w:t>
      </w:r>
      <w:r w:rsidR="00675D06">
        <w:t>B</w:t>
      </w:r>
      <w:r>
        <w:t>3.</w:t>
      </w:r>
      <w:r w:rsidR="00A17831" w:rsidRPr="00A17831">
        <w:t xml:space="preserve"> </w:t>
      </w:r>
      <w:r w:rsidR="00A17831">
        <w:t xml:space="preserve">Outcomes of </w:t>
      </w:r>
      <w:r w:rsidR="00D173E9">
        <w:t>POCT</w:t>
      </w:r>
      <w:r w:rsidR="00A17831">
        <w:t xml:space="preserve"> for Monitoring</w:t>
      </w:r>
    </w:p>
    <w:tbl>
      <w:tblPr>
        <w:tblW w:w="12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2017"/>
        <w:gridCol w:w="2700"/>
        <w:gridCol w:w="2790"/>
        <w:gridCol w:w="2275"/>
        <w:gridCol w:w="1928"/>
      </w:tblGrid>
      <w:tr w:rsidR="00F43E93" w:rsidRPr="00F43E93" w14:paraId="34947475" w14:textId="77777777" w:rsidTr="005F718B">
        <w:trPr>
          <w:trHeight w:val="278"/>
        </w:trPr>
        <w:tc>
          <w:tcPr>
            <w:tcW w:w="12838" w:type="dxa"/>
            <w:gridSpan w:val="6"/>
            <w:shd w:val="clear" w:color="auto" w:fill="auto"/>
            <w:vAlign w:val="center"/>
          </w:tcPr>
          <w:p w14:paraId="4F636E8A"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Primary Care</w:t>
            </w:r>
          </w:p>
        </w:tc>
      </w:tr>
      <w:tr w:rsidR="00F43E93" w:rsidRPr="00F43E93" w14:paraId="1DB7909A" w14:textId="77777777" w:rsidTr="005F718B">
        <w:trPr>
          <w:trHeight w:val="278"/>
        </w:trPr>
        <w:tc>
          <w:tcPr>
            <w:tcW w:w="1128" w:type="dxa"/>
            <w:shd w:val="clear" w:color="auto" w:fill="auto"/>
            <w:vAlign w:val="center"/>
            <w:hideMark/>
          </w:tcPr>
          <w:p w14:paraId="3E447B8E"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Author, Year</w:t>
            </w:r>
          </w:p>
        </w:tc>
        <w:tc>
          <w:tcPr>
            <w:tcW w:w="2017" w:type="dxa"/>
            <w:shd w:val="clear" w:color="auto" w:fill="auto"/>
            <w:vAlign w:val="center"/>
            <w:hideMark/>
          </w:tcPr>
          <w:p w14:paraId="6444C243"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Cost per patient</w:t>
            </w:r>
          </w:p>
        </w:tc>
        <w:tc>
          <w:tcPr>
            <w:tcW w:w="2700" w:type="dxa"/>
            <w:shd w:val="clear" w:color="auto" w:fill="auto"/>
            <w:vAlign w:val="center"/>
            <w:hideMark/>
          </w:tcPr>
          <w:p w14:paraId="3CDD6FB6"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Overall cost</w:t>
            </w:r>
          </w:p>
        </w:tc>
        <w:tc>
          <w:tcPr>
            <w:tcW w:w="2790" w:type="dxa"/>
            <w:shd w:val="clear" w:color="auto" w:fill="auto"/>
            <w:vAlign w:val="center"/>
            <w:hideMark/>
          </w:tcPr>
          <w:p w14:paraId="16137E20"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Effectiveness</w:t>
            </w:r>
          </w:p>
        </w:tc>
        <w:tc>
          <w:tcPr>
            <w:tcW w:w="2275" w:type="dxa"/>
            <w:shd w:val="clear" w:color="auto" w:fill="auto"/>
            <w:vAlign w:val="center"/>
            <w:hideMark/>
          </w:tcPr>
          <w:p w14:paraId="04DA3F69"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Ratio</w:t>
            </w:r>
          </w:p>
        </w:tc>
        <w:tc>
          <w:tcPr>
            <w:tcW w:w="1928" w:type="dxa"/>
            <w:shd w:val="clear" w:color="auto" w:fill="auto"/>
            <w:vAlign w:val="center"/>
            <w:hideMark/>
          </w:tcPr>
          <w:p w14:paraId="43BF51F2"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Conclusion</w:t>
            </w:r>
          </w:p>
        </w:tc>
      </w:tr>
      <w:tr w:rsidR="00F43E93" w:rsidRPr="00F43E93" w14:paraId="765626FB" w14:textId="77777777" w:rsidTr="005F718B">
        <w:trPr>
          <w:trHeight w:val="980"/>
        </w:trPr>
        <w:tc>
          <w:tcPr>
            <w:tcW w:w="1128" w:type="dxa"/>
            <w:shd w:val="clear" w:color="auto" w:fill="auto"/>
            <w:vAlign w:val="center"/>
          </w:tcPr>
          <w:p w14:paraId="263315B3" w14:textId="3D9D7AA9" w:rsidR="00F43E93" w:rsidRPr="00F43E93" w:rsidRDefault="00B57798" w:rsidP="00F43E93">
            <w:pPr>
              <w:widowControl/>
              <w:adjustRightInd/>
              <w:spacing w:before="0" w:after="0" w:line="240" w:lineRule="auto"/>
              <w:jc w:val="left"/>
              <w:textAlignment w:val="auto"/>
              <w:rPr>
                <w:rFonts w:cstheme="majorHAnsi"/>
                <w:color w:val="000000"/>
                <w:sz w:val="16"/>
                <w:szCs w:val="16"/>
              </w:rPr>
            </w:pPr>
            <w:proofErr w:type="spellStart"/>
            <w:r w:rsidRPr="00F03ECE">
              <w:rPr>
                <w:rFonts w:ascii="Calibri Light" w:hAnsi="Calibri Light" w:cs="Calibri Light"/>
                <w:color w:val="000000"/>
                <w:sz w:val="16"/>
                <w:szCs w:val="16"/>
              </w:rPr>
              <w:t>Rajasingham</w:t>
            </w:r>
            <w:proofErr w:type="spellEnd"/>
            <w:r w:rsidRPr="00F03ECE">
              <w:rPr>
                <w:rFonts w:ascii="Calibri Light" w:hAnsi="Calibri Light" w:cs="Calibri Light"/>
                <w:color w:val="000000"/>
                <w:sz w:val="16"/>
                <w:szCs w:val="16"/>
              </w:rPr>
              <w:t xml:space="preserve"> et al. 2019</w:t>
            </w:r>
            <w:r>
              <w:rPr>
                <w:rFonts w:ascii="Calibri Light" w:hAnsi="Calibri Light" w:cs="Calibri Light"/>
                <w:color w:val="000000"/>
                <w:sz w:val="16"/>
                <w:szCs w:val="16"/>
              </w:rPr>
              <w:t xml:space="preserve"> </w:t>
            </w:r>
            <w:r>
              <w:rPr>
                <w:rFonts w:ascii="Calibri Light" w:hAnsi="Calibri Light" w:cs="Calibri Light"/>
                <w:color w:val="000000"/>
                <w:sz w:val="16"/>
                <w:szCs w:val="16"/>
              </w:rPr>
              <w:fldChar w:fldCharType="begin" w:fldLock="1"/>
            </w:r>
            <w:r>
              <w:rPr>
                <w:rFonts w:ascii="Calibri Light" w:hAnsi="Calibri Light" w:cs="Calibri Light"/>
                <w:color w:val="000000"/>
                <w:sz w:val="16"/>
                <w:szCs w:val="16"/>
              </w:rPr>
              <w:instrText>ADDIN CSL_CITATION {"citationItems":[{"id":"ITEM-1","itemData":{"DOI":"10.1093/ofid/ofx194","ISSN":"2328-8957","abstract":"BACKGROUND: Persons with HIV and tuberculosis (TB) co-infection require transaminase  monitoring while on hepatotoxic medications. A novel paper-based, point-of-care transaminase test is in development at an anticipated cost of $1 per test. METHODS: To project long-term clinical outcomes and estimate the cost-effectiveness of using a paper-based fingerstick test to monitor for drug-induced liver injury (DILI), as compared with automated testing and with no laboratory monitoring. The design was a decision analytic model, including deterministic and probabilistic sensitivity analyses. Data sources were observational cohorts and a validation study of the paper-based test. The target population was HIV/TB co-infected persons in South Africa on antiretroviral therapy who were initiating TB therapy. Interventions: (1) clinical (no laboratory) monitoring; (2) monitoring using the paper-based test with a ≥120 IU/mL threshold for positivity; (3) monitoring using the paper-based test with a ≥200 IU/mL threshold for positivity; (4) monitoring using the paper-based test using 1 of 3 categories: &lt;120 IU/mL, 120 to 200 IU/mL, and &gt;200 IU/mL (\"bin placement\"); (5) monitoring using automated ALT testing using the same 3 categories (\"automated testing\"). The outcome measures were discounted quality-adjusted life-years (QALYs), costs, and incremental cost-effectiveness ratios (ICERs). RESULTS: The ICER of automated testing was $5180/QALY. Use of the paper-based test with the bin placement strategy was cost-effective compared with clinical monitoring alone. CONCLUSION: At its current performance, monthly DILI monitoring by bin placement using the paper-based test was cost-effective, compared with clinical monitoring, in HIV/TB co-infected persons in South Africa.","author":[{"dropping-particle":"","family":"Rajasingham","given":"Radha","non-dropping-particle":"","parse-names":false,"suffix":""},{"dropping-particle":"","family":"Pollock","given":"Nira R","non-dropping-particle":"","parse-names":false,"suffix":""},{"dropping-particle":"","family":"Linas","given":"Benjamin P","non-dropping-particle":"","parse-names":false,"suffix":""}],"container-title":"Open Forum Infectious Diseases","id":"ITEM-1","issue":"4","issued":{"date-parts":[["2017"]]},"title":"The Cost-effectiveness of a Point-of-Care Paper Transaminase Test for Monitoring Treatment of HIV/TB Co-Infected Persons","type":"article-journal","volume":"4"},"uris":["http://www.mendeley.com/documents/?uuid=c3c54ac8-fcae-4635-be2d-155294a3dc37"]}],"mendeley":{"formattedCitation":"[47]","plainTextFormattedCitation":"[47]","previouslyFormattedCitation":"[46]"},"properties":{"noteIndex":0},"schema":"https://github.com/citation-style-language/schema/raw/master/csl-citation.json"}</w:instrText>
            </w:r>
            <w:r>
              <w:rPr>
                <w:rFonts w:ascii="Calibri Light" w:hAnsi="Calibri Light" w:cs="Calibri Light"/>
                <w:color w:val="000000"/>
                <w:sz w:val="16"/>
                <w:szCs w:val="16"/>
              </w:rPr>
              <w:fldChar w:fldCharType="separate"/>
            </w:r>
            <w:r w:rsidRPr="004A39DD">
              <w:rPr>
                <w:rFonts w:ascii="Calibri Light" w:hAnsi="Calibri Light" w:cs="Calibri Light"/>
                <w:noProof/>
                <w:color w:val="000000"/>
                <w:sz w:val="16"/>
                <w:szCs w:val="16"/>
              </w:rPr>
              <w:t>[47]</w:t>
            </w:r>
            <w:r>
              <w:rPr>
                <w:rFonts w:ascii="Calibri Light" w:hAnsi="Calibri Light" w:cs="Calibri Light"/>
                <w:color w:val="000000"/>
                <w:sz w:val="16"/>
                <w:szCs w:val="16"/>
              </w:rPr>
              <w:fldChar w:fldCharType="end"/>
            </w:r>
          </w:p>
        </w:tc>
        <w:tc>
          <w:tcPr>
            <w:tcW w:w="2017" w:type="dxa"/>
            <w:shd w:val="clear" w:color="auto" w:fill="auto"/>
            <w:vAlign w:val="center"/>
          </w:tcPr>
          <w:p w14:paraId="10D43EE2"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p>
        </w:tc>
        <w:tc>
          <w:tcPr>
            <w:tcW w:w="2700" w:type="dxa"/>
            <w:shd w:val="clear" w:color="auto" w:fill="auto"/>
            <w:vAlign w:val="center"/>
          </w:tcPr>
          <w:p w14:paraId="397D2930"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POCT (≥200 threshold): $79154.36</w:t>
            </w:r>
          </w:p>
          <w:p w14:paraId="11A1DC0D"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POCT (bin placement): $79152.01</w:t>
            </w:r>
          </w:p>
          <w:p w14:paraId="09838863"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Automated testing: $79222.74</w:t>
            </w:r>
          </w:p>
          <w:p w14:paraId="1613F125"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Current standard of care: $79151.65</w:t>
            </w:r>
          </w:p>
        </w:tc>
        <w:tc>
          <w:tcPr>
            <w:tcW w:w="2790" w:type="dxa"/>
            <w:shd w:val="clear" w:color="auto" w:fill="auto"/>
            <w:vAlign w:val="center"/>
          </w:tcPr>
          <w:p w14:paraId="1616CE3E"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POCT (≥200 threshold): 8.917</w:t>
            </w:r>
          </w:p>
          <w:p w14:paraId="03F2E40A"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POCT (bin placement): 8.918</w:t>
            </w:r>
          </w:p>
          <w:p w14:paraId="1822FA00"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Automated testing: 8.921</w:t>
            </w:r>
          </w:p>
          <w:p w14:paraId="10DD857B"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Current standard of care: 8.903</w:t>
            </w:r>
          </w:p>
        </w:tc>
        <w:tc>
          <w:tcPr>
            <w:tcW w:w="2275" w:type="dxa"/>
            <w:shd w:val="clear" w:color="auto" w:fill="auto"/>
            <w:vAlign w:val="center"/>
          </w:tcPr>
          <w:p w14:paraId="1D566AFF"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color w:val="000000"/>
                <w:sz w:val="16"/>
                <w:szCs w:val="16"/>
              </w:rPr>
              <w:t xml:space="preserve">POCT (bin placement) vs Current standard of care: $20/QALY; Automated testing vs Current standard of care: $5200/QALY </w:t>
            </w:r>
          </w:p>
        </w:tc>
        <w:tc>
          <w:tcPr>
            <w:tcW w:w="1928" w:type="dxa"/>
            <w:shd w:val="clear" w:color="auto" w:fill="auto"/>
            <w:vAlign w:val="center"/>
          </w:tcPr>
          <w:p w14:paraId="17536BAA"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color w:val="000000"/>
                <w:sz w:val="16"/>
                <w:szCs w:val="16"/>
              </w:rPr>
              <w:t xml:space="preserve">In favor of POCT </w:t>
            </w:r>
          </w:p>
        </w:tc>
      </w:tr>
      <w:tr w:rsidR="00F43E93" w:rsidRPr="00F43E93" w14:paraId="4C081AC8" w14:textId="77777777" w:rsidTr="005F718B">
        <w:trPr>
          <w:trHeight w:val="980"/>
        </w:trPr>
        <w:tc>
          <w:tcPr>
            <w:tcW w:w="1128" w:type="dxa"/>
            <w:shd w:val="clear" w:color="auto" w:fill="auto"/>
            <w:vAlign w:val="center"/>
            <w:hideMark/>
          </w:tcPr>
          <w:p w14:paraId="62225D4C" w14:textId="6539B139" w:rsidR="00F43E93" w:rsidRPr="00F43E93" w:rsidRDefault="009430F1" w:rsidP="00F43E93">
            <w:pPr>
              <w:widowControl/>
              <w:adjustRightInd/>
              <w:spacing w:before="0" w:after="0" w:line="240" w:lineRule="auto"/>
              <w:jc w:val="left"/>
              <w:textAlignment w:val="auto"/>
              <w:rPr>
                <w:rFonts w:cstheme="majorHAnsi"/>
                <w:color w:val="000000"/>
                <w:sz w:val="16"/>
                <w:szCs w:val="16"/>
              </w:rPr>
            </w:pPr>
            <w:proofErr w:type="spellStart"/>
            <w:r w:rsidRPr="00F03ECE">
              <w:rPr>
                <w:rFonts w:ascii="Calibri Light" w:hAnsi="Calibri Light" w:cs="Calibri Light"/>
                <w:color w:val="000000"/>
                <w:sz w:val="16"/>
                <w:szCs w:val="18"/>
              </w:rPr>
              <w:t>Hyle</w:t>
            </w:r>
            <w:proofErr w:type="spellEnd"/>
            <w:r w:rsidRPr="00F03ECE">
              <w:rPr>
                <w:rFonts w:ascii="Calibri Light" w:hAnsi="Calibri Light" w:cs="Calibri Light"/>
                <w:color w:val="000000"/>
                <w:sz w:val="16"/>
                <w:szCs w:val="18"/>
              </w:rPr>
              <w:t xml:space="preserve"> et al., 2017</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{"citationItems":[{"id":"ITEM-1","itemData":{"DOI":"10.1097/qad.0000000000001586","ISBN":"0000000000","ISSN":"0269-9370","author":[{"dropping-particle":"","family":"Hyle","given":"Emily P.","non-dropping-particle":"","parse-names":false,"suffix":""},{"dropping-particle":"","family":"Rosettie","given":"Katherine L.","non-dropping-particle":"","parse-names":false,"suffix":""},{"dropping-particle":"","family":"Osher","given":"Benjamin","non-dropping-particle":"","parse-names":false,"suffix":""},{"dropping-particle":"","family":"Maggiore","given":"Paolo","non-dropping-particle":"","parse-names":false,"suffix":""},{"dropping-particle":"","family":"Parker","given":"Robert A.","non-dropping-particle":"","parse-names":false,"suffix":""},{"dropping-particle":"","family":"Peter","given":"Trevor","non-dropping-particle":"","parse-names":false,"suffix":""},{"dropping-particle":"","family":"Pei","given":"Pamela P.","non-dropping-particle":"","parse-names":false,"suffix":""},{"dropping-particle":"","family":"Wood","given":"Robin","non-dropping-particle":"","parse-names":false,"suffix":""},{"dropping-particle":"","family":"Freedberg","given":"Kenneth A.","non-dropping-particle":"","parse-names":false,"suffix":""},{"dropping-particle":"","family":"Walensky","given":"Rochelle P.","non-dropping-particle":"","parse-names":false,"suffix":""},{"dropping-particle":"V.","family":"Jani","given":"Ilesh","non-dropping-particle":"","parse-names":false,"suffix":""},{"dropping-particle":"","family":"Resch","given":"Stephen","non-dropping-particle":"","parse-names":false,"suffix":""}],"container-title":"Aids","id":"ITEM-1","issue":"15","issued":{"date-parts":[["2017"]]},"page":"2135-2145","title":"The value of point-of-care CD4+ and laboratory viral load in tailoring antiretroviral therapy monitoring strategies to resource limitations","type":"article-journal","volume":"31"},"uris":["http://www.mendeley.com/documents/?uuid=ab548d5a-60b6-4a1d-aa11-c20388a4bcec"]}],"mendeley":{"formattedCitation":"[53]","plainTextFormattedCitation":"[53]","previouslyFormattedCitation":"[52]"},"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[53]</w:t>
            </w:r>
            <w:r>
              <w:rPr>
                <w:rFonts w:ascii="Calibri Light" w:hAnsi="Calibri Light" w:cs="Calibri Light"/>
                <w:color w:val="000000"/>
                <w:sz w:val="16"/>
                <w:szCs w:val="18"/>
              </w:rPr>
              <w:fldChar w:fldCharType="end"/>
            </w:r>
            <w:r w:rsidR="00F43E93" w:rsidRPr="00F43E93">
              <w:rPr>
                <w:rFonts w:cstheme="majorHAnsi"/>
                <w:color w:val="000000"/>
                <w:sz w:val="16"/>
                <w:szCs w:val="16"/>
                <w:vertAlign w:val="superscript"/>
              </w:rPr>
              <w:t>1</w:t>
            </w:r>
          </w:p>
        </w:tc>
        <w:tc>
          <w:tcPr>
            <w:tcW w:w="2017" w:type="dxa"/>
            <w:shd w:val="clear" w:color="auto" w:fill="auto"/>
            <w:vAlign w:val="center"/>
            <w:hideMark/>
          </w:tcPr>
          <w:p w14:paraId="5B621F06"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 xml:space="preserve">POCT: US$3000; clinical strategy: US$2360 </w:t>
            </w:r>
          </w:p>
        </w:tc>
        <w:tc>
          <w:tcPr>
            <w:tcW w:w="2700" w:type="dxa"/>
            <w:shd w:val="clear" w:color="auto" w:fill="auto"/>
            <w:vAlign w:val="center"/>
            <w:hideMark/>
          </w:tcPr>
          <w:p w14:paraId="5E4D1107"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 </w:t>
            </w:r>
          </w:p>
        </w:tc>
        <w:tc>
          <w:tcPr>
            <w:tcW w:w="2790" w:type="dxa"/>
            <w:shd w:val="clear" w:color="auto" w:fill="auto"/>
            <w:vAlign w:val="center"/>
            <w:hideMark/>
          </w:tcPr>
          <w:p w14:paraId="4D93304E"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Life expectancy - POCT: 19,9 years; clinical strategy: 17.1 years. Time on failed treatment - reduced by 1.1 years with POCT.</w:t>
            </w:r>
          </w:p>
        </w:tc>
        <w:tc>
          <w:tcPr>
            <w:tcW w:w="2275" w:type="dxa"/>
            <w:shd w:val="clear" w:color="auto" w:fill="auto"/>
            <w:vAlign w:val="center"/>
            <w:hideMark/>
          </w:tcPr>
          <w:p w14:paraId="22B0F65B"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ICER: POCT strategy dominates with an ICER of US$480/YLS</w:t>
            </w:r>
          </w:p>
        </w:tc>
        <w:tc>
          <w:tcPr>
            <w:tcW w:w="1928" w:type="dxa"/>
            <w:shd w:val="clear" w:color="auto" w:fill="auto"/>
            <w:vAlign w:val="center"/>
            <w:hideMark/>
          </w:tcPr>
          <w:p w14:paraId="79E7C89D"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 xml:space="preserve">Neither against </w:t>
            </w:r>
            <w:proofErr w:type="gramStart"/>
            <w:r w:rsidRPr="00F43E93">
              <w:rPr>
                <w:rFonts w:cstheme="majorHAnsi"/>
                <w:sz w:val="16"/>
                <w:szCs w:val="16"/>
              </w:rPr>
              <w:t>or</w:t>
            </w:r>
            <w:proofErr w:type="gramEnd"/>
            <w:r w:rsidRPr="00F43E93">
              <w:rPr>
                <w:rFonts w:cstheme="majorHAnsi"/>
                <w:sz w:val="16"/>
                <w:szCs w:val="16"/>
              </w:rPr>
              <w:t xml:space="preserve"> in favor of POCT: will only be cost-effective in settings without access to laboratory services</w:t>
            </w:r>
          </w:p>
        </w:tc>
      </w:tr>
      <w:tr w:rsidR="00F43E93" w:rsidRPr="00F43E93" w14:paraId="7863A772" w14:textId="77777777" w:rsidTr="005F718B">
        <w:trPr>
          <w:trHeight w:val="1061"/>
        </w:trPr>
        <w:tc>
          <w:tcPr>
            <w:tcW w:w="1128" w:type="dxa"/>
            <w:shd w:val="clear" w:color="auto" w:fill="auto"/>
            <w:vAlign w:val="center"/>
            <w:hideMark/>
          </w:tcPr>
          <w:p w14:paraId="6DF84C49" w14:textId="0ABAA290" w:rsidR="00F43E93" w:rsidRPr="00F43E93" w:rsidRDefault="009430F1" w:rsidP="00F43E93">
            <w:pPr>
              <w:widowControl/>
              <w:adjustRightInd/>
              <w:spacing w:before="0" w:after="0" w:line="240" w:lineRule="auto"/>
              <w:jc w:val="left"/>
              <w:textAlignment w:val="auto"/>
              <w:rPr>
                <w:rFonts w:cstheme="majorHAnsi"/>
                <w:color w:val="000000"/>
                <w:sz w:val="16"/>
                <w:szCs w:val="16"/>
              </w:rPr>
            </w:pPr>
            <w:proofErr w:type="spellStart"/>
            <w:r w:rsidRPr="00F03ECE">
              <w:rPr>
                <w:rFonts w:ascii="Calibri Light" w:hAnsi="Calibri Light" w:cs="Calibri Light"/>
                <w:color w:val="000000"/>
                <w:sz w:val="16"/>
                <w:szCs w:val="18"/>
              </w:rPr>
              <w:t>Hyle</w:t>
            </w:r>
            <w:proofErr w:type="spellEnd"/>
            <w:r w:rsidRPr="00F03ECE">
              <w:rPr>
                <w:rFonts w:ascii="Calibri Light" w:hAnsi="Calibri Light" w:cs="Calibri Light"/>
                <w:color w:val="000000"/>
                <w:sz w:val="16"/>
                <w:szCs w:val="18"/>
              </w:rPr>
              <w:t xml:space="preserve"> et al., 2017</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{"citationItems":[{"id":"ITEM-1","itemData":{"DOI":"10.1097/qad.0000000000001586","ISBN":"0000000000","ISSN":"0269-9370","author":[{"dropping-particle":"","family":"Hyle","given":"Emily P.","non-dropping-particle":"","parse-names":false,"suffix":""},{"dropping-particle":"","family":"Rosettie","given":"Katherine L.","non-dropping-particle":"","parse-names":false,"suffix":""},{"dropping-particle":"","family":"Osher","given":"Benjamin","non-dropping-particle":"","parse-names":false,"suffix":""},{"dropping-particle":"","family":"Maggiore","given":"Paolo","non-dropping-particle":"","parse-names":false,"suffix":""},{"dropping-particle":"","family":"Parker","given":"Robert A.","non-dropping-particle":"","parse-names":false,"suffix":""},{"dropping-particle":"","family":"Peter","given":"Trevor","non-dropping-particle":"","parse-names":false,"suffix":""},{"dropping-particle":"","family":"Pei","given":"Pamela P.","non-dropping-particle":"","parse-names":false,"suffix":""},{"dropping-particle":"","family":"Wood","given":"Robin","non-dropping-particle":"","parse-names":false,"suffix":""},{"dropping-particle":"","family":"Freedberg","given":"Kenneth A.","non-dropping-particle":"","parse-names":false,"suffix":""},{"dropping-particle":"","family":"Walensky","given":"Rochelle P.","non-dropping-particle":"","parse-names":false,"suffix":""},{"dropping-particle":"V.","family":"Jani","given":"Ilesh","non-dropping-particle":"","parse-names":false,"suffix":""},{"dropping-particle":"","family":"Resch","given":"Stephen","non-dropping-particle":"","parse-names":false,"suffix":""}],"container-title":"Aids","id":"ITEM-1","issue":"15","issued":{"date-parts":[["2017"]]},"page":"2135-2145","title":"The value of point-of-care CD4+ and laboratory viral load in tailoring antiretroviral therapy monitoring strategies to resource limitations","type":"article-journal","volume":"31"},"uris":["http://www.mendeley.com/documents/?uuid=ab548d5a-60b6-4a1d-aa11-c20388a4bcec"]}],"mendeley":{"formattedCitation":"[53]","plainTextFormattedCitation":"[53]","previouslyFormattedCitation":"[52]"},"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[53]</w:t>
            </w:r>
            <w:r>
              <w:rPr>
                <w:rFonts w:ascii="Calibri Light" w:hAnsi="Calibri Light" w:cs="Calibri Light"/>
                <w:color w:val="000000"/>
                <w:sz w:val="16"/>
                <w:szCs w:val="18"/>
              </w:rPr>
              <w:fldChar w:fldCharType="end"/>
            </w:r>
            <w:r w:rsidR="00F43E93" w:rsidRPr="00F43E93">
              <w:rPr>
                <w:rFonts w:cstheme="majorHAnsi"/>
                <w:color w:val="000000"/>
                <w:sz w:val="16"/>
                <w:szCs w:val="16"/>
                <w:vertAlign w:val="superscript"/>
              </w:rPr>
              <w:t>2</w:t>
            </w:r>
          </w:p>
        </w:tc>
        <w:tc>
          <w:tcPr>
            <w:tcW w:w="2017" w:type="dxa"/>
            <w:shd w:val="clear" w:color="auto" w:fill="auto"/>
            <w:vAlign w:val="center"/>
            <w:hideMark/>
          </w:tcPr>
          <w:p w14:paraId="6993805B"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Laboratory testing: US$3120; viral load: US$3250; POCT: US$3380</w:t>
            </w:r>
          </w:p>
        </w:tc>
        <w:tc>
          <w:tcPr>
            <w:tcW w:w="2700" w:type="dxa"/>
            <w:shd w:val="clear" w:color="auto" w:fill="auto"/>
            <w:vAlign w:val="center"/>
            <w:hideMark/>
          </w:tcPr>
          <w:p w14:paraId="5AB01C5E"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 </w:t>
            </w:r>
          </w:p>
        </w:tc>
        <w:tc>
          <w:tcPr>
            <w:tcW w:w="2790" w:type="dxa"/>
            <w:shd w:val="clear" w:color="auto" w:fill="auto"/>
            <w:vAlign w:val="center"/>
            <w:hideMark/>
          </w:tcPr>
          <w:p w14:paraId="313D1EE9"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Life expectancy - Laboratory testing: 19.8 years; viral load: 20.4 years; POCT: 19.8 years. Time on failed treatment - reduced by 0.3 years with POCT and by 1.1 years with viral load.</w:t>
            </w:r>
          </w:p>
        </w:tc>
        <w:tc>
          <w:tcPr>
            <w:tcW w:w="2275" w:type="dxa"/>
            <w:shd w:val="clear" w:color="auto" w:fill="auto"/>
            <w:vAlign w:val="center"/>
            <w:hideMark/>
          </w:tcPr>
          <w:p w14:paraId="10D7A58B"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 xml:space="preserve">ICER of POCT strategy not reported since it was dominated by the viral load strategy (ICER of US$440/YLS). </w:t>
            </w:r>
          </w:p>
        </w:tc>
        <w:tc>
          <w:tcPr>
            <w:tcW w:w="1928" w:type="dxa"/>
            <w:shd w:val="clear" w:color="auto" w:fill="auto"/>
            <w:vAlign w:val="center"/>
            <w:hideMark/>
          </w:tcPr>
          <w:p w14:paraId="3BF67141"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 xml:space="preserve">Neither against </w:t>
            </w:r>
            <w:proofErr w:type="gramStart"/>
            <w:r w:rsidRPr="00F43E93">
              <w:rPr>
                <w:rFonts w:cstheme="majorHAnsi"/>
                <w:sz w:val="16"/>
                <w:szCs w:val="16"/>
              </w:rPr>
              <w:t>or</w:t>
            </w:r>
            <w:proofErr w:type="gramEnd"/>
            <w:r w:rsidRPr="00F43E93">
              <w:rPr>
                <w:rFonts w:cstheme="majorHAnsi"/>
                <w:sz w:val="16"/>
                <w:szCs w:val="16"/>
              </w:rPr>
              <w:t xml:space="preserve"> in favor of POCT: will only be cost-effective in settings without access to laboratory services</w:t>
            </w:r>
          </w:p>
        </w:tc>
      </w:tr>
      <w:tr w:rsidR="00F43E93" w:rsidRPr="00F43E93" w14:paraId="131C01A9" w14:textId="77777777" w:rsidTr="005F718B">
        <w:trPr>
          <w:trHeight w:val="1582"/>
        </w:trPr>
        <w:tc>
          <w:tcPr>
            <w:tcW w:w="1128" w:type="dxa"/>
            <w:shd w:val="clear" w:color="auto" w:fill="auto"/>
            <w:vAlign w:val="center"/>
            <w:hideMark/>
          </w:tcPr>
          <w:p w14:paraId="221BC2A4" w14:textId="13408AFB" w:rsidR="00F43E93" w:rsidRPr="00F43E93" w:rsidRDefault="009039B7" w:rsidP="00F43E93">
            <w:pPr>
              <w:widowControl/>
              <w:adjustRightInd/>
              <w:spacing w:before="0" w:after="0" w:line="240" w:lineRule="auto"/>
              <w:jc w:val="left"/>
              <w:textAlignment w:val="auto"/>
              <w:rPr>
                <w:rFonts w:cstheme="majorHAnsi"/>
                <w:color w:val="000000"/>
                <w:sz w:val="16"/>
                <w:szCs w:val="16"/>
              </w:rPr>
            </w:pPr>
            <w:proofErr w:type="spellStart"/>
            <w:r w:rsidRPr="00F03ECE">
              <w:rPr>
                <w:rFonts w:ascii="Calibri Light" w:hAnsi="Calibri Light" w:cs="Calibri Light"/>
                <w:color w:val="000000"/>
                <w:sz w:val="16"/>
                <w:szCs w:val="18"/>
              </w:rPr>
              <w:t>Ciaranello</w:t>
            </w:r>
            <w:proofErr w:type="spellEnd"/>
            <w:r w:rsidRPr="00F03ECE">
              <w:rPr>
                <w:rFonts w:ascii="Calibri Light" w:hAnsi="Calibri Light" w:cs="Calibri Light"/>
                <w:color w:val="000000"/>
                <w:sz w:val="16"/>
                <w:szCs w:val="18"/>
              </w:rPr>
              <w:t xml:space="preserve"> et al., 2015</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{"citationItems":[{"id":"ITEM-1","itemData":{"DOI":"10.1371/journal.pone.0117751","ISBN":"2672008000","author":[{"dropping-particle":"","family":"Freedberg","given":"Kenneth A.","non-dropping-particle":"","parse-names":false,"suffix":""},{"dropping-particle":"","family":"Kelly","given":"Kathleen","non-dropping-particle":"","parse-names":false,"suffix":""},{"dropping-particle":"","family":"Wood","given":"Robin","non-dropping-particle":"","parse-names":false,"suffix":""},{"dropping-particle":"","family":"Francke","given":"Jordan A.","non-dropping-particle":"","parse-names":false,"suffix":""},{"dropping-particle":"","family":"Christensen","given":"Sarah","non-dropping-particle":"","parse-names":false,"suffix":""},{"dropping-particle":"","family":"Myer","given":"Landon","non-dropping-particle":"","parse-names":false,"suffix":""},{"dropping-particle":"","family":"Walensky","given":"Rochelle P.","non-dropping-particle":"","parse-names":false,"suffix":""},{"dropping-particle":"","family":"Hou","given":"Taige","non-dropping-particle":"","parse-names":false,"suffix":""},{"dropping-particle":"","family":"Wools-Kaloustian","given":"Kara","non-dropping-particle":"","parse-names":false,"suffix":""},{"dropping-particle":"","family":"Ciaranello","given":"Andrea L.","non-dropping-particle":"","parse-names":false,"suffix":""},{"dropping-particle":"","family":"Bekker","given":"Linda-Gail","non-dropping-particle":"","parse-names":false,"suffix":""},{"dropping-particle":"","family":"Doherty","given":"Katie","non-dropping-particle":"","parse-names":false,"suffix":""},{"dropping-particle":"","family":"Daskilewicz","given":"Kristen","non-dropping-particle":"","parse-names":false,"suffix":""}],"container-title":"Plos One","id":"ITEM-1","issue":"3","issued":{"date-parts":[["2015"]]},"page":"e0117751","title":"Point-of-Care CD4 Testing to Inform Selection of Antiretroviral Medications in South African Antenatal Clinics: A Cost-Effectiveness Analysis","type":"article-journal","volume":"10"},"uris":["http://www.mendeley.com/documents/?uuid=2636844a-6aaa-4775-8bbc-d0f6994f9c32"]}],"mendeley":{"formattedCitation":"[62]","plainTextFormattedCitation":"[62]","previouslyFormattedCitation":"[61]"},"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[62]</w:t>
            </w:r>
            <w:r>
              <w:rPr>
                <w:rFonts w:ascii="Calibri Light" w:hAnsi="Calibri Light" w:cs="Calibri Light"/>
                <w:color w:val="000000"/>
                <w:sz w:val="16"/>
                <w:szCs w:val="18"/>
              </w:rPr>
              <w:fldChar w:fldCharType="end"/>
            </w:r>
          </w:p>
        </w:tc>
        <w:tc>
          <w:tcPr>
            <w:tcW w:w="2017" w:type="dxa"/>
            <w:shd w:val="clear" w:color="auto" w:fill="auto"/>
            <w:vAlign w:val="center"/>
            <w:hideMark/>
          </w:tcPr>
          <w:p w14:paraId="1E06DBBB"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POCT: combined cost of $24,900/mother-infant pair; laboratory testing: combined cost of $24,930/mother-infant pair.</w:t>
            </w:r>
          </w:p>
        </w:tc>
        <w:tc>
          <w:tcPr>
            <w:tcW w:w="2700" w:type="dxa"/>
            <w:shd w:val="clear" w:color="auto" w:fill="auto"/>
            <w:vAlign w:val="center"/>
            <w:hideMark/>
          </w:tcPr>
          <w:p w14:paraId="082859B9" w14:textId="77777777" w:rsidR="00F43E93" w:rsidRPr="00F43E93" w:rsidRDefault="00F43E93" w:rsidP="00F43E93">
            <w:pPr>
              <w:widowControl/>
              <w:adjustRightInd/>
              <w:spacing w:before="0" w:after="0" w:line="240" w:lineRule="auto"/>
              <w:jc w:val="left"/>
              <w:textAlignment w:val="auto"/>
              <w:rPr>
                <w:rFonts w:cstheme="majorHAnsi"/>
                <w:color w:val="FF0000"/>
                <w:sz w:val="16"/>
                <w:szCs w:val="16"/>
              </w:rPr>
            </w:pPr>
            <w:r w:rsidRPr="00F43E93">
              <w:rPr>
                <w:rFonts w:cstheme="majorHAnsi"/>
                <w:color w:val="FF0000"/>
                <w:sz w:val="16"/>
                <w:szCs w:val="16"/>
              </w:rPr>
              <w:t> </w:t>
            </w:r>
          </w:p>
        </w:tc>
        <w:tc>
          <w:tcPr>
            <w:tcW w:w="2790" w:type="dxa"/>
            <w:shd w:val="clear" w:color="auto" w:fill="auto"/>
            <w:vAlign w:val="center"/>
            <w:hideMark/>
          </w:tcPr>
          <w:p w14:paraId="0F06B7F2"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Mother-to-child HIV transmission risk at weaning (age 6 months) - POCT: 5.3%; laboratory testing: 5.7%. Maternal and pediatric life expectancy - POCT: 53.4 pediatric life years, 21.2 maternal life years; laboratory testing: 53.2 pediatric life years, 21.2 maternal life years.</w:t>
            </w:r>
          </w:p>
        </w:tc>
        <w:tc>
          <w:tcPr>
            <w:tcW w:w="2275" w:type="dxa"/>
            <w:shd w:val="clear" w:color="auto" w:fill="auto"/>
            <w:vAlign w:val="center"/>
            <w:hideMark/>
          </w:tcPr>
          <w:p w14:paraId="0FCB7910"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 </w:t>
            </w:r>
          </w:p>
        </w:tc>
        <w:tc>
          <w:tcPr>
            <w:tcW w:w="1928" w:type="dxa"/>
            <w:shd w:val="clear" w:color="auto" w:fill="auto"/>
            <w:vAlign w:val="center"/>
            <w:hideMark/>
          </w:tcPr>
          <w:p w14:paraId="0BF00C7E"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In favor of POCT</w:t>
            </w:r>
          </w:p>
        </w:tc>
      </w:tr>
      <w:tr w:rsidR="00F43E93" w:rsidRPr="00F43E93" w14:paraId="211985B0" w14:textId="77777777" w:rsidTr="005F718B">
        <w:trPr>
          <w:trHeight w:val="1321"/>
        </w:trPr>
        <w:tc>
          <w:tcPr>
            <w:tcW w:w="1128" w:type="dxa"/>
            <w:shd w:val="clear" w:color="auto" w:fill="auto"/>
            <w:vAlign w:val="center"/>
            <w:hideMark/>
          </w:tcPr>
          <w:p w14:paraId="3478799A" w14:textId="1B201C9F" w:rsidR="00F43E93" w:rsidRPr="00F43E93" w:rsidRDefault="00286875" w:rsidP="00F43E93">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Crocker et al., 2014</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{"citationItems":[{"id":"ITEM-1","itemData":{"DOI":"10.1309/AJCPYK1KV2KBCDDL","ISBN":"1943-7722 (Electronic)\r0002-9173 (Linking)","ISSN":"19437722","PMID":"25319979","abstract":"OBJECTIVES Point-of-care laboratory testing (POCT) offers reduced turnaround time and may promote improved operational efficiency. Few studies have been reported that document improvements from implementing POCT in primary care. METHODS We measured metrics of practice efficiency in a primary care practice before and after implementation of POCT, including the total number of tests ordered, letters and phone calls to patients, and revisits due to abnormal test results. We performed a cost and revenue analysis. RESULTS Following implementation of POCT, there was a 21% decrease in tests ordered per patient (P &lt; .0001); a decrease in follow-up phone calls and letters by 89% and 85%, respectively (P &lt; .0001 and P &lt; .0001); and a 61% decrease in patient revisits (P = .0002). Estimated testing revenues exceeded expenses by $6.62 per patient, and potential cost savings from improved efficiency were $24.64 per patient. CONCLUSIONS POCT can significantly improve clinical operations with cost reductions through improved practice efficiency.","author":[{"dropping-particle":"","family":"Benjamin Crocker","given":"J.","non-dropping-particle":"","parse-names":false,"suffix":""},{"dropping-particle":"","family":"Lee-Lewandrowski","given":"Elizabeth","non-dropping-particle":"","parse-names":false,"suffix":""},{"dropping-particle":"","family":"Lewandrowski","given":"Nicole","non-dropping-particle":"","parse-names":false,"suffix":""},{"dropping-particle":"","family":"Baron","given":"Jason","non-dropping-particle":"","parse-names":false,"suffix":""},{"dropping-particle":"","family":"Gregory","given":"Kimberly","non-dropping-particle":"","parse-names":false,"suffix":""},{"dropping-particle":"","family":"Lewandrowski","given":"Kent","non-dropping-particle":"","parse-names":false,"suffix":""}],"container-title":"American Journal of Clinical Pathology","id":"ITEM-1","issue":"5","issued":{"date-parts":[["2014"]]},"page":"640-646","title":"Implementation of point-of-care testing in an ambulatory practice of an academic medical center","type":"article-journal","volume":"142"},"uris":["http://www.mendeley.com/documents/?uuid=35ac3ab6-2c0b-4758-b6f4-e93ca76f55a8"]}],"mendeley":{"formattedCitation":"[65]","plainTextFormattedCitation":"[65]","previouslyFormattedCitation":"[64]"},"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[65]</w:t>
            </w:r>
            <w:r>
              <w:rPr>
                <w:rFonts w:ascii="Calibri Light" w:hAnsi="Calibri Light" w:cs="Calibri Light"/>
                <w:color w:val="000000"/>
                <w:sz w:val="16"/>
                <w:szCs w:val="18"/>
              </w:rPr>
              <w:fldChar w:fldCharType="end"/>
            </w:r>
            <w:r w:rsidR="00F43E93" w:rsidRPr="00F43E93">
              <w:rPr>
                <w:rFonts w:cstheme="majorHAnsi"/>
                <w:color w:val="000000"/>
                <w:sz w:val="16"/>
                <w:szCs w:val="16"/>
              </w:rPr>
              <w:t>*</w:t>
            </w:r>
          </w:p>
        </w:tc>
        <w:tc>
          <w:tcPr>
            <w:tcW w:w="2017" w:type="dxa"/>
            <w:shd w:val="clear" w:color="auto" w:fill="auto"/>
            <w:vAlign w:val="center"/>
            <w:hideMark/>
          </w:tcPr>
          <w:p w14:paraId="0CDDCE2F"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Total financial benefit to the practice due to POCT: $31.26 per patient</w:t>
            </w:r>
          </w:p>
        </w:tc>
        <w:tc>
          <w:tcPr>
            <w:tcW w:w="2700" w:type="dxa"/>
            <w:shd w:val="clear" w:color="auto" w:fill="auto"/>
            <w:vAlign w:val="center"/>
            <w:hideMark/>
          </w:tcPr>
          <w:p w14:paraId="343B8E42" w14:textId="77777777" w:rsidR="00F43E93" w:rsidRPr="00F43E93" w:rsidRDefault="00F43E93" w:rsidP="00F43E93">
            <w:pPr>
              <w:widowControl/>
              <w:adjustRightInd/>
              <w:spacing w:before="0" w:after="0" w:line="240" w:lineRule="auto"/>
              <w:jc w:val="left"/>
              <w:textAlignment w:val="auto"/>
              <w:rPr>
                <w:rFonts w:cstheme="majorHAnsi"/>
                <w:color w:val="FF0000"/>
                <w:sz w:val="16"/>
                <w:szCs w:val="16"/>
              </w:rPr>
            </w:pPr>
            <w:r w:rsidRPr="00F43E93">
              <w:rPr>
                <w:rFonts w:cstheme="majorHAnsi"/>
                <w:color w:val="FF0000"/>
                <w:sz w:val="16"/>
                <w:szCs w:val="16"/>
              </w:rPr>
              <w:t> </w:t>
            </w:r>
          </w:p>
        </w:tc>
        <w:tc>
          <w:tcPr>
            <w:tcW w:w="2790" w:type="dxa"/>
            <w:shd w:val="clear" w:color="auto" w:fill="auto"/>
            <w:vAlign w:val="center"/>
            <w:hideMark/>
          </w:tcPr>
          <w:p w14:paraId="6BCD41C1"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Total number of tests ordered per patient - 21% decrease due to POCT. Letters and phone calls to patients - 89% decrease due to POCT. Revisits due to abnormal test results - 61% decrease due to POCT.</w:t>
            </w:r>
          </w:p>
        </w:tc>
        <w:tc>
          <w:tcPr>
            <w:tcW w:w="2275" w:type="dxa"/>
            <w:shd w:val="clear" w:color="auto" w:fill="auto"/>
            <w:vAlign w:val="center"/>
            <w:hideMark/>
          </w:tcPr>
          <w:p w14:paraId="3C6089C4"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 </w:t>
            </w:r>
          </w:p>
        </w:tc>
        <w:tc>
          <w:tcPr>
            <w:tcW w:w="1928" w:type="dxa"/>
            <w:shd w:val="clear" w:color="auto" w:fill="auto"/>
            <w:vAlign w:val="center"/>
            <w:hideMark/>
          </w:tcPr>
          <w:p w14:paraId="5E91F965"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In favor of POCT</w:t>
            </w:r>
          </w:p>
        </w:tc>
      </w:tr>
      <w:tr w:rsidR="00F43E93" w:rsidRPr="00F43E93" w14:paraId="63C9D89D" w14:textId="77777777" w:rsidTr="005F718B">
        <w:trPr>
          <w:trHeight w:val="540"/>
        </w:trPr>
        <w:tc>
          <w:tcPr>
            <w:tcW w:w="1128" w:type="dxa"/>
            <w:shd w:val="clear" w:color="auto" w:fill="auto"/>
            <w:vAlign w:val="center"/>
            <w:hideMark/>
          </w:tcPr>
          <w:p w14:paraId="6B2A7D4A" w14:textId="6C87D972" w:rsidR="00F43E93" w:rsidRPr="00F43E93" w:rsidRDefault="007E0E35" w:rsidP="00F43E93">
            <w:pPr>
              <w:widowControl/>
              <w:adjustRightInd/>
              <w:spacing w:before="0" w:after="0" w:line="240" w:lineRule="auto"/>
              <w:jc w:val="left"/>
              <w:textAlignment w:val="auto"/>
              <w:rPr>
                <w:rFonts w:cstheme="majorHAnsi"/>
                <w:color w:val="000000"/>
                <w:sz w:val="16"/>
                <w:szCs w:val="16"/>
              </w:rPr>
            </w:pPr>
            <w:proofErr w:type="spellStart"/>
            <w:r w:rsidRPr="00F03ECE">
              <w:rPr>
                <w:rFonts w:ascii="Calibri Light" w:hAnsi="Calibri Light" w:cs="Calibri Light"/>
                <w:color w:val="000000"/>
                <w:sz w:val="16"/>
                <w:szCs w:val="18"/>
              </w:rPr>
              <w:lastRenderedPageBreak/>
              <w:t>Chadee</w:t>
            </w:r>
            <w:proofErr w:type="spellEnd"/>
            <w:r w:rsidRPr="00F03ECE">
              <w:rPr>
                <w:rFonts w:ascii="Calibri Light" w:hAnsi="Calibri Light" w:cs="Calibri Light"/>
                <w:color w:val="000000"/>
                <w:sz w:val="16"/>
                <w:szCs w:val="18"/>
              </w:rPr>
              <w:t xml:space="preserve"> et al., 2014</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{"citationItems":[{"id":"ITEM-1","itemData":{"ISSN":"19157398","abstract":"Background The increasing prevalence of diabetes in Ontario means that there will be growing demand for hemoglobin A1c (HbA1c) testing to monitor glycemic control as part of managing this chronic disease. Testing HbA1c where patients receive their diabetes care may improve system efficiency if the results from point-of-care HbA1c testing are comparable to those from laboratory HbA1c measurements. Objectives To estimate the budget impact of point-of-care HbA1c testing to replace laboratory HbA1c measurement for monitoring glycemic control in patients with diabetes in 2013/2014. Review Methods This analysis compared the average testing cost of 3 point-of-care HbA1c devices licensed by Health Canada and available on the market in Canada (Bayer's A1cNow+, Siemens's DCA Vantage, and Bio Rad's In2it), with that of the laboratory HbA1c reference method. The cost difference between point-of-care HbA1c testing and laboratory HbA1c measurement was calculated. Costs and the corresponding range of net impact were estimated in sensitivity analyses. Results The total annual costs of laboratory HbA1c measurement and point-of-care HbA1c testing for 2013/2014 were $91.5 million and $86.8 million, respectively. Replacing all laboratory HbA1c measurements with point-of-care HbA1c testing would save approximately $4.7 million over the next year. Savings could be realized by the health care system at each level that point-of-care HbA1c testing is substituted for laboratory HbA1c measurement. If physician fees were excluded from the analysis, the health care system would incur a net impact from using point-of-care HbA1c testing instead of laboratory A1c measurement. Limitations Point-of-care HbA1c technology is already in use in the Ontario health care system, but the current uptake is unclear. Knowing the adoption rate and market share of point-of-care HbA1c technology would allow for a more accurate estimate of budget impact. Conclusions Replacing laboratory HbA1c measurement with point-of-care HbA1c testing or using point-of-care HbA1c testing in combination with laboratory HbA1c measurement to monitor glycemic control in patients with diabetes could have saved the province $1,175,620 to $4,702,481 in 2013/2014. © Queen's Printer for Ontario, 2014.","author":[{"dropping-particle":"","family":"Chadee","given":"A.","non-dropping-particle":"","parse-names":false,"suffix":""},{"dropping-particle":"","family":"Blackhouse","given":"G.","non-dropping-particle":"","parse-names":false,"suffix":""},{"dropping-particle":"","family":"Goeree","given":"R.","non-dropping-particle":"","parse-names":false,"suffix":""}],"container-title":"Ontario Health Technology Assessment Series","id":"ITEM-1","issue":"9","issued":{"date-parts":[["2014"]]},"page":"1-23","title":"Point-of-care hemoglobin A1ctesting: A budget impact analysis","type":"article-journal","volume":"14"},"uris":["http://www.mendeley.com/documents/?uuid=80a237c3-0471-4407-9dc6-03cb2382c85d"]}],"mendeley":{"formattedCitation":"[66]","plainTextFormattedCitation":"[66]","previouslyFormattedCitation":"[65]"},"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[66]</w:t>
            </w:r>
            <w:r>
              <w:rPr>
                <w:rFonts w:ascii="Calibri Light" w:hAnsi="Calibri Light" w:cs="Calibri Light"/>
                <w:color w:val="000000"/>
                <w:sz w:val="16"/>
                <w:szCs w:val="18"/>
              </w:rPr>
              <w:fldChar w:fldCharType="end"/>
            </w:r>
          </w:p>
        </w:tc>
        <w:tc>
          <w:tcPr>
            <w:tcW w:w="2017" w:type="dxa"/>
            <w:shd w:val="clear" w:color="auto" w:fill="auto"/>
            <w:vAlign w:val="center"/>
            <w:hideMark/>
          </w:tcPr>
          <w:p w14:paraId="58155D3E" w14:textId="77777777" w:rsidR="00F43E93" w:rsidRPr="00F43E93" w:rsidRDefault="00F43E93" w:rsidP="00F43E93">
            <w:pPr>
              <w:widowControl/>
              <w:adjustRightInd/>
              <w:spacing w:before="0" w:after="0" w:line="240" w:lineRule="auto"/>
              <w:jc w:val="left"/>
              <w:textAlignment w:val="auto"/>
              <w:rPr>
                <w:rFonts w:cstheme="majorHAnsi"/>
                <w:color w:val="FF0000"/>
                <w:sz w:val="16"/>
                <w:szCs w:val="16"/>
              </w:rPr>
            </w:pPr>
            <w:r w:rsidRPr="00F43E93">
              <w:rPr>
                <w:rFonts w:cstheme="majorHAnsi"/>
                <w:color w:val="FF0000"/>
                <w:sz w:val="16"/>
                <w:szCs w:val="16"/>
              </w:rPr>
              <w:t> </w:t>
            </w:r>
          </w:p>
        </w:tc>
        <w:tc>
          <w:tcPr>
            <w:tcW w:w="2700" w:type="dxa"/>
            <w:shd w:val="clear" w:color="auto" w:fill="auto"/>
            <w:vAlign w:val="center"/>
            <w:hideMark/>
          </w:tcPr>
          <w:p w14:paraId="46A6F9F3"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 xml:space="preserve">Laboratory testing: $91.5 million; POCT: $86.8 million; POCT would save approximately $4.7 million per year. </w:t>
            </w:r>
          </w:p>
        </w:tc>
        <w:tc>
          <w:tcPr>
            <w:tcW w:w="2790" w:type="dxa"/>
            <w:shd w:val="clear" w:color="auto" w:fill="auto"/>
            <w:vAlign w:val="center"/>
            <w:hideMark/>
          </w:tcPr>
          <w:p w14:paraId="0ECFC4BC" w14:textId="77777777" w:rsidR="00F43E93" w:rsidRPr="00F43E93" w:rsidRDefault="00F43E93" w:rsidP="00F43E93">
            <w:pPr>
              <w:widowControl/>
              <w:adjustRightInd/>
              <w:spacing w:before="0" w:after="0" w:line="240" w:lineRule="auto"/>
              <w:jc w:val="left"/>
              <w:textAlignment w:val="auto"/>
              <w:rPr>
                <w:rFonts w:cstheme="majorHAnsi"/>
                <w:color w:val="FF0000"/>
                <w:sz w:val="16"/>
                <w:szCs w:val="16"/>
              </w:rPr>
            </w:pPr>
            <w:r w:rsidRPr="00F43E93">
              <w:rPr>
                <w:rFonts w:cstheme="majorHAnsi"/>
                <w:color w:val="FF0000"/>
                <w:sz w:val="16"/>
                <w:szCs w:val="16"/>
              </w:rPr>
              <w:t> </w:t>
            </w:r>
          </w:p>
        </w:tc>
        <w:tc>
          <w:tcPr>
            <w:tcW w:w="2275" w:type="dxa"/>
            <w:shd w:val="clear" w:color="auto" w:fill="auto"/>
            <w:vAlign w:val="center"/>
            <w:hideMark/>
          </w:tcPr>
          <w:p w14:paraId="53BB1186"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 </w:t>
            </w:r>
          </w:p>
        </w:tc>
        <w:tc>
          <w:tcPr>
            <w:tcW w:w="1928" w:type="dxa"/>
            <w:shd w:val="clear" w:color="auto" w:fill="auto"/>
            <w:vAlign w:val="center"/>
            <w:hideMark/>
          </w:tcPr>
          <w:p w14:paraId="4A9C287B" w14:textId="77777777" w:rsidR="00F43E93" w:rsidRPr="00F43E93" w:rsidRDefault="00F43E93" w:rsidP="00F43E93">
            <w:pPr>
              <w:widowControl/>
              <w:adjustRightInd/>
              <w:spacing w:before="0" w:after="0" w:line="240" w:lineRule="auto"/>
              <w:jc w:val="left"/>
              <w:textAlignment w:val="auto"/>
              <w:rPr>
                <w:rFonts w:cstheme="majorHAnsi"/>
                <w:sz w:val="16"/>
                <w:szCs w:val="16"/>
              </w:rPr>
            </w:pPr>
            <w:r w:rsidRPr="00F43E93">
              <w:rPr>
                <w:rFonts w:cstheme="majorHAnsi"/>
                <w:sz w:val="16"/>
                <w:szCs w:val="16"/>
              </w:rPr>
              <w:t>In favor of POCT</w:t>
            </w:r>
          </w:p>
        </w:tc>
      </w:tr>
      <w:tr w:rsidR="00F43E93" w:rsidRPr="00F43E93" w14:paraId="22BDDFDB" w14:textId="77777777" w:rsidTr="005F718B">
        <w:trPr>
          <w:trHeight w:val="593"/>
        </w:trPr>
        <w:tc>
          <w:tcPr>
            <w:tcW w:w="1128" w:type="dxa"/>
            <w:shd w:val="clear" w:color="auto" w:fill="auto"/>
            <w:vAlign w:val="center"/>
            <w:hideMark/>
          </w:tcPr>
          <w:p w14:paraId="5187E862" w14:textId="70E24EA7" w:rsidR="00F43E93" w:rsidRPr="00F43E93" w:rsidRDefault="00DE3240" w:rsidP="00F43E93">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Laurence et al., 2010</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{"citationItems":[{"id":"ITEM-1","itemData":{"DOI":"10.1186/1472-6963-10-165","ISBN":"1260500027269","ISSN":"14726963","PMID":"20546629","abstract":"BACKGROUND: While point of care testing (PoCT) for general practitioners is becoming increasingly popular, few studies have investigated whether it represents value for money. This study aims to assess the relative cost-effectiveness of PoCT in general practice (GP) compared to usual testing practice through a pathology laboratory.\\n\\nMETHODS: A cost-effectiveness analysis based on a randomized controlled trial with 4,968 patients followed up for 18 months and fifty-three general practices in urban, rural and remote locations across three states in Australia.The incremental costs and health outcomes associated with a clinical strategy of PoCT for INR, HbA1c, lipids, and ACR were compared to those from pathology laboratory testing. Costs were expressed in year 2006 Australian dollars. Non-parametric bootstrapping was used to generate 95% confidence intervals.\\n\\nRESULTS: The point estimate of the total direct costs per patient to the health care sector for PoCT was less for ACR than for pathology laboratory testing, but greater for INR, HbA1c and Lipids, although none of these differences was statistically significant. PoCT led to significant cost savings to patients and their families. When uncertainty around the point estimates was taken into account, the incremental cost-effectiveness ratio (ICER) for PoCT was found to be unfavourable for INR, but somewhat favourable for ACR, while substantial uncertainty still surrounds PoCT for HbA1c and Lipids.\\n\\nCONCLUSIONS: The decision whether to fund PoCT will depend on the price society is willing to pay for achievement of the non-standard intermediate outcome indicator.\\n\\nTRIAL REGISTRATION: Australian New Zealand Clinical Trial Registry ACTRN12605000272695.","author":[{"dropping-particle":"","family":"Laurence","given":"Caroline O.","non-dropping-particle":"","parse-names":false,"suffix":""},{"dropping-particle":"","family":"Moss","given":"John R.","non-dropping-particle":"","parse-names":false,"suffix":""},{"dropping-particle":"","family":"Briggs","given":"Nancy E.","non-dropping-particle":"","parse-names":false,"suffix":""},{"dropping-particle":"","family":"Beilby","given":"Justin J.","non-dropping-particle":"","parse-names":false,"suffix":""}],"container-title":"BMC Health Services Research","id":"ITEM-1","issued":{"date-parts":[["2010"]]},"title":"The cost-effectiveness of point of care testing in a general practice setting: Results from a randomised controlled trial","type":"article-journal","volume":"10"},"uris":["http://www.mendeley.com/documents/?uuid=dfd20eb5-57ed-4133-9536-9298f0ca498e"]}],"mendeley":{"formattedCitation":"[77]","plainTextFormattedCitation":"[77]","previouslyFormattedCitation":"[76]"},"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[77]</w:t>
            </w:r>
            <w:r>
              <w:rPr>
                <w:rFonts w:ascii="Calibri Light" w:hAnsi="Calibri Light" w:cs="Calibri Light"/>
                <w:color w:val="000000"/>
                <w:sz w:val="16"/>
                <w:szCs w:val="18"/>
              </w:rPr>
              <w:fldChar w:fldCharType="end"/>
            </w:r>
            <w:r w:rsidR="00F43E93" w:rsidRPr="00F43E93">
              <w:rPr>
                <w:rFonts w:cstheme="majorHAnsi"/>
                <w:color w:val="000000"/>
                <w:sz w:val="16"/>
                <w:szCs w:val="16"/>
                <w:vertAlign w:val="superscript"/>
              </w:rPr>
              <w:t>3</w:t>
            </w:r>
          </w:p>
        </w:tc>
        <w:tc>
          <w:tcPr>
            <w:tcW w:w="2017" w:type="dxa"/>
            <w:shd w:val="clear" w:color="auto" w:fill="auto"/>
            <w:vAlign w:val="center"/>
            <w:hideMark/>
          </w:tcPr>
          <w:p w14:paraId="65EAE046" w14:textId="77777777" w:rsidR="00F43E93" w:rsidRPr="00F43E93" w:rsidRDefault="00F43E93" w:rsidP="00F43E93">
            <w:pPr>
              <w:widowControl/>
              <w:adjustRightInd/>
              <w:spacing w:before="0" w:after="0" w:line="240" w:lineRule="auto"/>
              <w:jc w:val="left"/>
              <w:textAlignment w:val="auto"/>
              <w:rPr>
                <w:rFonts w:cstheme="majorHAnsi"/>
                <w:color w:val="FF0000"/>
                <w:sz w:val="16"/>
                <w:szCs w:val="16"/>
              </w:rPr>
            </w:pPr>
            <w:r w:rsidRPr="00F43E93">
              <w:rPr>
                <w:rFonts w:cstheme="majorHAnsi"/>
                <w:color w:val="FF0000"/>
                <w:sz w:val="16"/>
                <w:szCs w:val="16"/>
              </w:rPr>
              <w:t> </w:t>
            </w:r>
          </w:p>
        </w:tc>
        <w:tc>
          <w:tcPr>
            <w:tcW w:w="2700" w:type="dxa"/>
            <w:shd w:val="clear" w:color="auto" w:fill="auto"/>
            <w:vAlign w:val="center"/>
            <w:hideMark/>
          </w:tcPr>
          <w:p w14:paraId="7EAAD41D"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POCT: $3,676 (95% CI: $3,062, $4,191); laboratory testing: $3,672 (95% CI: $2,972, $4,628).</w:t>
            </w:r>
          </w:p>
        </w:tc>
        <w:tc>
          <w:tcPr>
            <w:tcW w:w="2790" w:type="dxa"/>
            <w:shd w:val="clear" w:color="auto" w:fill="auto"/>
            <w:vAlign w:val="center"/>
            <w:hideMark/>
          </w:tcPr>
          <w:p w14:paraId="7A9851F2"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Proportion of patients in target range - POCT: 0.6548; Laboratory testing: 0.5618.</w:t>
            </w:r>
          </w:p>
        </w:tc>
        <w:tc>
          <w:tcPr>
            <w:tcW w:w="2275" w:type="dxa"/>
            <w:shd w:val="clear" w:color="auto" w:fill="auto"/>
            <w:vAlign w:val="center"/>
            <w:hideMark/>
          </w:tcPr>
          <w:p w14:paraId="408CA308"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POCT had higher costs and was more effective (ICER = $40)</w:t>
            </w:r>
          </w:p>
        </w:tc>
        <w:tc>
          <w:tcPr>
            <w:tcW w:w="1928" w:type="dxa"/>
            <w:shd w:val="clear" w:color="auto" w:fill="auto"/>
            <w:vAlign w:val="center"/>
            <w:hideMark/>
          </w:tcPr>
          <w:p w14:paraId="6E5735F5"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 xml:space="preserve">Neither against </w:t>
            </w:r>
            <w:proofErr w:type="gramStart"/>
            <w:r w:rsidRPr="00F43E93">
              <w:rPr>
                <w:rFonts w:cstheme="majorHAnsi"/>
                <w:color w:val="000000"/>
                <w:sz w:val="16"/>
                <w:szCs w:val="16"/>
              </w:rPr>
              <w:t>or</w:t>
            </w:r>
            <w:proofErr w:type="gramEnd"/>
            <w:r w:rsidRPr="00F43E93">
              <w:rPr>
                <w:rFonts w:cstheme="majorHAnsi"/>
                <w:color w:val="000000"/>
                <w:sz w:val="16"/>
                <w:szCs w:val="16"/>
              </w:rPr>
              <w:t xml:space="preserve"> in favor of POCT: depends on WTP of society</w:t>
            </w:r>
          </w:p>
        </w:tc>
      </w:tr>
      <w:tr w:rsidR="00F43E93" w:rsidRPr="00F43E93" w14:paraId="15E0DD0F" w14:textId="77777777" w:rsidTr="005F718B">
        <w:trPr>
          <w:trHeight w:val="800"/>
        </w:trPr>
        <w:tc>
          <w:tcPr>
            <w:tcW w:w="1128" w:type="dxa"/>
            <w:shd w:val="clear" w:color="auto" w:fill="auto"/>
            <w:vAlign w:val="center"/>
            <w:hideMark/>
          </w:tcPr>
          <w:p w14:paraId="6941A51B" w14:textId="5BB9EB57" w:rsidR="00F43E93" w:rsidRPr="00F43E93" w:rsidRDefault="00DE3240" w:rsidP="00F43E93">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Laurence et al., 2010</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{"citationItems":[{"id":"ITEM-1","itemData":{"DOI":"10.1186/1472-6963-10-165","ISBN":"1260500027269","ISSN":"14726963","PMID":"20546629","abstract":"BACKGROUND: While point of care testing (PoCT) for general practitioners is becoming increasingly popular, few studies have investigated whether it represents value for money. This study aims to assess the relative cost-effectiveness of PoCT in general practice (GP) compared to usual testing practice through a pathology laboratory.\\n\\nMETHODS: A cost-effectiveness analysis based on a randomized controlled trial with 4,968 patients followed up for 18 months and fifty-three general practices in urban, rural and remote locations across three states in Australia.The incremental costs and health outcomes associated with a clinical strategy of PoCT for INR, HbA1c, lipids, and ACR were compared to those from pathology laboratory testing. Costs were expressed in year 2006 Australian dollars. Non-parametric bootstrapping was used to generate 95% confidence intervals.\\n\\nRESULTS: The point estimate of the total direct costs per patient to the health care sector for PoCT was less for ACR than for pathology laboratory testing, but greater for INR, HbA1c and Lipids, although none of these differences was statistically significant. PoCT led to significant cost savings to patients and their families. When uncertainty around the point estimates was taken into account, the incremental cost-effectiveness ratio (ICER) for PoCT was found to be unfavourable for INR, but somewhat favourable for ACR, while substantial uncertainty still surrounds PoCT for HbA1c and Lipids.\\n\\nCONCLUSIONS: The decision whether to fund PoCT will depend on the price society is willing to pay for achievement of the non-standard intermediate outcome indicator.\\n\\nTRIAL REGISTRATION: Australian New Zealand Clinical Trial Registry ACTRN12605000272695.","author":[{"dropping-particle":"","family":"Laurence","given":"Caroline O.","non-dropping-particle":"","parse-names":false,"suffix":""},{"dropping-particle":"","family":"Moss","given":"John R.","non-dropping-particle":"","parse-names":false,"suffix":""},{"dropping-particle":"","family":"Briggs","given":"Nancy E.","non-dropping-particle":"","parse-names":false,"suffix":""},{"dropping-particle":"","family":"Beilby","given":"Justin J.","non-dropping-particle":"","parse-names":false,"suffix":""}],"container-title":"BMC Health Services Research","id":"ITEM-1","issued":{"date-parts":[["2010"]]},"title":"The cost-effectiveness of point of care testing in a general practice setting: Results from a randomised controlled trial","type":"article-journal","volume":"10"},"uris":["http://www.mendeley.com/documents/?uuid=dfd20eb5-57ed-4133-9536-9298f0ca498e"]}],"mendeley":{"formattedCitation":"[77]","plainTextFormattedCitation":"[77]","previouslyFormattedCitation":"[76]"},"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[77]</w:t>
            </w:r>
            <w:r>
              <w:rPr>
                <w:rFonts w:ascii="Calibri Light" w:hAnsi="Calibri Light" w:cs="Calibri Light"/>
                <w:color w:val="000000"/>
                <w:sz w:val="16"/>
                <w:szCs w:val="18"/>
              </w:rPr>
              <w:fldChar w:fldCharType="end"/>
            </w:r>
            <w:r w:rsidR="00F43E93" w:rsidRPr="00F43E93">
              <w:rPr>
                <w:rFonts w:cstheme="majorHAnsi"/>
                <w:color w:val="000000"/>
                <w:sz w:val="16"/>
                <w:szCs w:val="16"/>
                <w:vertAlign w:val="superscript"/>
              </w:rPr>
              <w:t>4</w:t>
            </w:r>
          </w:p>
        </w:tc>
        <w:tc>
          <w:tcPr>
            <w:tcW w:w="2017" w:type="dxa"/>
            <w:shd w:val="clear" w:color="auto" w:fill="auto"/>
            <w:vAlign w:val="center"/>
            <w:hideMark/>
          </w:tcPr>
          <w:p w14:paraId="1667E0C4" w14:textId="77777777" w:rsidR="00F43E93" w:rsidRPr="00F43E93" w:rsidRDefault="00F43E93" w:rsidP="00F43E93">
            <w:pPr>
              <w:widowControl/>
              <w:adjustRightInd/>
              <w:spacing w:before="0" w:after="0" w:line="240" w:lineRule="auto"/>
              <w:jc w:val="left"/>
              <w:textAlignment w:val="auto"/>
              <w:rPr>
                <w:rFonts w:cstheme="majorHAnsi"/>
                <w:color w:val="FF0000"/>
                <w:sz w:val="16"/>
                <w:szCs w:val="16"/>
              </w:rPr>
            </w:pPr>
            <w:r w:rsidRPr="00F43E93">
              <w:rPr>
                <w:rFonts w:cstheme="majorHAnsi"/>
                <w:color w:val="FF0000"/>
                <w:sz w:val="16"/>
                <w:szCs w:val="16"/>
              </w:rPr>
              <w:t> </w:t>
            </w:r>
          </w:p>
        </w:tc>
        <w:tc>
          <w:tcPr>
            <w:tcW w:w="2700" w:type="dxa"/>
            <w:shd w:val="clear" w:color="auto" w:fill="auto"/>
            <w:vAlign w:val="center"/>
            <w:hideMark/>
          </w:tcPr>
          <w:p w14:paraId="2A267E85"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POCT: $2,732 (95% CI: $1,994, $3,241); laboratory testing: $2,202 (95% CI: $1,875, $2,765).</w:t>
            </w:r>
          </w:p>
        </w:tc>
        <w:tc>
          <w:tcPr>
            <w:tcW w:w="2790" w:type="dxa"/>
            <w:shd w:val="clear" w:color="auto" w:fill="auto"/>
            <w:vAlign w:val="center"/>
            <w:hideMark/>
          </w:tcPr>
          <w:p w14:paraId="21D07A74"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Proportion of patients in target range - POCT: 0.1592; Laboratory testing: 0.1066.</w:t>
            </w:r>
          </w:p>
        </w:tc>
        <w:tc>
          <w:tcPr>
            <w:tcW w:w="2275" w:type="dxa"/>
            <w:shd w:val="clear" w:color="auto" w:fill="auto"/>
            <w:vAlign w:val="center"/>
            <w:hideMark/>
          </w:tcPr>
          <w:p w14:paraId="55F66837"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POCT had higher costs and was more effective (ICER = $10,082)</w:t>
            </w:r>
          </w:p>
        </w:tc>
        <w:tc>
          <w:tcPr>
            <w:tcW w:w="1928" w:type="dxa"/>
            <w:shd w:val="clear" w:color="auto" w:fill="auto"/>
            <w:vAlign w:val="center"/>
            <w:hideMark/>
          </w:tcPr>
          <w:p w14:paraId="6908E909"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 xml:space="preserve">Neither against </w:t>
            </w:r>
            <w:proofErr w:type="gramStart"/>
            <w:r w:rsidRPr="00F43E93">
              <w:rPr>
                <w:rFonts w:cstheme="majorHAnsi"/>
                <w:color w:val="000000"/>
                <w:sz w:val="16"/>
                <w:szCs w:val="16"/>
              </w:rPr>
              <w:t>or</w:t>
            </w:r>
            <w:proofErr w:type="gramEnd"/>
            <w:r w:rsidRPr="00F43E93">
              <w:rPr>
                <w:rFonts w:cstheme="majorHAnsi"/>
                <w:color w:val="000000"/>
                <w:sz w:val="16"/>
                <w:szCs w:val="16"/>
              </w:rPr>
              <w:t xml:space="preserve"> in favor of POCT: depends on WTP of society</w:t>
            </w:r>
          </w:p>
        </w:tc>
      </w:tr>
      <w:tr w:rsidR="00F43E93" w:rsidRPr="00F43E93" w14:paraId="72BDF7FE" w14:textId="77777777" w:rsidTr="005F718B">
        <w:trPr>
          <w:trHeight w:val="440"/>
        </w:trPr>
        <w:tc>
          <w:tcPr>
            <w:tcW w:w="1128" w:type="dxa"/>
            <w:shd w:val="clear" w:color="auto" w:fill="auto"/>
            <w:vAlign w:val="center"/>
            <w:hideMark/>
          </w:tcPr>
          <w:p w14:paraId="6E8D334E" w14:textId="4C6BBD19" w:rsidR="00F43E93" w:rsidRPr="00F43E93" w:rsidRDefault="00DE3240" w:rsidP="00F43E93">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Laurence et al., 2010</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{"citationItems":[{"id":"ITEM-1","itemData":{"DOI":"10.1186/1472-6963-10-165","ISBN":"1260500027269","ISSN":"14726963","PMID":"20546629","abstract":"BACKGROUND: While point of care testing (PoCT) for general practitioners is becoming increasingly popular, few studies have investigated whether it represents value for money. This study aims to assess the relative cost-effectiveness of PoCT in general practice (GP) compared to usual testing practice through a pathology laboratory.\\n\\nMETHODS: A cost-effectiveness analysis based on a randomized controlled trial with 4,968 patients followed up for 18 months and fifty-three general practices in urban, rural and remote locations across three states in Australia.The incremental costs and health outcomes associated with a clinical strategy of PoCT for INR, HbA1c, lipids, and ACR were compared to those from pathology laboratory testing. Costs were expressed in year 2006 Australian dollars. Non-parametric bootstrapping was used to generate 95% confidence intervals.\\n\\nRESULTS: The point estimate of the total direct costs per patient to the health care sector for PoCT was less for ACR than for pathology laboratory testing, but greater for INR, HbA1c and Lipids, although none of these differences was statistically significant. PoCT led to significant cost savings to patients and their families. When uncertainty around the point estimates was taken into account, the incremental cost-effectiveness ratio (ICER) for PoCT was found to be unfavourable for INR, but somewhat favourable for ACR, while substantial uncertainty still surrounds PoCT for HbA1c and Lipids.\\n\\nCONCLUSIONS: The decision whether to fund PoCT will depend on the price society is willing to pay for achievement of the non-standard intermediate outcome indicator.\\n\\nTRIAL REGISTRATION: Australian New Zealand Clinical Trial Registry ACTRN12605000272695.","author":[{"dropping-particle":"","family":"Laurence","given":"Caroline O.","non-dropping-particle":"","parse-names":false,"suffix":""},{"dropping-particle":"","family":"Moss","given":"John R.","non-dropping-particle":"","parse-names":false,"suffix":""},{"dropping-particle":"","family":"Briggs","given":"Nancy E.","non-dropping-particle":"","parse-names":false,"suffix":""},{"dropping-particle":"","family":"Beilby","given":"Justin J.","non-dropping-particle":"","parse-names":false,"suffix":""}],"container-title":"BMC Health Services Research","id":"ITEM-1","issued":{"date-parts":[["2010"]]},"title":"The cost-effectiveness of point of care testing in a general practice setting: Results from a randomised controlled trial","type":"article-journal","volume":"10"},"uris":["http://www.mendeley.com/documents/?uuid=dfd20eb5-57ed-4133-9536-9298f0ca498e"]}],"mendeley":{"formattedCitation":"[77]","plainTextFormattedCitation":"[77]","previouslyFormattedCitation":"[76]"},"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[77]</w:t>
            </w:r>
            <w:r>
              <w:rPr>
                <w:rFonts w:ascii="Calibri Light" w:hAnsi="Calibri Light" w:cs="Calibri Light"/>
                <w:color w:val="000000"/>
                <w:sz w:val="16"/>
                <w:szCs w:val="18"/>
              </w:rPr>
              <w:fldChar w:fldCharType="end"/>
            </w:r>
            <w:r w:rsidR="00F43E93" w:rsidRPr="00F43E93">
              <w:rPr>
                <w:rFonts w:cstheme="majorHAnsi"/>
                <w:color w:val="000000"/>
                <w:sz w:val="16"/>
                <w:szCs w:val="16"/>
                <w:vertAlign w:val="superscript"/>
              </w:rPr>
              <w:t>5</w:t>
            </w:r>
          </w:p>
        </w:tc>
        <w:tc>
          <w:tcPr>
            <w:tcW w:w="2017" w:type="dxa"/>
            <w:shd w:val="clear" w:color="auto" w:fill="auto"/>
            <w:vAlign w:val="center"/>
            <w:hideMark/>
          </w:tcPr>
          <w:p w14:paraId="39F633A5" w14:textId="77777777" w:rsidR="00F43E93" w:rsidRPr="00F43E93" w:rsidRDefault="00F43E93" w:rsidP="00F43E93">
            <w:pPr>
              <w:widowControl/>
              <w:adjustRightInd/>
              <w:spacing w:before="0" w:after="0" w:line="240" w:lineRule="auto"/>
              <w:jc w:val="left"/>
              <w:textAlignment w:val="auto"/>
              <w:rPr>
                <w:rFonts w:cstheme="majorHAnsi"/>
                <w:color w:val="FF0000"/>
                <w:sz w:val="16"/>
                <w:szCs w:val="16"/>
              </w:rPr>
            </w:pPr>
            <w:r w:rsidRPr="00F43E93">
              <w:rPr>
                <w:rFonts w:cstheme="majorHAnsi"/>
                <w:color w:val="FF0000"/>
                <w:sz w:val="16"/>
                <w:szCs w:val="16"/>
              </w:rPr>
              <w:t> </w:t>
            </w:r>
          </w:p>
        </w:tc>
        <w:tc>
          <w:tcPr>
            <w:tcW w:w="2700" w:type="dxa"/>
            <w:shd w:val="clear" w:color="auto" w:fill="auto"/>
            <w:vAlign w:val="center"/>
            <w:hideMark/>
          </w:tcPr>
          <w:p w14:paraId="3528019B"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POCT: $3,297 (95% CI: $2,262, $4,197); laboratory testing: $3,150 (95% CI: $1,786, $3,853).</w:t>
            </w:r>
          </w:p>
        </w:tc>
        <w:tc>
          <w:tcPr>
            <w:tcW w:w="2790" w:type="dxa"/>
            <w:shd w:val="clear" w:color="auto" w:fill="auto"/>
            <w:vAlign w:val="center"/>
            <w:hideMark/>
          </w:tcPr>
          <w:p w14:paraId="5AD267C8"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Proportion of patients in target range - POCT: 0.5701; Laboratory testing: 0.61477.</w:t>
            </w:r>
          </w:p>
        </w:tc>
        <w:tc>
          <w:tcPr>
            <w:tcW w:w="2275" w:type="dxa"/>
            <w:shd w:val="clear" w:color="auto" w:fill="auto"/>
            <w:vAlign w:val="center"/>
            <w:hideMark/>
          </w:tcPr>
          <w:p w14:paraId="54E440A4"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POCT was more expensive and less effective than laboratory testing</w:t>
            </w:r>
          </w:p>
        </w:tc>
        <w:tc>
          <w:tcPr>
            <w:tcW w:w="1928" w:type="dxa"/>
            <w:shd w:val="clear" w:color="auto" w:fill="auto"/>
            <w:vAlign w:val="center"/>
            <w:hideMark/>
          </w:tcPr>
          <w:p w14:paraId="5390BD60"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Against POCT</w:t>
            </w:r>
          </w:p>
        </w:tc>
      </w:tr>
      <w:tr w:rsidR="00F43E93" w:rsidRPr="00F43E93" w14:paraId="06D2809F" w14:textId="77777777" w:rsidTr="005F718B">
        <w:trPr>
          <w:trHeight w:val="674"/>
        </w:trPr>
        <w:tc>
          <w:tcPr>
            <w:tcW w:w="1128" w:type="dxa"/>
            <w:shd w:val="clear" w:color="000000" w:fill="FFFFFF"/>
            <w:vAlign w:val="center"/>
            <w:hideMark/>
          </w:tcPr>
          <w:p w14:paraId="7CDFCF98" w14:textId="6C0C5ED5" w:rsidR="00F43E93" w:rsidRPr="00F43E93" w:rsidRDefault="00DE3240" w:rsidP="00F43E93">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Laurence et al., 2010</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{"citationItems":[{"id":"ITEM-1","itemData":{"DOI":"10.1186/1472-6963-10-165","ISBN":"1260500027269","ISSN":"14726963","PMID":"20546629","abstract":"BACKGROUND: While point of care testing (PoCT) for general practitioners is becoming increasingly popular, few studies have investigated whether it represents value for money. This study aims to assess the relative cost-effectiveness of PoCT in general practice (GP) compared to usual testing practice through a pathology laboratory.\\n\\nMETHODS: A cost-effectiveness analysis based on a randomized controlled trial with 4,968 patients followed up for 18 months and fifty-three general practices in urban, rural and remote locations across three states in Australia.The incremental costs and health outcomes associated with a clinical strategy of PoCT for INR, HbA1c, lipids, and ACR were compared to those from pathology laboratory testing. Costs were expressed in year 2006 Australian dollars. Non-parametric bootstrapping was used to generate 95% confidence intervals.\\n\\nRESULTS: The point estimate of the total direct costs per patient to the health care sector for PoCT was less for ACR than for pathology laboratory testing, but greater for INR, HbA1c and Lipids, although none of these differences was statistically significant. PoCT led to significant cost savings to patients and their families. When uncertainty around the point estimates was taken into account, the incremental cost-effectiveness ratio (ICER) for PoCT was found to be unfavourable for INR, but somewhat favourable for ACR, while substantial uncertainty still surrounds PoCT for HbA1c and Lipids.\\n\\nCONCLUSIONS: The decision whether to fund PoCT will depend on the price society is willing to pay for achievement of the non-standard intermediate outcome indicator.\\n\\nTRIAL REGISTRATION: Australian New Zealand Clinical Trial Registry ACTRN12605000272695.","author":[{"dropping-particle":"","family":"Laurence","given":"Caroline O.","non-dropping-particle":"","parse-names":false,"suffix":""},{"dropping-particle":"","family":"Moss","given":"John R.","non-dropping-particle":"","parse-names":false,"suffix":""},{"dropping-particle":"","family":"Briggs","given":"Nancy E.","non-dropping-particle":"","parse-names":false,"suffix":""},{"dropping-particle":"","family":"Beilby","given":"Justin J.","non-dropping-particle":"","parse-names":false,"suffix":""}],"container-title":"BMC Health Services Research","id":"ITEM-1","issued":{"date-parts":[["2010"]]},"title":"The cost-effectiveness of point of care testing in a general practice setting: Results from a randomised controlled trial","type":"article-journal","volume":"10"},"uris":["http://www.mendeley.com/documents/?uuid=dfd20eb5-57ed-4133-9536-9298f0ca498e"]}],"mendeley":{"formattedCitation":"[77]","plainTextFormattedCitation":"[77]","previouslyFormattedCitation":"[76]"},"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[77]</w:t>
            </w:r>
            <w:r>
              <w:rPr>
                <w:rFonts w:ascii="Calibri Light" w:hAnsi="Calibri Light" w:cs="Calibri Light"/>
                <w:color w:val="000000"/>
                <w:sz w:val="16"/>
                <w:szCs w:val="18"/>
              </w:rPr>
              <w:fldChar w:fldCharType="end"/>
            </w:r>
            <w:r w:rsidR="00F43E93" w:rsidRPr="00F43E93">
              <w:rPr>
                <w:rFonts w:cstheme="majorHAnsi"/>
                <w:color w:val="000000"/>
                <w:sz w:val="16"/>
                <w:szCs w:val="16"/>
                <w:vertAlign w:val="superscript"/>
              </w:rPr>
              <w:t>6</w:t>
            </w:r>
          </w:p>
        </w:tc>
        <w:tc>
          <w:tcPr>
            <w:tcW w:w="2017" w:type="dxa"/>
            <w:shd w:val="clear" w:color="auto" w:fill="auto"/>
            <w:vAlign w:val="center"/>
            <w:hideMark/>
          </w:tcPr>
          <w:p w14:paraId="312BF208" w14:textId="77777777" w:rsidR="00F43E93" w:rsidRPr="00F43E93" w:rsidRDefault="00F43E93" w:rsidP="00F43E93">
            <w:pPr>
              <w:widowControl/>
              <w:adjustRightInd/>
              <w:spacing w:before="0" w:after="0" w:line="240" w:lineRule="auto"/>
              <w:jc w:val="left"/>
              <w:textAlignment w:val="auto"/>
              <w:rPr>
                <w:rFonts w:cstheme="majorHAnsi"/>
                <w:color w:val="FF0000"/>
                <w:sz w:val="16"/>
                <w:szCs w:val="16"/>
              </w:rPr>
            </w:pPr>
            <w:r w:rsidRPr="00F43E93">
              <w:rPr>
                <w:rFonts w:cstheme="majorHAnsi"/>
                <w:color w:val="FF0000"/>
                <w:sz w:val="16"/>
                <w:szCs w:val="16"/>
              </w:rPr>
              <w:t> </w:t>
            </w:r>
          </w:p>
        </w:tc>
        <w:tc>
          <w:tcPr>
            <w:tcW w:w="2700" w:type="dxa"/>
            <w:shd w:val="clear" w:color="auto" w:fill="auto"/>
            <w:vAlign w:val="center"/>
            <w:hideMark/>
          </w:tcPr>
          <w:p w14:paraId="7DF0E176"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POCT: $1,727 (95% CI: $1,378, $2,309); laboratory testing: $1,954 (95% CI: $1,319, $2,712).</w:t>
            </w:r>
          </w:p>
        </w:tc>
        <w:tc>
          <w:tcPr>
            <w:tcW w:w="2790" w:type="dxa"/>
            <w:shd w:val="clear" w:color="auto" w:fill="auto"/>
            <w:vAlign w:val="center"/>
            <w:hideMark/>
          </w:tcPr>
          <w:p w14:paraId="1D0673CA"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Proportion of patients in target range - POCT: 0.7739; Laboratory testing: 0.7418.</w:t>
            </w:r>
          </w:p>
        </w:tc>
        <w:tc>
          <w:tcPr>
            <w:tcW w:w="2275" w:type="dxa"/>
            <w:shd w:val="clear" w:color="auto" w:fill="auto"/>
            <w:vAlign w:val="center"/>
            <w:hideMark/>
          </w:tcPr>
          <w:p w14:paraId="1B94D30B"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POCT dominates laboratory testing, being both less costly and more effective</w:t>
            </w:r>
          </w:p>
        </w:tc>
        <w:tc>
          <w:tcPr>
            <w:tcW w:w="1928" w:type="dxa"/>
            <w:shd w:val="clear" w:color="auto" w:fill="auto"/>
            <w:vAlign w:val="center"/>
            <w:hideMark/>
          </w:tcPr>
          <w:p w14:paraId="37710B7D"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 xml:space="preserve">Neither against </w:t>
            </w:r>
            <w:proofErr w:type="gramStart"/>
            <w:r w:rsidRPr="00F43E93">
              <w:rPr>
                <w:rFonts w:cstheme="majorHAnsi"/>
                <w:color w:val="000000"/>
                <w:sz w:val="16"/>
                <w:szCs w:val="16"/>
              </w:rPr>
              <w:t>or</w:t>
            </w:r>
            <w:proofErr w:type="gramEnd"/>
            <w:r w:rsidRPr="00F43E93">
              <w:rPr>
                <w:rFonts w:cstheme="majorHAnsi"/>
                <w:color w:val="000000"/>
                <w:sz w:val="16"/>
                <w:szCs w:val="16"/>
              </w:rPr>
              <w:t xml:space="preserve"> in favor of POCT: depends on WTP of society</w:t>
            </w:r>
          </w:p>
        </w:tc>
      </w:tr>
      <w:tr w:rsidR="00F43E93" w:rsidRPr="00F43E93" w14:paraId="284DD3C6" w14:textId="77777777" w:rsidTr="005F718B">
        <w:trPr>
          <w:trHeight w:val="274"/>
        </w:trPr>
        <w:tc>
          <w:tcPr>
            <w:tcW w:w="12838" w:type="dxa"/>
            <w:gridSpan w:val="6"/>
            <w:shd w:val="clear" w:color="000000" w:fill="FFFFFF"/>
            <w:vAlign w:val="center"/>
          </w:tcPr>
          <w:p w14:paraId="549D0ECE"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Secondary Care</w:t>
            </w:r>
          </w:p>
        </w:tc>
      </w:tr>
      <w:tr w:rsidR="00F43E93" w:rsidRPr="00F43E93" w14:paraId="26C93330" w14:textId="77777777" w:rsidTr="005F718B">
        <w:trPr>
          <w:trHeight w:val="274"/>
        </w:trPr>
        <w:tc>
          <w:tcPr>
            <w:tcW w:w="1128" w:type="dxa"/>
            <w:shd w:val="clear" w:color="000000" w:fill="FFFFFF"/>
            <w:vAlign w:val="center"/>
          </w:tcPr>
          <w:p w14:paraId="4CC20BBA"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Author, Year</w:t>
            </w:r>
          </w:p>
        </w:tc>
        <w:tc>
          <w:tcPr>
            <w:tcW w:w="2017" w:type="dxa"/>
            <w:shd w:val="clear" w:color="auto" w:fill="auto"/>
            <w:vAlign w:val="center"/>
          </w:tcPr>
          <w:p w14:paraId="4B48AC45" w14:textId="77777777" w:rsidR="00F43E93" w:rsidRPr="00F43E93" w:rsidRDefault="00F43E93" w:rsidP="00F43E93">
            <w:pPr>
              <w:widowControl/>
              <w:adjustRightInd/>
              <w:spacing w:before="0" w:after="0" w:line="240" w:lineRule="auto"/>
              <w:jc w:val="left"/>
              <w:textAlignment w:val="auto"/>
              <w:rPr>
                <w:rFonts w:cstheme="majorHAnsi"/>
                <w:color w:val="FF0000"/>
                <w:sz w:val="16"/>
                <w:szCs w:val="16"/>
              </w:rPr>
            </w:pPr>
            <w:r w:rsidRPr="00F43E93">
              <w:rPr>
                <w:rFonts w:cstheme="majorHAnsi"/>
                <w:color w:val="000000"/>
                <w:sz w:val="16"/>
                <w:szCs w:val="16"/>
              </w:rPr>
              <w:t>Cost per patient</w:t>
            </w:r>
          </w:p>
        </w:tc>
        <w:tc>
          <w:tcPr>
            <w:tcW w:w="2700" w:type="dxa"/>
            <w:shd w:val="clear" w:color="auto" w:fill="auto"/>
            <w:vAlign w:val="center"/>
          </w:tcPr>
          <w:p w14:paraId="3E05BAC5"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Overall cost</w:t>
            </w:r>
          </w:p>
        </w:tc>
        <w:tc>
          <w:tcPr>
            <w:tcW w:w="2790" w:type="dxa"/>
            <w:shd w:val="clear" w:color="auto" w:fill="auto"/>
            <w:vAlign w:val="center"/>
          </w:tcPr>
          <w:p w14:paraId="7CDADA06"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Effectiveness</w:t>
            </w:r>
          </w:p>
        </w:tc>
        <w:tc>
          <w:tcPr>
            <w:tcW w:w="2275" w:type="dxa"/>
            <w:shd w:val="clear" w:color="auto" w:fill="auto"/>
            <w:vAlign w:val="center"/>
          </w:tcPr>
          <w:p w14:paraId="72EB1CCD"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Ratio</w:t>
            </w:r>
          </w:p>
        </w:tc>
        <w:tc>
          <w:tcPr>
            <w:tcW w:w="1928" w:type="dxa"/>
            <w:shd w:val="clear" w:color="auto" w:fill="auto"/>
            <w:vAlign w:val="center"/>
          </w:tcPr>
          <w:p w14:paraId="40BCD1CB"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 Conclusion</w:t>
            </w:r>
          </w:p>
        </w:tc>
      </w:tr>
      <w:tr w:rsidR="00F43E93" w:rsidRPr="00F43E93" w14:paraId="488B0518" w14:textId="77777777" w:rsidTr="005F718B">
        <w:trPr>
          <w:trHeight w:val="274"/>
        </w:trPr>
        <w:tc>
          <w:tcPr>
            <w:tcW w:w="1128" w:type="dxa"/>
            <w:shd w:val="clear" w:color="000000" w:fill="FFFFFF"/>
            <w:vAlign w:val="center"/>
          </w:tcPr>
          <w:p w14:paraId="0FBD7522" w14:textId="370C9F46" w:rsidR="00F43E93" w:rsidRPr="00F43E93" w:rsidRDefault="00D92D2B" w:rsidP="00F43E93">
            <w:pPr>
              <w:widowControl/>
              <w:adjustRightInd/>
              <w:spacing w:before="0" w:after="0" w:line="240" w:lineRule="auto"/>
              <w:jc w:val="left"/>
              <w:textAlignment w:val="auto"/>
              <w:rPr>
                <w:rFonts w:cstheme="majorHAnsi"/>
                <w:color w:val="000000"/>
                <w:sz w:val="16"/>
                <w:szCs w:val="16"/>
              </w:rPr>
            </w:pPr>
            <w:proofErr w:type="spellStart"/>
            <w:r w:rsidRPr="00F03ECE">
              <w:rPr>
                <w:rFonts w:ascii="Calibri Light" w:hAnsi="Calibri Light" w:cs="Calibri Light"/>
                <w:color w:val="000000"/>
                <w:sz w:val="16"/>
                <w:szCs w:val="18"/>
              </w:rPr>
              <w:t>Challen</w:t>
            </w:r>
            <w:proofErr w:type="spellEnd"/>
            <w:r w:rsidRPr="00F03ECE">
              <w:rPr>
                <w:rFonts w:ascii="Calibri Light" w:hAnsi="Calibri Light" w:cs="Calibri Light"/>
                <w:color w:val="000000"/>
                <w:sz w:val="16"/>
                <w:szCs w:val="18"/>
              </w:rPr>
              <w:t xml:space="preserve"> et al., 2015</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10.1310/hpj5009-783","author":[{"dropping-particle":"","family":"Challen","given":"Laura","non-dropping-particle":"","parse-names":false,"suffix":""},{"dropping-particle":"","family":"Agbahiwe","given":"Sylvester","non-dropping-particle":"","parse-names":false,"suffix":""},{"dropping-particle":"","family":"Cantieri","given":"Tara","non-dropping-particle":"","parse-names":false,"suffix":""},{"dropping-particle":"","family":"Olivetti","given":"Jessica Garcia","non-dropping-particle":"","parse-names":false,"suffix":""},{"dropping-particle":"","family":"Mbah","given":"Theophilus","non-dropping-particle":"","parse-names":false,"suffix":""},{"dropping-particle":"","family":"Mendoza-becerra","given":"Yvonne","non-dropping-particle":"","parse-names":false,"suffix":""},{"dropping-particle":"","family":"Munoz","given":"Cesar","non-dropping-particle":"","parse-names":false,"suffix":""},{"dropping-particle":"","family":"Nguyen","given":"Michelle","non-dropping-particle":"","parse-names":false,"suffix":""},{"dropping-particle":"","family":"Partee","given":"Katashia","non-dropping-particle":"","parse-names":false,"suffix":""},{"dropping-particle":"","family":"Thomas","given":"Jocelyn","non-dropping-particle":"","parse-names":false,"suffix":""},{"dropping-particle":"","family":"Lal","given":"Lincy","non-dropping-particle":"","parse-names":false,"suffix":""},{"dropping-particle":"","family":"Green","given":"Monica","non-dropping-particle":"","parse-names":false,"suffix":""}],"container-title":"Hospital Pharmacy","id":"ITEM-1","issue":"9","issued":{"date-parts":[["2015"]]},"page":"783-788","title":"Impact of Point-of-Care Implementation in Pharmacist-Run Anticoagulation Clinics Within a Community-Owned Health System: A Two-Year Retrospective Analysis","type":"article-journal","volume":"50"},"uris":["http://www.mendeley.com/documents/?uuid=5331b614-d964-4b75-9357-0b7d2dc1364d"]}],"mendeley":{"formattedCitation":"[61]","plainTextFormattedCitation":"[61]","previouslyFormattedCitation":"[60]"},"properties":{"noteIndex":0},"schema":"https://github.com/citation-style-language/schema/raw/master/csl-citation.json"}</w:instrText>
            </w:r>
            <w:r>
              <w:rPr>
                <w:rFonts w:ascii="Calibri Light" w:hAnsi="Calibri Light" w:cs="Calibri Light"/>
                <w:color w:val="000000"/>
                <w:sz w:val="16"/>
                <w:szCs w:val="18"/>
              </w:rPr>
              <w:fldChar w:fldCharType="separate"/>
            </w:r>
            <w:r w:rsidRPr="004A39DD">
              <w:rPr>
                <w:rFonts w:ascii="Calibri Light" w:hAnsi="Calibri Light" w:cs="Calibri Light"/>
                <w:noProof/>
                <w:color w:val="000000"/>
                <w:sz w:val="16"/>
                <w:szCs w:val="18"/>
              </w:rPr>
              <w:t>[61]</w:t>
            </w:r>
            <w:r>
              <w:rPr>
                <w:rFonts w:ascii="Calibri Light" w:hAnsi="Calibri Light" w:cs="Calibri Light"/>
                <w:color w:val="000000"/>
                <w:sz w:val="16"/>
                <w:szCs w:val="18"/>
              </w:rPr>
              <w:fldChar w:fldCharType="end"/>
            </w:r>
          </w:p>
        </w:tc>
        <w:tc>
          <w:tcPr>
            <w:tcW w:w="2017" w:type="dxa"/>
            <w:shd w:val="clear" w:color="auto" w:fill="auto"/>
            <w:vAlign w:val="center"/>
          </w:tcPr>
          <w:p w14:paraId="724351C5"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sz w:val="16"/>
                <w:szCs w:val="16"/>
              </w:rPr>
              <w:t> </w:t>
            </w:r>
          </w:p>
        </w:tc>
        <w:tc>
          <w:tcPr>
            <w:tcW w:w="2700" w:type="dxa"/>
            <w:shd w:val="clear" w:color="auto" w:fill="auto"/>
            <w:vAlign w:val="center"/>
          </w:tcPr>
          <w:p w14:paraId="1BA4EA28"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sz w:val="16"/>
                <w:szCs w:val="16"/>
              </w:rPr>
              <w:t>Cost savings of $27,557 as a result of POCT (excluding initial equipment and training).</w:t>
            </w:r>
          </w:p>
        </w:tc>
        <w:tc>
          <w:tcPr>
            <w:tcW w:w="2790" w:type="dxa"/>
            <w:shd w:val="clear" w:color="auto" w:fill="auto"/>
            <w:vAlign w:val="center"/>
          </w:tcPr>
          <w:p w14:paraId="20B7B01D"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sz w:val="16"/>
                <w:szCs w:val="16"/>
              </w:rPr>
              <w:t xml:space="preserve">Time in therapeutic INR range - POCT: 60.4%; laboratory testing: 52.5%. Emergency room visits - POCT: 4; laboratory testing: 1. Hospitalizations - POCT: 0; laboratory testing: 2. </w:t>
            </w:r>
          </w:p>
        </w:tc>
        <w:tc>
          <w:tcPr>
            <w:tcW w:w="2275" w:type="dxa"/>
            <w:shd w:val="clear" w:color="auto" w:fill="auto"/>
            <w:vAlign w:val="center"/>
          </w:tcPr>
          <w:p w14:paraId="41EC0920"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FF0000"/>
                <w:sz w:val="16"/>
                <w:szCs w:val="16"/>
              </w:rPr>
              <w:t> </w:t>
            </w:r>
          </w:p>
        </w:tc>
        <w:tc>
          <w:tcPr>
            <w:tcW w:w="1928" w:type="dxa"/>
            <w:shd w:val="clear" w:color="auto" w:fill="auto"/>
            <w:vAlign w:val="center"/>
          </w:tcPr>
          <w:p w14:paraId="1726DA22"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sz w:val="16"/>
                <w:szCs w:val="16"/>
              </w:rPr>
              <w:t>In favor of POCT</w:t>
            </w:r>
          </w:p>
        </w:tc>
      </w:tr>
      <w:tr w:rsidR="00F43E93" w:rsidRPr="00F43E93" w14:paraId="009BF157" w14:textId="77777777" w:rsidTr="005F718B">
        <w:trPr>
          <w:trHeight w:val="274"/>
        </w:trPr>
        <w:tc>
          <w:tcPr>
            <w:tcW w:w="1128" w:type="dxa"/>
            <w:shd w:val="clear" w:color="000000" w:fill="FFFFFF"/>
            <w:vAlign w:val="center"/>
          </w:tcPr>
          <w:p w14:paraId="184F5325" w14:textId="023EE3F6" w:rsidR="00F43E93" w:rsidRPr="00F43E93" w:rsidRDefault="000E2629" w:rsidP="00F43E93">
            <w:pPr>
              <w:widowControl/>
              <w:adjustRightInd/>
              <w:spacing w:before="0" w:after="0" w:line="240" w:lineRule="auto"/>
              <w:jc w:val="left"/>
              <w:textAlignment w:val="auto"/>
              <w:rPr>
                <w:rFonts w:cstheme="majorHAnsi"/>
                <w:color w:val="000000"/>
                <w:sz w:val="16"/>
                <w:szCs w:val="16"/>
              </w:rPr>
            </w:pPr>
            <w:r w:rsidRPr="00FA4161">
              <w:rPr>
                <w:rFonts w:ascii="Calibri Light" w:eastAsia="Calibri" w:hAnsi="Calibri Light" w:cs="Calibri Light"/>
                <w:color w:val="000000"/>
                <w:sz w:val="16"/>
                <w:szCs w:val="16"/>
              </w:rPr>
              <w:t>Whiting et al., 2015</w:t>
            </w:r>
            <w:r>
              <w:rPr>
                <w:rFonts w:ascii="Calibri Light" w:eastAsia="Calibri" w:hAnsi="Calibri Light" w:cs="Calibri Light"/>
                <w:color w:val="000000"/>
                <w:sz w:val="16"/>
                <w:szCs w:val="16"/>
              </w:rPr>
              <w:t xml:space="preserve"> </w:t>
            </w:r>
            <w:r>
              <w:rPr>
                <w:rFonts w:ascii="Calibri Light" w:eastAsia="Calibri" w:hAnsi="Calibri Light" w:cs="Calibri Light"/>
                <w:color w:val="000000"/>
                <w:sz w:val="16"/>
                <w:szCs w:val="16"/>
              </w:rPr>
              <w:fldChar w:fldCharType="begin" w:fldLock="1"/>
            </w:r>
            <w:r>
              <w:rPr>
                <w:rFonts w:ascii="Calibri Light" w:eastAsia="Calibri" w:hAnsi="Calibri Light" w:cs="Calibri Light"/>
                <w:color w:val="000000"/>
                <w:sz w:val="16"/>
                <w:szCs w:val="16"/>
              </w:rPr>
              <w:instrText>ADDIN CSL_CITATION {"citationItems":[{"id":"ITEM-1","itemData":{"DOI":"10.3310/hta19580","ISSN":"20464924","abstract":"BACKGROUND: Patients with substantive bleeding usually require transfusion and/or (re-)operation. Red blood cell (RBC) transfusion is independently associated with a greater risk of infection, morbidity, increased hospital stay and mortality. ROTEM (ROTEM(®) Delta, TEM International GmbH, Munich, Germany; www.rotem.de ), TEG (TEG(®) 5000 analyser, Haemonetics Corporation, Niles, IL, USA; www.haemonetics.com ) and Sonoclot (Sonoclot(®) coagulation and platelet function analyser, Sienco Inc., Arvada, CO) are point-of-care viscoelastic (VE) devices that use thromboelastometry to test for haemostasis in whole blood. They have a number of proposed advantages over standard laboratory tests (SLTs): they provide a result much quicker, are able to identify what part of the clotting process is disrupted, and provide information on clot formation over time and fibrinolysis.\\n\\nOBJECTIVES: This assessment aimed to assess the clinical effectiveness and cost-effectiveness of VE devices to assist with the diagnosis, management and monitoring of haemostasis disorders during and after cardiac surgery, trauma-induced coagulopathy and post-partum haemorrhage (PPH).\\n\\nMETHODS: Sixteen databases were searched to December 2013: MEDLINE (OvidSP), MEDLINE In-Process and Other Non-Indexed Citations and Daily Update (OvidSP), EMBASE (OvidSP), BIOSIS Previews (Web of Knowledge), Science Citation Index (SCI) (Web of Science), Conference Proceedings Citation Index (CPCI-S) (Web of Science), Cochrane Database of Systematic Reviews (CDSR), Cochrane Central Register of Controlled Trials (CENTRAL), Database of Abstracts of Reviews of Effects (DARE), Health Technology Assessment (HTA) database, Latin American and Caribbean Health Sciences Literature (LILACS), International Network of Agencies for Health Technology Assessment (INAHTA), National Institute for Health Research (NIHR) HTA programme, Aggressive Research Intelligence Facility (ARIF), Medion, and the International Prospective Register of Systematic Reviews (PROSPERO). Randomised controlled trials (RCTs) were assessed for quality using the Cochrane Risk of Bias tool. Prediction studies were assessed using QUADAS-2. For RCTs, summary relative risks (RRs) were estimated using random-effects models. Continuous data were summarised narratively. For prediction studies, the odds ratio (OR) was selected as the primary effect estimate. The health-economic analysis considered the costs and quality-adjusted life-years of ROTEM, TEG and S…","author":[{"dropping-particle":"","family":"Whiting","given":"Penny","non-dropping-particle":"","parse-names":false,"suffix":""},{"dropping-particle":"","family":"Al","given":"Maiwenn","non-dropping-particle":"","parse-names":false,"suffix":""},{"dropping-particle":"","family":"Westwood","given":"Marie","non-dropping-particle":"","parse-names":false,"suffix":""},{"dropping-particle":"","family":"Ramos","given":"Isaac Corro","non-dropping-particle":"","parse-names":false,"suffix":""},{"dropping-particle":"","family":"Ryder","given":"Steve","non-dropping-particle":"","parse-names":false,"suffix":""},{"dropping-particle":"","family":"Armstrong","given":"Nigel","non-dropping-particle":"","parse-names":false,"suffix":""},{"dropping-particle":"","family":"Misso","given":"Kate","non-dropping-particle":"","parse-names":false,"suffix":""},{"dropping-particle":"","family":"Ross","given":"Janine","non-dropping-particle":"","parse-names":false,"suffix":""},{"dropping-particle":"","family":"Severens","given":"Johan","non-dropping-particle":"","parse-names":false,"suffix":""},{"dropping-particle":"","family":"Kleijnen","given":"Jos","non-dropping-particle":"","parse-names":false,"suffix":""}],"container-title":"Health Technology Assessment","id":"ITEM-1","issue":"58","issued":{"date-parts":[["2015"]]},"page":"1-228","title":"Viscoelastic point-of-care testing to assist with the diagnosis, management and monitoring of haemostasis: A systematic review and cost-effectiveness analysis","type":"article-journal","volume":"19"},"uris":["http://www.mendeley.com/documents/?uuid=ac1b2414-cc41-4b04-a53c-56b04dd7d0d9"]}],"mendeley":{"formattedCitation":"[26]","plainTextFormattedCitation":"[26]","previouslyFormattedCitation":"[26]"},"properties":{"noteIndex":0},"schema":"https://github.com/citation-style-language/schema/raw/master/csl-citation.json"}</w:instrText>
            </w:r>
            <w:r>
              <w:rPr>
                <w:rFonts w:ascii="Calibri Light" w:eastAsia="Calibri" w:hAnsi="Calibri Light" w:cs="Calibri Light"/>
                <w:color w:val="000000"/>
                <w:sz w:val="16"/>
                <w:szCs w:val="16"/>
              </w:rPr>
              <w:fldChar w:fldCharType="separate"/>
            </w:r>
            <w:r w:rsidRPr="00857FB3">
              <w:rPr>
                <w:rFonts w:ascii="Calibri Light" w:eastAsia="Calibri" w:hAnsi="Calibri Light" w:cs="Calibri Light"/>
                <w:noProof/>
                <w:color w:val="000000"/>
                <w:sz w:val="16"/>
                <w:szCs w:val="16"/>
              </w:rPr>
              <w:t>[26]</w:t>
            </w:r>
            <w:r>
              <w:rPr>
                <w:rFonts w:ascii="Calibri Light" w:eastAsia="Calibri" w:hAnsi="Calibri Light" w:cs="Calibri Light"/>
                <w:color w:val="000000"/>
                <w:sz w:val="16"/>
                <w:szCs w:val="16"/>
              </w:rPr>
              <w:fldChar w:fldCharType="end"/>
            </w:r>
            <w:r w:rsidR="00F43E93" w:rsidRPr="00F43E93">
              <w:rPr>
                <w:rFonts w:cstheme="majorHAnsi"/>
                <w:color w:val="000000"/>
                <w:sz w:val="16"/>
                <w:szCs w:val="16"/>
                <w:vertAlign w:val="superscript"/>
              </w:rPr>
              <w:t>7†</w:t>
            </w:r>
          </w:p>
        </w:tc>
        <w:tc>
          <w:tcPr>
            <w:tcW w:w="2017" w:type="dxa"/>
            <w:shd w:val="clear" w:color="auto" w:fill="auto"/>
            <w:vAlign w:val="center"/>
          </w:tcPr>
          <w:p w14:paraId="36357BB9"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sz w:val="16"/>
                <w:szCs w:val="16"/>
              </w:rPr>
              <w:t xml:space="preserve">POCTs - ROTEM: £139; TEG: £103; SLTs: £78; and </w:t>
            </w:r>
            <w:proofErr w:type="spellStart"/>
            <w:r w:rsidRPr="00F43E93">
              <w:rPr>
                <w:rFonts w:cstheme="majorHAnsi"/>
                <w:sz w:val="16"/>
                <w:szCs w:val="16"/>
              </w:rPr>
              <w:t>Sonoclot</w:t>
            </w:r>
            <w:proofErr w:type="spellEnd"/>
            <w:r w:rsidRPr="00F43E93">
              <w:rPr>
                <w:rFonts w:cstheme="majorHAnsi"/>
                <w:sz w:val="16"/>
                <w:szCs w:val="16"/>
              </w:rPr>
              <w:t xml:space="preserve">: £50. Laboratory tests: £182. Cost-saving was slightly smaller for ROTEM (£43) than for TEG (£79) or </w:t>
            </w:r>
            <w:proofErr w:type="spellStart"/>
            <w:r w:rsidRPr="00F43E93">
              <w:rPr>
                <w:rFonts w:cstheme="majorHAnsi"/>
                <w:sz w:val="16"/>
                <w:szCs w:val="16"/>
              </w:rPr>
              <w:t>Sonoclot</w:t>
            </w:r>
            <w:proofErr w:type="spellEnd"/>
            <w:r w:rsidRPr="00F43E93">
              <w:rPr>
                <w:rFonts w:cstheme="majorHAnsi"/>
                <w:sz w:val="16"/>
                <w:szCs w:val="16"/>
              </w:rPr>
              <w:t xml:space="preserve"> (£132). </w:t>
            </w:r>
          </w:p>
        </w:tc>
        <w:tc>
          <w:tcPr>
            <w:tcW w:w="2700" w:type="dxa"/>
            <w:shd w:val="clear" w:color="auto" w:fill="auto"/>
            <w:vAlign w:val="center"/>
          </w:tcPr>
          <w:p w14:paraId="3CD83469"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FF0000"/>
                <w:sz w:val="16"/>
                <w:szCs w:val="16"/>
              </w:rPr>
              <w:t> </w:t>
            </w:r>
          </w:p>
        </w:tc>
        <w:tc>
          <w:tcPr>
            <w:tcW w:w="2790" w:type="dxa"/>
            <w:shd w:val="clear" w:color="auto" w:fill="auto"/>
            <w:vAlign w:val="center"/>
          </w:tcPr>
          <w:p w14:paraId="4D5F6F91"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sz w:val="16"/>
                <w:szCs w:val="16"/>
              </w:rPr>
              <w:t>QALYs - Laboratory tests: 0.8762 QALYs; All POCTs: 0.8773 QALYs</w:t>
            </w:r>
          </w:p>
        </w:tc>
        <w:tc>
          <w:tcPr>
            <w:tcW w:w="2275" w:type="dxa"/>
            <w:shd w:val="clear" w:color="auto" w:fill="auto"/>
            <w:vAlign w:val="center"/>
          </w:tcPr>
          <w:p w14:paraId="6147FC31"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POCT dominates standard laboratory tests (in all three cases)</w:t>
            </w:r>
          </w:p>
        </w:tc>
        <w:tc>
          <w:tcPr>
            <w:tcW w:w="1928" w:type="dxa"/>
            <w:shd w:val="clear" w:color="auto" w:fill="auto"/>
            <w:vAlign w:val="center"/>
          </w:tcPr>
          <w:p w14:paraId="21A2E0EF"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sz w:val="16"/>
                <w:szCs w:val="16"/>
              </w:rPr>
              <w:t>In favor of POCT</w:t>
            </w:r>
          </w:p>
        </w:tc>
      </w:tr>
      <w:tr w:rsidR="00F43E93" w:rsidRPr="00F43E93" w14:paraId="05B7998A" w14:textId="77777777" w:rsidTr="005F718B">
        <w:trPr>
          <w:trHeight w:val="274"/>
        </w:trPr>
        <w:tc>
          <w:tcPr>
            <w:tcW w:w="1128" w:type="dxa"/>
            <w:shd w:val="clear" w:color="000000" w:fill="FFFFFF"/>
            <w:vAlign w:val="center"/>
          </w:tcPr>
          <w:p w14:paraId="79865923" w14:textId="331343AC" w:rsidR="00F43E93" w:rsidRPr="00F43E93" w:rsidRDefault="000E2629" w:rsidP="00F43E93">
            <w:pPr>
              <w:widowControl/>
              <w:adjustRightInd/>
              <w:spacing w:before="0" w:after="0" w:line="240" w:lineRule="auto"/>
              <w:jc w:val="left"/>
              <w:textAlignment w:val="auto"/>
              <w:rPr>
                <w:rFonts w:cstheme="majorHAnsi"/>
                <w:color w:val="000000"/>
                <w:sz w:val="16"/>
                <w:szCs w:val="16"/>
              </w:rPr>
            </w:pPr>
            <w:r w:rsidRPr="00FA4161">
              <w:rPr>
                <w:rFonts w:ascii="Calibri Light" w:eastAsia="Calibri" w:hAnsi="Calibri Light" w:cs="Calibri Light"/>
                <w:color w:val="000000"/>
                <w:sz w:val="16"/>
                <w:szCs w:val="16"/>
              </w:rPr>
              <w:t>Whiting et al., 2015</w:t>
            </w:r>
            <w:r>
              <w:rPr>
                <w:rFonts w:ascii="Calibri Light" w:eastAsia="Calibri" w:hAnsi="Calibri Light" w:cs="Calibri Light"/>
                <w:color w:val="000000"/>
                <w:sz w:val="16"/>
                <w:szCs w:val="16"/>
              </w:rPr>
              <w:t xml:space="preserve"> </w:t>
            </w:r>
            <w:r>
              <w:rPr>
                <w:rFonts w:ascii="Calibri Light" w:eastAsia="Calibri" w:hAnsi="Calibri Light" w:cs="Calibri Light"/>
                <w:color w:val="000000"/>
                <w:sz w:val="16"/>
                <w:szCs w:val="16"/>
              </w:rPr>
              <w:fldChar w:fldCharType="begin" w:fldLock="1"/>
            </w:r>
            <w:r>
              <w:rPr>
                <w:rFonts w:ascii="Calibri Light" w:eastAsia="Calibri" w:hAnsi="Calibri Light" w:cs="Calibri Light"/>
                <w:color w:val="000000"/>
                <w:sz w:val="16"/>
                <w:szCs w:val="16"/>
              </w:rPr>
              <w:instrText>ADDIN CSL_CITATION {"citationItems":[{"id":"ITEM-1","itemData":{"DOI":"10.3310/hta19580","ISSN":"20464924","abstract":"BACKGROUND: Patients with substantive bleeding usually require transfusion and/or (re-)operation. Red blood cell (RBC) transfusion is independently associated with a greater risk of infection, morbidity, increased hospital stay and mortality. ROTEM (ROTEM(®) Delta, TEM International GmbH, Munich, Germany; www.rotem.de ), TEG (TEG(®) 5000 analyser, Haemonetics Corporation, Niles, IL, USA; www.haemonetics.com ) and Sonoclot (Sonoclot(®) coagulation and platelet function analyser, Sienco Inc., Arvada, CO) are point-of-care viscoelastic (VE) devices that use thromboelastometry to test for haemostasis in whole blood. They have a number of proposed advantages over standard laboratory tests (SLTs): they provide a result much quicker, are able to identify what part of the clotting process is disrupted, and provide information on clot formation over time and fibrinolysis.\\n\\nOBJECTIVES: This assessment aimed to assess the clinical effectiveness and cost-effectiveness of VE devices to assist with the diagnosis, management and monitoring of haemostasis disorders during and after cardiac surgery, trauma-induced coagulopathy and post-partum haemorrhage (PPH).\\n\\nMETHODS: Sixteen databases were searched to December 2013: MEDLINE (OvidSP), MEDLINE In-Process and Other Non-Indexed Citations and Daily Update (OvidSP), EMBASE (OvidSP), BIOSIS Previews (Web of Knowledge), Science Citation Index (SCI) (Web of Science), Conference Proceedings Citation Index (CPCI-S) (Web of Science), Cochrane Database of Systematic Reviews (CDSR), Cochrane Central Register of Controlled Trials (CENTRAL), Database of Abstracts of Reviews of Effects (DARE), Health Technology Assessment (HTA) database, Latin American and Caribbean Health Sciences Literature (LILACS), International Network of Agencies for Health Technology Assessment (INAHTA), National Institute for Health Research (NIHR) HTA programme, Aggressive Research Intelligence Facility (ARIF), Medion, and the International Prospective Register of Systematic Reviews (PROSPERO). Randomised controlled trials (RCTs) were assessed for quality using the Cochrane Risk of Bias tool. Prediction studies were assessed using QUADAS-2. For RCTs, summary relative risks (RRs) were estimated using random-effects models. Continuous data were summarised narratively. For prediction studies, the odds ratio (OR) was selected as the primary effect estimate. The health-economic analysis considered the costs and quality-adjusted life-years of ROTEM, TEG and S…","author":[{"dropping-particle":"","family":"Whiting","given":"Penny","non-dropping-particle":"","parse-names":false,"suffix":""},{"dropping-particle":"","family":"Al","given":"Maiwenn","non-dropping-particle":"","parse-names":false,"suffix":""},{"dropping-particle":"","family":"Westwood","given":"Marie","non-dropping-particle":"","parse-names":false,"suffix":""},{"dropping-particle":"","family":"Ramos","given":"Isaac Corro","non-dropping-particle":"","parse-names":false,"suffix":""},{"dropping-particle":"","family":"Ryder","given":"Steve","non-dropping-particle":"","parse-names":false,"suffix":""},{"dropping-particle":"","family":"Armstrong","given":"Nigel","non-dropping-particle":"","parse-names":false,"suffix":""},{"dropping-particle":"","family":"Misso","given":"Kate","non-dropping-particle":"","parse-names":false,"suffix":""},{"dropping-particle":"","family":"Ross","given":"Janine","non-dropping-particle":"","parse-names":false,"suffix":""},{"dropping-particle":"","family":"Severens","given":"Johan","non-dropping-particle":"","parse-names":false,"suffix":""},{"dropping-particle":"","family":"Kleijnen","given":"Jos","non-dropping-particle":"","parse-names":false,"suffix":""}],"container-title":"Health Technology Assessment","id":"ITEM-1","issue":"58","issued":{"date-parts":[["2015"]]},"page":"1-228","title":"Viscoelastic point-of-care testing to assist with the diagnosis, management and monitoring of haemostasis: A systematic review and cost-effectiveness analysis","type":"article-journal","volume":"19"},"uris":["http://www.mendeley.com/documents/?uuid=ac1b2414-cc41-4b04-a53c-56b04dd7d0d9"]}],"mendeley":{"formattedCitation":"[26]","plainTextFormattedCitation":"[26]","previouslyFormattedCitation":"[26]"},"properties":{"noteIndex":0},"schema":"https://github.com/citation-style-language/schema/raw/master/csl-citation.json"}</w:instrText>
            </w:r>
            <w:r>
              <w:rPr>
                <w:rFonts w:ascii="Calibri Light" w:eastAsia="Calibri" w:hAnsi="Calibri Light" w:cs="Calibri Light"/>
                <w:color w:val="000000"/>
                <w:sz w:val="16"/>
                <w:szCs w:val="16"/>
              </w:rPr>
              <w:fldChar w:fldCharType="separate"/>
            </w:r>
            <w:r w:rsidRPr="00857FB3">
              <w:rPr>
                <w:rFonts w:ascii="Calibri Light" w:eastAsia="Calibri" w:hAnsi="Calibri Light" w:cs="Calibri Light"/>
                <w:noProof/>
                <w:color w:val="000000"/>
                <w:sz w:val="16"/>
                <w:szCs w:val="16"/>
              </w:rPr>
              <w:t>[26]</w:t>
            </w:r>
            <w:r>
              <w:rPr>
                <w:rFonts w:ascii="Calibri Light" w:eastAsia="Calibri" w:hAnsi="Calibri Light" w:cs="Calibri Light"/>
                <w:color w:val="000000"/>
                <w:sz w:val="16"/>
                <w:szCs w:val="16"/>
              </w:rPr>
              <w:fldChar w:fldCharType="end"/>
            </w:r>
            <w:r w:rsidR="00F43E93" w:rsidRPr="00F43E93">
              <w:rPr>
                <w:rFonts w:cstheme="majorHAnsi"/>
                <w:color w:val="000000"/>
                <w:sz w:val="16"/>
                <w:szCs w:val="16"/>
                <w:vertAlign w:val="superscript"/>
              </w:rPr>
              <w:t>8†</w:t>
            </w:r>
          </w:p>
        </w:tc>
        <w:tc>
          <w:tcPr>
            <w:tcW w:w="2017" w:type="dxa"/>
            <w:shd w:val="clear" w:color="auto" w:fill="auto"/>
            <w:vAlign w:val="center"/>
          </w:tcPr>
          <w:p w14:paraId="32169F4F"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sz w:val="16"/>
                <w:szCs w:val="16"/>
              </w:rPr>
              <w:t xml:space="preserve">POCTs - ROTEM: £203; TEG: £170; SLTs: £130; and </w:t>
            </w:r>
            <w:proofErr w:type="spellStart"/>
            <w:r w:rsidRPr="00F43E93">
              <w:rPr>
                <w:rFonts w:cstheme="majorHAnsi"/>
                <w:sz w:val="16"/>
                <w:szCs w:val="16"/>
              </w:rPr>
              <w:t>Sonoclot</w:t>
            </w:r>
            <w:proofErr w:type="spellEnd"/>
            <w:r w:rsidRPr="00F43E93">
              <w:rPr>
                <w:rFonts w:cstheme="majorHAnsi"/>
                <w:sz w:val="16"/>
                <w:szCs w:val="16"/>
              </w:rPr>
              <w:t xml:space="preserve">: £73. Laboratory tests: £891. Cost-saving were £688 for ROTEM, £721 for TEG and £818 for </w:t>
            </w:r>
            <w:proofErr w:type="spellStart"/>
            <w:r w:rsidRPr="00F43E93">
              <w:rPr>
                <w:rFonts w:cstheme="majorHAnsi"/>
                <w:sz w:val="16"/>
                <w:szCs w:val="16"/>
              </w:rPr>
              <w:t>Sonoclot</w:t>
            </w:r>
            <w:proofErr w:type="spellEnd"/>
            <w:r w:rsidRPr="00F43E93">
              <w:rPr>
                <w:rFonts w:cstheme="majorHAnsi"/>
                <w:sz w:val="16"/>
                <w:szCs w:val="16"/>
              </w:rPr>
              <w:t xml:space="preserve">. </w:t>
            </w:r>
          </w:p>
        </w:tc>
        <w:tc>
          <w:tcPr>
            <w:tcW w:w="2700" w:type="dxa"/>
            <w:shd w:val="clear" w:color="auto" w:fill="auto"/>
            <w:vAlign w:val="center"/>
          </w:tcPr>
          <w:p w14:paraId="28EA6800"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FF0000"/>
                <w:sz w:val="16"/>
                <w:szCs w:val="16"/>
              </w:rPr>
              <w:t> </w:t>
            </w:r>
          </w:p>
        </w:tc>
        <w:tc>
          <w:tcPr>
            <w:tcW w:w="2790" w:type="dxa"/>
            <w:shd w:val="clear" w:color="auto" w:fill="auto"/>
            <w:vAlign w:val="center"/>
          </w:tcPr>
          <w:p w14:paraId="43A49AB9"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sz w:val="16"/>
                <w:szCs w:val="16"/>
              </w:rPr>
              <w:t>QALYs - Laboratory tests: 0.5644 QALYs; All POCTs: 0.5713 QALYs</w:t>
            </w:r>
          </w:p>
        </w:tc>
        <w:tc>
          <w:tcPr>
            <w:tcW w:w="2275" w:type="dxa"/>
            <w:shd w:val="clear" w:color="auto" w:fill="auto"/>
            <w:vAlign w:val="center"/>
          </w:tcPr>
          <w:p w14:paraId="1CD07311"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000000"/>
                <w:sz w:val="16"/>
                <w:szCs w:val="16"/>
              </w:rPr>
              <w:t>POCT dominates standard laboratory tests (in all three cases)</w:t>
            </w:r>
          </w:p>
        </w:tc>
        <w:tc>
          <w:tcPr>
            <w:tcW w:w="1928" w:type="dxa"/>
            <w:shd w:val="clear" w:color="auto" w:fill="auto"/>
            <w:vAlign w:val="center"/>
          </w:tcPr>
          <w:p w14:paraId="03DB0E13"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sz w:val="16"/>
                <w:szCs w:val="16"/>
              </w:rPr>
              <w:t>In favor of POCT</w:t>
            </w:r>
          </w:p>
        </w:tc>
      </w:tr>
      <w:tr w:rsidR="00F43E93" w:rsidRPr="00F43E93" w14:paraId="240390CF" w14:textId="77777777" w:rsidTr="005F718B">
        <w:trPr>
          <w:trHeight w:val="274"/>
        </w:trPr>
        <w:tc>
          <w:tcPr>
            <w:tcW w:w="1128" w:type="dxa"/>
            <w:shd w:val="clear" w:color="000000" w:fill="FFFFFF"/>
            <w:vAlign w:val="center"/>
          </w:tcPr>
          <w:p w14:paraId="6F8A042B" w14:textId="792D4D8D" w:rsidR="00F43E93" w:rsidRPr="00F43E93" w:rsidRDefault="002B3BCD" w:rsidP="00F43E93">
            <w:pPr>
              <w:widowControl/>
              <w:adjustRightInd/>
              <w:spacing w:before="0" w:after="0" w:line="240" w:lineRule="auto"/>
              <w:jc w:val="left"/>
              <w:textAlignment w:val="auto"/>
              <w:rPr>
                <w:rFonts w:cstheme="majorHAnsi"/>
                <w:color w:val="000000"/>
                <w:sz w:val="16"/>
                <w:szCs w:val="16"/>
              </w:rPr>
            </w:pPr>
            <w:r w:rsidRPr="00F03ECE">
              <w:rPr>
                <w:rFonts w:ascii="Calibri Light" w:hAnsi="Calibri Light" w:cs="Calibri Light"/>
                <w:color w:val="000000"/>
                <w:sz w:val="16"/>
                <w:szCs w:val="18"/>
              </w:rPr>
              <w:t>Kong et al., 2008</w:t>
            </w:r>
            <w:r>
              <w:rPr>
                <w:rFonts w:ascii="Calibri Light" w:hAnsi="Calibri Light" w:cs="Calibri Light"/>
                <w:color w:val="000000"/>
                <w:sz w:val="16"/>
                <w:szCs w:val="18"/>
              </w:rPr>
              <w:t xml:space="preserve"> </w:t>
            </w:r>
            <w:r>
              <w:rPr>
                <w:rFonts w:ascii="Calibri Light" w:hAnsi="Calibri Light" w:cs="Calibri Light"/>
                <w:color w:val="000000"/>
                <w:sz w:val="16"/>
                <w:szCs w:val="18"/>
              </w:rPr>
              <w:fldChar w:fldCharType="begin" w:fldLock="1"/>
            </w:r>
            <w:r>
              <w:rPr>
                <w:rFonts w:ascii="Calibri Light" w:hAnsi="Calibri Light" w:cs="Calibri Light"/>
                <w:color w:val="000000"/>
                <w:sz w:val="16"/>
                <w:szCs w:val="18"/>
              </w:rPr>
              <w:instrText>ADDIN CSL_CITATION {"citationItems":[{"id":"ITEM-1","itemData":{"DOI":"10.1007/s00277-008-0530-8","ISBN":"0027700805308","ISSN":"09395555","abstract":"Point-of-care (POC) coagulometers are increasingly used by patients for self-monitoring of oral vitamin K antagonists therapy. We studied the feasibility of introducing POC international normalised ratio (INR) testing in place of standard laboratory assays in a hospital-based anticoagulation clinic with 250 active patients. The CoaguChek XS system was first validated in 253 INR samples and found to have a correlation of r = 0.945 with standard assays. Variations increased with INR readings above 3.5 and this was chosen as the cutoff for acceptance of POC INR results. POC testing was done for 1,332 clinic visits during the subsequent 6-month study. Rate of rejections of INR over 3.5 was 4.3% (95% CI 3.3-5.5%). POC testing reduced clinic visit duration by 35 min (p &lt; 0.001, 95% CI 25-45) without cost increments to patients or the laboratory. Among 232 respondents surveyed, 87.5% (95% CI 82.5-91.5%) preferred POC INR monitoring. Rates of thrombosis and major bleeding complications were 1.2% (95% CI 0.2-3.5%) and 0.4% (95% CI 0.01-2.2%), respectively. In conclusion, provided mechanisms are in place to address increased variations of INR at higher ranges, POC testing can be successfully implemented in busy hospital-based anticoagulation clinics.","author":[{"dropping-particle":"","family":"Kong","given":"Ming Chai","non-dropping-particle":"","parse-names":false,"suffix":""},{"dropping-particle":"","family":"Lim","given":"Teong Guan","non-dropping-particle":"","parse-names":false,"suffix":""},{"dropping-particle":"","family":"Ng","given":"Heng Joo","non-dropping-particle":"","parse-names":false,"suffix":""},{"dropping-particle":"","family":"Chan","given":"Yiong Huak","non-dropping-particle":"","parse-names":false,"suffix":""},{"dropping-particle":"","family":"Lee","given":"Lai Heng","non-dropping-particle":"","parse-names":false,"suffix":""}],"container-title":"Annals of Hematology","id":"ITEM-1","issue":"11","issued":{"date-parts":[["2008"]]},"page":"905-910","title":"Feasibility, cost-effectiveness and patients' acceptance of point-of-care INR testing in a hospital-based anticoagulation clinic","type":"article-journal","volume":"87"},"uris":["http://www.mendeley.com/documents/?uuid=c8458b81-6ab6-4f0a-b01d-d8f46c93ee4b"]}],"mendeley":{"formattedCitation":"[29]","plainTextFormattedCitation":"[29]","previouslyFormattedCitation":"[29]"},"properties":{"noteIndex":0},"schema":"https://github.com/citation-style-language/schema/raw/master/csl-citation.json"}</w:instrText>
            </w:r>
            <w:r>
              <w:rPr>
                <w:rFonts w:ascii="Calibri Light" w:hAnsi="Calibri Light" w:cs="Calibri Light"/>
                <w:color w:val="000000"/>
                <w:sz w:val="16"/>
                <w:szCs w:val="18"/>
              </w:rPr>
              <w:fldChar w:fldCharType="separate"/>
            </w:r>
            <w:r w:rsidRPr="00857FB3">
              <w:rPr>
                <w:rFonts w:ascii="Calibri Light" w:hAnsi="Calibri Light" w:cs="Calibri Light"/>
                <w:noProof/>
                <w:color w:val="000000"/>
                <w:sz w:val="16"/>
                <w:szCs w:val="18"/>
              </w:rPr>
              <w:t>[29]</w:t>
            </w:r>
            <w:r>
              <w:rPr>
                <w:rFonts w:ascii="Calibri Light" w:hAnsi="Calibri Light" w:cs="Calibri Light"/>
                <w:color w:val="000000"/>
                <w:sz w:val="16"/>
                <w:szCs w:val="18"/>
              </w:rPr>
              <w:fldChar w:fldCharType="end"/>
            </w:r>
          </w:p>
        </w:tc>
        <w:tc>
          <w:tcPr>
            <w:tcW w:w="2017" w:type="dxa"/>
            <w:shd w:val="clear" w:color="auto" w:fill="auto"/>
            <w:vAlign w:val="center"/>
          </w:tcPr>
          <w:p w14:paraId="1CCED8F0"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sz w:val="16"/>
                <w:szCs w:val="16"/>
              </w:rPr>
              <w:t>POCT: 3.17 Singapore Dollars; Laboratory testing 3.07 Singapore Dollars.</w:t>
            </w:r>
          </w:p>
        </w:tc>
        <w:tc>
          <w:tcPr>
            <w:tcW w:w="2700" w:type="dxa"/>
            <w:shd w:val="clear" w:color="auto" w:fill="auto"/>
            <w:vAlign w:val="center"/>
          </w:tcPr>
          <w:p w14:paraId="466537A5"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FF0000"/>
                <w:sz w:val="16"/>
                <w:szCs w:val="16"/>
              </w:rPr>
              <w:t> </w:t>
            </w:r>
          </w:p>
        </w:tc>
        <w:tc>
          <w:tcPr>
            <w:tcW w:w="2790" w:type="dxa"/>
            <w:shd w:val="clear" w:color="auto" w:fill="auto"/>
            <w:vAlign w:val="center"/>
          </w:tcPr>
          <w:p w14:paraId="34148138"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sz w:val="16"/>
                <w:szCs w:val="16"/>
              </w:rPr>
              <w:t>Average time spent in laboratory and anticoagulation clinics (minutes) - POCT: 76; laboratory testing: 105. Average total time spent in hospital (minutes) - POCT: 105; laboratory testing: 140.</w:t>
            </w:r>
          </w:p>
        </w:tc>
        <w:tc>
          <w:tcPr>
            <w:tcW w:w="2275" w:type="dxa"/>
            <w:shd w:val="clear" w:color="auto" w:fill="auto"/>
            <w:vAlign w:val="center"/>
          </w:tcPr>
          <w:p w14:paraId="11AE17BD"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color w:val="FF0000"/>
                <w:sz w:val="16"/>
                <w:szCs w:val="16"/>
              </w:rPr>
              <w:t> </w:t>
            </w:r>
          </w:p>
        </w:tc>
        <w:tc>
          <w:tcPr>
            <w:tcW w:w="1928" w:type="dxa"/>
            <w:shd w:val="clear" w:color="auto" w:fill="auto"/>
            <w:vAlign w:val="center"/>
          </w:tcPr>
          <w:p w14:paraId="5ED171B2" w14:textId="77777777" w:rsidR="00F43E93" w:rsidRPr="00F43E93" w:rsidRDefault="00F43E93" w:rsidP="00F43E93">
            <w:pPr>
              <w:widowControl/>
              <w:adjustRightInd/>
              <w:spacing w:before="0" w:after="0" w:line="240" w:lineRule="auto"/>
              <w:jc w:val="left"/>
              <w:textAlignment w:val="auto"/>
              <w:rPr>
                <w:rFonts w:cstheme="majorHAnsi"/>
                <w:color w:val="000000"/>
                <w:sz w:val="16"/>
                <w:szCs w:val="16"/>
              </w:rPr>
            </w:pPr>
            <w:r w:rsidRPr="00F43E93">
              <w:rPr>
                <w:rFonts w:cstheme="majorHAnsi"/>
                <w:sz w:val="16"/>
                <w:szCs w:val="16"/>
              </w:rPr>
              <w:t>In favor of POCT</w:t>
            </w:r>
          </w:p>
        </w:tc>
      </w:tr>
      <w:tr w:rsidR="00F43E93" w:rsidRPr="00F43E93" w14:paraId="69EDDF92" w14:textId="77777777" w:rsidTr="005F718B">
        <w:trPr>
          <w:trHeight w:val="1790"/>
        </w:trPr>
        <w:tc>
          <w:tcPr>
            <w:tcW w:w="12838" w:type="dxa"/>
            <w:gridSpan w:val="6"/>
            <w:shd w:val="clear" w:color="000000" w:fill="FFFFFF"/>
            <w:vAlign w:val="center"/>
          </w:tcPr>
          <w:p w14:paraId="37D71231" w14:textId="77777777" w:rsidR="00F43E93" w:rsidRPr="00F43E93" w:rsidRDefault="00F43E93" w:rsidP="00F43E93">
            <w:pPr>
              <w:widowControl/>
              <w:adjustRightInd/>
              <w:spacing w:before="0" w:after="0" w:line="240" w:lineRule="auto"/>
              <w:jc w:val="left"/>
              <w:textAlignment w:val="auto"/>
              <w:rPr>
                <w:rFonts w:ascii="Calibri Light" w:hAnsi="Calibri Light" w:cs="Calibri Light"/>
                <w:color w:val="000000"/>
                <w:sz w:val="16"/>
                <w:szCs w:val="18"/>
              </w:rPr>
            </w:pPr>
            <w:r w:rsidRPr="00F43E93">
              <w:rPr>
                <w:rFonts w:ascii="Calibri Light" w:hAnsi="Calibri Light" w:cs="Calibri Light"/>
                <w:color w:val="000000"/>
                <w:sz w:val="16"/>
                <w:szCs w:val="18"/>
                <w:vertAlign w:val="superscript"/>
              </w:rPr>
              <w:lastRenderedPageBreak/>
              <w:t>1</w:t>
            </w:r>
            <w:r w:rsidRPr="00F43E93">
              <w:rPr>
                <w:rFonts w:ascii="Calibri Light" w:hAnsi="Calibri Light" w:cs="Calibri Light"/>
                <w:color w:val="000000"/>
                <w:sz w:val="16"/>
                <w:szCs w:val="18"/>
              </w:rPr>
              <w:t xml:space="preserve"> Rural setting clinics</w:t>
            </w:r>
          </w:p>
          <w:p w14:paraId="50E1B618" w14:textId="77777777" w:rsidR="00F43E93" w:rsidRPr="00F43E93" w:rsidRDefault="00F43E93" w:rsidP="00F43E93">
            <w:pPr>
              <w:widowControl/>
              <w:adjustRightInd/>
              <w:spacing w:before="0" w:after="0" w:line="240" w:lineRule="auto"/>
              <w:jc w:val="left"/>
              <w:textAlignment w:val="auto"/>
              <w:rPr>
                <w:rFonts w:ascii="Calibri Light" w:hAnsi="Calibri Light" w:cs="Calibri Light"/>
                <w:color w:val="000000"/>
                <w:sz w:val="16"/>
                <w:szCs w:val="18"/>
              </w:rPr>
            </w:pPr>
            <w:r w:rsidRPr="00F43E93">
              <w:rPr>
                <w:rFonts w:ascii="Calibri Light" w:hAnsi="Calibri Light" w:cs="Calibri Light"/>
                <w:color w:val="000000"/>
                <w:sz w:val="16"/>
                <w:szCs w:val="18"/>
                <w:vertAlign w:val="superscript"/>
              </w:rPr>
              <w:t>2</w:t>
            </w:r>
            <w:r w:rsidRPr="00F43E93">
              <w:rPr>
                <w:rFonts w:ascii="Calibri Light" w:hAnsi="Calibri Light" w:cs="Calibri Light"/>
                <w:color w:val="000000"/>
                <w:sz w:val="16"/>
                <w:szCs w:val="18"/>
              </w:rPr>
              <w:t xml:space="preserve"> Urban setting clinics</w:t>
            </w:r>
          </w:p>
          <w:p w14:paraId="7E139DD1" w14:textId="77777777" w:rsidR="00F43E93" w:rsidRPr="00F43E93" w:rsidRDefault="00F43E93" w:rsidP="00F43E93">
            <w:pPr>
              <w:widowControl/>
              <w:adjustRightInd/>
              <w:spacing w:before="0" w:after="0" w:line="240" w:lineRule="auto"/>
              <w:jc w:val="left"/>
              <w:textAlignment w:val="auto"/>
              <w:rPr>
                <w:rFonts w:ascii="Calibri Light" w:hAnsi="Calibri Light" w:cs="Calibri Light"/>
                <w:color w:val="000000"/>
                <w:sz w:val="16"/>
                <w:szCs w:val="18"/>
              </w:rPr>
            </w:pPr>
            <w:r w:rsidRPr="00F43E93">
              <w:rPr>
                <w:rFonts w:ascii="Calibri Light" w:hAnsi="Calibri Light" w:cs="Calibri Light"/>
                <w:color w:val="000000"/>
                <w:sz w:val="16"/>
                <w:szCs w:val="18"/>
                <w:vertAlign w:val="superscript"/>
              </w:rPr>
              <w:t>3</w:t>
            </w:r>
            <w:r w:rsidRPr="00F43E93">
              <w:rPr>
                <w:rFonts w:ascii="Calibri Light" w:hAnsi="Calibri Light" w:cs="Calibri Light"/>
                <w:color w:val="000000"/>
                <w:sz w:val="16"/>
                <w:szCs w:val="18"/>
              </w:rPr>
              <w:t xml:space="preserve"> Diabetes</w:t>
            </w:r>
          </w:p>
          <w:p w14:paraId="519A58BB" w14:textId="77777777" w:rsidR="00F43E93" w:rsidRPr="00F43E93" w:rsidRDefault="00F43E93" w:rsidP="00F43E93">
            <w:pPr>
              <w:widowControl/>
              <w:adjustRightInd/>
              <w:spacing w:before="0" w:after="0" w:line="240" w:lineRule="auto"/>
              <w:jc w:val="left"/>
              <w:textAlignment w:val="auto"/>
              <w:rPr>
                <w:rFonts w:ascii="Calibri Light" w:hAnsi="Calibri Light" w:cs="Calibri Light"/>
                <w:color w:val="000000"/>
                <w:sz w:val="16"/>
                <w:szCs w:val="18"/>
              </w:rPr>
            </w:pPr>
            <w:r w:rsidRPr="00F43E93">
              <w:rPr>
                <w:rFonts w:ascii="Calibri Light" w:hAnsi="Calibri Light" w:cs="Calibri Light"/>
                <w:color w:val="000000"/>
                <w:sz w:val="16"/>
                <w:szCs w:val="18"/>
                <w:vertAlign w:val="superscript"/>
              </w:rPr>
              <w:t>4</w:t>
            </w:r>
            <w:r w:rsidRPr="00F43E93">
              <w:rPr>
                <w:rFonts w:ascii="Calibri Light" w:hAnsi="Calibri Light" w:cs="Calibri Light"/>
                <w:color w:val="000000"/>
                <w:sz w:val="16"/>
                <w:szCs w:val="18"/>
              </w:rPr>
              <w:t xml:space="preserve"> </w:t>
            </w:r>
            <w:proofErr w:type="spellStart"/>
            <w:r w:rsidRPr="00F43E93">
              <w:rPr>
                <w:rFonts w:ascii="Calibri Light" w:hAnsi="Calibri Light" w:cs="Calibri Light"/>
                <w:color w:val="000000"/>
                <w:sz w:val="16"/>
                <w:szCs w:val="18"/>
              </w:rPr>
              <w:t>Hyperlipidaemia</w:t>
            </w:r>
            <w:proofErr w:type="spellEnd"/>
          </w:p>
          <w:p w14:paraId="294AD6E0" w14:textId="77777777" w:rsidR="00F43E93" w:rsidRPr="00F43E93" w:rsidRDefault="00F43E93" w:rsidP="00F43E93">
            <w:pPr>
              <w:widowControl/>
              <w:adjustRightInd/>
              <w:spacing w:before="0" w:after="0" w:line="240" w:lineRule="auto"/>
              <w:jc w:val="left"/>
              <w:textAlignment w:val="auto"/>
              <w:rPr>
                <w:rFonts w:ascii="Calibri Light" w:hAnsi="Calibri Light" w:cs="Calibri Light"/>
                <w:color w:val="000000"/>
                <w:sz w:val="16"/>
                <w:szCs w:val="18"/>
              </w:rPr>
            </w:pPr>
            <w:r w:rsidRPr="00F43E93">
              <w:rPr>
                <w:rFonts w:ascii="Calibri Light" w:hAnsi="Calibri Light" w:cs="Calibri Light"/>
                <w:color w:val="000000"/>
                <w:sz w:val="16"/>
                <w:szCs w:val="18"/>
                <w:vertAlign w:val="superscript"/>
              </w:rPr>
              <w:t>5</w:t>
            </w:r>
            <w:r w:rsidRPr="00F43E93">
              <w:rPr>
                <w:rFonts w:ascii="Calibri Light" w:hAnsi="Calibri Light" w:cs="Calibri Light"/>
                <w:color w:val="000000"/>
                <w:sz w:val="16"/>
                <w:szCs w:val="18"/>
              </w:rPr>
              <w:t xml:space="preserve"> Anticoagulant therapy</w:t>
            </w:r>
          </w:p>
          <w:p w14:paraId="37221A28" w14:textId="77777777" w:rsidR="00F43E93" w:rsidRPr="00F43E93" w:rsidRDefault="00F43E93" w:rsidP="00F43E93">
            <w:pPr>
              <w:widowControl/>
              <w:adjustRightInd/>
              <w:spacing w:before="0" w:after="0" w:line="240" w:lineRule="auto"/>
              <w:jc w:val="left"/>
              <w:textAlignment w:val="auto"/>
              <w:rPr>
                <w:rFonts w:ascii="Calibri Light" w:hAnsi="Calibri Light" w:cs="Calibri Light"/>
                <w:color w:val="000000"/>
                <w:sz w:val="16"/>
                <w:szCs w:val="18"/>
              </w:rPr>
            </w:pPr>
            <w:r w:rsidRPr="00F43E93">
              <w:rPr>
                <w:rFonts w:ascii="Calibri Light" w:hAnsi="Calibri Light" w:cs="Calibri Light"/>
                <w:color w:val="000000"/>
                <w:sz w:val="16"/>
                <w:szCs w:val="18"/>
                <w:vertAlign w:val="superscript"/>
              </w:rPr>
              <w:t>6</w:t>
            </w:r>
            <w:r w:rsidRPr="00F43E93">
              <w:rPr>
                <w:rFonts w:ascii="Calibri Light" w:hAnsi="Calibri Light" w:cs="Calibri Light"/>
                <w:color w:val="000000"/>
                <w:sz w:val="16"/>
                <w:szCs w:val="18"/>
              </w:rPr>
              <w:t xml:space="preserve"> Acute coronary </w:t>
            </w:r>
            <w:proofErr w:type="gramStart"/>
            <w:r w:rsidRPr="00F43E93">
              <w:rPr>
                <w:rFonts w:ascii="Calibri Light" w:hAnsi="Calibri Light" w:cs="Calibri Light"/>
                <w:color w:val="000000"/>
                <w:sz w:val="16"/>
                <w:szCs w:val="18"/>
              </w:rPr>
              <w:t>syndrome</w:t>
            </w:r>
            <w:proofErr w:type="gramEnd"/>
          </w:p>
          <w:p w14:paraId="32522EA6" w14:textId="77777777" w:rsidR="00F43E93" w:rsidRPr="00F43E93" w:rsidRDefault="00F43E93" w:rsidP="00F43E93">
            <w:pPr>
              <w:widowControl/>
              <w:adjustRightInd/>
              <w:spacing w:before="0" w:after="0" w:line="240" w:lineRule="auto"/>
              <w:jc w:val="left"/>
              <w:textAlignment w:val="auto"/>
              <w:rPr>
                <w:rFonts w:ascii="Calibri Light" w:hAnsi="Calibri Light" w:cs="Calibri Light"/>
                <w:sz w:val="16"/>
                <w:szCs w:val="18"/>
              </w:rPr>
            </w:pPr>
            <w:r w:rsidRPr="00F43E93">
              <w:rPr>
                <w:rFonts w:ascii="Calibri Light" w:hAnsi="Calibri Light" w:cs="Calibri Light"/>
                <w:color w:val="000000"/>
                <w:sz w:val="16"/>
                <w:szCs w:val="18"/>
                <w:vertAlign w:val="superscript"/>
              </w:rPr>
              <w:t>7</w:t>
            </w:r>
            <w:r w:rsidRPr="00F43E93">
              <w:rPr>
                <w:rFonts w:ascii="Calibri Light" w:hAnsi="Calibri Light" w:cs="Calibri Light"/>
                <w:color w:val="000000"/>
                <w:sz w:val="16"/>
                <w:szCs w:val="18"/>
              </w:rPr>
              <w:t xml:space="preserve"> </w:t>
            </w:r>
            <w:r w:rsidRPr="00F43E93">
              <w:rPr>
                <w:rFonts w:ascii="Calibri Light" w:hAnsi="Calibri Light" w:cs="Calibri Light"/>
                <w:sz w:val="16"/>
                <w:szCs w:val="18"/>
              </w:rPr>
              <w:t>Cardiac surgery patients with high risk of bleeding</w:t>
            </w:r>
          </w:p>
          <w:p w14:paraId="15D46009" w14:textId="77777777" w:rsidR="00F43E93" w:rsidRPr="00F43E93" w:rsidRDefault="00F43E93" w:rsidP="00F43E93">
            <w:pPr>
              <w:widowControl/>
              <w:adjustRightInd/>
              <w:spacing w:before="0" w:after="0" w:line="240" w:lineRule="auto"/>
              <w:jc w:val="left"/>
              <w:textAlignment w:val="auto"/>
              <w:rPr>
                <w:rFonts w:ascii="Calibri Light" w:hAnsi="Calibri Light" w:cs="Calibri Light"/>
                <w:sz w:val="16"/>
                <w:szCs w:val="18"/>
              </w:rPr>
            </w:pPr>
            <w:r w:rsidRPr="00F43E93">
              <w:rPr>
                <w:rFonts w:ascii="Calibri Light" w:hAnsi="Calibri Light" w:cs="Calibri Light"/>
                <w:color w:val="000000"/>
                <w:sz w:val="16"/>
                <w:szCs w:val="18"/>
                <w:vertAlign w:val="superscript"/>
              </w:rPr>
              <w:t>8</w:t>
            </w:r>
            <w:r w:rsidRPr="00F43E93">
              <w:rPr>
                <w:rFonts w:ascii="Calibri Light" w:hAnsi="Calibri Light" w:cs="Calibri Light"/>
                <w:sz w:val="16"/>
                <w:szCs w:val="18"/>
              </w:rPr>
              <w:t xml:space="preserve"> Trauma patients with high risk of bleeding</w:t>
            </w:r>
          </w:p>
          <w:p w14:paraId="0F7508EC" w14:textId="77777777" w:rsidR="00F43E93" w:rsidRPr="00F43E93" w:rsidRDefault="00F43E93" w:rsidP="00F43E93">
            <w:pPr>
              <w:widowControl/>
              <w:adjustRightInd/>
              <w:spacing w:before="0" w:after="0" w:line="240" w:lineRule="auto"/>
              <w:jc w:val="left"/>
              <w:textAlignment w:val="auto"/>
              <w:rPr>
                <w:rFonts w:ascii="Calibri Light" w:hAnsi="Calibri Light" w:cs="Calibri Light"/>
                <w:color w:val="000000"/>
                <w:sz w:val="16"/>
                <w:szCs w:val="18"/>
              </w:rPr>
            </w:pPr>
            <w:r w:rsidRPr="00F43E93">
              <w:rPr>
                <w:rFonts w:ascii="Calibri Light" w:hAnsi="Calibri Light" w:cs="Calibri Light"/>
                <w:color w:val="000000"/>
                <w:sz w:val="16"/>
                <w:szCs w:val="18"/>
              </w:rPr>
              <w:t xml:space="preserve">* </w:t>
            </w:r>
            <w:proofErr w:type="gramStart"/>
            <w:r w:rsidRPr="00F43E93">
              <w:rPr>
                <w:rFonts w:ascii="Calibri Light" w:hAnsi="Calibri Light" w:cs="Calibri Light"/>
                <w:color w:val="000000"/>
                <w:sz w:val="16"/>
                <w:szCs w:val="18"/>
              </w:rPr>
              <w:t>also</w:t>
            </w:r>
            <w:proofErr w:type="gramEnd"/>
            <w:r w:rsidRPr="00F43E93">
              <w:rPr>
                <w:rFonts w:ascii="Calibri Light" w:hAnsi="Calibri Light" w:cs="Calibri Light"/>
                <w:color w:val="000000"/>
                <w:sz w:val="16"/>
                <w:szCs w:val="18"/>
              </w:rPr>
              <w:t xml:space="preserve"> in screening</w:t>
            </w:r>
          </w:p>
          <w:p w14:paraId="17E3FC6F" w14:textId="77777777" w:rsidR="00F43E93" w:rsidRPr="00F43E93" w:rsidRDefault="00F43E93" w:rsidP="00F43E93">
            <w:pPr>
              <w:widowControl/>
              <w:adjustRightInd/>
              <w:spacing w:before="0" w:after="0" w:line="240" w:lineRule="auto"/>
              <w:jc w:val="left"/>
              <w:textAlignment w:val="auto"/>
              <w:rPr>
                <w:rFonts w:ascii="Calibri Light" w:hAnsi="Calibri Light" w:cs="Calibri Light"/>
                <w:sz w:val="16"/>
                <w:szCs w:val="18"/>
              </w:rPr>
            </w:pPr>
            <w:r w:rsidRPr="00F43E93">
              <w:rPr>
                <w:rFonts w:ascii="Calibri Light" w:hAnsi="Calibri Light" w:cs="Calibri Light"/>
                <w:color w:val="000000"/>
                <w:sz w:val="18"/>
                <w:szCs w:val="18"/>
                <w:vertAlign w:val="superscript"/>
              </w:rPr>
              <w:t>†</w:t>
            </w:r>
            <w:r w:rsidRPr="00F43E93">
              <w:rPr>
                <w:rFonts w:ascii="Calibri Light" w:hAnsi="Calibri Light" w:cs="Calibri Light"/>
                <w:sz w:val="16"/>
                <w:szCs w:val="18"/>
              </w:rPr>
              <w:t xml:space="preserve"> </w:t>
            </w:r>
            <w:proofErr w:type="gramStart"/>
            <w:r w:rsidRPr="00F43E93">
              <w:rPr>
                <w:rFonts w:ascii="Calibri Light" w:hAnsi="Calibri Light" w:cs="Calibri Light"/>
                <w:sz w:val="16"/>
                <w:szCs w:val="18"/>
              </w:rPr>
              <w:t>also</w:t>
            </w:r>
            <w:proofErr w:type="gramEnd"/>
            <w:r w:rsidRPr="00F43E93">
              <w:rPr>
                <w:rFonts w:ascii="Calibri Light" w:hAnsi="Calibri Light" w:cs="Calibri Light"/>
                <w:sz w:val="16"/>
                <w:szCs w:val="18"/>
              </w:rPr>
              <w:t xml:space="preserve"> in diagnostics</w:t>
            </w:r>
          </w:p>
          <w:p w14:paraId="2057F8BB" w14:textId="77777777" w:rsidR="00F43E93" w:rsidRPr="00F43E93" w:rsidRDefault="00F43E93" w:rsidP="00F43E93">
            <w:pPr>
              <w:widowControl/>
              <w:adjustRightInd/>
              <w:spacing w:before="0" w:after="0" w:line="240" w:lineRule="auto"/>
              <w:jc w:val="left"/>
              <w:textAlignment w:val="auto"/>
              <w:rPr>
                <w:rFonts w:ascii="Calibri Light" w:hAnsi="Calibri Light" w:cs="Calibri Light"/>
                <w:color w:val="000000"/>
                <w:sz w:val="16"/>
                <w:szCs w:val="16"/>
              </w:rPr>
            </w:pPr>
            <w:r w:rsidRPr="00F43E93">
              <w:rPr>
                <w:rFonts w:ascii="Calibri Light" w:hAnsi="Calibri Light" w:cs="Calibri Light"/>
                <w:i/>
                <w:color w:val="000000"/>
                <w:sz w:val="16"/>
                <w:szCs w:val="16"/>
              </w:rPr>
              <w:t>CI</w:t>
            </w:r>
            <w:r w:rsidRPr="00F43E93">
              <w:rPr>
                <w:rFonts w:ascii="Calibri Light" w:hAnsi="Calibri Light" w:cs="Calibri Light"/>
                <w:color w:val="000000"/>
                <w:sz w:val="16"/>
                <w:szCs w:val="16"/>
              </w:rPr>
              <w:t xml:space="preserve"> Confidence Interval, </w:t>
            </w:r>
            <w:r w:rsidRPr="00F43E93">
              <w:rPr>
                <w:rFonts w:ascii="Calibri Light" w:hAnsi="Calibri Light" w:cs="Calibri Light"/>
                <w:i/>
                <w:color w:val="000000"/>
                <w:sz w:val="16"/>
                <w:szCs w:val="16"/>
              </w:rPr>
              <w:t>POCT</w:t>
            </w:r>
            <w:r w:rsidRPr="00F43E93">
              <w:rPr>
                <w:rFonts w:ascii="Calibri Light" w:hAnsi="Calibri Light" w:cs="Calibri Light"/>
                <w:color w:val="000000"/>
                <w:sz w:val="16"/>
                <w:szCs w:val="16"/>
              </w:rPr>
              <w:t xml:space="preserve"> Point of Care Test(</w:t>
            </w:r>
            <w:proofErr w:type="spellStart"/>
            <w:r w:rsidRPr="00F43E93">
              <w:rPr>
                <w:rFonts w:ascii="Calibri Light" w:hAnsi="Calibri Light" w:cs="Calibri Light"/>
                <w:color w:val="000000"/>
                <w:sz w:val="16"/>
                <w:szCs w:val="16"/>
              </w:rPr>
              <w:t>ing</w:t>
            </w:r>
            <w:proofErr w:type="spellEnd"/>
            <w:r w:rsidRPr="00F43E93">
              <w:rPr>
                <w:rFonts w:ascii="Calibri Light" w:hAnsi="Calibri Light" w:cs="Calibri Light"/>
                <w:color w:val="000000"/>
                <w:sz w:val="16"/>
                <w:szCs w:val="16"/>
              </w:rPr>
              <w:t xml:space="preserve">), </w:t>
            </w:r>
            <w:r w:rsidRPr="00F43E93">
              <w:rPr>
                <w:rFonts w:ascii="Calibri Light" w:hAnsi="Calibri Light" w:cs="Calibri Light"/>
                <w:i/>
                <w:color w:val="000000"/>
                <w:sz w:val="16"/>
                <w:szCs w:val="16"/>
              </w:rPr>
              <w:t>ICER</w:t>
            </w:r>
            <w:r w:rsidRPr="00F43E93">
              <w:rPr>
                <w:rFonts w:ascii="Calibri Light" w:hAnsi="Calibri Light" w:cs="Calibri Light"/>
                <w:color w:val="000000"/>
                <w:sz w:val="16"/>
                <w:szCs w:val="16"/>
              </w:rPr>
              <w:t xml:space="preserve"> Incremental Cost Effectiveness Ratio, </w:t>
            </w:r>
            <w:r w:rsidRPr="00F43E93">
              <w:rPr>
                <w:rFonts w:ascii="Calibri Light" w:hAnsi="Calibri Light" w:cs="Calibri Light"/>
                <w:i/>
                <w:color w:val="000000"/>
                <w:sz w:val="16"/>
                <w:szCs w:val="16"/>
              </w:rPr>
              <w:t>YLS</w:t>
            </w:r>
            <w:r w:rsidRPr="00F43E93">
              <w:rPr>
                <w:rFonts w:ascii="Calibri Light" w:hAnsi="Calibri Light" w:cs="Calibri Light"/>
                <w:color w:val="000000"/>
                <w:sz w:val="16"/>
                <w:szCs w:val="16"/>
              </w:rPr>
              <w:t xml:space="preserve"> Year of Life Saved, </w:t>
            </w:r>
            <w:r w:rsidRPr="00F43E93">
              <w:rPr>
                <w:rFonts w:ascii="Calibri Light" w:hAnsi="Calibri Light" w:cs="Calibri Light"/>
                <w:i/>
                <w:color w:val="000000"/>
                <w:sz w:val="16"/>
                <w:szCs w:val="16"/>
              </w:rPr>
              <w:t>HIV</w:t>
            </w:r>
            <w:r w:rsidRPr="00F43E93">
              <w:rPr>
                <w:rFonts w:ascii="Calibri Light" w:hAnsi="Calibri Light" w:cs="Calibri Light"/>
                <w:color w:val="000000"/>
                <w:sz w:val="16"/>
                <w:szCs w:val="16"/>
              </w:rPr>
              <w:t xml:space="preserve"> </w:t>
            </w:r>
            <w:r w:rsidRPr="00F43E93">
              <w:rPr>
                <w:rFonts w:ascii="Calibri Light" w:hAnsi="Calibri Light" w:cs="Calibri Light"/>
                <w:sz w:val="16"/>
                <w:szCs w:val="16"/>
              </w:rPr>
              <w:t>Human Immunodeficiency Virus</w:t>
            </w:r>
            <w:r w:rsidRPr="00F43E93">
              <w:rPr>
                <w:rFonts w:ascii="Calibri Light" w:hAnsi="Calibri Light" w:cs="Calibri Light"/>
                <w:color w:val="000000"/>
                <w:sz w:val="16"/>
                <w:szCs w:val="16"/>
              </w:rPr>
              <w:t xml:space="preserve">, </w:t>
            </w:r>
            <w:r w:rsidRPr="00F43E93">
              <w:rPr>
                <w:rFonts w:ascii="Calibri Light" w:hAnsi="Calibri Light" w:cs="Calibri Light"/>
                <w:i/>
                <w:color w:val="000000"/>
                <w:sz w:val="16"/>
                <w:szCs w:val="16"/>
              </w:rPr>
              <w:t>WTP</w:t>
            </w:r>
            <w:r w:rsidRPr="00F43E93">
              <w:rPr>
                <w:rFonts w:ascii="Calibri Light" w:hAnsi="Calibri Light" w:cs="Calibri Light"/>
                <w:color w:val="000000"/>
                <w:sz w:val="16"/>
                <w:szCs w:val="16"/>
              </w:rPr>
              <w:t xml:space="preserve"> Willingness to Pay.</w:t>
            </w:r>
          </w:p>
        </w:tc>
      </w:tr>
    </w:tbl>
    <w:p w14:paraId="31E13470" w14:textId="7ADBDB6B" w:rsidR="00F43E93" w:rsidRPr="00B2138E" w:rsidRDefault="00F43E93" w:rsidP="00B2138E"/>
    <w:sectPr w:rsidR="00F43E93" w:rsidRPr="00B2138E" w:rsidSect="00F03ECE">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ACFAF5" w14:textId="77777777" w:rsidR="00EA07F5" w:rsidRDefault="00EA07F5" w:rsidP="0011174B">
      <w:pPr>
        <w:spacing w:after="0" w:line="240" w:lineRule="auto"/>
      </w:pPr>
      <w:r>
        <w:separator/>
      </w:r>
    </w:p>
  </w:endnote>
  <w:endnote w:type="continuationSeparator" w:id="0">
    <w:p w14:paraId="47E1BCBF" w14:textId="77777777" w:rsidR="00EA07F5" w:rsidRDefault="00EA07F5" w:rsidP="0011174B">
      <w:pPr>
        <w:spacing w:after="0" w:line="240" w:lineRule="auto"/>
      </w:pPr>
      <w:r>
        <w:continuationSeparator/>
      </w:r>
    </w:p>
  </w:endnote>
  <w:endnote w:type="continuationNotice" w:id="1">
    <w:p w14:paraId="7EC5E0FD" w14:textId="77777777" w:rsidR="00EA07F5" w:rsidRDefault="00EA07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2AFF" w:usb1="C000ACFF" w:usb2="00000009" w:usb3="00000000" w:csb0="000001FF" w:csb1="00000000"/>
  </w:font>
  <w:font w:name="Segoe UI">
    <w:altName w:val="Sylfaen"/>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B155BC" w14:textId="77777777" w:rsidR="00EA07F5" w:rsidRDefault="00EA07F5" w:rsidP="0011174B">
      <w:pPr>
        <w:spacing w:after="0" w:line="240" w:lineRule="auto"/>
      </w:pPr>
      <w:r>
        <w:separator/>
      </w:r>
    </w:p>
  </w:footnote>
  <w:footnote w:type="continuationSeparator" w:id="0">
    <w:p w14:paraId="2D4F53A1" w14:textId="77777777" w:rsidR="00EA07F5" w:rsidRDefault="00EA07F5" w:rsidP="0011174B">
      <w:pPr>
        <w:spacing w:after="0" w:line="240" w:lineRule="auto"/>
      </w:pPr>
      <w:r>
        <w:continuationSeparator/>
      </w:r>
    </w:p>
  </w:footnote>
  <w:footnote w:type="continuationNotice" w:id="1">
    <w:p w14:paraId="05AEFFA1" w14:textId="77777777" w:rsidR="00EA07F5" w:rsidRDefault="00EA07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81994"/>
    <w:multiLevelType w:val="hybridMultilevel"/>
    <w:tmpl w:val="DBFE5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C62D3"/>
    <w:multiLevelType w:val="hybridMultilevel"/>
    <w:tmpl w:val="12B63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E5870"/>
    <w:multiLevelType w:val="hybridMultilevel"/>
    <w:tmpl w:val="0338F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8D040D"/>
    <w:multiLevelType w:val="hybridMultilevel"/>
    <w:tmpl w:val="2A9E4D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CD614E"/>
    <w:multiLevelType w:val="hybridMultilevel"/>
    <w:tmpl w:val="9698B0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944A5E"/>
    <w:multiLevelType w:val="hybridMultilevel"/>
    <w:tmpl w:val="66E269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C1D64B6"/>
    <w:multiLevelType w:val="hybridMultilevel"/>
    <w:tmpl w:val="B5B68802"/>
    <w:lvl w:ilvl="0" w:tplc="5CB86DEE">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760C5B"/>
    <w:multiLevelType w:val="hybridMultilevel"/>
    <w:tmpl w:val="4B9C2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BE7807"/>
    <w:multiLevelType w:val="hybridMultilevel"/>
    <w:tmpl w:val="DE063B8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1BEE1ED2"/>
    <w:multiLevelType w:val="hybridMultilevel"/>
    <w:tmpl w:val="1F7AEB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C6F0198"/>
    <w:multiLevelType w:val="hybridMultilevel"/>
    <w:tmpl w:val="14CE6DE6"/>
    <w:lvl w:ilvl="0" w:tplc="EE34D41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8F272F"/>
    <w:multiLevelType w:val="hybridMultilevel"/>
    <w:tmpl w:val="01F67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B867F9"/>
    <w:multiLevelType w:val="multilevel"/>
    <w:tmpl w:val="A01823BE"/>
    <w:lvl w:ilvl="0">
      <w:start w:val="1"/>
      <w:numFmt w:val="decimal"/>
      <w:lvlText w:val="%1."/>
      <w:lvlJc w:val="left"/>
      <w:pPr>
        <w:ind w:left="720" w:hanging="360"/>
      </w:pPr>
      <w:rPr>
        <w:rFonts w:hint="default"/>
      </w:r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3505AA0"/>
    <w:multiLevelType w:val="hybridMultilevel"/>
    <w:tmpl w:val="0DB07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A210AC"/>
    <w:multiLevelType w:val="hybridMultilevel"/>
    <w:tmpl w:val="912EF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89A5A46"/>
    <w:multiLevelType w:val="multilevel"/>
    <w:tmpl w:val="2B6E87E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33C00571"/>
    <w:multiLevelType w:val="hybridMultilevel"/>
    <w:tmpl w:val="8A9C0D8E"/>
    <w:lvl w:ilvl="0" w:tplc="1AEA031C">
      <w:start w:val="2"/>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934997"/>
    <w:multiLevelType w:val="hybridMultilevel"/>
    <w:tmpl w:val="BC8E47E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CE770E"/>
    <w:multiLevelType w:val="hybridMultilevel"/>
    <w:tmpl w:val="6504C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CD3A6A"/>
    <w:multiLevelType w:val="hybridMultilevel"/>
    <w:tmpl w:val="7E04CA8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BE6D4F"/>
    <w:multiLevelType w:val="hybridMultilevel"/>
    <w:tmpl w:val="6CEE6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EE0A7A"/>
    <w:multiLevelType w:val="hybridMultilevel"/>
    <w:tmpl w:val="F9748CDA"/>
    <w:lvl w:ilvl="0" w:tplc="7D7C8350">
      <w:numFmt w:val="bullet"/>
      <w:lvlText w:val="•"/>
      <w:lvlJc w:val="left"/>
      <w:pPr>
        <w:ind w:left="710" w:hanging="710"/>
      </w:pPr>
      <w:rPr>
        <w:rFonts w:ascii="Calibri Light" w:eastAsiaTheme="minorHAnsi" w:hAnsi="Calibri Light" w:cs="Calibri Ligh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915679"/>
    <w:multiLevelType w:val="hybridMultilevel"/>
    <w:tmpl w:val="69AEA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C72927"/>
    <w:multiLevelType w:val="hybridMultilevel"/>
    <w:tmpl w:val="CAC8E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AD23054"/>
    <w:multiLevelType w:val="hybridMultilevel"/>
    <w:tmpl w:val="8A0452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B9A1418"/>
    <w:multiLevelType w:val="hybridMultilevel"/>
    <w:tmpl w:val="FDD8E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D045799"/>
    <w:multiLevelType w:val="hybridMultilevel"/>
    <w:tmpl w:val="0A22073C"/>
    <w:lvl w:ilvl="0" w:tplc="7736F5D2">
      <w:numFmt w:val="bullet"/>
      <w:lvlText w:val="-"/>
      <w:lvlJc w:val="left"/>
      <w:pPr>
        <w:ind w:left="720" w:hanging="360"/>
      </w:pPr>
      <w:rPr>
        <w:rFonts w:ascii="Calibri Light" w:eastAsia="Times New Roman"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3EF51D2"/>
    <w:multiLevelType w:val="hybridMultilevel"/>
    <w:tmpl w:val="38C4168C"/>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8" w15:restartNumberingAfterBreak="0">
    <w:nsid w:val="551665D5"/>
    <w:multiLevelType w:val="hybridMultilevel"/>
    <w:tmpl w:val="EFA078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FBA2843"/>
    <w:multiLevelType w:val="hybridMultilevel"/>
    <w:tmpl w:val="B0846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E814A0"/>
    <w:multiLevelType w:val="hybridMultilevel"/>
    <w:tmpl w:val="D4DC76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45F4CFF"/>
    <w:multiLevelType w:val="hybridMultilevel"/>
    <w:tmpl w:val="4B706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FB5584"/>
    <w:multiLevelType w:val="hybridMultilevel"/>
    <w:tmpl w:val="E9C01F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C262CA9"/>
    <w:multiLevelType w:val="hybridMultilevel"/>
    <w:tmpl w:val="065C39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3485CE1"/>
    <w:multiLevelType w:val="hybridMultilevel"/>
    <w:tmpl w:val="B6DED5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5D07DE8"/>
    <w:multiLevelType w:val="hybridMultilevel"/>
    <w:tmpl w:val="4B64A790"/>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8094AC2"/>
    <w:multiLevelType w:val="hybridMultilevel"/>
    <w:tmpl w:val="5CE4F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7F62D4"/>
    <w:multiLevelType w:val="hybridMultilevel"/>
    <w:tmpl w:val="7A0A467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27"/>
  </w:num>
  <w:num w:numId="2">
    <w:abstractNumId w:val="12"/>
  </w:num>
  <w:num w:numId="3">
    <w:abstractNumId w:val="9"/>
  </w:num>
  <w:num w:numId="4">
    <w:abstractNumId w:val="10"/>
  </w:num>
  <w:num w:numId="5">
    <w:abstractNumId w:val="15"/>
  </w:num>
  <w:num w:numId="6">
    <w:abstractNumId w:val="5"/>
  </w:num>
  <w:num w:numId="7">
    <w:abstractNumId w:val="21"/>
  </w:num>
  <w:num w:numId="8">
    <w:abstractNumId w:val="4"/>
  </w:num>
  <w:num w:numId="9">
    <w:abstractNumId w:val="7"/>
  </w:num>
  <w:num w:numId="10">
    <w:abstractNumId w:val="23"/>
  </w:num>
  <w:num w:numId="11">
    <w:abstractNumId w:val="25"/>
  </w:num>
  <w:num w:numId="12">
    <w:abstractNumId w:val="30"/>
  </w:num>
  <w:num w:numId="13">
    <w:abstractNumId w:val="32"/>
  </w:num>
  <w:num w:numId="14">
    <w:abstractNumId w:val="18"/>
  </w:num>
  <w:num w:numId="15">
    <w:abstractNumId w:val="29"/>
  </w:num>
  <w:num w:numId="16">
    <w:abstractNumId w:val="36"/>
  </w:num>
  <w:num w:numId="17">
    <w:abstractNumId w:val="0"/>
  </w:num>
  <w:num w:numId="18">
    <w:abstractNumId w:val="13"/>
  </w:num>
  <w:num w:numId="19">
    <w:abstractNumId w:val="24"/>
  </w:num>
  <w:num w:numId="20">
    <w:abstractNumId w:val="28"/>
  </w:num>
  <w:num w:numId="21">
    <w:abstractNumId w:val="2"/>
  </w:num>
  <w:num w:numId="22">
    <w:abstractNumId w:val="34"/>
  </w:num>
  <w:num w:numId="23">
    <w:abstractNumId w:val="19"/>
  </w:num>
  <w:num w:numId="24">
    <w:abstractNumId w:val="11"/>
  </w:num>
  <w:num w:numId="25">
    <w:abstractNumId w:val="33"/>
  </w:num>
  <w:num w:numId="26">
    <w:abstractNumId w:val="14"/>
  </w:num>
  <w:num w:numId="27">
    <w:abstractNumId w:val="1"/>
  </w:num>
  <w:num w:numId="28">
    <w:abstractNumId w:val="3"/>
  </w:num>
  <w:num w:numId="29">
    <w:abstractNumId w:val="20"/>
  </w:num>
  <w:num w:numId="30">
    <w:abstractNumId w:val="16"/>
  </w:num>
  <w:num w:numId="31">
    <w:abstractNumId w:val="31"/>
  </w:num>
  <w:num w:numId="32">
    <w:abstractNumId w:val="22"/>
  </w:num>
  <w:num w:numId="33">
    <w:abstractNumId w:val="26"/>
  </w:num>
  <w:num w:numId="34">
    <w:abstractNumId w:val="6"/>
  </w:num>
  <w:num w:numId="35">
    <w:abstractNumId w:val="35"/>
  </w:num>
  <w:num w:numId="36">
    <w:abstractNumId w:val="37"/>
  </w:num>
  <w:num w:numId="37">
    <w:abstractNumId w:val="8"/>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removePersonalInformation/>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UxMLMwMTYyNDc3NDBW0lEKTi0uzszPAykwNakFAK9AAaItAAAA"/>
  </w:docVars>
  <w:rsids>
    <w:rsidRoot w:val="00C86204"/>
    <w:rsid w:val="00000689"/>
    <w:rsid w:val="000020B4"/>
    <w:rsid w:val="00002E60"/>
    <w:rsid w:val="00005A83"/>
    <w:rsid w:val="0000641E"/>
    <w:rsid w:val="00006A69"/>
    <w:rsid w:val="00007B65"/>
    <w:rsid w:val="000104B9"/>
    <w:rsid w:val="00014385"/>
    <w:rsid w:val="000145A2"/>
    <w:rsid w:val="00014959"/>
    <w:rsid w:val="00014F99"/>
    <w:rsid w:val="00016085"/>
    <w:rsid w:val="00017B1C"/>
    <w:rsid w:val="00021AE9"/>
    <w:rsid w:val="000250D6"/>
    <w:rsid w:val="0002516F"/>
    <w:rsid w:val="00027B0C"/>
    <w:rsid w:val="00031DE9"/>
    <w:rsid w:val="00032BFC"/>
    <w:rsid w:val="00034E73"/>
    <w:rsid w:val="0003619E"/>
    <w:rsid w:val="00041025"/>
    <w:rsid w:val="00041874"/>
    <w:rsid w:val="00042C54"/>
    <w:rsid w:val="00047784"/>
    <w:rsid w:val="000479D7"/>
    <w:rsid w:val="000532C2"/>
    <w:rsid w:val="00054CCC"/>
    <w:rsid w:val="00054F19"/>
    <w:rsid w:val="00055E0C"/>
    <w:rsid w:val="00056A1C"/>
    <w:rsid w:val="00056AC5"/>
    <w:rsid w:val="0005751D"/>
    <w:rsid w:val="0006062E"/>
    <w:rsid w:val="00060A65"/>
    <w:rsid w:val="0006695D"/>
    <w:rsid w:val="000669CE"/>
    <w:rsid w:val="00066F1A"/>
    <w:rsid w:val="00067178"/>
    <w:rsid w:val="00070967"/>
    <w:rsid w:val="00072217"/>
    <w:rsid w:val="00074DF1"/>
    <w:rsid w:val="000807B8"/>
    <w:rsid w:val="00080DBA"/>
    <w:rsid w:val="000817BB"/>
    <w:rsid w:val="00082262"/>
    <w:rsid w:val="00082639"/>
    <w:rsid w:val="00082931"/>
    <w:rsid w:val="00082CDB"/>
    <w:rsid w:val="00084DBF"/>
    <w:rsid w:val="00085D2B"/>
    <w:rsid w:val="000863DA"/>
    <w:rsid w:val="00087C55"/>
    <w:rsid w:val="00091DF9"/>
    <w:rsid w:val="00092B4C"/>
    <w:rsid w:val="00092DDD"/>
    <w:rsid w:val="00092F55"/>
    <w:rsid w:val="00096246"/>
    <w:rsid w:val="000976E1"/>
    <w:rsid w:val="000A071A"/>
    <w:rsid w:val="000A18DD"/>
    <w:rsid w:val="000A3B53"/>
    <w:rsid w:val="000A518D"/>
    <w:rsid w:val="000A51AD"/>
    <w:rsid w:val="000A656D"/>
    <w:rsid w:val="000A69F4"/>
    <w:rsid w:val="000B1074"/>
    <w:rsid w:val="000B4355"/>
    <w:rsid w:val="000B5AB8"/>
    <w:rsid w:val="000B68C7"/>
    <w:rsid w:val="000B7937"/>
    <w:rsid w:val="000C05CC"/>
    <w:rsid w:val="000C0A2E"/>
    <w:rsid w:val="000C29AD"/>
    <w:rsid w:val="000C4B9A"/>
    <w:rsid w:val="000C6612"/>
    <w:rsid w:val="000D3923"/>
    <w:rsid w:val="000D447F"/>
    <w:rsid w:val="000D5965"/>
    <w:rsid w:val="000D5AEB"/>
    <w:rsid w:val="000E08C3"/>
    <w:rsid w:val="000E0F08"/>
    <w:rsid w:val="000E10E0"/>
    <w:rsid w:val="000E221A"/>
    <w:rsid w:val="000E2629"/>
    <w:rsid w:val="000E41CB"/>
    <w:rsid w:val="000E7FEF"/>
    <w:rsid w:val="000F211C"/>
    <w:rsid w:val="000F3DAC"/>
    <w:rsid w:val="000F45F2"/>
    <w:rsid w:val="000F6E0D"/>
    <w:rsid w:val="0010076C"/>
    <w:rsid w:val="00100812"/>
    <w:rsid w:val="00100D38"/>
    <w:rsid w:val="001026D1"/>
    <w:rsid w:val="00102872"/>
    <w:rsid w:val="0010311E"/>
    <w:rsid w:val="00103374"/>
    <w:rsid w:val="001034FC"/>
    <w:rsid w:val="00103BA8"/>
    <w:rsid w:val="00103F14"/>
    <w:rsid w:val="00106EFE"/>
    <w:rsid w:val="001113B1"/>
    <w:rsid w:val="0011174B"/>
    <w:rsid w:val="00111F5B"/>
    <w:rsid w:val="00112BF4"/>
    <w:rsid w:val="00114A22"/>
    <w:rsid w:val="00114A43"/>
    <w:rsid w:val="00114E94"/>
    <w:rsid w:val="001160E7"/>
    <w:rsid w:val="0011719D"/>
    <w:rsid w:val="001207EC"/>
    <w:rsid w:val="0012228C"/>
    <w:rsid w:val="00122D40"/>
    <w:rsid w:val="00122F62"/>
    <w:rsid w:val="00123CE0"/>
    <w:rsid w:val="00126657"/>
    <w:rsid w:val="00126A8E"/>
    <w:rsid w:val="00127A8F"/>
    <w:rsid w:val="0013079D"/>
    <w:rsid w:val="00134B66"/>
    <w:rsid w:val="00137717"/>
    <w:rsid w:val="00141DE5"/>
    <w:rsid w:val="0014253D"/>
    <w:rsid w:val="0014394B"/>
    <w:rsid w:val="00144766"/>
    <w:rsid w:val="00144AF9"/>
    <w:rsid w:val="00145548"/>
    <w:rsid w:val="00146130"/>
    <w:rsid w:val="00147176"/>
    <w:rsid w:val="00147B26"/>
    <w:rsid w:val="00150CD9"/>
    <w:rsid w:val="00152D86"/>
    <w:rsid w:val="001535A8"/>
    <w:rsid w:val="00154F14"/>
    <w:rsid w:val="0015552A"/>
    <w:rsid w:val="00155759"/>
    <w:rsid w:val="0015709C"/>
    <w:rsid w:val="00160954"/>
    <w:rsid w:val="00160CDD"/>
    <w:rsid w:val="001618D3"/>
    <w:rsid w:val="00161B70"/>
    <w:rsid w:val="0016313A"/>
    <w:rsid w:val="00164B26"/>
    <w:rsid w:val="00166AF8"/>
    <w:rsid w:val="00166E20"/>
    <w:rsid w:val="00167035"/>
    <w:rsid w:val="00167805"/>
    <w:rsid w:val="001704E3"/>
    <w:rsid w:val="0017080C"/>
    <w:rsid w:val="0017160E"/>
    <w:rsid w:val="00175AE6"/>
    <w:rsid w:val="00175E18"/>
    <w:rsid w:val="00175EC0"/>
    <w:rsid w:val="00180886"/>
    <w:rsid w:val="00181629"/>
    <w:rsid w:val="001816EA"/>
    <w:rsid w:val="00181F09"/>
    <w:rsid w:val="00183931"/>
    <w:rsid w:val="00184486"/>
    <w:rsid w:val="001848E5"/>
    <w:rsid w:val="00185F8C"/>
    <w:rsid w:val="00191A0D"/>
    <w:rsid w:val="00193052"/>
    <w:rsid w:val="001946E4"/>
    <w:rsid w:val="00194891"/>
    <w:rsid w:val="00196858"/>
    <w:rsid w:val="001970E4"/>
    <w:rsid w:val="001A052A"/>
    <w:rsid w:val="001A07A6"/>
    <w:rsid w:val="001A07D9"/>
    <w:rsid w:val="001A095D"/>
    <w:rsid w:val="001A2032"/>
    <w:rsid w:val="001A273A"/>
    <w:rsid w:val="001A75CF"/>
    <w:rsid w:val="001A7F10"/>
    <w:rsid w:val="001B0613"/>
    <w:rsid w:val="001B1C75"/>
    <w:rsid w:val="001B1EEC"/>
    <w:rsid w:val="001B3077"/>
    <w:rsid w:val="001B3EFA"/>
    <w:rsid w:val="001B519C"/>
    <w:rsid w:val="001B5BAF"/>
    <w:rsid w:val="001B648C"/>
    <w:rsid w:val="001B6F3A"/>
    <w:rsid w:val="001B7970"/>
    <w:rsid w:val="001C01B7"/>
    <w:rsid w:val="001C13AE"/>
    <w:rsid w:val="001C14B7"/>
    <w:rsid w:val="001C1B1C"/>
    <w:rsid w:val="001C1C9C"/>
    <w:rsid w:val="001C291E"/>
    <w:rsid w:val="001C398E"/>
    <w:rsid w:val="001C4722"/>
    <w:rsid w:val="001C5062"/>
    <w:rsid w:val="001C51FB"/>
    <w:rsid w:val="001C6A64"/>
    <w:rsid w:val="001C6C19"/>
    <w:rsid w:val="001C78B5"/>
    <w:rsid w:val="001D1555"/>
    <w:rsid w:val="001D40D4"/>
    <w:rsid w:val="001D5C94"/>
    <w:rsid w:val="001D691F"/>
    <w:rsid w:val="001D7B70"/>
    <w:rsid w:val="001E078C"/>
    <w:rsid w:val="001E1CEF"/>
    <w:rsid w:val="001E2F69"/>
    <w:rsid w:val="001E4690"/>
    <w:rsid w:val="001E5D31"/>
    <w:rsid w:val="001E77BE"/>
    <w:rsid w:val="001F1B06"/>
    <w:rsid w:val="001F2C28"/>
    <w:rsid w:val="001F3219"/>
    <w:rsid w:val="001F5023"/>
    <w:rsid w:val="001F69C5"/>
    <w:rsid w:val="00200262"/>
    <w:rsid w:val="00203BF0"/>
    <w:rsid w:val="00203D8D"/>
    <w:rsid w:val="00203D9F"/>
    <w:rsid w:val="00204473"/>
    <w:rsid w:val="002067AB"/>
    <w:rsid w:val="002101BD"/>
    <w:rsid w:val="00210D2F"/>
    <w:rsid w:val="00213596"/>
    <w:rsid w:val="002139A2"/>
    <w:rsid w:val="002146CF"/>
    <w:rsid w:val="00215584"/>
    <w:rsid w:val="002217E4"/>
    <w:rsid w:val="00226C0E"/>
    <w:rsid w:val="002276A7"/>
    <w:rsid w:val="00227F1F"/>
    <w:rsid w:val="00231796"/>
    <w:rsid w:val="00232557"/>
    <w:rsid w:val="0023402A"/>
    <w:rsid w:val="00235755"/>
    <w:rsid w:val="00236382"/>
    <w:rsid w:val="00237B2E"/>
    <w:rsid w:val="002400A8"/>
    <w:rsid w:val="00241462"/>
    <w:rsid w:val="0024395E"/>
    <w:rsid w:val="00245FEB"/>
    <w:rsid w:val="00246193"/>
    <w:rsid w:val="002468C9"/>
    <w:rsid w:val="002501B5"/>
    <w:rsid w:val="002535F7"/>
    <w:rsid w:val="00255F03"/>
    <w:rsid w:val="00257795"/>
    <w:rsid w:val="00257B4A"/>
    <w:rsid w:val="00260585"/>
    <w:rsid w:val="00260C2C"/>
    <w:rsid w:val="0026378A"/>
    <w:rsid w:val="00263C3B"/>
    <w:rsid w:val="00264544"/>
    <w:rsid w:val="002655AC"/>
    <w:rsid w:val="002656ED"/>
    <w:rsid w:val="00265AC8"/>
    <w:rsid w:val="002702F5"/>
    <w:rsid w:val="002711AD"/>
    <w:rsid w:val="0027348D"/>
    <w:rsid w:val="00274C78"/>
    <w:rsid w:val="00277548"/>
    <w:rsid w:val="00277925"/>
    <w:rsid w:val="0028065E"/>
    <w:rsid w:val="002816FE"/>
    <w:rsid w:val="002834CE"/>
    <w:rsid w:val="002851AF"/>
    <w:rsid w:val="00285CB3"/>
    <w:rsid w:val="00286321"/>
    <w:rsid w:val="00286875"/>
    <w:rsid w:val="00286AE9"/>
    <w:rsid w:val="00286BF9"/>
    <w:rsid w:val="00290BC2"/>
    <w:rsid w:val="00292796"/>
    <w:rsid w:val="00292DBD"/>
    <w:rsid w:val="002932FF"/>
    <w:rsid w:val="002948BE"/>
    <w:rsid w:val="00294C3C"/>
    <w:rsid w:val="002954B9"/>
    <w:rsid w:val="002969E4"/>
    <w:rsid w:val="002A1AD6"/>
    <w:rsid w:val="002A2B5A"/>
    <w:rsid w:val="002A3159"/>
    <w:rsid w:val="002A3191"/>
    <w:rsid w:val="002A3DEB"/>
    <w:rsid w:val="002A4AB0"/>
    <w:rsid w:val="002A5A81"/>
    <w:rsid w:val="002A7590"/>
    <w:rsid w:val="002A7A6A"/>
    <w:rsid w:val="002A7CD5"/>
    <w:rsid w:val="002B196A"/>
    <w:rsid w:val="002B3BCD"/>
    <w:rsid w:val="002B3FE5"/>
    <w:rsid w:val="002B41B2"/>
    <w:rsid w:val="002B5BBA"/>
    <w:rsid w:val="002B6F6B"/>
    <w:rsid w:val="002C0F0C"/>
    <w:rsid w:val="002C38BA"/>
    <w:rsid w:val="002C39D1"/>
    <w:rsid w:val="002C3AFD"/>
    <w:rsid w:val="002C3C4B"/>
    <w:rsid w:val="002C48D3"/>
    <w:rsid w:val="002C521C"/>
    <w:rsid w:val="002D0558"/>
    <w:rsid w:val="002D15FB"/>
    <w:rsid w:val="002D577B"/>
    <w:rsid w:val="002E004B"/>
    <w:rsid w:val="002E08CF"/>
    <w:rsid w:val="002E21C0"/>
    <w:rsid w:val="002E527B"/>
    <w:rsid w:val="002E6348"/>
    <w:rsid w:val="002E7120"/>
    <w:rsid w:val="002F13E7"/>
    <w:rsid w:val="002F196B"/>
    <w:rsid w:val="002F30CF"/>
    <w:rsid w:val="002F6878"/>
    <w:rsid w:val="002F7A8F"/>
    <w:rsid w:val="003023FB"/>
    <w:rsid w:val="003038C1"/>
    <w:rsid w:val="0030435F"/>
    <w:rsid w:val="00304AE3"/>
    <w:rsid w:val="0030620C"/>
    <w:rsid w:val="00307097"/>
    <w:rsid w:val="003073E3"/>
    <w:rsid w:val="00310CAE"/>
    <w:rsid w:val="003111AC"/>
    <w:rsid w:val="003113A7"/>
    <w:rsid w:val="00312A90"/>
    <w:rsid w:val="00313ACA"/>
    <w:rsid w:val="00314306"/>
    <w:rsid w:val="00314529"/>
    <w:rsid w:val="00315358"/>
    <w:rsid w:val="00317BB5"/>
    <w:rsid w:val="00317F01"/>
    <w:rsid w:val="00320313"/>
    <w:rsid w:val="00320B70"/>
    <w:rsid w:val="00321C8C"/>
    <w:rsid w:val="00324E4E"/>
    <w:rsid w:val="003257CA"/>
    <w:rsid w:val="003273BF"/>
    <w:rsid w:val="00330410"/>
    <w:rsid w:val="00333593"/>
    <w:rsid w:val="00333909"/>
    <w:rsid w:val="003353A0"/>
    <w:rsid w:val="00335D89"/>
    <w:rsid w:val="0033783E"/>
    <w:rsid w:val="003408CD"/>
    <w:rsid w:val="00340FE7"/>
    <w:rsid w:val="00343296"/>
    <w:rsid w:val="003438DD"/>
    <w:rsid w:val="00345634"/>
    <w:rsid w:val="00345746"/>
    <w:rsid w:val="003472E6"/>
    <w:rsid w:val="00350BE1"/>
    <w:rsid w:val="003512DB"/>
    <w:rsid w:val="00353941"/>
    <w:rsid w:val="00354E76"/>
    <w:rsid w:val="00355DAA"/>
    <w:rsid w:val="003571FD"/>
    <w:rsid w:val="0036004C"/>
    <w:rsid w:val="00360275"/>
    <w:rsid w:val="00361778"/>
    <w:rsid w:val="00362AE3"/>
    <w:rsid w:val="00363B2D"/>
    <w:rsid w:val="0036531E"/>
    <w:rsid w:val="0036605C"/>
    <w:rsid w:val="00367613"/>
    <w:rsid w:val="00370FA7"/>
    <w:rsid w:val="00371A02"/>
    <w:rsid w:val="003727D7"/>
    <w:rsid w:val="00372F9D"/>
    <w:rsid w:val="0037400A"/>
    <w:rsid w:val="00375249"/>
    <w:rsid w:val="003761AB"/>
    <w:rsid w:val="00381A5A"/>
    <w:rsid w:val="003828FE"/>
    <w:rsid w:val="003855E5"/>
    <w:rsid w:val="00386537"/>
    <w:rsid w:val="00391A72"/>
    <w:rsid w:val="00391BDF"/>
    <w:rsid w:val="003926E5"/>
    <w:rsid w:val="00392F78"/>
    <w:rsid w:val="00393A13"/>
    <w:rsid w:val="0039425B"/>
    <w:rsid w:val="00395065"/>
    <w:rsid w:val="0039632B"/>
    <w:rsid w:val="00397190"/>
    <w:rsid w:val="003A1C01"/>
    <w:rsid w:val="003A46AD"/>
    <w:rsid w:val="003A6081"/>
    <w:rsid w:val="003A7673"/>
    <w:rsid w:val="003B0F74"/>
    <w:rsid w:val="003B18C0"/>
    <w:rsid w:val="003B24E5"/>
    <w:rsid w:val="003B2E5F"/>
    <w:rsid w:val="003B4718"/>
    <w:rsid w:val="003B4DF3"/>
    <w:rsid w:val="003B5ECF"/>
    <w:rsid w:val="003B6930"/>
    <w:rsid w:val="003C1E9C"/>
    <w:rsid w:val="003C2205"/>
    <w:rsid w:val="003C33C3"/>
    <w:rsid w:val="003C3695"/>
    <w:rsid w:val="003C5BB1"/>
    <w:rsid w:val="003C647F"/>
    <w:rsid w:val="003C7AE7"/>
    <w:rsid w:val="003D04F4"/>
    <w:rsid w:val="003D0909"/>
    <w:rsid w:val="003D1E8E"/>
    <w:rsid w:val="003D3608"/>
    <w:rsid w:val="003D3B81"/>
    <w:rsid w:val="003D3EFA"/>
    <w:rsid w:val="003D53FF"/>
    <w:rsid w:val="003D5EA1"/>
    <w:rsid w:val="003D769C"/>
    <w:rsid w:val="003D7EFE"/>
    <w:rsid w:val="003E1297"/>
    <w:rsid w:val="003E1B1A"/>
    <w:rsid w:val="003E1F05"/>
    <w:rsid w:val="003E254F"/>
    <w:rsid w:val="003E421D"/>
    <w:rsid w:val="003E5BBB"/>
    <w:rsid w:val="003E7989"/>
    <w:rsid w:val="003F0518"/>
    <w:rsid w:val="003F0906"/>
    <w:rsid w:val="003F1388"/>
    <w:rsid w:val="003F164E"/>
    <w:rsid w:val="003F1AF4"/>
    <w:rsid w:val="003F1B75"/>
    <w:rsid w:val="003F1E07"/>
    <w:rsid w:val="003F26A7"/>
    <w:rsid w:val="003F4C2F"/>
    <w:rsid w:val="003F51E3"/>
    <w:rsid w:val="003F5BC8"/>
    <w:rsid w:val="003F7D61"/>
    <w:rsid w:val="0040063E"/>
    <w:rsid w:val="0040128D"/>
    <w:rsid w:val="00402904"/>
    <w:rsid w:val="00402B8D"/>
    <w:rsid w:val="0040400C"/>
    <w:rsid w:val="00404C00"/>
    <w:rsid w:val="00404E72"/>
    <w:rsid w:val="004050BE"/>
    <w:rsid w:val="004054B2"/>
    <w:rsid w:val="0040723C"/>
    <w:rsid w:val="00413CC7"/>
    <w:rsid w:val="004143EE"/>
    <w:rsid w:val="00415B4A"/>
    <w:rsid w:val="004172E1"/>
    <w:rsid w:val="00417F3F"/>
    <w:rsid w:val="00417F90"/>
    <w:rsid w:val="00420D19"/>
    <w:rsid w:val="00422408"/>
    <w:rsid w:val="00423645"/>
    <w:rsid w:val="004251C6"/>
    <w:rsid w:val="00426A9F"/>
    <w:rsid w:val="004313B5"/>
    <w:rsid w:val="00431788"/>
    <w:rsid w:val="0043291F"/>
    <w:rsid w:val="00435A59"/>
    <w:rsid w:val="00436CAB"/>
    <w:rsid w:val="00440B47"/>
    <w:rsid w:val="0044127C"/>
    <w:rsid w:val="004437C8"/>
    <w:rsid w:val="00446514"/>
    <w:rsid w:val="00446B9E"/>
    <w:rsid w:val="00447EE8"/>
    <w:rsid w:val="00450BAE"/>
    <w:rsid w:val="00450F68"/>
    <w:rsid w:val="00451DCD"/>
    <w:rsid w:val="004530B5"/>
    <w:rsid w:val="0045374B"/>
    <w:rsid w:val="00453839"/>
    <w:rsid w:val="00453FA1"/>
    <w:rsid w:val="00454C3F"/>
    <w:rsid w:val="00455AE6"/>
    <w:rsid w:val="00456CFC"/>
    <w:rsid w:val="00456DB3"/>
    <w:rsid w:val="00460073"/>
    <w:rsid w:val="00464A59"/>
    <w:rsid w:val="004664EC"/>
    <w:rsid w:val="00466DC4"/>
    <w:rsid w:val="00466EEE"/>
    <w:rsid w:val="00466FD2"/>
    <w:rsid w:val="0046716B"/>
    <w:rsid w:val="00470DA7"/>
    <w:rsid w:val="00472893"/>
    <w:rsid w:val="00473604"/>
    <w:rsid w:val="004741BD"/>
    <w:rsid w:val="0047545E"/>
    <w:rsid w:val="00476190"/>
    <w:rsid w:val="0048232A"/>
    <w:rsid w:val="00484790"/>
    <w:rsid w:val="00485975"/>
    <w:rsid w:val="00485BD1"/>
    <w:rsid w:val="00487E0A"/>
    <w:rsid w:val="00492B62"/>
    <w:rsid w:val="004A0787"/>
    <w:rsid w:val="004A0F49"/>
    <w:rsid w:val="004A1E26"/>
    <w:rsid w:val="004A2314"/>
    <w:rsid w:val="004A3D15"/>
    <w:rsid w:val="004B00F5"/>
    <w:rsid w:val="004B019D"/>
    <w:rsid w:val="004B0E58"/>
    <w:rsid w:val="004B17EA"/>
    <w:rsid w:val="004B190E"/>
    <w:rsid w:val="004B2FFD"/>
    <w:rsid w:val="004B417B"/>
    <w:rsid w:val="004B49DF"/>
    <w:rsid w:val="004B6E8A"/>
    <w:rsid w:val="004C1DA0"/>
    <w:rsid w:val="004C3D85"/>
    <w:rsid w:val="004C5680"/>
    <w:rsid w:val="004C74A6"/>
    <w:rsid w:val="004D1F2C"/>
    <w:rsid w:val="004D3180"/>
    <w:rsid w:val="004D3EBB"/>
    <w:rsid w:val="004D50ED"/>
    <w:rsid w:val="004D5A02"/>
    <w:rsid w:val="004D5E32"/>
    <w:rsid w:val="004E103D"/>
    <w:rsid w:val="004E1781"/>
    <w:rsid w:val="004E1A53"/>
    <w:rsid w:val="004E232D"/>
    <w:rsid w:val="004E3E94"/>
    <w:rsid w:val="004E40F7"/>
    <w:rsid w:val="004E42FB"/>
    <w:rsid w:val="004E6CBC"/>
    <w:rsid w:val="004E7E4A"/>
    <w:rsid w:val="004F03E9"/>
    <w:rsid w:val="004F07B0"/>
    <w:rsid w:val="004F1BCB"/>
    <w:rsid w:val="004F69ED"/>
    <w:rsid w:val="004F6AF9"/>
    <w:rsid w:val="004F7ED3"/>
    <w:rsid w:val="005001DA"/>
    <w:rsid w:val="00501D51"/>
    <w:rsid w:val="00502142"/>
    <w:rsid w:val="00502927"/>
    <w:rsid w:val="00502965"/>
    <w:rsid w:val="005045AA"/>
    <w:rsid w:val="005056CD"/>
    <w:rsid w:val="00505C72"/>
    <w:rsid w:val="00507110"/>
    <w:rsid w:val="00510B45"/>
    <w:rsid w:val="00511CB9"/>
    <w:rsid w:val="00512BCE"/>
    <w:rsid w:val="00517B80"/>
    <w:rsid w:val="0052032E"/>
    <w:rsid w:val="005206AE"/>
    <w:rsid w:val="00521830"/>
    <w:rsid w:val="00521BC5"/>
    <w:rsid w:val="005223A9"/>
    <w:rsid w:val="00523330"/>
    <w:rsid w:val="0052335E"/>
    <w:rsid w:val="00523823"/>
    <w:rsid w:val="00524195"/>
    <w:rsid w:val="00525488"/>
    <w:rsid w:val="00525810"/>
    <w:rsid w:val="005267E6"/>
    <w:rsid w:val="00530D45"/>
    <w:rsid w:val="00533173"/>
    <w:rsid w:val="00533FEB"/>
    <w:rsid w:val="00535F2F"/>
    <w:rsid w:val="005367DB"/>
    <w:rsid w:val="0054036E"/>
    <w:rsid w:val="00543F65"/>
    <w:rsid w:val="0054573C"/>
    <w:rsid w:val="00546872"/>
    <w:rsid w:val="0054754B"/>
    <w:rsid w:val="00552D0E"/>
    <w:rsid w:val="0055316E"/>
    <w:rsid w:val="00553249"/>
    <w:rsid w:val="00553BA6"/>
    <w:rsid w:val="00554E9E"/>
    <w:rsid w:val="005607DB"/>
    <w:rsid w:val="00562ADB"/>
    <w:rsid w:val="005641D1"/>
    <w:rsid w:val="00564BD8"/>
    <w:rsid w:val="00565E64"/>
    <w:rsid w:val="00565FE7"/>
    <w:rsid w:val="0056644E"/>
    <w:rsid w:val="005674CD"/>
    <w:rsid w:val="00570110"/>
    <w:rsid w:val="005714A6"/>
    <w:rsid w:val="0057279E"/>
    <w:rsid w:val="00572D7D"/>
    <w:rsid w:val="0057598F"/>
    <w:rsid w:val="0057655A"/>
    <w:rsid w:val="0057716B"/>
    <w:rsid w:val="005774F2"/>
    <w:rsid w:val="005813F5"/>
    <w:rsid w:val="0058298D"/>
    <w:rsid w:val="00582A38"/>
    <w:rsid w:val="00582D6A"/>
    <w:rsid w:val="00582DE1"/>
    <w:rsid w:val="00582E81"/>
    <w:rsid w:val="00585819"/>
    <w:rsid w:val="0058683F"/>
    <w:rsid w:val="00586E23"/>
    <w:rsid w:val="00590F9F"/>
    <w:rsid w:val="00591DDE"/>
    <w:rsid w:val="00591EC9"/>
    <w:rsid w:val="00596495"/>
    <w:rsid w:val="005965F4"/>
    <w:rsid w:val="00596670"/>
    <w:rsid w:val="00597152"/>
    <w:rsid w:val="005976D9"/>
    <w:rsid w:val="005A008E"/>
    <w:rsid w:val="005A015E"/>
    <w:rsid w:val="005A0D45"/>
    <w:rsid w:val="005A1FB5"/>
    <w:rsid w:val="005A2620"/>
    <w:rsid w:val="005A266C"/>
    <w:rsid w:val="005A30B1"/>
    <w:rsid w:val="005A5293"/>
    <w:rsid w:val="005A59C0"/>
    <w:rsid w:val="005A5EC3"/>
    <w:rsid w:val="005A5F95"/>
    <w:rsid w:val="005A6037"/>
    <w:rsid w:val="005A6477"/>
    <w:rsid w:val="005A74D3"/>
    <w:rsid w:val="005B06D5"/>
    <w:rsid w:val="005B2082"/>
    <w:rsid w:val="005B2482"/>
    <w:rsid w:val="005B3D04"/>
    <w:rsid w:val="005B567A"/>
    <w:rsid w:val="005B58A3"/>
    <w:rsid w:val="005B6F1E"/>
    <w:rsid w:val="005B7B85"/>
    <w:rsid w:val="005B7BAC"/>
    <w:rsid w:val="005C082D"/>
    <w:rsid w:val="005C0CD3"/>
    <w:rsid w:val="005C0D5F"/>
    <w:rsid w:val="005C1EB9"/>
    <w:rsid w:val="005C29A4"/>
    <w:rsid w:val="005C3237"/>
    <w:rsid w:val="005C35D8"/>
    <w:rsid w:val="005C711E"/>
    <w:rsid w:val="005C7DFB"/>
    <w:rsid w:val="005D1C66"/>
    <w:rsid w:val="005D3C83"/>
    <w:rsid w:val="005D4EDC"/>
    <w:rsid w:val="005D5D96"/>
    <w:rsid w:val="005E145E"/>
    <w:rsid w:val="005E256A"/>
    <w:rsid w:val="005E3DCF"/>
    <w:rsid w:val="005E4832"/>
    <w:rsid w:val="005E5EE9"/>
    <w:rsid w:val="005E6D5E"/>
    <w:rsid w:val="005E73FE"/>
    <w:rsid w:val="005E79DD"/>
    <w:rsid w:val="005E7B47"/>
    <w:rsid w:val="005F1879"/>
    <w:rsid w:val="005F198B"/>
    <w:rsid w:val="005F2584"/>
    <w:rsid w:val="005F5CA7"/>
    <w:rsid w:val="005F718B"/>
    <w:rsid w:val="005F7486"/>
    <w:rsid w:val="005F7849"/>
    <w:rsid w:val="006002EF"/>
    <w:rsid w:val="006003F8"/>
    <w:rsid w:val="00601890"/>
    <w:rsid w:val="006019E4"/>
    <w:rsid w:val="006029D3"/>
    <w:rsid w:val="00602D7B"/>
    <w:rsid w:val="0060391E"/>
    <w:rsid w:val="006043E1"/>
    <w:rsid w:val="0060464C"/>
    <w:rsid w:val="00605943"/>
    <w:rsid w:val="0060751D"/>
    <w:rsid w:val="00611293"/>
    <w:rsid w:val="00612E03"/>
    <w:rsid w:val="0061354F"/>
    <w:rsid w:val="006139A1"/>
    <w:rsid w:val="006147D9"/>
    <w:rsid w:val="006200BA"/>
    <w:rsid w:val="00620F26"/>
    <w:rsid w:val="00621241"/>
    <w:rsid w:val="00621318"/>
    <w:rsid w:val="006225B3"/>
    <w:rsid w:val="00622A34"/>
    <w:rsid w:val="0062315B"/>
    <w:rsid w:val="006239A7"/>
    <w:rsid w:val="006240C1"/>
    <w:rsid w:val="006243B7"/>
    <w:rsid w:val="00626807"/>
    <w:rsid w:val="006270B3"/>
    <w:rsid w:val="0063147E"/>
    <w:rsid w:val="00631AFB"/>
    <w:rsid w:val="00632F46"/>
    <w:rsid w:val="00634BAE"/>
    <w:rsid w:val="0063668C"/>
    <w:rsid w:val="00636B47"/>
    <w:rsid w:val="00637125"/>
    <w:rsid w:val="00640AF4"/>
    <w:rsid w:val="006421FB"/>
    <w:rsid w:val="00643291"/>
    <w:rsid w:val="00643957"/>
    <w:rsid w:val="006455BA"/>
    <w:rsid w:val="00646C84"/>
    <w:rsid w:val="00647B7C"/>
    <w:rsid w:val="0065271B"/>
    <w:rsid w:val="0065302C"/>
    <w:rsid w:val="0065527C"/>
    <w:rsid w:val="006557F9"/>
    <w:rsid w:val="006559ED"/>
    <w:rsid w:val="00656226"/>
    <w:rsid w:val="006569CB"/>
    <w:rsid w:val="00656F77"/>
    <w:rsid w:val="006615D2"/>
    <w:rsid w:val="00664E05"/>
    <w:rsid w:val="00665842"/>
    <w:rsid w:val="00665B2B"/>
    <w:rsid w:val="00665B81"/>
    <w:rsid w:val="00665CEA"/>
    <w:rsid w:val="006662C5"/>
    <w:rsid w:val="0066703E"/>
    <w:rsid w:val="0067037D"/>
    <w:rsid w:val="00670BB3"/>
    <w:rsid w:val="00672DA3"/>
    <w:rsid w:val="00674480"/>
    <w:rsid w:val="00674B15"/>
    <w:rsid w:val="00674EE7"/>
    <w:rsid w:val="00675B92"/>
    <w:rsid w:val="00675D06"/>
    <w:rsid w:val="00676B70"/>
    <w:rsid w:val="006821C1"/>
    <w:rsid w:val="006824C5"/>
    <w:rsid w:val="00683DEE"/>
    <w:rsid w:val="0068420F"/>
    <w:rsid w:val="006845CD"/>
    <w:rsid w:val="0069079D"/>
    <w:rsid w:val="00690CC6"/>
    <w:rsid w:val="00693619"/>
    <w:rsid w:val="006959A6"/>
    <w:rsid w:val="00696930"/>
    <w:rsid w:val="00697A50"/>
    <w:rsid w:val="006A17F5"/>
    <w:rsid w:val="006A247E"/>
    <w:rsid w:val="006A27AD"/>
    <w:rsid w:val="006A2F4F"/>
    <w:rsid w:val="006A35E3"/>
    <w:rsid w:val="006A3FBE"/>
    <w:rsid w:val="006A4724"/>
    <w:rsid w:val="006A49C2"/>
    <w:rsid w:val="006A4B9C"/>
    <w:rsid w:val="006A4DEF"/>
    <w:rsid w:val="006A5039"/>
    <w:rsid w:val="006A5D34"/>
    <w:rsid w:val="006B2966"/>
    <w:rsid w:val="006B2BBC"/>
    <w:rsid w:val="006B2E22"/>
    <w:rsid w:val="006B3033"/>
    <w:rsid w:val="006B4028"/>
    <w:rsid w:val="006B487A"/>
    <w:rsid w:val="006B4DA7"/>
    <w:rsid w:val="006B79DC"/>
    <w:rsid w:val="006B7F79"/>
    <w:rsid w:val="006C03D7"/>
    <w:rsid w:val="006C242B"/>
    <w:rsid w:val="006C2C44"/>
    <w:rsid w:val="006C3690"/>
    <w:rsid w:val="006C3ADF"/>
    <w:rsid w:val="006C5E63"/>
    <w:rsid w:val="006C7EE8"/>
    <w:rsid w:val="006D03F6"/>
    <w:rsid w:val="006D1264"/>
    <w:rsid w:val="006D21BF"/>
    <w:rsid w:val="006D2D2C"/>
    <w:rsid w:val="006D409A"/>
    <w:rsid w:val="006D4D4B"/>
    <w:rsid w:val="006D5EE7"/>
    <w:rsid w:val="006D7D55"/>
    <w:rsid w:val="006E2568"/>
    <w:rsid w:val="006E2EF2"/>
    <w:rsid w:val="006E3913"/>
    <w:rsid w:val="006E4886"/>
    <w:rsid w:val="006E48C1"/>
    <w:rsid w:val="006E5152"/>
    <w:rsid w:val="006E60B2"/>
    <w:rsid w:val="006E61D8"/>
    <w:rsid w:val="006E7A8C"/>
    <w:rsid w:val="006F1464"/>
    <w:rsid w:val="006F3205"/>
    <w:rsid w:val="006F3A06"/>
    <w:rsid w:val="006F4DD3"/>
    <w:rsid w:val="006F5D6E"/>
    <w:rsid w:val="007002B5"/>
    <w:rsid w:val="007058B2"/>
    <w:rsid w:val="00705AA7"/>
    <w:rsid w:val="00705B47"/>
    <w:rsid w:val="00706D6B"/>
    <w:rsid w:val="00706FC4"/>
    <w:rsid w:val="00707828"/>
    <w:rsid w:val="00707F99"/>
    <w:rsid w:val="007100A9"/>
    <w:rsid w:val="00710799"/>
    <w:rsid w:val="00713B06"/>
    <w:rsid w:val="007140C9"/>
    <w:rsid w:val="007153BE"/>
    <w:rsid w:val="0071563E"/>
    <w:rsid w:val="007213B8"/>
    <w:rsid w:val="00723781"/>
    <w:rsid w:val="00723A1A"/>
    <w:rsid w:val="007259AF"/>
    <w:rsid w:val="0072617F"/>
    <w:rsid w:val="00727EB1"/>
    <w:rsid w:val="0073028A"/>
    <w:rsid w:val="00730348"/>
    <w:rsid w:val="00732A1D"/>
    <w:rsid w:val="00732C09"/>
    <w:rsid w:val="007330F3"/>
    <w:rsid w:val="00734DC2"/>
    <w:rsid w:val="007355A7"/>
    <w:rsid w:val="00736BE6"/>
    <w:rsid w:val="00736CEA"/>
    <w:rsid w:val="00737693"/>
    <w:rsid w:val="00740807"/>
    <w:rsid w:val="0074332F"/>
    <w:rsid w:val="0074454D"/>
    <w:rsid w:val="00745A3E"/>
    <w:rsid w:val="00746952"/>
    <w:rsid w:val="00747304"/>
    <w:rsid w:val="00750C16"/>
    <w:rsid w:val="00751473"/>
    <w:rsid w:val="00752B67"/>
    <w:rsid w:val="00753B2F"/>
    <w:rsid w:val="00753E9F"/>
    <w:rsid w:val="00755089"/>
    <w:rsid w:val="007551EB"/>
    <w:rsid w:val="00755B6A"/>
    <w:rsid w:val="00757356"/>
    <w:rsid w:val="007602B7"/>
    <w:rsid w:val="007603C4"/>
    <w:rsid w:val="0076122D"/>
    <w:rsid w:val="0076142B"/>
    <w:rsid w:val="007649CA"/>
    <w:rsid w:val="00765580"/>
    <w:rsid w:val="00767BC4"/>
    <w:rsid w:val="0077012E"/>
    <w:rsid w:val="00771873"/>
    <w:rsid w:val="00771FF8"/>
    <w:rsid w:val="00772500"/>
    <w:rsid w:val="00772812"/>
    <w:rsid w:val="00772D73"/>
    <w:rsid w:val="00774F0C"/>
    <w:rsid w:val="00780F80"/>
    <w:rsid w:val="00781322"/>
    <w:rsid w:val="0078191F"/>
    <w:rsid w:val="00782CC5"/>
    <w:rsid w:val="00784746"/>
    <w:rsid w:val="00785931"/>
    <w:rsid w:val="00786FF2"/>
    <w:rsid w:val="0078758B"/>
    <w:rsid w:val="00787C88"/>
    <w:rsid w:val="00790E0D"/>
    <w:rsid w:val="007927CF"/>
    <w:rsid w:val="00792F76"/>
    <w:rsid w:val="00793FC3"/>
    <w:rsid w:val="007954FD"/>
    <w:rsid w:val="0079667B"/>
    <w:rsid w:val="00797DB2"/>
    <w:rsid w:val="007A3A37"/>
    <w:rsid w:val="007A4363"/>
    <w:rsid w:val="007A472E"/>
    <w:rsid w:val="007A4C7B"/>
    <w:rsid w:val="007A50C6"/>
    <w:rsid w:val="007A62FA"/>
    <w:rsid w:val="007A6E1D"/>
    <w:rsid w:val="007A76B7"/>
    <w:rsid w:val="007A7A15"/>
    <w:rsid w:val="007B0944"/>
    <w:rsid w:val="007B1750"/>
    <w:rsid w:val="007B1C77"/>
    <w:rsid w:val="007B1FFF"/>
    <w:rsid w:val="007B2517"/>
    <w:rsid w:val="007B4DBC"/>
    <w:rsid w:val="007B52CE"/>
    <w:rsid w:val="007B534A"/>
    <w:rsid w:val="007B743C"/>
    <w:rsid w:val="007C0DDD"/>
    <w:rsid w:val="007C1EFB"/>
    <w:rsid w:val="007C2441"/>
    <w:rsid w:val="007C5108"/>
    <w:rsid w:val="007C5A8C"/>
    <w:rsid w:val="007C657C"/>
    <w:rsid w:val="007C72E2"/>
    <w:rsid w:val="007C7DB9"/>
    <w:rsid w:val="007D2D3D"/>
    <w:rsid w:val="007D3261"/>
    <w:rsid w:val="007D41B2"/>
    <w:rsid w:val="007D4AED"/>
    <w:rsid w:val="007D5102"/>
    <w:rsid w:val="007D5A71"/>
    <w:rsid w:val="007D65CF"/>
    <w:rsid w:val="007D7BBF"/>
    <w:rsid w:val="007E0E35"/>
    <w:rsid w:val="007E1862"/>
    <w:rsid w:val="007E1940"/>
    <w:rsid w:val="007E3452"/>
    <w:rsid w:val="007E3C73"/>
    <w:rsid w:val="007E3F4F"/>
    <w:rsid w:val="007E4518"/>
    <w:rsid w:val="007E466C"/>
    <w:rsid w:val="007E49ED"/>
    <w:rsid w:val="007E5E3B"/>
    <w:rsid w:val="007E6A06"/>
    <w:rsid w:val="007E7F55"/>
    <w:rsid w:val="007F1264"/>
    <w:rsid w:val="007F18F4"/>
    <w:rsid w:val="007F2607"/>
    <w:rsid w:val="007F5044"/>
    <w:rsid w:val="007F67B9"/>
    <w:rsid w:val="007F6843"/>
    <w:rsid w:val="007F70FD"/>
    <w:rsid w:val="007F7134"/>
    <w:rsid w:val="00804E64"/>
    <w:rsid w:val="0081086F"/>
    <w:rsid w:val="00812008"/>
    <w:rsid w:val="00813246"/>
    <w:rsid w:val="00813D8B"/>
    <w:rsid w:val="00814776"/>
    <w:rsid w:val="00814A46"/>
    <w:rsid w:val="008162D3"/>
    <w:rsid w:val="008164A5"/>
    <w:rsid w:val="008172EE"/>
    <w:rsid w:val="00817DBC"/>
    <w:rsid w:val="00820442"/>
    <w:rsid w:val="00822843"/>
    <w:rsid w:val="00824CD8"/>
    <w:rsid w:val="00827EB1"/>
    <w:rsid w:val="00831162"/>
    <w:rsid w:val="00832EEF"/>
    <w:rsid w:val="008345D9"/>
    <w:rsid w:val="00836CC7"/>
    <w:rsid w:val="00837144"/>
    <w:rsid w:val="00843142"/>
    <w:rsid w:val="008433F0"/>
    <w:rsid w:val="00843569"/>
    <w:rsid w:val="0084357E"/>
    <w:rsid w:val="008435D3"/>
    <w:rsid w:val="00843913"/>
    <w:rsid w:val="00844936"/>
    <w:rsid w:val="00846E47"/>
    <w:rsid w:val="008475E6"/>
    <w:rsid w:val="00850D04"/>
    <w:rsid w:val="00851DF6"/>
    <w:rsid w:val="00852193"/>
    <w:rsid w:val="00853437"/>
    <w:rsid w:val="00855F9B"/>
    <w:rsid w:val="0085764D"/>
    <w:rsid w:val="00857DFF"/>
    <w:rsid w:val="00857F4F"/>
    <w:rsid w:val="00860796"/>
    <w:rsid w:val="00861C9F"/>
    <w:rsid w:val="00861FEB"/>
    <w:rsid w:val="00864403"/>
    <w:rsid w:val="00864D42"/>
    <w:rsid w:val="008679A0"/>
    <w:rsid w:val="00871250"/>
    <w:rsid w:val="008713FA"/>
    <w:rsid w:val="00871E34"/>
    <w:rsid w:val="008729DA"/>
    <w:rsid w:val="00874E89"/>
    <w:rsid w:val="00874F89"/>
    <w:rsid w:val="008752DD"/>
    <w:rsid w:val="00877FCD"/>
    <w:rsid w:val="0088061B"/>
    <w:rsid w:val="00880EF0"/>
    <w:rsid w:val="008815EF"/>
    <w:rsid w:val="0088244D"/>
    <w:rsid w:val="00883A49"/>
    <w:rsid w:val="008843FB"/>
    <w:rsid w:val="00885566"/>
    <w:rsid w:val="00886ABA"/>
    <w:rsid w:val="0089273C"/>
    <w:rsid w:val="0089294B"/>
    <w:rsid w:val="00892AC1"/>
    <w:rsid w:val="00892B2B"/>
    <w:rsid w:val="00893C4C"/>
    <w:rsid w:val="00894941"/>
    <w:rsid w:val="0089495B"/>
    <w:rsid w:val="00894CE4"/>
    <w:rsid w:val="008A04F0"/>
    <w:rsid w:val="008A15B1"/>
    <w:rsid w:val="008A34C9"/>
    <w:rsid w:val="008A3EE1"/>
    <w:rsid w:val="008A4687"/>
    <w:rsid w:val="008A5B34"/>
    <w:rsid w:val="008A635B"/>
    <w:rsid w:val="008B09C8"/>
    <w:rsid w:val="008B378A"/>
    <w:rsid w:val="008B3BA0"/>
    <w:rsid w:val="008B5BAD"/>
    <w:rsid w:val="008C0061"/>
    <w:rsid w:val="008C0BD4"/>
    <w:rsid w:val="008C0DCC"/>
    <w:rsid w:val="008C2767"/>
    <w:rsid w:val="008C2DD2"/>
    <w:rsid w:val="008C52A8"/>
    <w:rsid w:val="008C62E2"/>
    <w:rsid w:val="008C7605"/>
    <w:rsid w:val="008C7E66"/>
    <w:rsid w:val="008D0F27"/>
    <w:rsid w:val="008D231C"/>
    <w:rsid w:val="008D38D1"/>
    <w:rsid w:val="008D438C"/>
    <w:rsid w:val="008D44CA"/>
    <w:rsid w:val="008D51FB"/>
    <w:rsid w:val="008E0198"/>
    <w:rsid w:val="008E0F7C"/>
    <w:rsid w:val="008E11E6"/>
    <w:rsid w:val="008E22DE"/>
    <w:rsid w:val="008E295A"/>
    <w:rsid w:val="008E2E21"/>
    <w:rsid w:val="008E5ACC"/>
    <w:rsid w:val="008E6449"/>
    <w:rsid w:val="008E77D6"/>
    <w:rsid w:val="008F00E3"/>
    <w:rsid w:val="008F043A"/>
    <w:rsid w:val="008F1BB5"/>
    <w:rsid w:val="008F40AD"/>
    <w:rsid w:val="008F496F"/>
    <w:rsid w:val="008F55F2"/>
    <w:rsid w:val="008F615C"/>
    <w:rsid w:val="008F76EA"/>
    <w:rsid w:val="0090184A"/>
    <w:rsid w:val="0090196E"/>
    <w:rsid w:val="009039B7"/>
    <w:rsid w:val="0090456C"/>
    <w:rsid w:val="00904B87"/>
    <w:rsid w:val="00905000"/>
    <w:rsid w:val="00906B34"/>
    <w:rsid w:val="00910177"/>
    <w:rsid w:val="00911760"/>
    <w:rsid w:val="00911C7A"/>
    <w:rsid w:val="0091289B"/>
    <w:rsid w:val="00912907"/>
    <w:rsid w:val="009129A2"/>
    <w:rsid w:val="009130F4"/>
    <w:rsid w:val="00913803"/>
    <w:rsid w:val="009140D6"/>
    <w:rsid w:val="00914F09"/>
    <w:rsid w:val="009162DE"/>
    <w:rsid w:val="009170A9"/>
    <w:rsid w:val="009174AE"/>
    <w:rsid w:val="00917E61"/>
    <w:rsid w:val="00917E96"/>
    <w:rsid w:val="00920723"/>
    <w:rsid w:val="00920A0A"/>
    <w:rsid w:val="00921CED"/>
    <w:rsid w:val="0092206E"/>
    <w:rsid w:val="0092234A"/>
    <w:rsid w:val="0092281F"/>
    <w:rsid w:val="009230B1"/>
    <w:rsid w:val="009271F5"/>
    <w:rsid w:val="00927A28"/>
    <w:rsid w:val="009333F5"/>
    <w:rsid w:val="00933E8D"/>
    <w:rsid w:val="009351B4"/>
    <w:rsid w:val="00936DC4"/>
    <w:rsid w:val="00937730"/>
    <w:rsid w:val="00940A85"/>
    <w:rsid w:val="00942189"/>
    <w:rsid w:val="00942529"/>
    <w:rsid w:val="009430F1"/>
    <w:rsid w:val="00943552"/>
    <w:rsid w:val="0094480B"/>
    <w:rsid w:val="00945378"/>
    <w:rsid w:val="009457D9"/>
    <w:rsid w:val="0094620E"/>
    <w:rsid w:val="00947811"/>
    <w:rsid w:val="00950739"/>
    <w:rsid w:val="0095174E"/>
    <w:rsid w:val="00951C8F"/>
    <w:rsid w:val="00951CCB"/>
    <w:rsid w:val="009537B4"/>
    <w:rsid w:val="00953AD7"/>
    <w:rsid w:val="00955C50"/>
    <w:rsid w:val="009570B4"/>
    <w:rsid w:val="00957FA8"/>
    <w:rsid w:val="00960BC5"/>
    <w:rsid w:val="00960D34"/>
    <w:rsid w:val="00960E67"/>
    <w:rsid w:val="00961017"/>
    <w:rsid w:val="009626B4"/>
    <w:rsid w:val="00963526"/>
    <w:rsid w:val="00964084"/>
    <w:rsid w:val="009667FD"/>
    <w:rsid w:val="00967574"/>
    <w:rsid w:val="00971F43"/>
    <w:rsid w:val="00972CA6"/>
    <w:rsid w:val="00973408"/>
    <w:rsid w:val="00973B2A"/>
    <w:rsid w:val="00974914"/>
    <w:rsid w:val="00974AC5"/>
    <w:rsid w:val="00974B81"/>
    <w:rsid w:val="00977D1C"/>
    <w:rsid w:val="00980AFB"/>
    <w:rsid w:val="00980B9F"/>
    <w:rsid w:val="00981AA3"/>
    <w:rsid w:val="00983E58"/>
    <w:rsid w:val="00984EEB"/>
    <w:rsid w:val="00985002"/>
    <w:rsid w:val="00985F61"/>
    <w:rsid w:val="009873FD"/>
    <w:rsid w:val="00990777"/>
    <w:rsid w:val="00992DBE"/>
    <w:rsid w:val="00993CE3"/>
    <w:rsid w:val="0099407E"/>
    <w:rsid w:val="0099610F"/>
    <w:rsid w:val="009967C9"/>
    <w:rsid w:val="00997B87"/>
    <w:rsid w:val="009A08D7"/>
    <w:rsid w:val="009A1670"/>
    <w:rsid w:val="009A219B"/>
    <w:rsid w:val="009A2602"/>
    <w:rsid w:val="009A2DC4"/>
    <w:rsid w:val="009A30F0"/>
    <w:rsid w:val="009A48A0"/>
    <w:rsid w:val="009A6915"/>
    <w:rsid w:val="009A711B"/>
    <w:rsid w:val="009B3384"/>
    <w:rsid w:val="009B3F6B"/>
    <w:rsid w:val="009B5A55"/>
    <w:rsid w:val="009C105D"/>
    <w:rsid w:val="009C1E30"/>
    <w:rsid w:val="009C2CD1"/>
    <w:rsid w:val="009C5E67"/>
    <w:rsid w:val="009C660A"/>
    <w:rsid w:val="009C70DC"/>
    <w:rsid w:val="009C719C"/>
    <w:rsid w:val="009C7783"/>
    <w:rsid w:val="009D02D3"/>
    <w:rsid w:val="009D0EF0"/>
    <w:rsid w:val="009D1B97"/>
    <w:rsid w:val="009D25E8"/>
    <w:rsid w:val="009D2CE6"/>
    <w:rsid w:val="009D400C"/>
    <w:rsid w:val="009D444D"/>
    <w:rsid w:val="009D7E01"/>
    <w:rsid w:val="009E08BC"/>
    <w:rsid w:val="009E0AFB"/>
    <w:rsid w:val="009E2876"/>
    <w:rsid w:val="009E378E"/>
    <w:rsid w:val="009E6C34"/>
    <w:rsid w:val="009E76E7"/>
    <w:rsid w:val="009E79BD"/>
    <w:rsid w:val="009E79E5"/>
    <w:rsid w:val="009F0833"/>
    <w:rsid w:val="009F090C"/>
    <w:rsid w:val="009F2C1A"/>
    <w:rsid w:val="009F3A45"/>
    <w:rsid w:val="009F4702"/>
    <w:rsid w:val="009F4D15"/>
    <w:rsid w:val="009F6E56"/>
    <w:rsid w:val="00A00162"/>
    <w:rsid w:val="00A023F8"/>
    <w:rsid w:val="00A027BB"/>
    <w:rsid w:val="00A04962"/>
    <w:rsid w:val="00A07FDC"/>
    <w:rsid w:val="00A1050A"/>
    <w:rsid w:val="00A11EEE"/>
    <w:rsid w:val="00A121F7"/>
    <w:rsid w:val="00A1272B"/>
    <w:rsid w:val="00A132ED"/>
    <w:rsid w:val="00A13309"/>
    <w:rsid w:val="00A14B18"/>
    <w:rsid w:val="00A150DA"/>
    <w:rsid w:val="00A15193"/>
    <w:rsid w:val="00A15231"/>
    <w:rsid w:val="00A153AF"/>
    <w:rsid w:val="00A17831"/>
    <w:rsid w:val="00A208B4"/>
    <w:rsid w:val="00A21413"/>
    <w:rsid w:val="00A21979"/>
    <w:rsid w:val="00A22B13"/>
    <w:rsid w:val="00A2316C"/>
    <w:rsid w:val="00A23602"/>
    <w:rsid w:val="00A2388D"/>
    <w:rsid w:val="00A240AE"/>
    <w:rsid w:val="00A25278"/>
    <w:rsid w:val="00A253AA"/>
    <w:rsid w:val="00A26FAD"/>
    <w:rsid w:val="00A305ED"/>
    <w:rsid w:val="00A30B7F"/>
    <w:rsid w:val="00A322BB"/>
    <w:rsid w:val="00A32641"/>
    <w:rsid w:val="00A3448B"/>
    <w:rsid w:val="00A36DA0"/>
    <w:rsid w:val="00A40D6D"/>
    <w:rsid w:val="00A41B88"/>
    <w:rsid w:val="00A4418B"/>
    <w:rsid w:val="00A449BD"/>
    <w:rsid w:val="00A45B94"/>
    <w:rsid w:val="00A45ED1"/>
    <w:rsid w:val="00A465E2"/>
    <w:rsid w:val="00A50075"/>
    <w:rsid w:val="00A524A7"/>
    <w:rsid w:val="00A5316C"/>
    <w:rsid w:val="00A5541F"/>
    <w:rsid w:val="00A559C7"/>
    <w:rsid w:val="00A56810"/>
    <w:rsid w:val="00A56C4B"/>
    <w:rsid w:val="00A56E52"/>
    <w:rsid w:val="00A57019"/>
    <w:rsid w:val="00A570BA"/>
    <w:rsid w:val="00A573BE"/>
    <w:rsid w:val="00A60BD1"/>
    <w:rsid w:val="00A642B7"/>
    <w:rsid w:val="00A6539C"/>
    <w:rsid w:val="00A65748"/>
    <w:rsid w:val="00A65D90"/>
    <w:rsid w:val="00A66D1A"/>
    <w:rsid w:val="00A67C4D"/>
    <w:rsid w:val="00A703E2"/>
    <w:rsid w:val="00A7083A"/>
    <w:rsid w:val="00A71B8B"/>
    <w:rsid w:val="00A73A22"/>
    <w:rsid w:val="00A74758"/>
    <w:rsid w:val="00A76317"/>
    <w:rsid w:val="00A767FC"/>
    <w:rsid w:val="00A76D84"/>
    <w:rsid w:val="00A775BF"/>
    <w:rsid w:val="00A8099D"/>
    <w:rsid w:val="00A82FFE"/>
    <w:rsid w:val="00A85EB5"/>
    <w:rsid w:val="00A87776"/>
    <w:rsid w:val="00A8786B"/>
    <w:rsid w:val="00A87CA5"/>
    <w:rsid w:val="00A90CF3"/>
    <w:rsid w:val="00A91316"/>
    <w:rsid w:val="00A915DB"/>
    <w:rsid w:val="00A91895"/>
    <w:rsid w:val="00A91B7C"/>
    <w:rsid w:val="00A91C8D"/>
    <w:rsid w:val="00A924B0"/>
    <w:rsid w:val="00A925E6"/>
    <w:rsid w:val="00A9342C"/>
    <w:rsid w:val="00A95842"/>
    <w:rsid w:val="00AA04AC"/>
    <w:rsid w:val="00AA066C"/>
    <w:rsid w:val="00AA09F9"/>
    <w:rsid w:val="00AA0F01"/>
    <w:rsid w:val="00AA1CC7"/>
    <w:rsid w:val="00AA1F83"/>
    <w:rsid w:val="00AA30FD"/>
    <w:rsid w:val="00AA37B3"/>
    <w:rsid w:val="00AA3D91"/>
    <w:rsid w:val="00AA560F"/>
    <w:rsid w:val="00AA615C"/>
    <w:rsid w:val="00AA6FD3"/>
    <w:rsid w:val="00AA70BB"/>
    <w:rsid w:val="00AA73EB"/>
    <w:rsid w:val="00AA76D8"/>
    <w:rsid w:val="00AA7CAB"/>
    <w:rsid w:val="00AB01AD"/>
    <w:rsid w:val="00AB2181"/>
    <w:rsid w:val="00AB2219"/>
    <w:rsid w:val="00AB2968"/>
    <w:rsid w:val="00AB37B9"/>
    <w:rsid w:val="00AB3F84"/>
    <w:rsid w:val="00AB495C"/>
    <w:rsid w:val="00AB49B0"/>
    <w:rsid w:val="00AB4C4F"/>
    <w:rsid w:val="00AB612C"/>
    <w:rsid w:val="00AB6542"/>
    <w:rsid w:val="00AB7089"/>
    <w:rsid w:val="00AC0791"/>
    <w:rsid w:val="00AC0A36"/>
    <w:rsid w:val="00AC1DDB"/>
    <w:rsid w:val="00AC31C7"/>
    <w:rsid w:val="00AC396F"/>
    <w:rsid w:val="00AC3C0A"/>
    <w:rsid w:val="00AC4589"/>
    <w:rsid w:val="00AC516C"/>
    <w:rsid w:val="00AC6CFA"/>
    <w:rsid w:val="00AD034D"/>
    <w:rsid w:val="00AD047F"/>
    <w:rsid w:val="00AD102E"/>
    <w:rsid w:val="00AD39CF"/>
    <w:rsid w:val="00AD3FCD"/>
    <w:rsid w:val="00AD4DA9"/>
    <w:rsid w:val="00AD60F6"/>
    <w:rsid w:val="00AD649A"/>
    <w:rsid w:val="00AE3AB0"/>
    <w:rsid w:val="00AE40E6"/>
    <w:rsid w:val="00AE5DA3"/>
    <w:rsid w:val="00AE7CCC"/>
    <w:rsid w:val="00AF0916"/>
    <w:rsid w:val="00AF16CF"/>
    <w:rsid w:val="00AF1905"/>
    <w:rsid w:val="00AF28F1"/>
    <w:rsid w:val="00AF2C54"/>
    <w:rsid w:val="00AF2E9C"/>
    <w:rsid w:val="00AF54D7"/>
    <w:rsid w:val="00AF605E"/>
    <w:rsid w:val="00AF62F6"/>
    <w:rsid w:val="00AF79BC"/>
    <w:rsid w:val="00B0005F"/>
    <w:rsid w:val="00B0130E"/>
    <w:rsid w:val="00B02794"/>
    <w:rsid w:val="00B05D95"/>
    <w:rsid w:val="00B06112"/>
    <w:rsid w:val="00B064E7"/>
    <w:rsid w:val="00B10C19"/>
    <w:rsid w:val="00B1295A"/>
    <w:rsid w:val="00B132CF"/>
    <w:rsid w:val="00B13847"/>
    <w:rsid w:val="00B165A8"/>
    <w:rsid w:val="00B172C5"/>
    <w:rsid w:val="00B17AC7"/>
    <w:rsid w:val="00B2043D"/>
    <w:rsid w:val="00B2138E"/>
    <w:rsid w:val="00B22430"/>
    <w:rsid w:val="00B2543E"/>
    <w:rsid w:val="00B26B51"/>
    <w:rsid w:val="00B27629"/>
    <w:rsid w:val="00B30359"/>
    <w:rsid w:val="00B30D74"/>
    <w:rsid w:val="00B31B41"/>
    <w:rsid w:val="00B324AD"/>
    <w:rsid w:val="00B33C6B"/>
    <w:rsid w:val="00B34B59"/>
    <w:rsid w:val="00B351BB"/>
    <w:rsid w:val="00B36935"/>
    <w:rsid w:val="00B3717F"/>
    <w:rsid w:val="00B371B8"/>
    <w:rsid w:val="00B37DD1"/>
    <w:rsid w:val="00B40A9E"/>
    <w:rsid w:val="00B41F29"/>
    <w:rsid w:val="00B4572B"/>
    <w:rsid w:val="00B45987"/>
    <w:rsid w:val="00B47012"/>
    <w:rsid w:val="00B4721A"/>
    <w:rsid w:val="00B51071"/>
    <w:rsid w:val="00B51BE6"/>
    <w:rsid w:val="00B53796"/>
    <w:rsid w:val="00B55CB0"/>
    <w:rsid w:val="00B56420"/>
    <w:rsid w:val="00B57797"/>
    <w:rsid w:val="00B57798"/>
    <w:rsid w:val="00B57914"/>
    <w:rsid w:val="00B62C0F"/>
    <w:rsid w:val="00B63D19"/>
    <w:rsid w:val="00B65348"/>
    <w:rsid w:val="00B65D2E"/>
    <w:rsid w:val="00B66A3C"/>
    <w:rsid w:val="00B66AA5"/>
    <w:rsid w:val="00B67068"/>
    <w:rsid w:val="00B702B2"/>
    <w:rsid w:val="00B71174"/>
    <w:rsid w:val="00B7125C"/>
    <w:rsid w:val="00B73B23"/>
    <w:rsid w:val="00B763E0"/>
    <w:rsid w:val="00B77251"/>
    <w:rsid w:val="00B77BD8"/>
    <w:rsid w:val="00B80AC9"/>
    <w:rsid w:val="00B82184"/>
    <w:rsid w:val="00B867F0"/>
    <w:rsid w:val="00B87102"/>
    <w:rsid w:val="00B87A55"/>
    <w:rsid w:val="00B901E8"/>
    <w:rsid w:val="00B91538"/>
    <w:rsid w:val="00B91B03"/>
    <w:rsid w:val="00B92582"/>
    <w:rsid w:val="00B92B7C"/>
    <w:rsid w:val="00B9317F"/>
    <w:rsid w:val="00B93FDB"/>
    <w:rsid w:val="00B94064"/>
    <w:rsid w:val="00B97D43"/>
    <w:rsid w:val="00BA0D56"/>
    <w:rsid w:val="00BA4C50"/>
    <w:rsid w:val="00BA5951"/>
    <w:rsid w:val="00BA618F"/>
    <w:rsid w:val="00BA68CF"/>
    <w:rsid w:val="00BA6E67"/>
    <w:rsid w:val="00BA73A1"/>
    <w:rsid w:val="00BA7655"/>
    <w:rsid w:val="00BA7C7D"/>
    <w:rsid w:val="00BB0807"/>
    <w:rsid w:val="00BB0BC9"/>
    <w:rsid w:val="00BB186C"/>
    <w:rsid w:val="00BB206D"/>
    <w:rsid w:val="00BB2ABA"/>
    <w:rsid w:val="00BB3CA9"/>
    <w:rsid w:val="00BB6456"/>
    <w:rsid w:val="00BC15B9"/>
    <w:rsid w:val="00BC20BD"/>
    <w:rsid w:val="00BC3375"/>
    <w:rsid w:val="00BC3B9F"/>
    <w:rsid w:val="00BC3D03"/>
    <w:rsid w:val="00BC3E36"/>
    <w:rsid w:val="00BC3E5C"/>
    <w:rsid w:val="00BC49DE"/>
    <w:rsid w:val="00BC4DBE"/>
    <w:rsid w:val="00BC7633"/>
    <w:rsid w:val="00BC76CA"/>
    <w:rsid w:val="00BD08BD"/>
    <w:rsid w:val="00BD0FCE"/>
    <w:rsid w:val="00BD10EA"/>
    <w:rsid w:val="00BD243B"/>
    <w:rsid w:val="00BD511A"/>
    <w:rsid w:val="00BD7D88"/>
    <w:rsid w:val="00BD7FD6"/>
    <w:rsid w:val="00BE1EA7"/>
    <w:rsid w:val="00BE253C"/>
    <w:rsid w:val="00BE325F"/>
    <w:rsid w:val="00BE520B"/>
    <w:rsid w:val="00BE597E"/>
    <w:rsid w:val="00BF03F5"/>
    <w:rsid w:val="00BF0760"/>
    <w:rsid w:val="00BF11D6"/>
    <w:rsid w:val="00BF2042"/>
    <w:rsid w:val="00BF2640"/>
    <w:rsid w:val="00BF38BF"/>
    <w:rsid w:val="00BF3B4E"/>
    <w:rsid w:val="00BF3E33"/>
    <w:rsid w:val="00BF4859"/>
    <w:rsid w:val="00BF6849"/>
    <w:rsid w:val="00BF727E"/>
    <w:rsid w:val="00C000B3"/>
    <w:rsid w:val="00C004E8"/>
    <w:rsid w:val="00C00AAB"/>
    <w:rsid w:val="00C028D5"/>
    <w:rsid w:val="00C048AD"/>
    <w:rsid w:val="00C069AC"/>
    <w:rsid w:val="00C07557"/>
    <w:rsid w:val="00C07FC0"/>
    <w:rsid w:val="00C11F68"/>
    <w:rsid w:val="00C1319C"/>
    <w:rsid w:val="00C13518"/>
    <w:rsid w:val="00C1641A"/>
    <w:rsid w:val="00C16E94"/>
    <w:rsid w:val="00C217C2"/>
    <w:rsid w:val="00C22772"/>
    <w:rsid w:val="00C24FA5"/>
    <w:rsid w:val="00C26E2B"/>
    <w:rsid w:val="00C27282"/>
    <w:rsid w:val="00C30B84"/>
    <w:rsid w:val="00C3123B"/>
    <w:rsid w:val="00C317A2"/>
    <w:rsid w:val="00C31E3D"/>
    <w:rsid w:val="00C33F84"/>
    <w:rsid w:val="00C3421B"/>
    <w:rsid w:val="00C35733"/>
    <w:rsid w:val="00C358E6"/>
    <w:rsid w:val="00C35FE6"/>
    <w:rsid w:val="00C36B4C"/>
    <w:rsid w:val="00C41C6F"/>
    <w:rsid w:val="00C447EC"/>
    <w:rsid w:val="00C44CE5"/>
    <w:rsid w:val="00C45868"/>
    <w:rsid w:val="00C45DD4"/>
    <w:rsid w:val="00C470E4"/>
    <w:rsid w:val="00C50D59"/>
    <w:rsid w:val="00C514B7"/>
    <w:rsid w:val="00C51566"/>
    <w:rsid w:val="00C527F6"/>
    <w:rsid w:val="00C52975"/>
    <w:rsid w:val="00C54DD0"/>
    <w:rsid w:val="00C5541F"/>
    <w:rsid w:val="00C560D8"/>
    <w:rsid w:val="00C56129"/>
    <w:rsid w:val="00C563DC"/>
    <w:rsid w:val="00C56478"/>
    <w:rsid w:val="00C60090"/>
    <w:rsid w:val="00C644D7"/>
    <w:rsid w:val="00C67192"/>
    <w:rsid w:val="00C6735B"/>
    <w:rsid w:val="00C67E66"/>
    <w:rsid w:val="00C70940"/>
    <w:rsid w:val="00C72301"/>
    <w:rsid w:val="00C723FC"/>
    <w:rsid w:val="00C77CF9"/>
    <w:rsid w:val="00C81509"/>
    <w:rsid w:val="00C82235"/>
    <w:rsid w:val="00C8338B"/>
    <w:rsid w:val="00C852C8"/>
    <w:rsid w:val="00C86204"/>
    <w:rsid w:val="00C87F65"/>
    <w:rsid w:val="00C92104"/>
    <w:rsid w:val="00C930DB"/>
    <w:rsid w:val="00C93E87"/>
    <w:rsid w:val="00C94192"/>
    <w:rsid w:val="00C9423C"/>
    <w:rsid w:val="00C94AA8"/>
    <w:rsid w:val="00CA0E18"/>
    <w:rsid w:val="00CA1199"/>
    <w:rsid w:val="00CA3532"/>
    <w:rsid w:val="00CA457D"/>
    <w:rsid w:val="00CA4610"/>
    <w:rsid w:val="00CA5372"/>
    <w:rsid w:val="00CA59F1"/>
    <w:rsid w:val="00CA7787"/>
    <w:rsid w:val="00CA7ABB"/>
    <w:rsid w:val="00CB49AE"/>
    <w:rsid w:val="00CB4DB3"/>
    <w:rsid w:val="00CB5018"/>
    <w:rsid w:val="00CB545B"/>
    <w:rsid w:val="00CC1E18"/>
    <w:rsid w:val="00CC34AE"/>
    <w:rsid w:val="00CC47DD"/>
    <w:rsid w:val="00CC4B2A"/>
    <w:rsid w:val="00CC562D"/>
    <w:rsid w:val="00CC5837"/>
    <w:rsid w:val="00CC64B9"/>
    <w:rsid w:val="00CC69C8"/>
    <w:rsid w:val="00CD1958"/>
    <w:rsid w:val="00CD21B2"/>
    <w:rsid w:val="00CD3F81"/>
    <w:rsid w:val="00CD71E5"/>
    <w:rsid w:val="00CD7606"/>
    <w:rsid w:val="00CE0C2A"/>
    <w:rsid w:val="00CE0EB7"/>
    <w:rsid w:val="00CE2F5E"/>
    <w:rsid w:val="00CE3922"/>
    <w:rsid w:val="00CE4ECF"/>
    <w:rsid w:val="00CE4F16"/>
    <w:rsid w:val="00CE6372"/>
    <w:rsid w:val="00CE680C"/>
    <w:rsid w:val="00CE7A23"/>
    <w:rsid w:val="00CF397B"/>
    <w:rsid w:val="00CF4EDA"/>
    <w:rsid w:val="00CF5EB6"/>
    <w:rsid w:val="00CF65AD"/>
    <w:rsid w:val="00CF6917"/>
    <w:rsid w:val="00CF7F4A"/>
    <w:rsid w:val="00D01C88"/>
    <w:rsid w:val="00D03383"/>
    <w:rsid w:val="00D03EAA"/>
    <w:rsid w:val="00D053BD"/>
    <w:rsid w:val="00D06558"/>
    <w:rsid w:val="00D107FC"/>
    <w:rsid w:val="00D10E72"/>
    <w:rsid w:val="00D120D0"/>
    <w:rsid w:val="00D123E4"/>
    <w:rsid w:val="00D12E84"/>
    <w:rsid w:val="00D1377A"/>
    <w:rsid w:val="00D13C10"/>
    <w:rsid w:val="00D15414"/>
    <w:rsid w:val="00D156FC"/>
    <w:rsid w:val="00D1725B"/>
    <w:rsid w:val="00D173E9"/>
    <w:rsid w:val="00D20201"/>
    <w:rsid w:val="00D20453"/>
    <w:rsid w:val="00D21660"/>
    <w:rsid w:val="00D22609"/>
    <w:rsid w:val="00D236FC"/>
    <w:rsid w:val="00D23DE9"/>
    <w:rsid w:val="00D23F2F"/>
    <w:rsid w:val="00D25CB0"/>
    <w:rsid w:val="00D26414"/>
    <w:rsid w:val="00D27A66"/>
    <w:rsid w:val="00D27CEF"/>
    <w:rsid w:val="00D31512"/>
    <w:rsid w:val="00D32423"/>
    <w:rsid w:val="00D3355B"/>
    <w:rsid w:val="00D33A61"/>
    <w:rsid w:val="00D33DE7"/>
    <w:rsid w:val="00D3422C"/>
    <w:rsid w:val="00D35431"/>
    <w:rsid w:val="00D35585"/>
    <w:rsid w:val="00D357D6"/>
    <w:rsid w:val="00D367ED"/>
    <w:rsid w:val="00D376B1"/>
    <w:rsid w:val="00D4005B"/>
    <w:rsid w:val="00D407DF"/>
    <w:rsid w:val="00D445F9"/>
    <w:rsid w:val="00D44842"/>
    <w:rsid w:val="00D453A4"/>
    <w:rsid w:val="00D456FC"/>
    <w:rsid w:val="00D459F9"/>
    <w:rsid w:val="00D45F13"/>
    <w:rsid w:val="00D477A7"/>
    <w:rsid w:val="00D51165"/>
    <w:rsid w:val="00D51A94"/>
    <w:rsid w:val="00D51FA6"/>
    <w:rsid w:val="00D52BFF"/>
    <w:rsid w:val="00D54CA2"/>
    <w:rsid w:val="00D55356"/>
    <w:rsid w:val="00D57F9F"/>
    <w:rsid w:val="00D60E27"/>
    <w:rsid w:val="00D63B86"/>
    <w:rsid w:val="00D648CE"/>
    <w:rsid w:val="00D64F55"/>
    <w:rsid w:val="00D65D1C"/>
    <w:rsid w:val="00D66C1F"/>
    <w:rsid w:val="00D6737E"/>
    <w:rsid w:val="00D67F37"/>
    <w:rsid w:val="00D72B5A"/>
    <w:rsid w:val="00D730DC"/>
    <w:rsid w:val="00D75452"/>
    <w:rsid w:val="00D7675D"/>
    <w:rsid w:val="00D7753F"/>
    <w:rsid w:val="00D776B1"/>
    <w:rsid w:val="00D77C79"/>
    <w:rsid w:val="00D80811"/>
    <w:rsid w:val="00D83D95"/>
    <w:rsid w:val="00D87343"/>
    <w:rsid w:val="00D87357"/>
    <w:rsid w:val="00D8757A"/>
    <w:rsid w:val="00D876F9"/>
    <w:rsid w:val="00D90DCA"/>
    <w:rsid w:val="00D92D2B"/>
    <w:rsid w:val="00D93DF4"/>
    <w:rsid w:val="00D94603"/>
    <w:rsid w:val="00D95FE4"/>
    <w:rsid w:val="00D96979"/>
    <w:rsid w:val="00D976E6"/>
    <w:rsid w:val="00D97D39"/>
    <w:rsid w:val="00DA047D"/>
    <w:rsid w:val="00DA0C54"/>
    <w:rsid w:val="00DA27C5"/>
    <w:rsid w:val="00DA2C46"/>
    <w:rsid w:val="00DA32DE"/>
    <w:rsid w:val="00DA373F"/>
    <w:rsid w:val="00DA4F9A"/>
    <w:rsid w:val="00DA69DD"/>
    <w:rsid w:val="00DB1561"/>
    <w:rsid w:val="00DB1C54"/>
    <w:rsid w:val="00DB390C"/>
    <w:rsid w:val="00DB4481"/>
    <w:rsid w:val="00DB4A7A"/>
    <w:rsid w:val="00DB4C7B"/>
    <w:rsid w:val="00DB7EAE"/>
    <w:rsid w:val="00DC043F"/>
    <w:rsid w:val="00DC0984"/>
    <w:rsid w:val="00DC10BD"/>
    <w:rsid w:val="00DC1DBA"/>
    <w:rsid w:val="00DC34EA"/>
    <w:rsid w:val="00DC36A9"/>
    <w:rsid w:val="00DC6163"/>
    <w:rsid w:val="00DC62FF"/>
    <w:rsid w:val="00DC6E1A"/>
    <w:rsid w:val="00DD37A5"/>
    <w:rsid w:val="00DD520B"/>
    <w:rsid w:val="00DD63F9"/>
    <w:rsid w:val="00DD645F"/>
    <w:rsid w:val="00DD7AA0"/>
    <w:rsid w:val="00DE0820"/>
    <w:rsid w:val="00DE0905"/>
    <w:rsid w:val="00DE0AFA"/>
    <w:rsid w:val="00DE3240"/>
    <w:rsid w:val="00DE41F8"/>
    <w:rsid w:val="00DE461C"/>
    <w:rsid w:val="00DE4A3C"/>
    <w:rsid w:val="00DE6CA4"/>
    <w:rsid w:val="00DE7615"/>
    <w:rsid w:val="00DE7C62"/>
    <w:rsid w:val="00DF0BDD"/>
    <w:rsid w:val="00DF20D5"/>
    <w:rsid w:val="00DF33BE"/>
    <w:rsid w:val="00DF41AF"/>
    <w:rsid w:val="00DF4C1E"/>
    <w:rsid w:val="00DF5F35"/>
    <w:rsid w:val="00E0003B"/>
    <w:rsid w:val="00E01207"/>
    <w:rsid w:val="00E0347B"/>
    <w:rsid w:val="00E0420F"/>
    <w:rsid w:val="00E043BC"/>
    <w:rsid w:val="00E04D12"/>
    <w:rsid w:val="00E06996"/>
    <w:rsid w:val="00E0718B"/>
    <w:rsid w:val="00E1134F"/>
    <w:rsid w:val="00E11B8B"/>
    <w:rsid w:val="00E120D1"/>
    <w:rsid w:val="00E12453"/>
    <w:rsid w:val="00E1596F"/>
    <w:rsid w:val="00E1635F"/>
    <w:rsid w:val="00E1777D"/>
    <w:rsid w:val="00E201AE"/>
    <w:rsid w:val="00E20753"/>
    <w:rsid w:val="00E22590"/>
    <w:rsid w:val="00E241A8"/>
    <w:rsid w:val="00E27E57"/>
    <w:rsid w:val="00E32D31"/>
    <w:rsid w:val="00E33599"/>
    <w:rsid w:val="00E37514"/>
    <w:rsid w:val="00E40F92"/>
    <w:rsid w:val="00E41100"/>
    <w:rsid w:val="00E41421"/>
    <w:rsid w:val="00E4251F"/>
    <w:rsid w:val="00E43844"/>
    <w:rsid w:val="00E44AAC"/>
    <w:rsid w:val="00E44EA5"/>
    <w:rsid w:val="00E45742"/>
    <w:rsid w:val="00E46B35"/>
    <w:rsid w:val="00E472E2"/>
    <w:rsid w:val="00E474F1"/>
    <w:rsid w:val="00E503C8"/>
    <w:rsid w:val="00E51068"/>
    <w:rsid w:val="00E51EEC"/>
    <w:rsid w:val="00E529CB"/>
    <w:rsid w:val="00E533DA"/>
    <w:rsid w:val="00E53A2E"/>
    <w:rsid w:val="00E54137"/>
    <w:rsid w:val="00E54462"/>
    <w:rsid w:val="00E552D1"/>
    <w:rsid w:val="00E55814"/>
    <w:rsid w:val="00E5612B"/>
    <w:rsid w:val="00E568B9"/>
    <w:rsid w:val="00E57DE5"/>
    <w:rsid w:val="00E61C9E"/>
    <w:rsid w:val="00E634D8"/>
    <w:rsid w:val="00E63B0D"/>
    <w:rsid w:val="00E64B45"/>
    <w:rsid w:val="00E65076"/>
    <w:rsid w:val="00E72C5B"/>
    <w:rsid w:val="00E7518F"/>
    <w:rsid w:val="00E75390"/>
    <w:rsid w:val="00E7546B"/>
    <w:rsid w:val="00E83DC3"/>
    <w:rsid w:val="00E8429F"/>
    <w:rsid w:val="00E86D02"/>
    <w:rsid w:val="00E8744E"/>
    <w:rsid w:val="00E87798"/>
    <w:rsid w:val="00E87AD3"/>
    <w:rsid w:val="00E93311"/>
    <w:rsid w:val="00E935FA"/>
    <w:rsid w:val="00E93C4B"/>
    <w:rsid w:val="00E940D1"/>
    <w:rsid w:val="00E94249"/>
    <w:rsid w:val="00E951E6"/>
    <w:rsid w:val="00E971EB"/>
    <w:rsid w:val="00EA07F5"/>
    <w:rsid w:val="00EA1072"/>
    <w:rsid w:val="00EA10F9"/>
    <w:rsid w:val="00EA1401"/>
    <w:rsid w:val="00EA1A2D"/>
    <w:rsid w:val="00EA2531"/>
    <w:rsid w:val="00EA6B94"/>
    <w:rsid w:val="00EA731E"/>
    <w:rsid w:val="00EB0631"/>
    <w:rsid w:val="00EB06CC"/>
    <w:rsid w:val="00EB11A5"/>
    <w:rsid w:val="00EB2923"/>
    <w:rsid w:val="00EB4C79"/>
    <w:rsid w:val="00EB53BD"/>
    <w:rsid w:val="00EB5FCD"/>
    <w:rsid w:val="00EC00E0"/>
    <w:rsid w:val="00EC09B3"/>
    <w:rsid w:val="00EC0A23"/>
    <w:rsid w:val="00EC0B30"/>
    <w:rsid w:val="00EC1BDB"/>
    <w:rsid w:val="00EC1F86"/>
    <w:rsid w:val="00EC33FE"/>
    <w:rsid w:val="00EC35BD"/>
    <w:rsid w:val="00EC3ABD"/>
    <w:rsid w:val="00EC711D"/>
    <w:rsid w:val="00ED025D"/>
    <w:rsid w:val="00ED1190"/>
    <w:rsid w:val="00ED1F7D"/>
    <w:rsid w:val="00ED3A3B"/>
    <w:rsid w:val="00ED4054"/>
    <w:rsid w:val="00ED5188"/>
    <w:rsid w:val="00ED79AB"/>
    <w:rsid w:val="00EE151C"/>
    <w:rsid w:val="00EE68AC"/>
    <w:rsid w:val="00EF1936"/>
    <w:rsid w:val="00EF1E51"/>
    <w:rsid w:val="00EF3279"/>
    <w:rsid w:val="00EF4348"/>
    <w:rsid w:val="00EF590D"/>
    <w:rsid w:val="00EF601E"/>
    <w:rsid w:val="00EF6E46"/>
    <w:rsid w:val="00F00509"/>
    <w:rsid w:val="00F00B81"/>
    <w:rsid w:val="00F01D17"/>
    <w:rsid w:val="00F03EAC"/>
    <w:rsid w:val="00F03ECE"/>
    <w:rsid w:val="00F04BB9"/>
    <w:rsid w:val="00F0509D"/>
    <w:rsid w:val="00F05A65"/>
    <w:rsid w:val="00F065AE"/>
    <w:rsid w:val="00F072CA"/>
    <w:rsid w:val="00F073C0"/>
    <w:rsid w:val="00F10A03"/>
    <w:rsid w:val="00F11ACE"/>
    <w:rsid w:val="00F126E7"/>
    <w:rsid w:val="00F12756"/>
    <w:rsid w:val="00F14338"/>
    <w:rsid w:val="00F14970"/>
    <w:rsid w:val="00F14E27"/>
    <w:rsid w:val="00F164DF"/>
    <w:rsid w:val="00F17555"/>
    <w:rsid w:val="00F20126"/>
    <w:rsid w:val="00F20236"/>
    <w:rsid w:val="00F22635"/>
    <w:rsid w:val="00F27AFC"/>
    <w:rsid w:val="00F321CA"/>
    <w:rsid w:val="00F35470"/>
    <w:rsid w:val="00F36FD8"/>
    <w:rsid w:val="00F374E7"/>
    <w:rsid w:val="00F4304B"/>
    <w:rsid w:val="00F439E4"/>
    <w:rsid w:val="00F43E93"/>
    <w:rsid w:val="00F43FF2"/>
    <w:rsid w:val="00F440F5"/>
    <w:rsid w:val="00F4412F"/>
    <w:rsid w:val="00F44C22"/>
    <w:rsid w:val="00F44CEA"/>
    <w:rsid w:val="00F469F4"/>
    <w:rsid w:val="00F47D6C"/>
    <w:rsid w:val="00F47EA9"/>
    <w:rsid w:val="00F505F6"/>
    <w:rsid w:val="00F53028"/>
    <w:rsid w:val="00F53602"/>
    <w:rsid w:val="00F5490C"/>
    <w:rsid w:val="00F55021"/>
    <w:rsid w:val="00F56F38"/>
    <w:rsid w:val="00F57990"/>
    <w:rsid w:val="00F6059A"/>
    <w:rsid w:val="00F60F5B"/>
    <w:rsid w:val="00F629D6"/>
    <w:rsid w:val="00F65903"/>
    <w:rsid w:val="00F66A2B"/>
    <w:rsid w:val="00F7131F"/>
    <w:rsid w:val="00F73498"/>
    <w:rsid w:val="00F73BB1"/>
    <w:rsid w:val="00F744C4"/>
    <w:rsid w:val="00F74864"/>
    <w:rsid w:val="00F76238"/>
    <w:rsid w:val="00F767D6"/>
    <w:rsid w:val="00F77EA2"/>
    <w:rsid w:val="00F80E8E"/>
    <w:rsid w:val="00F824E7"/>
    <w:rsid w:val="00F84A6B"/>
    <w:rsid w:val="00F85235"/>
    <w:rsid w:val="00F8523C"/>
    <w:rsid w:val="00F860DF"/>
    <w:rsid w:val="00F904FA"/>
    <w:rsid w:val="00F92979"/>
    <w:rsid w:val="00F976AD"/>
    <w:rsid w:val="00FA0BF6"/>
    <w:rsid w:val="00FA19C0"/>
    <w:rsid w:val="00FA4161"/>
    <w:rsid w:val="00FA490B"/>
    <w:rsid w:val="00FA4FEC"/>
    <w:rsid w:val="00FA6C38"/>
    <w:rsid w:val="00FA7F85"/>
    <w:rsid w:val="00FB0579"/>
    <w:rsid w:val="00FB2D8A"/>
    <w:rsid w:val="00FB4475"/>
    <w:rsid w:val="00FB4DB5"/>
    <w:rsid w:val="00FB4DCE"/>
    <w:rsid w:val="00FB5CE8"/>
    <w:rsid w:val="00FC04F6"/>
    <w:rsid w:val="00FC3107"/>
    <w:rsid w:val="00FC3A3E"/>
    <w:rsid w:val="00FC44AC"/>
    <w:rsid w:val="00FC4C51"/>
    <w:rsid w:val="00FC7375"/>
    <w:rsid w:val="00FC7993"/>
    <w:rsid w:val="00FC7E9A"/>
    <w:rsid w:val="00FD1880"/>
    <w:rsid w:val="00FD455F"/>
    <w:rsid w:val="00FD46AB"/>
    <w:rsid w:val="00FD6292"/>
    <w:rsid w:val="00FD68E9"/>
    <w:rsid w:val="00FE03F4"/>
    <w:rsid w:val="00FE0924"/>
    <w:rsid w:val="00FE2657"/>
    <w:rsid w:val="00FE26E8"/>
    <w:rsid w:val="00FE38D6"/>
    <w:rsid w:val="00FE4D86"/>
    <w:rsid w:val="00FE51A4"/>
    <w:rsid w:val="00FE58CF"/>
    <w:rsid w:val="00FE61C5"/>
    <w:rsid w:val="00FE6C9C"/>
    <w:rsid w:val="00FE7A5A"/>
    <w:rsid w:val="00FF34A5"/>
    <w:rsid w:val="00FF3A29"/>
    <w:rsid w:val="00FF61CB"/>
    <w:rsid w:val="00FF6877"/>
    <w:rsid w:val="00FF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970A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602"/>
    <w:pPr>
      <w:widowControl w:val="0"/>
      <w:adjustRightInd w:val="0"/>
      <w:spacing w:before="120" w:after="120" w:line="360" w:lineRule="atLeast"/>
      <w:jc w:val="both"/>
      <w:textAlignment w:val="baseline"/>
    </w:pPr>
    <w:rPr>
      <w:rFonts w:asciiTheme="majorHAnsi" w:eastAsia="Times New Roman" w:hAnsiTheme="majorHAnsi" w:cs="Times New Roman"/>
      <w:sz w:val="20"/>
      <w:szCs w:val="20"/>
      <w:lang w:val="en-US"/>
    </w:rPr>
  </w:style>
  <w:style w:type="paragraph" w:styleId="Heading1">
    <w:name w:val="heading 1"/>
    <w:basedOn w:val="Normal"/>
    <w:next w:val="Normal"/>
    <w:link w:val="Heading1Char"/>
    <w:uiPriority w:val="9"/>
    <w:qFormat/>
    <w:rsid w:val="00150CD9"/>
    <w:pPr>
      <w:keepNext/>
      <w:keepLines/>
      <w:numPr>
        <w:numId w:val="5"/>
      </w:numPr>
      <w:spacing w:before="240"/>
      <w:outlineLvl w:val="0"/>
    </w:pPr>
    <w:rPr>
      <w:rFonts w:eastAsiaTheme="majorEastAsia" w:cstheme="majorBidi"/>
      <w:sz w:val="28"/>
      <w:szCs w:val="32"/>
    </w:rPr>
  </w:style>
  <w:style w:type="paragraph" w:styleId="Heading2">
    <w:name w:val="heading 2"/>
    <w:basedOn w:val="Heading1"/>
    <w:next w:val="Normal"/>
    <w:link w:val="Heading2Char"/>
    <w:uiPriority w:val="9"/>
    <w:unhideWhenUsed/>
    <w:qFormat/>
    <w:rsid w:val="00150CD9"/>
    <w:pPr>
      <w:numPr>
        <w:ilvl w:val="1"/>
      </w:numPr>
      <w:spacing w:before="40"/>
      <w:outlineLvl w:val="1"/>
    </w:pPr>
    <w:rPr>
      <w:sz w:val="26"/>
      <w:szCs w:val="26"/>
    </w:rPr>
  </w:style>
  <w:style w:type="paragraph" w:styleId="Heading3">
    <w:name w:val="heading 3"/>
    <w:basedOn w:val="Normal"/>
    <w:next w:val="Normal"/>
    <w:link w:val="Heading3Char"/>
    <w:uiPriority w:val="9"/>
    <w:unhideWhenUsed/>
    <w:qFormat/>
    <w:rsid w:val="00A3448B"/>
    <w:pPr>
      <w:keepNext/>
      <w:keepLines/>
      <w:numPr>
        <w:ilvl w:val="2"/>
        <w:numId w:val="5"/>
      </w:numPr>
      <w:spacing w:before="40"/>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150CD9"/>
    <w:pPr>
      <w:keepNext/>
      <w:keepLines/>
      <w:numPr>
        <w:ilvl w:val="3"/>
        <w:numId w:val="5"/>
      </w:numPr>
      <w:spacing w:before="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50CD9"/>
    <w:pPr>
      <w:keepNext/>
      <w:keepLines/>
      <w:numPr>
        <w:ilvl w:val="4"/>
        <w:numId w:val="5"/>
      </w:numPr>
      <w:spacing w:before="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50CD9"/>
    <w:pPr>
      <w:keepNext/>
      <w:keepLines/>
      <w:numPr>
        <w:ilvl w:val="5"/>
        <w:numId w:val="5"/>
      </w:numPr>
      <w:spacing w:before="4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150CD9"/>
    <w:pPr>
      <w:keepNext/>
      <w:keepLines/>
      <w:numPr>
        <w:ilvl w:val="6"/>
        <w:numId w:val="5"/>
      </w:numPr>
      <w:spacing w:before="40"/>
      <w:outlineLvl w:val="6"/>
    </w:pPr>
    <w:rPr>
      <w:rFonts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150CD9"/>
    <w:pPr>
      <w:keepNext/>
      <w:keepLines/>
      <w:numPr>
        <w:ilvl w:val="7"/>
        <w:numId w:val="5"/>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0CD9"/>
    <w:pPr>
      <w:keepNext/>
      <w:keepLines/>
      <w:numPr>
        <w:ilvl w:val="8"/>
        <w:numId w:val="5"/>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6204"/>
    <w:pPr>
      <w:ind w:left="720"/>
      <w:contextualSpacing/>
    </w:pPr>
  </w:style>
  <w:style w:type="paragraph" w:styleId="Header">
    <w:name w:val="header"/>
    <w:basedOn w:val="Normal"/>
    <w:link w:val="HeaderChar"/>
    <w:uiPriority w:val="99"/>
    <w:unhideWhenUsed/>
    <w:rsid w:val="0011174B"/>
    <w:pPr>
      <w:tabs>
        <w:tab w:val="center" w:pos="4703"/>
        <w:tab w:val="right" w:pos="9406"/>
      </w:tabs>
      <w:spacing w:line="240" w:lineRule="auto"/>
    </w:pPr>
  </w:style>
  <w:style w:type="character" w:customStyle="1" w:styleId="HeaderChar">
    <w:name w:val="Header Char"/>
    <w:basedOn w:val="DefaultParagraphFont"/>
    <w:link w:val="Header"/>
    <w:uiPriority w:val="99"/>
    <w:rsid w:val="0011174B"/>
    <w:rPr>
      <w:rFonts w:asciiTheme="majorHAnsi" w:hAnsiTheme="majorHAnsi"/>
      <w:lang w:val="en-US"/>
    </w:rPr>
  </w:style>
  <w:style w:type="paragraph" w:styleId="Footer">
    <w:name w:val="footer"/>
    <w:basedOn w:val="Normal"/>
    <w:link w:val="FooterChar"/>
    <w:uiPriority w:val="99"/>
    <w:unhideWhenUsed/>
    <w:rsid w:val="0011174B"/>
    <w:pPr>
      <w:tabs>
        <w:tab w:val="center" w:pos="4703"/>
        <w:tab w:val="right" w:pos="9406"/>
      </w:tabs>
      <w:spacing w:line="240" w:lineRule="auto"/>
    </w:pPr>
  </w:style>
  <w:style w:type="character" w:customStyle="1" w:styleId="FooterChar">
    <w:name w:val="Footer Char"/>
    <w:basedOn w:val="DefaultParagraphFont"/>
    <w:link w:val="Footer"/>
    <w:uiPriority w:val="99"/>
    <w:rsid w:val="0011174B"/>
    <w:rPr>
      <w:rFonts w:asciiTheme="majorHAnsi" w:hAnsiTheme="majorHAnsi"/>
      <w:lang w:val="en-US"/>
    </w:rPr>
  </w:style>
  <w:style w:type="paragraph" w:styleId="NoSpacing">
    <w:name w:val="No Spacing"/>
    <w:uiPriority w:val="1"/>
    <w:qFormat/>
    <w:rsid w:val="00AF1905"/>
    <w:pPr>
      <w:widowControl w:val="0"/>
      <w:adjustRightInd w:val="0"/>
      <w:spacing w:after="0" w:line="240" w:lineRule="auto"/>
      <w:jc w:val="both"/>
      <w:textAlignment w:val="baseline"/>
    </w:pPr>
    <w:rPr>
      <w:rFonts w:asciiTheme="majorHAnsi" w:eastAsia="Times New Roman" w:hAnsiTheme="majorHAnsi" w:cs="Times New Roman"/>
      <w:sz w:val="20"/>
      <w:szCs w:val="20"/>
      <w:lang w:val="en-US"/>
    </w:rPr>
  </w:style>
  <w:style w:type="character" w:styleId="CommentReference">
    <w:name w:val="annotation reference"/>
    <w:basedOn w:val="DefaultParagraphFont"/>
    <w:uiPriority w:val="99"/>
    <w:semiHidden/>
    <w:unhideWhenUsed/>
    <w:rsid w:val="00091DF9"/>
    <w:rPr>
      <w:sz w:val="16"/>
      <w:szCs w:val="16"/>
    </w:rPr>
  </w:style>
  <w:style w:type="paragraph" w:styleId="CommentText">
    <w:name w:val="annotation text"/>
    <w:basedOn w:val="Normal"/>
    <w:link w:val="CommentTextChar"/>
    <w:uiPriority w:val="99"/>
    <w:unhideWhenUsed/>
    <w:rsid w:val="00091DF9"/>
    <w:pPr>
      <w:spacing w:line="240" w:lineRule="auto"/>
    </w:pPr>
  </w:style>
  <w:style w:type="character" w:customStyle="1" w:styleId="CommentTextChar">
    <w:name w:val="Comment Text Char"/>
    <w:basedOn w:val="DefaultParagraphFont"/>
    <w:link w:val="CommentText"/>
    <w:uiPriority w:val="99"/>
    <w:rsid w:val="00091DF9"/>
    <w:rPr>
      <w:rFonts w:asciiTheme="majorHAnsi" w:hAnsiTheme="majorHAnsi"/>
      <w:sz w:val="20"/>
      <w:szCs w:val="20"/>
      <w:lang w:val="en-US"/>
    </w:rPr>
  </w:style>
  <w:style w:type="paragraph" w:styleId="CommentSubject">
    <w:name w:val="annotation subject"/>
    <w:basedOn w:val="CommentText"/>
    <w:next w:val="CommentText"/>
    <w:link w:val="CommentSubjectChar"/>
    <w:uiPriority w:val="99"/>
    <w:semiHidden/>
    <w:unhideWhenUsed/>
    <w:rsid w:val="00091DF9"/>
    <w:rPr>
      <w:b/>
      <w:bCs/>
    </w:rPr>
  </w:style>
  <w:style w:type="character" w:customStyle="1" w:styleId="CommentSubjectChar">
    <w:name w:val="Comment Subject Char"/>
    <w:basedOn w:val="CommentTextChar"/>
    <w:link w:val="CommentSubject"/>
    <w:uiPriority w:val="99"/>
    <w:semiHidden/>
    <w:rsid w:val="00091DF9"/>
    <w:rPr>
      <w:rFonts w:asciiTheme="majorHAnsi" w:hAnsiTheme="majorHAnsi"/>
      <w:b/>
      <w:bCs/>
      <w:sz w:val="20"/>
      <w:szCs w:val="20"/>
      <w:lang w:val="en-US"/>
    </w:rPr>
  </w:style>
  <w:style w:type="paragraph" w:styleId="BalloonText">
    <w:name w:val="Balloon Text"/>
    <w:basedOn w:val="Normal"/>
    <w:link w:val="BalloonTextChar"/>
    <w:uiPriority w:val="99"/>
    <w:semiHidden/>
    <w:unhideWhenUsed/>
    <w:rsid w:val="00091DF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1DF9"/>
    <w:rPr>
      <w:rFonts w:ascii="Segoe UI" w:hAnsi="Segoe UI" w:cs="Segoe UI"/>
      <w:sz w:val="18"/>
      <w:szCs w:val="18"/>
      <w:lang w:val="en-US"/>
    </w:rPr>
  </w:style>
  <w:style w:type="character" w:styleId="Hyperlink">
    <w:name w:val="Hyperlink"/>
    <w:basedOn w:val="DefaultParagraphFont"/>
    <w:uiPriority w:val="99"/>
    <w:unhideWhenUsed/>
    <w:rsid w:val="00874F89"/>
    <w:rPr>
      <w:color w:val="0563C1" w:themeColor="hyperlink"/>
      <w:u w:val="single"/>
    </w:rPr>
  </w:style>
  <w:style w:type="character" w:customStyle="1" w:styleId="Heading1Char">
    <w:name w:val="Heading 1 Char"/>
    <w:basedOn w:val="DefaultParagraphFont"/>
    <w:link w:val="Heading1"/>
    <w:uiPriority w:val="9"/>
    <w:rsid w:val="00150CD9"/>
    <w:rPr>
      <w:rFonts w:asciiTheme="majorHAnsi" w:eastAsiaTheme="majorEastAsia" w:hAnsiTheme="majorHAnsi" w:cstheme="majorBidi"/>
      <w:sz w:val="28"/>
      <w:szCs w:val="32"/>
      <w:lang w:val="en-US"/>
    </w:rPr>
  </w:style>
  <w:style w:type="character" w:customStyle="1" w:styleId="Heading2Char">
    <w:name w:val="Heading 2 Char"/>
    <w:basedOn w:val="DefaultParagraphFont"/>
    <w:link w:val="Heading2"/>
    <w:uiPriority w:val="9"/>
    <w:rsid w:val="00150CD9"/>
    <w:rPr>
      <w:rFonts w:asciiTheme="majorHAnsi" w:eastAsiaTheme="majorEastAsia" w:hAnsiTheme="majorHAnsi" w:cstheme="majorBidi"/>
      <w:sz w:val="26"/>
      <w:szCs w:val="26"/>
      <w:lang w:val="en-US"/>
    </w:rPr>
  </w:style>
  <w:style w:type="character" w:customStyle="1" w:styleId="Heading3Char">
    <w:name w:val="Heading 3 Char"/>
    <w:basedOn w:val="DefaultParagraphFont"/>
    <w:link w:val="Heading3"/>
    <w:uiPriority w:val="9"/>
    <w:rsid w:val="00A3448B"/>
    <w:rPr>
      <w:rFonts w:asciiTheme="majorHAnsi" w:eastAsiaTheme="majorEastAsia" w:hAnsiTheme="majorHAnsi" w:cstheme="majorBidi"/>
      <w:sz w:val="24"/>
      <w:szCs w:val="24"/>
      <w:lang w:val="en-US"/>
    </w:rPr>
  </w:style>
  <w:style w:type="character" w:customStyle="1" w:styleId="Heading4Char">
    <w:name w:val="Heading 4 Char"/>
    <w:basedOn w:val="DefaultParagraphFont"/>
    <w:link w:val="Heading4"/>
    <w:uiPriority w:val="9"/>
    <w:semiHidden/>
    <w:rsid w:val="00150CD9"/>
    <w:rPr>
      <w:rFonts w:asciiTheme="majorHAnsi" w:eastAsiaTheme="majorEastAsia" w:hAnsiTheme="majorHAnsi" w:cstheme="majorBidi"/>
      <w:i/>
      <w:iCs/>
      <w:color w:val="2E74B5" w:themeColor="accent1" w:themeShade="BF"/>
      <w:sz w:val="20"/>
      <w:lang w:val="en-US"/>
    </w:rPr>
  </w:style>
  <w:style w:type="character" w:customStyle="1" w:styleId="Heading5Char">
    <w:name w:val="Heading 5 Char"/>
    <w:basedOn w:val="DefaultParagraphFont"/>
    <w:link w:val="Heading5"/>
    <w:uiPriority w:val="9"/>
    <w:semiHidden/>
    <w:rsid w:val="00150CD9"/>
    <w:rPr>
      <w:rFonts w:asciiTheme="majorHAnsi" w:eastAsiaTheme="majorEastAsia" w:hAnsiTheme="majorHAnsi" w:cstheme="majorBidi"/>
      <w:color w:val="2E74B5" w:themeColor="accent1" w:themeShade="BF"/>
      <w:sz w:val="20"/>
      <w:lang w:val="en-US"/>
    </w:rPr>
  </w:style>
  <w:style w:type="character" w:customStyle="1" w:styleId="Heading6Char">
    <w:name w:val="Heading 6 Char"/>
    <w:basedOn w:val="DefaultParagraphFont"/>
    <w:link w:val="Heading6"/>
    <w:uiPriority w:val="9"/>
    <w:semiHidden/>
    <w:rsid w:val="00150CD9"/>
    <w:rPr>
      <w:rFonts w:asciiTheme="majorHAnsi" w:eastAsiaTheme="majorEastAsia" w:hAnsiTheme="majorHAnsi" w:cstheme="majorBidi"/>
      <w:color w:val="1F4D78" w:themeColor="accent1" w:themeShade="7F"/>
      <w:sz w:val="20"/>
      <w:lang w:val="en-US"/>
    </w:rPr>
  </w:style>
  <w:style w:type="character" w:customStyle="1" w:styleId="Heading7Char">
    <w:name w:val="Heading 7 Char"/>
    <w:basedOn w:val="DefaultParagraphFont"/>
    <w:link w:val="Heading7"/>
    <w:uiPriority w:val="9"/>
    <w:semiHidden/>
    <w:rsid w:val="00150CD9"/>
    <w:rPr>
      <w:rFonts w:asciiTheme="majorHAnsi" w:eastAsiaTheme="majorEastAsia" w:hAnsiTheme="majorHAnsi" w:cstheme="majorBidi"/>
      <w:i/>
      <w:iCs/>
      <w:color w:val="1F4D78" w:themeColor="accent1" w:themeShade="7F"/>
      <w:sz w:val="20"/>
      <w:lang w:val="en-US"/>
    </w:rPr>
  </w:style>
  <w:style w:type="character" w:customStyle="1" w:styleId="Heading8Char">
    <w:name w:val="Heading 8 Char"/>
    <w:basedOn w:val="DefaultParagraphFont"/>
    <w:link w:val="Heading8"/>
    <w:uiPriority w:val="9"/>
    <w:semiHidden/>
    <w:rsid w:val="00150CD9"/>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150CD9"/>
    <w:rPr>
      <w:rFonts w:asciiTheme="majorHAnsi" w:eastAsiaTheme="majorEastAsia" w:hAnsiTheme="majorHAnsi" w:cstheme="majorBidi"/>
      <w:i/>
      <w:iCs/>
      <w:color w:val="272727" w:themeColor="text1" w:themeTint="D8"/>
      <w:sz w:val="21"/>
      <w:szCs w:val="21"/>
      <w:lang w:val="en-US"/>
    </w:rPr>
  </w:style>
  <w:style w:type="table" w:styleId="TableGrid">
    <w:name w:val="Table Grid"/>
    <w:basedOn w:val="TableNormal"/>
    <w:uiPriority w:val="39"/>
    <w:rsid w:val="00375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1635F"/>
    <w:pPr>
      <w:spacing w:after="200" w:line="240" w:lineRule="auto"/>
    </w:pPr>
    <w:rPr>
      <w:i/>
      <w:iCs/>
      <w:color w:val="44546A" w:themeColor="text2"/>
      <w:sz w:val="18"/>
      <w:szCs w:val="18"/>
    </w:rPr>
  </w:style>
  <w:style w:type="paragraph" w:styleId="NormalWeb">
    <w:name w:val="Normal (Web)"/>
    <w:basedOn w:val="Normal"/>
    <w:uiPriority w:val="99"/>
    <w:unhideWhenUsed/>
    <w:rsid w:val="00AA70BB"/>
    <w:pPr>
      <w:spacing w:before="100" w:beforeAutospacing="1" w:after="100" w:afterAutospacing="1" w:line="240" w:lineRule="auto"/>
      <w:jc w:val="left"/>
    </w:pPr>
    <w:rPr>
      <w:rFonts w:ascii="Times New Roman" w:hAnsi="Times New Roman"/>
      <w:sz w:val="24"/>
      <w:szCs w:val="24"/>
    </w:rPr>
  </w:style>
  <w:style w:type="character" w:styleId="FollowedHyperlink">
    <w:name w:val="FollowedHyperlink"/>
    <w:basedOn w:val="DefaultParagraphFont"/>
    <w:uiPriority w:val="99"/>
    <w:semiHidden/>
    <w:unhideWhenUsed/>
    <w:rsid w:val="000669CE"/>
    <w:rPr>
      <w:color w:val="954F72" w:themeColor="followedHyperlink"/>
      <w:u w:val="single"/>
    </w:rPr>
  </w:style>
  <w:style w:type="paragraph" w:styleId="Revision">
    <w:name w:val="Revision"/>
    <w:hidden/>
    <w:uiPriority w:val="99"/>
    <w:semiHidden/>
    <w:rsid w:val="00E51EEC"/>
    <w:pPr>
      <w:spacing w:after="0" w:line="240" w:lineRule="auto"/>
    </w:pPr>
    <w:rPr>
      <w:rFonts w:asciiTheme="majorHAnsi" w:eastAsia="Times New Roman" w:hAnsiTheme="majorHAnsi" w:cs="Times New Roman"/>
      <w:sz w:val="20"/>
      <w:szCs w:val="20"/>
      <w:lang w:val="en-US"/>
    </w:rPr>
  </w:style>
  <w:style w:type="character" w:styleId="LineNumber">
    <w:name w:val="line number"/>
    <w:basedOn w:val="DefaultParagraphFont"/>
    <w:uiPriority w:val="99"/>
    <w:semiHidden/>
    <w:unhideWhenUsed/>
    <w:rsid w:val="001839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494637">
      <w:bodyDiv w:val="1"/>
      <w:marLeft w:val="0"/>
      <w:marRight w:val="0"/>
      <w:marTop w:val="0"/>
      <w:marBottom w:val="0"/>
      <w:divBdr>
        <w:top w:val="none" w:sz="0" w:space="0" w:color="auto"/>
        <w:left w:val="none" w:sz="0" w:space="0" w:color="auto"/>
        <w:bottom w:val="none" w:sz="0" w:space="0" w:color="auto"/>
        <w:right w:val="none" w:sz="0" w:space="0" w:color="auto"/>
      </w:divBdr>
    </w:div>
    <w:div w:id="124348827">
      <w:bodyDiv w:val="1"/>
      <w:marLeft w:val="0"/>
      <w:marRight w:val="0"/>
      <w:marTop w:val="0"/>
      <w:marBottom w:val="0"/>
      <w:divBdr>
        <w:top w:val="none" w:sz="0" w:space="0" w:color="auto"/>
        <w:left w:val="none" w:sz="0" w:space="0" w:color="auto"/>
        <w:bottom w:val="none" w:sz="0" w:space="0" w:color="auto"/>
        <w:right w:val="none" w:sz="0" w:space="0" w:color="auto"/>
      </w:divBdr>
      <w:divsChild>
        <w:div w:id="1901205956">
          <w:marLeft w:val="0"/>
          <w:marRight w:val="0"/>
          <w:marTop w:val="0"/>
          <w:marBottom w:val="0"/>
          <w:divBdr>
            <w:top w:val="none" w:sz="0" w:space="0" w:color="auto"/>
            <w:left w:val="none" w:sz="0" w:space="0" w:color="auto"/>
            <w:bottom w:val="none" w:sz="0" w:space="0" w:color="auto"/>
            <w:right w:val="none" w:sz="0" w:space="0" w:color="auto"/>
          </w:divBdr>
          <w:divsChild>
            <w:div w:id="1680696370">
              <w:marLeft w:val="0"/>
              <w:marRight w:val="0"/>
              <w:marTop w:val="0"/>
              <w:marBottom w:val="0"/>
              <w:divBdr>
                <w:top w:val="none" w:sz="0" w:space="0" w:color="auto"/>
                <w:left w:val="none" w:sz="0" w:space="0" w:color="auto"/>
                <w:bottom w:val="none" w:sz="0" w:space="0" w:color="auto"/>
                <w:right w:val="none" w:sz="0" w:space="0" w:color="auto"/>
              </w:divBdr>
              <w:divsChild>
                <w:div w:id="130096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96449">
      <w:bodyDiv w:val="1"/>
      <w:marLeft w:val="0"/>
      <w:marRight w:val="0"/>
      <w:marTop w:val="0"/>
      <w:marBottom w:val="0"/>
      <w:divBdr>
        <w:top w:val="none" w:sz="0" w:space="0" w:color="auto"/>
        <w:left w:val="none" w:sz="0" w:space="0" w:color="auto"/>
        <w:bottom w:val="none" w:sz="0" w:space="0" w:color="auto"/>
        <w:right w:val="none" w:sz="0" w:space="0" w:color="auto"/>
      </w:divBdr>
    </w:div>
    <w:div w:id="161242740">
      <w:bodyDiv w:val="1"/>
      <w:marLeft w:val="0"/>
      <w:marRight w:val="0"/>
      <w:marTop w:val="0"/>
      <w:marBottom w:val="0"/>
      <w:divBdr>
        <w:top w:val="none" w:sz="0" w:space="0" w:color="auto"/>
        <w:left w:val="none" w:sz="0" w:space="0" w:color="auto"/>
        <w:bottom w:val="none" w:sz="0" w:space="0" w:color="auto"/>
        <w:right w:val="none" w:sz="0" w:space="0" w:color="auto"/>
      </w:divBdr>
    </w:div>
    <w:div w:id="175996214">
      <w:bodyDiv w:val="1"/>
      <w:marLeft w:val="0"/>
      <w:marRight w:val="0"/>
      <w:marTop w:val="0"/>
      <w:marBottom w:val="0"/>
      <w:divBdr>
        <w:top w:val="none" w:sz="0" w:space="0" w:color="auto"/>
        <w:left w:val="none" w:sz="0" w:space="0" w:color="auto"/>
        <w:bottom w:val="none" w:sz="0" w:space="0" w:color="auto"/>
        <w:right w:val="none" w:sz="0" w:space="0" w:color="auto"/>
      </w:divBdr>
    </w:div>
    <w:div w:id="188301944">
      <w:bodyDiv w:val="1"/>
      <w:marLeft w:val="0"/>
      <w:marRight w:val="0"/>
      <w:marTop w:val="0"/>
      <w:marBottom w:val="0"/>
      <w:divBdr>
        <w:top w:val="none" w:sz="0" w:space="0" w:color="auto"/>
        <w:left w:val="none" w:sz="0" w:space="0" w:color="auto"/>
        <w:bottom w:val="none" w:sz="0" w:space="0" w:color="auto"/>
        <w:right w:val="none" w:sz="0" w:space="0" w:color="auto"/>
      </w:divBdr>
      <w:divsChild>
        <w:div w:id="1746607690">
          <w:marLeft w:val="0"/>
          <w:marRight w:val="0"/>
          <w:marTop w:val="0"/>
          <w:marBottom w:val="0"/>
          <w:divBdr>
            <w:top w:val="none" w:sz="0" w:space="0" w:color="auto"/>
            <w:left w:val="none" w:sz="0" w:space="0" w:color="auto"/>
            <w:bottom w:val="none" w:sz="0" w:space="0" w:color="auto"/>
            <w:right w:val="none" w:sz="0" w:space="0" w:color="auto"/>
          </w:divBdr>
          <w:divsChild>
            <w:div w:id="1724914009">
              <w:marLeft w:val="0"/>
              <w:marRight w:val="0"/>
              <w:marTop w:val="0"/>
              <w:marBottom w:val="0"/>
              <w:divBdr>
                <w:top w:val="none" w:sz="0" w:space="0" w:color="auto"/>
                <w:left w:val="none" w:sz="0" w:space="0" w:color="auto"/>
                <w:bottom w:val="none" w:sz="0" w:space="0" w:color="auto"/>
                <w:right w:val="none" w:sz="0" w:space="0" w:color="auto"/>
              </w:divBdr>
              <w:divsChild>
                <w:div w:id="132855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61094">
      <w:bodyDiv w:val="1"/>
      <w:marLeft w:val="0"/>
      <w:marRight w:val="0"/>
      <w:marTop w:val="0"/>
      <w:marBottom w:val="0"/>
      <w:divBdr>
        <w:top w:val="none" w:sz="0" w:space="0" w:color="auto"/>
        <w:left w:val="none" w:sz="0" w:space="0" w:color="auto"/>
        <w:bottom w:val="none" w:sz="0" w:space="0" w:color="auto"/>
        <w:right w:val="none" w:sz="0" w:space="0" w:color="auto"/>
      </w:divBdr>
    </w:div>
    <w:div w:id="216745468">
      <w:bodyDiv w:val="1"/>
      <w:marLeft w:val="0"/>
      <w:marRight w:val="0"/>
      <w:marTop w:val="0"/>
      <w:marBottom w:val="0"/>
      <w:divBdr>
        <w:top w:val="none" w:sz="0" w:space="0" w:color="auto"/>
        <w:left w:val="none" w:sz="0" w:space="0" w:color="auto"/>
        <w:bottom w:val="none" w:sz="0" w:space="0" w:color="auto"/>
        <w:right w:val="none" w:sz="0" w:space="0" w:color="auto"/>
      </w:divBdr>
    </w:div>
    <w:div w:id="259916309">
      <w:bodyDiv w:val="1"/>
      <w:marLeft w:val="0"/>
      <w:marRight w:val="0"/>
      <w:marTop w:val="0"/>
      <w:marBottom w:val="0"/>
      <w:divBdr>
        <w:top w:val="none" w:sz="0" w:space="0" w:color="auto"/>
        <w:left w:val="none" w:sz="0" w:space="0" w:color="auto"/>
        <w:bottom w:val="none" w:sz="0" w:space="0" w:color="auto"/>
        <w:right w:val="none" w:sz="0" w:space="0" w:color="auto"/>
      </w:divBdr>
      <w:divsChild>
        <w:div w:id="101150468">
          <w:marLeft w:val="605"/>
          <w:marRight w:val="0"/>
          <w:marTop w:val="200"/>
          <w:marBottom w:val="40"/>
          <w:divBdr>
            <w:top w:val="none" w:sz="0" w:space="0" w:color="auto"/>
            <w:left w:val="none" w:sz="0" w:space="0" w:color="auto"/>
            <w:bottom w:val="none" w:sz="0" w:space="0" w:color="auto"/>
            <w:right w:val="none" w:sz="0" w:space="0" w:color="auto"/>
          </w:divBdr>
        </w:div>
        <w:div w:id="1408963188">
          <w:marLeft w:val="605"/>
          <w:marRight w:val="0"/>
          <w:marTop w:val="200"/>
          <w:marBottom w:val="40"/>
          <w:divBdr>
            <w:top w:val="none" w:sz="0" w:space="0" w:color="auto"/>
            <w:left w:val="none" w:sz="0" w:space="0" w:color="auto"/>
            <w:bottom w:val="none" w:sz="0" w:space="0" w:color="auto"/>
            <w:right w:val="none" w:sz="0" w:space="0" w:color="auto"/>
          </w:divBdr>
        </w:div>
        <w:div w:id="2050758760">
          <w:marLeft w:val="605"/>
          <w:marRight w:val="0"/>
          <w:marTop w:val="200"/>
          <w:marBottom w:val="40"/>
          <w:divBdr>
            <w:top w:val="none" w:sz="0" w:space="0" w:color="auto"/>
            <w:left w:val="none" w:sz="0" w:space="0" w:color="auto"/>
            <w:bottom w:val="none" w:sz="0" w:space="0" w:color="auto"/>
            <w:right w:val="none" w:sz="0" w:space="0" w:color="auto"/>
          </w:divBdr>
        </w:div>
      </w:divsChild>
    </w:div>
    <w:div w:id="377778629">
      <w:bodyDiv w:val="1"/>
      <w:marLeft w:val="0"/>
      <w:marRight w:val="0"/>
      <w:marTop w:val="0"/>
      <w:marBottom w:val="0"/>
      <w:divBdr>
        <w:top w:val="none" w:sz="0" w:space="0" w:color="auto"/>
        <w:left w:val="none" w:sz="0" w:space="0" w:color="auto"/>
        <w:bottom w:val="none" w:sz="0" w:space="0" w:color="auto"/>
        <w:right w:val="none" w:sz="0" w:space="0" w:color="auto"/>
      </w:divBdr>
    </w:div>
    <w:div w:id="430320214">
      <w:bodyDiv w:val="1"/>
      <w:marLeft w:val="0"/>
      <w:marRight w:val="0"/>
      <w:marTop w:val="0"/>
      <w:marBottom w:val="0"/>
      <w:divBdr>
        <w:top w:val="none" w:sz="0" w:space="0" w:color="auto"/>
        <w:left w:val="none" w:sz="0" w:space="0" w:color="auto"/>
        <w:bottom w:val="none" w:sz="0" w:space="0" w:color="auto"/>
        <w:right w:val="none" w:sz="0" w:space="0" w:color="auto"/>
      </w:divBdr>
      <w:divsChild>
        <w:div w:id="1321957468">
          <w:marLeft w:val="0"/>
          <w:marRight w:val="0"/>
          <w:marTop w:val="0"/>
          <w:marBottom w:val="0"/>
          <w:divBdr>
            <w:top w:val="none" w:sz="0" w:space="0" w:color="auto"/>
            <w:left w:val="none" w:sz="0" w:space="0" w:color="auto"/>
            <w:bottom w:val="none" w:sz="0" w:space="0" w:color="auto"/>
            <w:right w:val="none" w:sz="0" w:space="0" w:color="auto"/>
          </w:divBdr>
          <w:divsChild>
            <w:div w:id="73934526">
              <w:marLeft w:val="0"/>
              <w:marRight w:val="0"/>
              <w:marTop w:val="0"/>
              <w:marBottom w:val="0"/>
              <w:divBdr>
                <w:top w:val="none" w:sz="0" w:space="0" w:color="auto"/>
                <w:left w:val="none" w:sz="0" w:space="0" w:color="auto"/>
                <w:bottom w:val="none" w:sz="0" w:space="0" w:color="auto"/>
                <w:right w:val="none" w:sz="0" w:space="0" w:color="auto"/>
              </w:divBdr>
              <w:divsChild>
                <w:div w:id="177609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958045">
      <w:bodyDiv w:val="1"/>
      <w:marLeft w:val="0"/>
      <w:marRight w:val="0"/>
      <w:marTop w:val="0"/>
      <w:marBottom w:val="0"/>
      <w:divBdr>
        <w:top w:val="none" w:sz="0" w:space="0" w:color="auto"/>
        <w:left w:val="none" w:sz="0" w:space="0" w:color="auto"/>
        <w:bottom w:val="none" w:sz="0" w:space="0" w:color="auto"/>
        <w:right w:val="none" w:sz="0" w:space="0" w:color="auto"/>
      </w:divBdr>
      <w:divsChild>
        <w:div w:id="374701773">
          <w:marLeft w:val="0"/>
          <w:marRight w:val="0"/>
          <w:marTop w:val="0"/>
          <w:marBottom w:val="0"/>
          <w:divBdr>
            <w:top w:val="none" w:sz="0" w:space="0" w:color="auto"/>
            <w:left w:val="none" w:sz="0" w:space="0" w:color="auto"/>
            <w:bottom w:val="none" w:sz="0" w:space="0" w:color="auto"/>
            <w:right w:val="none" w:sz="0" w:space="0" w:color="auto"/>
          </w:divBdr>
          <w:divsChild>
            <w:div w:id="276717912">
              <w:marLeft w:val="0"/>
              <w:marRight w:val="0"/>
              <w:marTop w:val="0"/>
              <w:marBottom w:val="0"/>
              <w:divBdr>
                <w:top w:val="none" w:sz="0" w:space="0" w:color="auto"/>
                <w:left w:val="none" w:sz="0" w:space="0" w:color="auto"/>
                <w:bottom w:val="none" w:sz="0" w:space="0" w:color="auto"/>
                <w:right w:val="none" w:sz="0" w:space="0" w:color="auto"/>
              </w:divBdr>
              <w:divsChild>
                <w:div w:id="47156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060717">
      <w:bodyDiv w:val="1"/>
      <w:marLeft w:val="0"/>
      <w:marRight w:val="0"/>
      <w:marTop w:val="0"/>
      <w:marBottom w:val="0"/>
      <w:divBdr>
        <w:top w:val="none" w:sz="0" w:space="0" w:color="auto"/>
        <w:left w:val="none" w:sz="0" w:space="0" w:color="auto"/>
        <w:bottom w:val="none" w:sz="0" w:space="0" w:color="auto"/>
        <w:right w:val="none" w:sz="0" w:space="0" w:color="auto"/>
      </w:divBdr>
    </w:div>
    <w:div w:id="536359774">
      <w:bodyDiv w:val="1"/>
      <w:marLeft w:val="0"/>
      <w:marRight w:val="0"/>
      <w:marTop w:val="0"/>
      <w:marBottom w:val="0"/>
      <w:divBdr>
        <w:top w:val="none" w:sz="0" w:space="0" w:color="auto"/>
        <w:left w:val="none" w:sz="0" w:space="0" w:color="auto"/>
        <w:bottom w:val="none" w:sz="0" w:space="0" w:color="auto"/>
        <w:right w:val="none" w:sz="0" w:space="0" w:color="auto"/>
      </w:divBdr>
      <w:divsChild>
        <w:div w:id="224881912">
          <w:marLeft w:val="0"/>
          <w:marRight w:val="0"/>
          <w:marTop w:val="0"/>
          <w:marBottom w:val="0"/>
          <w:divBdr>
            <w:top w:val="none" w:sz="0" w:space="0" w:color="auto"/>
            <w:left w:val="none" w:sz="0" w:space="0" w:color="auto"/>
            <w:bottom w:val="none" w:sz="0" w:space="0" w:color="auto"/>
            <w:right w:val="none" w:sz="0" w:space="0" w:color="auto"/>
          </w:divBdr>
          <w:divsChild>
            <w:div w:id="2138722050">
              <w:marLeft w:val="0"/>
              <w:marRight w:val="0"/>
              <w:marTop w:val="0"/>
              <w:marBottom w:val="0"/>
              <w:divBdr>
                <w:top w:val="none" w:sz="0" w:space="0" w:color="auto"/>
                <w:left w:val="none" w:sz="0" w:space="0" w:color="auto"/>
                <w:bottom w:val="none" w:sz="0" w:space="0" w:color="auto"/>
                <w:right w:val="none" w:sz="0" w:space="0" w:color="auto"/>
              </w:divBdr>
              <w:divsChild>
                <w:div w:id="158599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642989">
      <w:bodyDiv w:val="1"/>
      <w:marLeft w:val="0"/>
      <w:marRight w:val="0"/>
      <w:marTop w:val="0"/>
      <w:marBottom w:val="0"/>
      <w:divBdr>
        <w:top w:val="none" w:sz="0" w:space="0" w:color="auto"/>
        <w:left w:val="none" w:sz="0" w:space="0" w:color="auto"/>
        <w:bottom w:val="none" w:sz="0" w:space="0" w:color="auto"/>
        <w:right w:val="none" w:sz="0" w:space="0" w:color="auto"/>
      </w:divBdr>
      <w:divsChild>
        <w:div w:id="1442142372">
          <w:marLeft w:val="0"/>
          <w:marRight w:val="0"/>
          <w:marTop w:val="0"/>
          <w:marBottom w:val="0"/>
          <w:divBdr>
            <w:top w:val="none" w:sz="0" w:space="0" w:color="auto"/>
            <w:left w:val="none" w:sz="0" w:space="0" w:color="auto"/>
            <w:bottom w:val="none" w:sz="0" w:space="0" w:color="auto"/>
            <w:right w:val="none" w:sz="0" w:space="0" w:color="auto"/>
          </w:divBdr>
          <w:divsChild>
            <w:div w:id="651444898">
              <w:marLeft w:val="0"/>
              <w:marRight w:val="0"/>
              <w:marTop w:val="0"/>
              <w:marBottom w:val="0"/>
              <w:divBdr>
                <w:top w:val="none" w:sz="0" w:space="0" w:color="auto"/>
                <w:left w:val="none" w:sz="0" w:space="0" w:color="auto"/>
                <w:bottom w:val="none" w:sz="0" w:space="0" w:color="auto"/>
                <w:right w:val="none" w:sz="0" w:space="0" w:color="auto"/>
              </w:divBdr>
              <w:divsChild>
                <w:div w:id="48968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887114">
      <w:bodyDiv w:val="1"/>
      <w:marLeft w:val="0"/>
      <w:marRight w:val="0"/>
      <w:marTop w:val="0"/>
      <w:marBottom w:val="0"/>
      <w:divBdr>
        <w:top w:val="none" w:sz="0" w:space="0" w:color="auto"/>
        <w:left w:val="none" w:sz="0" w:space="0" w:color="auto"/>
        <w:bottom w:val="none" w:sz="0" w:space="0" w:color="auto"/>
        <w:right w:val="none" w:sz="0" w:space="0" w:color="auto"/>
      </w:divBdr>
    </w:div>
    <w:div w:id="696350725">
      <w:bodyDiv w:val="1"/>
      <w:marLeft w:val="0"/>
      <w:marRight w:val="0"/>
      <w:marTop w:val="0"/>
      <w:marBottom w:val="0"/>
      <w:divBdr>
        <w:top w:val="none" w:sz="0" w:space="0" w:color="auto"/>
        <w:left w:val="none" w:sz="0" w:space="0" w:color="auto"/>
        <w:bottom w:val="none" w:sz="0" w:space="0" w:color="auto"/>
        <w:right w:val="none" w:sz="0" w:space="0" w:color="auto"/>
      </w:divBdr>
    </w:div>
    <w:div w:id="708338062">
      <w:bodyDiv w:val="1"/>
      <w:marLeft w:val="0"/>
      <w:marRight w:val="0"/>
      <w:marTop w:val="0"/>
      <w:marBottom w:val="0"/>
      <w:divBdr>
        <w:top w:val="none" w:sz="0" w:space="0" w:color="auto"/>
        <w:left w:val="none" w:sz="0" w:space="0" w:color="auto"/>
        <w:bottom w:val="none" w:sz="0" w:space="0" w:color="auto"/>
        <w:right w:val="none" w:sz="0" w:space="0" w:color="auto"/>
      </w:divBdr>
    </w:div>
    <w:div w:id="750008832">
      <w:bodyDiv w:val="1"/>
      <w:marLeft w:val="0"/>
      <w:marRight w:val="0"/>
      <w:marTop w:val="0"/>
      <w:marBottom w:val="0"/>
      <w:divBdr>
        <w:top w:val="none" w:sz="0" w:space="0" w:color="auto"/>
        <w:left w:val="none" w:sz="0" w:space="0" w:color="auto"/>
        <w:bottom w:val="none" w:sz="0" w:space="0" w:color="auto"/>
        <w:right w:val="none" w:sz="0" w:space="0" w:color="auto"/>
      </w:divBdr>
    </w:div>
    <w:div w:id="771778197">
      <w:bodyDiv w:val="1"/>
      <w:marLeft w:val="0"/>
      <w:marRight w:val="0"/>
      <w:marTop w:val="0"/>
      <w:marBottom w:val="0"/>
      <w:divBdr>
        <w:top w:val="none" w:sz="0" w:space="0" w:color="auto"/>
        <w:left w:val="none" w:sz="0" w:space="0" w:color="auto"/>
        <w:bottom w:val="none" w:sz="0" w:space="0" w:color="auto"/>
        <w:right w:val="none" w:sz="0" w:space="0" w:color="auto"/>
      </w:divBdr>
      <w:divsChild>
        <w:div w:id="604311988">
          <w:marLeft w:val="0"/>
          <w:marRight w:val="0"/>
          <w:marTop w:val="0"/>
          <w:marBottom w:val="0"/>
          <w:divBdr>
            <w:top w:val="none" w:sz="0" w:space="0" w:color="auto"/>
            <w:left w:val="none" w:sz="0" w:space="0" w:color="auto"/>
            <w:bottom w:val="none" w:sz="0" w:space="0" w:color="auto"/>
            <w:right w:val="none" w:sz="0" w:space="0" w:color="auto"/>
          </w:divBdr>
          <w:divsChild>
            <w:div w:id="1434476381">
              <w:marLeft w:val="0"/>
              <w:marRight w:val="0"/>
              <w:marTop w:val="0"/>
              <w:marBottom w:val="0"/>
              <w:divBdr>
                <w:top w:val="none" w:sz="0" w:space="0" w:color="auto"/>
                <w:left w:val="none" w:sz="0" w:space="0" w:color="auto"/>
                <w:bottom w:val="none" w:sz="0" w:space="0" w:color="auto"/>
                <w:right w:val="none" w:sz="0" w:space="0" w:color="auto"/>
              </w:divBdr>
              <w:divsChild>
                <w:div w:id="6646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534501">
      <w:bodyDiv w:val="1"/>
      <w:marLeft w:val="0"/>
      <w:marRight w:val="0"/>
      <w:marTop w:val="0"/>
      <w:marBottom w:val="0"/>
      <w:divBdr>
        <w:top w:val="none" w:sz="0" w:space="0" w:color="auto"/>
        <w:left w:val="none" w:sz="0" w:space="0" w:color="auto"/>
        <w:bottom w:val="none" w:sz="0" w:space="0" w:color="auto"/>
        <w:right w:val="none" w:sz="0" w:space="0" w:color="auto"/>
      </w:divBdr>
      <w:divsChild>
        <w:div w:id="1458908655">
          <w:marLeft w:val="0"/>
          <w:marRight w:val="0"/>
          <w:marTop w:val="0"/>
          <w:marBottom w:val="0"/>
          <w:divBdr>
            <w:top w:val="none" w:sz="0" w:space="0" w:color="auto"/>
            <w:left w:val="none" w:sz="0" w:space="0" w:color="auto"/>
            <w:bottom w:val="none" w:sz="0" w:space="0" w:color="auto"/>
            <w:right w:val="none" w:sz="0" w:space="0" w:color="auto"/>
          </w:divBdr>
          <w:divsChild>
            <w:div w:id="483162863">
              <w:marLeft w:val="0"/>
              <w:marRight w:val="0"/>
              <w:marTop w:val="0"/>
              <w:marBottom w:val="0"/>
              <w:divBdr>
                <w:top w:val="none" w:sz="0" w:space="0" w:color="auto"/>
                <w:left w:val="none" w:sz="0" w:space="0" w:color="auto"/>
                <w:bottom w:val="none" w:sz="0" w:space="0" w:color="auto"/>
                <w:right w:val="none" w:sz="0" w:space="0" w:color="auto"/>
              </w:divBdr>
              <w:divsChild>
                <w:div w:id="6705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263020">
      <w:bodyDiv w:val="1"/>
      <w:marLeft w:val="0"/>
      <w:marRight w:val="0"/>
      <w:marTop w:val="0"/>
      <w:marBottom w:val="0"/>
      <w:divBdr>
        <w:top w:val="none" w:sz="0" w:space="0" w:color="auto"/>
        <w:left w:val="none" w:sz="0" w:space="0" w:color="auto"/>
        <w:bottom w:val="none" w:sz="0" w:space="0" w:color="auto"/>
        <w:right w:val="none" w:sz="0" w:space="0" w:color="auto"/>
      </w:divBdr>
    </w:div>
    <w:div w:id="909000919">
      <w:bodyDiv w:val="1"/>
      <w:marLeft w:val="0"/>
      <w:marRight w:val="0"/>
      <w:marTop w:val="0"/>
      <w:marBottom w:val="0"/>
      <w:divBdr>
        <w:top w:val="none" w:sz="0" w:space="0" w:color="auto"/>
        <w:left w:val="none" w:sz="0" w:space="0" w:color="auto"/>
        <w:bottom w:val="none" w:sz="0" w:space="0" w:color="auto"/>
        <w:right w:val="none" w:sz="0" w:space="0" w:color="auto"/>
      </w:divBdr>
    </w:div>
    <w:div w:id="937716167">
      <w:bodyDiv w:val="1"/>
      <w:marLeft w:val="0"/>
      <w:marRight w:val="0"/>
      <w:marTop w:val="0"/>
      <w:marBottom w:val="0"/>
      <w:divBdr>
        <w:top w:val="none" w:sz="0" w:space="0" w:color="auto"/>
        <w:left w:val="none" w:sz="0" w:space="0" w:color="auto"/>
        <w:bottom w:val="none" w:sz="0" w:space="0" w:color="auto"/>
        <w:right w:val="none" w:sz="0" w:space="0" w:color="auto"/>
      </w:divBdr>
      <w:divsChild>
        <w:div w:id="1445228496">
          <w:marLeft w:val="0"/>
          <w:marRight w:val="0"/>
          <w:marTop w:val="0"/>
          <w:marBottom w:val="0"/>
          <w:divBdr>
            <w:top w:val="none" w:sz="0" w:space="0" w:color="auto"/>
            <w:left w:val="none" w:sz="0" w:space="0" w:color="auto"/>
            <w:bottom w:val="none" w:sz="0" w:space="0" w:color="auto"/>
            <w:right w:val="none" w:sz="0" w:space="0" w:color="auto"/>
          </w:divBdr>
          <w:divsChild>
            <w:div w:id="902984217">
              <w:marLeft w:val="0"/>
              <w:marRight w:val="0"/>
              <w:marTop w:val="0"/>
              <w:marBottom w:val="0"/>
              <w:divBdr>
                <w:top w:val="none" w:sz="0" w:space="0" w:color="auto"/>
                <w:left w:val="none" w:sz="0" w:space="0" w:color="auto"/>
                <w:bottom w:val="none" w:sz="0" w:space="0" w:color="auto"/>
                <w:right w:val="none" w:sz="0" w:space="0" w:color="auto"/>
              </w:divBdr>
              <w:divsChild>
                <w:div w:id="145497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779569">
      <w:bodyDiv w:val="1"/>
      <w:marLeft w:val="0"/>
      <w:marRight w:val="0"/>
      <w:marTop w:val="0"/>
      <w:marBottom w:val="0"/>
      <w:divBdr>
        <w:top w:val="none" w:sz="0" w:space="0" w:color="auto"/>
        <w:left w:val="none" w:sz="0" w:space="0" w:color="auto"/>
        <w:bottom w:val="none" w:sz="0" w:space="0" w:color="auto"/>
        <w:right w:val="none" w:sz="0" w:space="0" w:color="auto"/>
      </w:divBdr>
      <w:divsChild>
        <w:div w:id="1841000691">
          <w:marLeft w:val="0"/>
          <w:marRight w:val="0"/>
          <w:marTop w:val="0"/>
          <w:marBottom w:val="0"/>
          <w:divBdr>
            <w:top w:val="none" w:sz="0" w:space="0" w:color="auto"/>
            <w:left w:val="none" w:sz="0" w:space="0" w:color="auto"/>
            <w:bottom w:val="none" w:sz="0" w:space="0" w:color="auto"/>
            <w:right w:val="none" w:sz="0" w:space="0" w:color="auto"/>
          </w:divBdr>
          <w:divsChild>
            <w:div w:id="433940683">
              <w:marLeft w:val="0"/>
              <w:marRight w:val="0"/>
              <w:marTop w:val="0"/>
              <w:marBottom w:val="0"/>
              <w:divBdr>
                <w:top w:val="none" w:sz="0" w:space="0" w:color="auto"/>
                <w:left w:val="none" w:sz="0" w:space="0" w:color="auto"/>
                <w:bottom w:val="none" w:sz="0" w:space="0" w:color="auto"/>
                <w:right w:val="none" w:sz="0" w:space="0" w:color="auto"/>
              </w:divBdr>
              <w:divsChild>
                <w:div w:id="410393783">
                  <w:marLeft w:val="0"/>
                  <w:marRight w:val="0"/>
                  <w:marTop w:val="0"/>
                  <w:marBottom w:val="0"/>
                  <w:divBdr>
                    <w:top w:val="none" w:sz="0" w:space="0" w:color="auto"/>
                    <w:left w:val="none" w:sz="0" w:space="0" w:color="auto"/>
                    <w:bottom w:val="none" w:sz="0" w:space="0" w:color="auto"/>
                    <w:right w:val="none" w:sz="0" w:space="0" w:color="auto"/>
                  </w:divBdr>
                </w:div>
              </w:divsChild>
            </w:div>
            <w:div w:id="1190485151">
              <w:marLeft w:val="0"/>
              <w:marRight w:val="0"/>
              <w:marTop w:val="0"/>
              <w:marBottom w:val="0"/>
              <w:divBdr>
                <w:top w:val="none" w:sz="0" w:space="0" w:color="auto"/>
                <w:left w:val="none" w:sz="0" w:space="0" w:color="auto"/>
                <w:bottom w:val="none" w:sz="0" w:space="0" w:color="auto"/>
                <w:right w:val="none" w:sz="0" w:space="0" w:color="auto"/>
              </w:divBdr>
              <w:divsChild>
                <w:div w:id="1844971058">
                  <w:marLeft w:val="0"/>
                  <w:marRight w:val="0"/>
                  <w:marTop w:val="0"/>
                  <w:marBottom w:val="0"/>
                  <w:divBdr>
                    <w:top w:val="none" w:sz="0" w:space="0" w:color="auto"/>
                    <w:left w:val="none" w:sz="0" w:space="0" w:color="auto"/>
                    <w:bottom w:val="none" w:sz="0" w:space="0" w:color="auto"/>
                    <w:right w:val="none" w:sz="0" w:space="0" w:color="auto"/>
                  </w:divBdr>
                </w:div>
              </w:divsChild>
            </w:div>
            <w:div w:id="1639454996">
              <w:marLeft w:val="0"/>
              <w:marRight w:val="0"/>
              <w:marTop w:val="0"/>
              <w:marBottom w:val="0"/>
              <w:divBdr>
                <w:top w:val="none" w:sz="0" w:space="0" w:color="auto"/>
                <w:left w:val="none" w:sz="0" w:space="0" w:color="auto"/>
                <w:bottom w:val="none" w:sz="0" w:space="0" w:color="auto"/>
                <w:right w:val="none" w:sz="0" w:space="0" w:color="auto"/>
              </w:divBdr>
              <w:divsChild>
                <w:div w:id="99098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33393">
      <w:bodyDiv w:val="1"/>
      <w:marLeft w:val="0"/>
      <w:marRight w:val="0"/>
      <w:marTop w:val="0"/>
      <w:marBottom w:val="0"/>
      <w:divBdr>
        <w:top w:val="none" w:sz="0" w:space="0" w:color="auto"/>
        <w:left w:val="none" w:sz="0" w:space="0" w:color="auto"/>
        <w:bottom w:val="none" w:sz="0" w:space="0" w:color="auto"/>
        <w:right w:val="none" w:sz="0" w:space="0" w:color="auto"/>
      </w:divBdr>
    </w:div>
    <w:div w:id="1123571579">
      <w:bodyDiv w:val="1"/>
      <w:marLeft w:val="0"/>
      <w:marRight w:val="0"/>
      <w:marTop w:val="0"/>
      <w:marBottom w:val="0"/>
      <w:divBdr>
        <w:top w:val="none" w:sz="0" w:space="0" w:color="auto"/>
        <w:left w:val="none" w:sz="0" w:space="0" w:color="auto"/>
        <w:bottom w:val="none" w:sz="0" w:space="0" w:color="auto"/>
        <w:right w:val="none" w:sz="0" w:space="0" w:color="auto"/>
      </w:divBdr>
    </w:div>
    <w:div w:id="1124887645">
      <w:bodyDiv w:val="1"/>
      <w:marLeft w:val="0"/>
      <w:marRight w:val="0"/>
      <w:marTop w:val="0"/>
      <w:marBottom w:val="0"/>
      <w:divBdr>
        <w:top w:val="none" w:sz="0" w:space="0" w:color="auto"/>
        <w:left w:val="none" w:sz="0" w:space="0" w:color="auto"/>
        <w:bottom w:val="none" w:sz="0" w:space="0" w:color="auto"/>
        <w:right w:val="none" w:sz="0" w:space="0" w:color="auto"/>
      </w:divBdr>
    </w:div>
    <w:div w:id="1128011821">
      <w:bodyDiv w:val="1"/>
      <w:marLeft w:val="0"/>
      <w:marRight w:val="0"/>
      <w:marTop w:val="0"/>
      <w:marBottom w:val="0"/>
      <w:divBdr>
        <w:top w:val="none" w:sz="0" w:space="0" w:color="auto"/>
        <w:left w:val="none" w:sz="0" w:space="0" w:color="auto"/>
        <w:bottom w:val="none" w:sz="0" w:space="0" w:color="auto"/>
        <w:right w:val="none" w:sz="0" w:space="0" w:color="auto"/>
      </w:divBdr>
    </w:div>
    <w:div w:id="1277761159">
      <w:bodyDiv w:val="1"/>
      <w:marLeft w:val="0"/>
      <w:marRight w:val="0"/>
      <w:marTop w:val="0"/>
      <w:marBottom w:val="0"/>
      <w:divBdr>
        <w:top w:val="none" w:sz="0" w:space="0" w:color="auto"/>
        <w:left w:val="none" w:sz="0" w:space="0" w:color="auto"/>
        <w:bottom w:val="none" w:sz="0" w:space="0" w:color="auto"/>
        <w:right w:val="none" w:sz="0" w:space="0" w:color="auto"/>
      </w:divBdr>
      <w:divsChild>
        <w:div w:id="1021131723">
          <w:marLeft w:val="1440"/>
          <w:marRight w:val="0"/>
          <w:marTop w:val="100"/>
          <w:marBottom w:val="40"/>
          <w:divBdr>
            <w:top w:val="none" w:sz="0" w:space="0" w:color="auto"/>
            <w:left w:val="none" w:sz="0" w:space="0" w:color="auto"/>
            <w:bottom w:val="none" w:sz="0" w:space="0" w:color="auto"/>
            <w:right w:val="none" w:sz="0" w:space="0" w:color="auto"/>
          </w:divBdr>
        </w:div>
        <w:div w:id="1514951578">
          <w:marLeft w:val="1440"/>
          <w:marRight w:val="0"/>
          <w:marTop w:val="100"/>
          <w:marBottom w:val="40"/>
          <w:divBdr>
            <w:top w:val="none" w:sz="0" w:space="0" w:color="auto"/>
            <w:left w:val="none" w:sz="0" w:space="0" w:color="auto"/>
            <w:bottom w:val="none" w:sz="0" w:space="0" w:color="auto"/>
            <w:right w:val="none" w:sz="0" w:space="0" w:color="auto"/>
          </w:divBdr>
        </w:div>
        <w:div w:id="1707221564">
          <w:marLeft w:val="1440"/>
          <w:marRight w:val="0"/>
          <w:marTop w:val="100"/>
          <w:marBottom w:val="40"/>
          <w:divBdr>
            <w:top w:val="none" w:sz="0" w:space="0" w:color="auto"/>
            <w:left w:val="none" w:sz="0" w:space="0" w:color="auto"/>
            <w:bottom w:val="none" w:sz="0" w:space="0" w:color="auto"/>
            <w:right w:val="none" w:sz="0" w:space="0" w:color="auto"/>
          </w:divBdr>
        </w:div>
        <w:div w:id="1863275113">
          <w:marLeft w:val="1440"/>
          <w:marRight w:val="0"/>
          <w:marTop w:val="100"/>
          <w:marBottom w:val="40"/>
          <w:divBdr>
            <w:top w:val="none" w:sz="0" w:space="0" w:color="auto"/>
            <w:left w:val="none" w:sz="0" w:space="0" w:color="auto"/>
            <w:bottom w:val="none" w:sz="0" w:space="0" w:color="auto"/>
            <w:right w:val="none" w:sz="0" w:space="0" w:color="auto"/>
          </w:divBdr>
        </w:div>
      </w:divsChild>
    </w:div>
    <w:div w:id="1289971558">
      <w:bodyDiv w:val="1"/>
      <w:marLeft w:val="0"/>
      <w:marRight w:val="0"/>
      <w:marTop w:val="0"/>
      <w:marBottom w:val="0"/>
      <w:divBdr>
        <w:top w:val="none" w:sz="0" w:space="0" w:color="auto"/>
        <w:left w:val="none" w:sz="0" w:space="0" w:color="auto"/>
        <w:bottom w:val="none" w:sz="0" w:space="0" w:color="auto"/>
        <w:right w:val="none" w:sz="0" w:space="0" w:color="auto"/>
      </w:divBdr>
    </w:div>
    <w:div w:id="1314288677">
      <w:bodyDiv w:val="1"/>
      <w:marLeft w:val="0"/>
      <w:marRight w:val="0"/>
      <w:marTop w:val="0"/>
      <w:marBottom w:val="0"/>
      <w:divBdr>
        <w:top w:val="none" w:sz="0" w:space="0" w:color="auto"/>
        <w:left w:val="none" w:sz="0" w:space="0" w:color="auto"/>
        <w:bottom w:val="none" w:sz="0" w:space="0" w:color="auto"/>
        <w:right w:val="none" w:sz="0" w:space="0" w:color="auto"/>
      </w:divBdr>
    </w:div>
    <w:div w:id="1354960391">
      <w:bodyDiv w:val="1"/>
      <w:marLeft w:val="0"/>
      <w:marRight w:val="0"/>
      <w:marTop w:val="0"/>
      <w:marBottom w:val="0"/>
      <w:divBdr>
        <w:top w:val="none" w:sz="0" w:space="0" w:color="auto"/>
        <w:left w:val="none" w:sz="0" w:space="0" w:color="auto"/>
        <w:bottom w:val="none" w:sz="0" w:space="0" w:color="auto"/>
        <w:right w:val="none" w:sz="0" w:space="0" w:color="auto"/>
      </w:divBdr>
    </w:div>
    <w:div w:id="1384135318">
      <w:bodyDiv w:val="1"/>
      <w:marLeft w:val="0"/>
      <w:marRight w:val="0"/>
      <w:marTop w:val="0"/>
      <w:marBottom w:val="0"/>
      <w:divBdr>
        <w:top w:val="none" w:sz="0" w:space="0" w:color="auto"/>
        <w:left w:val="none" w:sz="0" w:space="0" w:color="auto"/>
        <w:bottom w:val="none" w:sz="0" w:space="0" w:color="auto"/>
        <w:right w:val="none" w:sz="0" w:space="0" w:color="auto"/>
      </w:divBdr>
      <w:divsChild>
        <w:div w:id="1617953307">
          <w:marLeft w:val="605"/>
          <w:marRight w:val="0"/>
          <w:marTop w:val="200"/>
          <w:marBottom w:val="40"/>
          <w:divBdr>
            <w:top w:val="none" w:sz="0" w:space="0" w:color="auto"/>
            <w:left w:val="none" w:sz="0" w:space="0" w:color="auto"/>
            <w:bottom w:val="none" w:sz="0" w:space="0" w:color="auto"/>
            <w:right w:val="none" w:sz="0" w:space="0" w:color="auto"/>
          </w:divBdr>
        </w:div>
      </w:divsChild>
    </w:div>
    <w:div w:id="1405293659">
      <w:bodyDiv w:val="1"/>
      <w:marLeft w:val="0"/>
      <w:marRight w:val="0"/>
      <w:marTop w:val="0"/>
      <w:marBottom w:val="0"/>
      <w:divBdr>
        <w:top w:val="none" w:sz="0" w:space="0" w:color="auto"/>
        <w:left w:val="none" w:sz="0" w:space="0" w:color="auto"/>
        <w:bottom w:val="none" w:sz="0" w:space="0" w:color="auto"/>
        <w:right w:val="none" w:sz="0" w:space="0" w:color="auto"/>
      </w:divBdr>
      <w:divsChild>
        <w:div w:id="1176533910">
          <w:marLeft w:val="0"/>
          <w:marRight w:val="0"/>
          <w:marTop w:val="0"/>
          <w:marBottom w:val="0"/>
          <w:divBdr>
            <w:top w:val="none" w:sz="0" w:space="0" w:color="auto"/>
            <w:left w:val="none" w:sz="0" w:space="0" w:color="auto"/>
            <w:bottom w:val="none" w:sz="0" w:space="0" w:color="auto"/>
            <w:right w:val="none" w:sz="0" w:space="0" w:color="auto"/>
          </w:divBdr>
          <w:divsChild>
            <w:div w:id="174199484">
              <w:marLeft w:val="0"/>
              <w:marRight w:val="0"/>
              <w:marTop w:val="0"/>
              <w:marBottom w:val="0"/>
              <w:divBdr>
                <w:top w:val="none" w:sz="0" w:space="0" w:color="auto"/>
                <w:left w:val="none" w:sz="0" w:space="0" w:color="auto"/>
                <w:bottom w:val="none" w:sz="0" w:space="0" w:color="auto"/>
                <w:right w:val="none" w:sz="0" w:space="0" w:color="auto"/>
              </w:divBdr>
              <w:divsChild>
                <w:div w:id="44573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019983">
      <w:bodyDiv w:val="1"/>
      <w:marLeft w:val="0"/>
      <w:marRight w:val="0"/>
      <w:marTop w:val="0"/>
      <w:marBottom w:val="0"/>
      <w:divBdr>
        <w:top w:val="none" w:sz="0" w:space="0" w:color="auto"/>
        <w:left w:val="none" w:sz="0" w:space="0" w:color="auto"/>
        <w:bottom w:val="none" w:sz="0" w:space="0" w:color="auto"/>
        <w:right w:val="none" w:sz="0" w:space="0" w:color="auto"/>
      </w:divBdr>
      <w:divsChild>
        <w:div w:id="43452899">
          <w:marLeft w:val="0"/>
          <w:marRight w:val="0"/>
          <w:marTop w:val="0"/>
          <w:marBottom w:val="0"/>
          <w:divBdr>
            <w:top w:val="none" w:sz="0" w:space="0" w:color="auto"/>
            <w:left w:val="none" w:sz="0" w:space="0" w:color="auto"/>
            <w:bottom w:val="none" w:sz="0" w:space="0" w:color="auto"/>
            <w:right w:val="none" w:sz="0" w:space="0" w:color="auto"/>
          </w:divBdr>
        </w:div>
      </w:divsChild>
    </w:div>
    <w:div w:id="1457412424">
      <w:bodyDiv w:val="1"/>
      <w:marLeft w:val="0"/>
      <w:marRight w:val="0"/>
      <w:marTop w:val="0"/>
      <w:marBottom w:val="0"/>
      <w:divBdr>
        <w:top w:val="none" w:sz="0" w:space="0" w:color="auto"/>
        <w:left w:val="none" w:sz="0" w:space="0" w:color="auto"/>
        <w:bottom w:val="none" w:sz="0" w:space="0" w:color="auto"/>
        <w:right w:val="none" w:sz="0" w:space="0" w:color="auto"/>
      </w:divBdr>
    </w:div>
    <w:div w:id="1481190397">
      <w:bodyDiv w:val="1"/>
      <w:marLeft w:val="0"/>
      <w:marRight w:val="0"/>
      <w:marTop w:val="0"/>
      <w:marBottom w:val="0"/>
      <w:divBdr>
        <w:top w:val="none" w:sz="0" w:space="0" w:color="auto"/>
        <w:left w:val="none" w:sz="0" w:space="0" w:color="auto"/>
        <w:bottom w:val="none" w:sz="0" w:space="0" w:color="auto"/>
        <w:right w:val="none" w:sz="0" w:space="0" w:color="auto"/>
      </w:divBdr>
    </w:div>
    <w:div w:id="1623463919">
      <w:bodyDiv w:val="1"/>
      <w:marLeft w:val="0"/>
      <w:marRight w:val="0"/>
      <w:marTop w:val="0"/>
      <w:marBottom w:val="0"/>
      <w:divBdr>
        <w:top w:val="none" w:sz="0" w:space="0" w:color="auto"/>
        <w:left w:val="none" w:sz="0" w:space="0" w:color="auto"/>
        <w:bottom w:val="none" w:sz="0" w:space="0" w:color="auto"/>
        <w:right w:val="none" w:sz="0" w:space="0" w:color="auto"/>
      </w:divBdr>
    </w:div>
    <w:div w:id="1645423975">
      <w:bodyDiv w:val="1"/>
      <w:marLeft w:val="0"/>
      <w:marRight w:val="0"/>
      <w:marTop w:val="0"/>
      <w:marBottom w:val="0"/>
      <w:divBdr>
        <w:top w:val="none" w:sz="0" w:space="0" w:color="auto"/>
        <w:left w:val="none" w:sz="0" w:space="0" w:color="auto"/>
        <w:bottom w:val="none" w:sz="0" w:space="0" w:color="auto"/>
        <w:right w:val="none" w:sz="0" w:space="0" w:color="auto"/>
      </w:divBdr>
    </w:div>
    <w:div w:id="1678073003">
      <w:bodyDiv w:val="1"/>
      <w:marLeft w:val="0"/>
      <w:marRight w:val="0"/>
      <w:marTop w:val="0"/>
      <w:marBottom w:val="0"/>
      <w:divBdr>
        <w:top w:val="none" w:sz="0" w:space="0" w:color="auto"/>
        <w:left w:val="none" w:sz="0" w:space="0" w:color="auto"/>
        <w:bottom w:val="none" w:sz="0" w:space="0" w:color="auto"/>
        <w:right w:val="none" w:sz="0" w:space="0" w:color="auto"/>
      </w:divBdr>
    </w:div>
    <w:div w:id="1795903506">
      <w:bodyDiv w:val="1"/>
      <w:marLeft w:val="0"/>
      <w:marRight w:val="0"/>
      <w:marTop w:val="0"/>
      <w:marBottom w:val="0"/>
      <w:divBdr>
        <w:top w:val="none" w:sz="0" w:space="0" w:color="auto"/>
        <w:left w:val="none" w:sz="0" w:space="0" w:color="auto"/>
        <w:bottom w:val="none" w:sz="0" w:space="0" w:color="auto"/>
        <w:right w:val="none" w:sz="0" w:space="0" w:color="auto"/>
      </w:divBdr>
    </w:div>
    <w:div w:id="1879124414">
      <w:bodyDiv w:val="1"/>
      <w:marLeft w:val="0"/>
      <w:marRight w:val="0"/>
      <w:marTop w:val="0"/>
      <w:marBottom w:val="0"/>
      <w:divBdr>
        <w:top w:val="none" w:sz="0" w:space="0" w:color="auto"/>
        <w:left w:val="none" w:sz="0" w:space="0" w:color="auto"/>
        <w:bottom w:val="none" w:sz="0" w:space="0" w:color="auto"/>
        <w:right w:val="none" w:sz="0" w:space="0" w:color="auto"/>
      </w:divBdr>
    </w:div>
    <w:div w:id="1895702153">
      <w:bodyDiv w:val="1"/>
      <w:marLeft w:val="0"/>
      <w:marRight w:val="0"/>
      <w:marTop w:val="0"/>
      <w:marBottom w:val="0"/>
      <w:divBdr>
        <w:top w:val="none" w:sz="0" w:space="0" w:color="auto"/>
        <w:left w:val="none" w:sz="0" w:space="0" w:color="auto"/>
        <w:bottom w:val="none" w:sz="0" w:space="0" w:color="auto"/>
        <w:right w:val="none" w:sz="0" w:space="0" w:color="auto"/>
      </w:divBdr>
    </w:div>
    <w:div w:id="1934052436">
      <w:bodyDiv w:val="1"/>
      <w:marLeft w:val="0"/>
      <w:marRight w:val="0"/>
      <w:marTop w:val="0"/>
      <w:marBottom w:val="0"/>
      <w:divBdr>
        <w:top w:val="none" w:sz="0" w:space="0" w:color="auto"/>
        <w:left w:val="none" w:sz="0" w:space="0" w:color="auto"/>
        <w:bottom w:val="none" w:sz="0" w:space="0" w:color="auto"/>
        <w:right w:val="none" w:sz="0" w:space="0" w:color="auto"/>
      </w:divBdr>
      <w:divsChild>
        <w:div w:id="2042781605">
          <w:marLeft w:val="0"/>
          <w:marRight w:val="0"/>
          <w:marTop w:val="0"/>
          <w:marBottom w:val="0"/>
          <w:divBdr>
            <w:top w:val="none" w:sz="0" w:space="0" w:color="auto"/>
            <w:left w:val="none" w:sz="0" w:space="0" w:color="auto"/>
            <w:bottom w:val="none" w:sz="0" w:space="0" w:color="auto"/>
            <w:right w:val="none" w:sz="0" w:space="0" w:color="auto"/>
          </w:divBdr>
        </w:div>
      </w:divsChild>
    </w:div>
    <w:div w:id="2077822360">
      <w:bodyDiv w:val="1"/>
      <w:marLeft w:val="0"/>
      <w:marRight w:val="0"/>
      <w:marTop w:val="0"/>
      <w:marBottom w:val="0"/>
      <w:divBdr>
        <w:top w:val="none" w:sz="0" w:space="0" w:color="auto"/>
        <w:left w:val="none" w:sz="0" w:space="0" w:color="auto"/>
        <w:bottom w:val="none" w:sz="0" w:space="0" w:color="auto"/>
        <w:right w:val="none" w:sz="0" w:space="0" w:color="auto"/>
      </w:divBdr>
    </w:div>
    <w:div w:id="2101674471">
      <w:bodyDiv w:val="1"/>
      <w:marLeft w:val="0"/>
      <w:marRight w:val="0"/>
      <w:marTop w:val="0"/>
      <w:marBottom w:val="0"/>
      <w:divBdr>
        <w:top w:val="none" w:sz="0" w:space="0" w:color="auto"/>
        <w:left w:val="none" w:sz="0" w:space="0" w:color="auto"/>
        <w:bottom w:val="none" w:sz="0" w:space="0" w:color="auto"/>
        <w:right w:val="none" w:sz="0" w:space="0" w:color="auto"/>
      </w:divBdr>
    </w:div>
    <w:div w:id="2104839820">
      <w:bodyDiv w:val="1"/>
      <w:marLeft w:val="0"/>
      <w:marRight w:val="0"/>
      <w:marTop w:val="0"/>
      <w:marBottom w:val="0"/>
      <w:divBdr>
        <w:top w:val="none" w:sz="0" w:space="0" w:color="auto"/>
        <w:left w:val="none" w:sz="0" w:space="0" w:color="auto"/>
        <w:bottom w:val="none" w:sz="0" w:space="0" w:color="auto"/>
        <w:right w:val="none" w:sz="0" w:space="0" w:color="auto"/>
      </w:divBdr>
    </w:div>
    <w:div w:id="2122258898">
      <w:bodyDiv w:val="1"/>
      <w:marLeft w:val="0"/>
      <w:marRight w:val="0"/>
      <w:marTop w:val="0"/>
      <w:marBottom w:val="0"/>
      <w:divBdr>
        <w:top w:val="none" w:sz="0" w:space="0" w:color="auto"/>
        <w:left w:val="none" w:sz="0" w:space="0" w:color="auto"/>
        <w:bottom w:val="none" w:sz="0" w:space="0" w:color="auto"/>
        <w:right w:val="none" w:sz="0" w:space="0" w:color="auto"/>
      </w:divBdr>
      <w:divsChild>
        <w:div w:id="1461876861">
          <w:marLeft w:val="0"/>
          <w:marRight w:val="0"/>
          <w:marTop w:val="0"/>
          <w:marBottom w:val="360"/>
          <w:divBdr>
            <w:top w:val="none" w:sz="0" w:space="0" w:color="auto"/>
            <w:left w:val="none" w:sz="0" w:space="0" w:color="auto"/>
            <w:bottom w:val="none" w:sz="0" w:space="0" w:color="auto"/>
            <w:right w:val="none" w:sz="0" w:space="0" w:color="auto"/>
          </w:divBdr>
        </w:div>
      </w:divsChild>
    </w:div>
    <w:div w:id="2127458186">
      <w:bodyDiv w:val="1"/>
      <w:marLeft w:val="0"/>
      <w:marRight w:val="0"/>
      <w:marTop w:val="0"/>
      <w:marBottom w:val="0"/>
      <w:divBdr>
        <w:top w:val="none" w:sz="0" w:space="0" w:color="auto"/>
        <w:left w:val="none" w:sz="0" w:space="0" w:color="auto"/>
        <w:bottom w:val="none" w:sz="0" w:space="0" w:color="auto"/>
        <w:right w:val="none" w:sz="0" w:space="0" w:color="auto"/>
      </w:divBdr>
    </w:div>
    <w:div w:id="213038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48EB1-AE46-4F6A-866D-B960D2935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26420</Words>
  <Characters>150599</Characters>
  <Application>Microsoft Office Word</Application>
  <DocSecurity>0</DocSecurity>
  <Lines>1254</Lines>
  <Paragraphs>353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176666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2020-11-18T09:14:00Z</dcterms:created>
  <dcterms:modified xsi:type="dcterms:W3CDTF">2020-11-24T12:08:00Z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http://www.zotero.org/styles/applied-health-economics-and-health-policy</vt:lpwstr>
  </property>
  <property fmtid="{D5CDD505-2E9C-101B-9397-08002B2CF9AE}" pid="5" name="Mendeley Recent Style Name 1_1">
    <vt:lpwstr>Applied Health Economics and Health Policy</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http://www.zotero.org/styles/health-policy</vt:lpwstr>
  </property>
  <property fmtid="{D5CDD505-2E9C-101B-9397-08002B2CF9AE}" pid="13" name="Mendeley Recent Style Name 5_1">
    <vt:lpwstr>Health policy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8a803f74-03ba-38ab-821f-a3919fd101ef</vt:lpwstr>
  </property>
  <property fmtid="{D5CDD505-2E9C-101B-9397-08002B2CF9AE}" pid="24" name="Mendeley Citation Style_1">
    <vt:lpwstr>http://www.zotero.org/styles/apa</vt:lpwstr>
  </property>
</Properties>
</file>