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CD1AA" w14:textId="77777777" w:rsidR="00457B6C" w:rsidRDefault="00457B6C" w:rsidP="00457B6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2342D0A" w14:textId="77777777" w:rsidR="00457B6C" w:rsidRDefault="00457B6C" w:rsidP="00457B6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0C102" w14:textId="77777777" w:rsidR="00457B6C" w:rsidRDefault="00457B6C" w:rsidP="00457B6C">
      <w:pPr>
        <w:spacing w:after="0" w:line="480" w:lineRule="auto"/>
        <w:rPr>
          <w:rFonts w:ascii="Times New Roman" w:hAnsi="Times New Roman" w:cs="Times New Roman"/>
          <w:vertAlign w:val="superscript"/>
        </w:rPr>
      </w:pPr>
      <w:r w:rsidRPr="00537EAB">
        <w:rPr>
          <w:rFonts w:ascii="Times New Roman" w:hAnsi="Times New Roman" w:cs="Times New Roman"/>
          <w:b/>
          <w:bCs/>
        </w:rPr>
        <w:t>Implications of Payment for Acute Myocardial Infarctions as a 90-day Bundled Single Episode of Care: A Cost of Illness Analysis</w:t>
      </w:r>
      <w:r w:rsidRPr="00537EAB">
        <w:rPr>
          <w:rFonts w:ascii="Times New Roman" w:hAnsi="Times New Roman" w:cs="Times New Roman"/>
          <w:b/>
          <w:bCs/>
        </w:rPr>
        <w:br/>
      </w:r>
      <w:r w:rsidRPr="00FF2A63">
        <w:rPr>
          <w:rFonts w:ascii="Times New Roman" w:hAnsi="Times New Roman" w:cs="Times New Roman"/>
          <w:b/>
          <w:bCs/>
        </w:rPr>
        <w:br/>
      </w:r>
      <w:r w:rsidRPr="00FF2A63">
        <w:rPr>
          <w:rFonts w:ascii="Times New Roman" w:hAnsi="Times New Roman" w:cs="Times New Roman"/>
        </w:rPr>
        <w:t>Keith B. Allen, MD</w:t>
      </w:r>
      <w:r w:rsidRPr="00FF2A63">
        <w:rPr>
          <w:rFonts w:ascii="Times New Roman" w:hAnsi="Times New Roman" w:cs="Times New Roman"/>
          <w:vertAlign w:val="superscript"/>
        </w:rPr>
        <w:t>1</w:t>
      </w:r>
      <w:r w:rsidRPr="00FF2A63">
        <w:rPr>
          <w:rFonts w:ascii="Times New Roman" w:hAnsi="Times New Roman" w:cs="Times New Roman"/>
        </w:rPr>
        <w:t>; James E. Alexander, MD</w:t>
      </w:r>
      <w:r w:rsidRPr="00FF2A63">
        <w:rPr>
          <w:rFonts w:ascii="Times New Roman" w:hAnsi="Times New Roman" w:cs="Times New Roman"/>
          <w:vertAlign w:val="superscript"/>
        </w:rPr>
        <w:t>2</w:t>
      </w:r>
      <w:r w:rsidRPr="00FF2A63">
        <w:rPr>
          <w:rFonts w:ascii="Times New Roman" w:hAnsi="Times New Roman" w:cs="Times New Roman"/>
        </w:rPr>
        <w:t>; Joshua N. Liberman, PhD</w:t>
      </w:r>
      <w:r w:rsidRPr="00FF2A63">
        <w:rPr>
          <w:rFonts w:ascii="Times New Roman" w:hAnsi="Times New Roman" w:cs="Times New Roman"/>
          <w:vertAlign w:val="superscript"/>
        </w:rPr>
        <w:t>3</w:t>
      </w:r>
      <w:r w:rsidRPr="00FF2A63">
        <w:rPr>
          <w:rFonts w:ascii="Times New Roman" w:hAnsi="Times New Roman" w:cs="Times New Roman"/>
        </w:rPr>
        <w:t>; Susan Gabriel, PhD</w:t>
      </w:r>
      <w:r w:rsidRPr="00FF2A63">
        <w:rPr>
          <w:rFonts w:ascii="Times New Roman" w:hAnsi="Times New Roman" w:cs="Times New Roman"/>
          <w:vertAlign w:val="superscript"/>
        </w:rPr>
        <w:t>4</w:t>
      </w:r>
      <w:r w:rsidRPr="00FF2A63">
        <w:rPr>
          <w:rFonts w:ascii="Times New Roman" w:hAnsi="Times New Roman" w:cs="Times New Roman"/>
        </w:rPr>
        <w:br/>
      </w:r>
    </w:p>
    <w:p w14:paraId="25E9448B" w14:textId="77777777" w:rsidR="00457B6C" w:rsidRDefault="00457B6C" w:rsidP="00457B6C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FF2A63">
        <w:rPr>
          <w:rFonts w:ascii="Times New Roman" w:hAnsi="Times New Roman" w:cs="Times New Roman"/>
          <w:vertAlign w:val="superscript"/>
        </w:rPr>
        <w:t>1</w:t>
      </w:r>
      <w:r w:rsidRPr="00FF2A63">
        <w:rPr>
          <w:rFonts w:ascii="Times New Roman" w:hAnsi="Times New Roman" w:cs="Times New Roman"/>
        </w:rPr>
        <w:t>St. Luke's Mid America Heart Institute, Kansas City, MO, USA</w:t>
      </w:r>
      <w:r w:rsidRPr="00FF2A63">
        <w:rPr>
          <w:rFonts w:ascii="Times New Roman" w:hAnsi="Times New Roman" w:cs="Times New Roman"/>
        </w:rPr>
        <w:br/>
      </w:r>
      <w:r w:rsidRPr="00FF2A63">
        <w:rPr>
          <w:rFonts w:ascii="Times New Roman" w:hAnsi="Times New Roman" w:cs="Times New Roman"/>
          <w:vertAlign w:val="superscript"/>
        </w:rPr>
        <w:t>2</w:t>
      </w:r>
      <w:r w:rsidRPr="00FF2A63">
        <w:rPr>
          <w:rFonts w:ascii="Times New Roman" w:hAnsi="Times New Roman" w:cs="Times New Roman"/>
        </w:rPr>
        <w:t>Healthcare Compliance Management, LLC, Fort Worth, TX, USA</w:t>
      </w:r>
      <w:r w:rsidRPr="00FF2A63">
        <w:rPr>
          <w:rFonts w:ascii="Times New Roman" w:hAnsi="Times New Roman" w:cs="Times New Roman"/>
          <w:vertAlign w:val="superscript"/>
        </w:rPr>
        <w:t xml:space="preserve"> </w:t>
      </w:r>
      <w:r w:rsidRPr="00FF2A63">
        <w:rPr>
          <w:rFonts w:ascii="Times New Roman" w:hAnsi="Times New Roman" w:cs="Times New Roman"/>
        </w:rPr>
        <w:br/>
      </w:r>
      <w:r w:rsidRPr="00FF2A63">
        <w:rPr>
          <w:rFonts w:ascii="Times New Roman" w:hAnsi="Times New Roman" w:cs="Times New Roman"/>
          <w:vertAlign w:val="superscript"/>
        </w:rPr>
        <w:t>3</w:t>
      </w:r>
      <w:r w:rsidRPr="00FF2A63">
        <w:rPr>
          <w:rFonts w:ascii="Times New Roman" w:hAnsi="Times New Roman" w:cs="Times New Roman"/>
        </w:rPr>
        <w:t>Health Analytics, LLC Columbia, MD, USA</w:t>
      </w:r>
      <w:r w:rsidRPr="00FF2A63">
        <w:rPr>
          <w:rFonts w:ascii="Times New Roman" w:hAnsi="Times New Roman" w:cs="Times New Roman"/>
          <w:vertAlign w:val="superscript"/>
        </w:rPr>
        <w:br/>
        <w:t>4</w:t>
      </w:r>
      <w:r w:rsidRPr="00FF2A63">
        <w:rPr>
          <w:rFonts w:ascii="Times New Roman" w:hAnsi="Times New Roman" w:cs="Times New Roman"/>
        </w:rPr>
        <w:t>CSL Behring, King of Prussia, PA, USA</w:t>
      </w:r>
      <w:r w:rsidRPr="00FF2A63">
        <w:rPr>
          <w:rFonts w:ascii="Times New Roman" w:hAnsi="Times New Roman" w:cs="Times New Roman"/>
          <w:vertAlign w:val="superscript"/>
        </w:rPr>
        <w:t xml:space="preserve"> </w:t>
      </w:r>
      <w:r w:rsidRPr="00FF2A63">
        <w:rPr>
          <w:rFonts w:ascii="Times New Roman" w:hAnsi="Times New Roman" w:cs="Times New Roman"/>
          <w:vertAlign w:val="superscript"/>
        </w:rPr>
        <w:br/>
      </w:r>
    </w:p>
    <w:p w14:paraId="00F741AC" w14:textId="77777777" w:rsidR="00457B6C" w:rsidRDefault="00457B6C" w:rsidP="00457B6C">
      <w:pPr>
        <w:spacing w:after="0" w:line="480" w:lineRule="auto"/>
        <w:rPr>
          <w:rFonts w:ascii="Times New Roman" w:hAnsi="Times New Roman" w:cs="Times New Roman"/>
          <w:color w:val="000000"/>
        </w:rPr>
      </w:pPr>
      <w:r w:rsidRPr="00FF2A63">
        <w:rPr>
          <w:rFonts w:ascii="Times New Roman" w:hAnsi="Times New Roman" w:cs="Times New Roman"/>
          <w:b/>
          <w:bCs/>
        </w:rPr>
        <w:t>Correspondence:</w:t>
      </w:r>
      <w:r w:rsidRPr="00FF2A63">
        <w:rPr>
          <w:rFonts w:ascii="Times New Roman" w:hAnsi="Times New Roman" w:cs="Times New Roman"/>
          <w:vertAlign w:val="superscript"/>
        </w:rPr>
        <w:t xml:space="preserve"> </w:t>
      </w:r>
      <w:r w:rsidRPr="00FF2A63">
        <w:rPr>
          <w:rFonts w:ascii="Times New Roman" w:hAnsi="Times New Roman" w:cs="Times New Roman"/>
          <w:color w:val="000000"/>
        </w:rPr>
        <w:t>Susan Gabriel</w:t>
      </w:r>
      <w:r w:rsidRPr="00FF2A63">
        <w:rPr>
          <w:rFonts w:ascii="Times New Roman" w:hAnsi="Times New Roman" w:cs="Times New Roman"/>
        </w:rPr>
        <w:t xml:space="preserve"> </w:t>
      </w:r>
    </w:p>
    <w:p w14:paraId="289F074D" w14:textId="77777777" w:rsidR="00457B6C" w:rsidRPr="00FF2A63" w:rsidRDefault="00457B6C" w:rsidP="00457B6C">
      <w:pPr>
        <w:spacing w:after="0" w:line="480" w:lineRule="auto"/>
        <w:rPr>
          <w:rStyle w:val="Hyperlink"/>
          <w:rFonts w:ascii="Times New Roman" w:hAnsi="Times New Roman" w:cs="Times New Roman"/>
        </w:rPr>
      </w:pPr>
      <w:r w:rsidRPr="00FF2A63">
        <w:rPr>
          <w:rFonts w:ascii="Times New Roman" w:hAnsi="Times New Roman" w:cs="Times New Roman"/>
        </w:rPr>
        <w:t xml:space="preserve">email: </w:t>
      </w:r>
      <w:hyperlink r:id="rId4" w:tooltip="mailto:Susan.Gabriel@cslbehring.com" w:history="1">
        <w:r w:rsidRPr="000F4F99">
          <w:rPr>
            <w:rStyle w:val="Hyperlink"/>
            <w:rFonts w:ascii="Times New Roman" w:hAnsi="Times New Roman" w:cs="Times New Roman"/>
            <w:color w:val="000000" w:themeColor="text1"/>
          </w:rPr>
          <w:t>Susan.Gabriel@cslbehring.com</w:t>
        </w:r>
      </w:hyperlink>
    </w:p>
    <w:p w14:paraId="77E7E811" w14:textId="77777777" w:rsidR="00457B6C" w:rsidRDefault="00457B6C" w:rsidP="00457B6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6BECA61" w14:textId="77777777" w:rsidR="00457B6C" w:rsidRDefault="00457B6C" w:rsidP="00457B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1</w:t>
      </w:r>
      <w:r>
        <w:rPr>
          <w:rFonts w:ascii="Times New Roman" w:hAnsi="Times New Roman" w:cs="Times New Roman"/>
          <w:sz w:val="24"/>
          <w:szCs w:val="24"/>
        </w:rPr>
        <w:t>. Utilization rates of post-discharge health services among MM and PCI AMI MS-DRGs</w:t>
      </w:r>
    </w:p>
    <w:tbl>
      <w:tblPr>
        <w:tblW w:w="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64"/>
        <w:gridCol w:w="605"/>
        <w:gridCol w:w="605"/>
        <w:gridCol w:w="608"/>
        <w:gridCol w:w="605"/>
        <w:gridCol w:w="605"/>
        <w:gridCol w:w="605"/>
        <w:gridCol w:w="605"/>
        <w:gridCol w:w="605"/>
        <w:gridCol w:w="605"/>
      </w:tblGrid>
      <w:tr w:rsidR="00457B6C" w14:paraId="1AF8914F" w14:textId="77777777" w:rsidTr="00D47460">
        <w:trPr>
          <w:trHeight w:val="308"/>
        </w:trPr>
        <w:tc>
          <w:tcPr>
            <w:tcW w:w="3564" w:type="dxa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66A037" w14:textId="77777777" w:rsidR="00457B6C" w:rsidRDefault="00457B6C" w:rsidP="00D4746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Health Care Services,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37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Cases</w:t>
            </w:r>
          </w:p>
        </w:tc>
        <w:tc>
          <w:tcPr>
            <w:tcW w:w="181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1D2190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MM MS-DRGs</w:t>
            </w:r>
          </w:p>
        </w:tc>
        <w:tc>
          <w:tcPr>
            <w:tcW w:w="3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9D8B5F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PCI MS-DRGs</w:t>
            </w:r>
          </w:p>
        </w:tc>
      </w:tr>
      <w:tr w:rsidR="00457B6C" w14:paraId="0D0C51A6" w14:textId="77777777" w:rsidTr="00D47460">
        <w:trPr>
          <w:trHeight w:val="308"/>
        </w:trPr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CEB365A" w14:textId="77777777" w:rsidR="00457B6C" w:rsidRDefault="00457B6C" w:rsidP="00D4746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90EC70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280</w:t>
            </w: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CB8B69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B00567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BF41D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</w:t>
            </w: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610979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247</w:t>
            </w: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B55A6D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248</w:t>
            </w: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5AB7A0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249</w:t>
            </w: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435F86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</w:t>
            </w: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B46ED3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251</w:t>
            </w:r>
          </w:p>
        </w:tc>
      </w:tr>
      <w:tr w:rsidR="00457B6C" w14:paraId="65F6BA69" w14:textId="77777777" w:rsidTr="00D47460">
        <w:trPr>
          <w:trHeight w:val="289"/>
        </w:trPr>
        <w:tc>
          <w:tcPr>
            <w:tcW w:w="3564" w:type="dxa"/>
            <w:tcBorders>
              <w:top w:val="single" w:sz="4" w:space="0" w:color="auto"/>
              <w:lef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A4FB3D" w14:textId="77777777" w:rsidR="00457B6C" w:rsidRDefault="00457B6C" w:rsidP="00D4746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Inpatient readmissions</w:t>
            </w:r>
          </w:p>
        </w:tc>
        <w:tc>
          <w:tcPr>
            <w:tcW w:w="60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4713E6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32.2</w:t>
            </w:r>
          </w:p>
        </w:tc>
        <w:tc>
          <w:tcPr>
            <w:tcW w:w="60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335FF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29.9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CB5081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30.3</w:t>
            </w:r>
          </w:p>
        </w:tc>
        <w:tc>
          <w:tcPr>
            <w:tcW w:w="60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DC28AC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</w:p>
        </w:tc>
        <w:tc>
          <w:tcPr>
            <w:tcW w:w="60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13716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0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7B1059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24.7</w:t>
            </w:r>
          </w:p>
        </w:tc>
        <w:tc>
          <w:tcPr>
            <w:tcW w:w="60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2EF981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21.4</w:t>
            </w:r>
          </w:p>
        </w:tc>
        <w:tc>
          <w:tcPr>
            <w:tcW w:w="605" w:type="dxa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26952B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25.3</w:t>
            </w:r>
          </w:p>
        </w:tc>
        <w:tc>
          <w:tcPr>
            <w:tcW w:w="605" w:type="dxa"/>
            <w:tcBorders>
              <w:top w:val="single" w:sz="4" w:space="0" w:color="auto"/>
              <w:righ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55B27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</w:p>
        </w:tc>
      </w:tr>
      <w:tr w:rsidR="00457B6C" w14:paraId="33A1CAB9" w14:textId="77777777" w:rsidTr="00D47460">
        <w:trPr>
          <w:trHeight w:val="289"/>
        </w:trPr>
        <w:tc>
          <w:tcPr>
            <w:tcW w:w="3564" w:type="dxa"/>
            <w:tcBorders>
              <w:lef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5A46C7" w14:textId="77777777" w:rsidR="00457B6C" w:rsidRDefault="00457B6C" w:rsidP="00D4746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 visits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5A2B11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21.8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32FECC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25.3</w:t>
            </w:r>
          </w:p>
        </w:tc>
        <w:tc>
          <w:tcPr>
            <w:tcW w:w="60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65A6DC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BF1C17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A573DA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5A2F56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26.8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D6D879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25.4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3B78D1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23.7</w:t>
            </w:r>
          </w:p>
        </w:tc>
        <w:tc>
          <w:tcPr>
            <w:tcW w:w="605" w:type="dxa"/>
            <w:tcBorders>
              <w:righ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96C21D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</w:tr>
      <w:tr w:rsidR="00457B6C" w14:paraId="6D667174" w14:textId="77777777" w:rsidTr="00D47460">
        <w:trPr>
          <w:trHeight w:val="289"/>
        </w:trPr>
        <w:tc>
          <w:tcPr>
            <w:tcW w:w="3564" w:type="dxa"/>
            <w:tcBorders>
              <w:lef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EADC2B" w14:textId="77777777" w:rsidR="00457B6C" w:rsidRDefault="00457B6C" w:rsidP="00D4746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Outpatient (non-ED)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0D49F8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51.7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DB7B98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59.7</w:t>
            </w:r>
          </w:p>
        </w:tc>
        <w:tc>
          <w:tcPr>
            <w:tcW w:w="60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216185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59.4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A6E2FC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67.4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EDC2D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65.7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31834A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678A9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65.4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CFCFE1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65.3</w:t>
            </w:r>
          </w:p>
        </w:tc>
        <w:tc>
          <w:tcPr>
            <w:tcW w:w="605" w:type="dxa"/>
            <w:tcBorders>
              <w:righ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668E1C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63.9</w:t>
            </w:r>
          </w:p>
        </w:tc>
      </w:tr>
      <w:tr w:rsidR="00457B6C" w14:paraId="69CD9E14" w14:textId="77777777" w:rsidTr="00D47460">
        <w:trPr>
          <w:trHeight w:val="289"/>
        </w:trPr>
        <w:tc>
          <w:tcPr>
            <w:tcW w:w="3564" w:type="dxa"/>
            <w:tcBorders>
              <w:lef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1B7291" w14:textId="77777777" w:rsidR="00457B6C" w:rsidRDefault="00457B6C" w:rsidP="00D4746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Home health agencies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06EF3B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22.6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147A01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60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9974D1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236AE4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C8750F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3F9E2E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A453D4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0D572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605" w:type="dxa"/>
            <w:tcBorders>
              <w:righ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791955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</w:tr>
      <w:tr w:rsidR="00457B6C" w14:paraId="5881877F" w14:textId="77777777" w:rsidTr="00D47460">
        <w:trPr>
          <w:trHeight w:val="289"/>
        </w:trPr>
        <w:tc>
          <w:tcPr>
            <w:tcW w:w="3564" w:type="dxa"/>
            <w:tcBorders>
              <w:lef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65B0E" w14:textId="77777777" w:rsidR="00457B6C" w:rsidRDefault="00457B6C" w:rsidP="00D4746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Skilled nursing facilities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FF03F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0514A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60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FB6AC3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3B7D60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45B11A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A81B7E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33A417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2ACED0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05" w:type="dxa"/>
            <w:tcBorders>
              <w:righ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4CCDD6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457B6C" w14:paraId="44A85AEB" w14:textId="77777777" w:rsidTr="00D47460">
        <w:trPr>
          <w:trHeight w:val="289"/>
        </w:trPr>
        <w:tc>
          <w:tcPr>
            <w:tcW w:w="3564" w:type="dxa"/>
            <w:tcBorders>
              <w:lef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37FD9B" w14:textId="77777777" w:rsidR="00457B6C" w:rsidRDefault="00457B6C" w:rsidP="00D4746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Long-term care facilities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0927C9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4802E3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60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3B97F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1020DE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C9B56C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1C2BB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D8593F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E4B383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605" w:type="dxa"/>
            <w:tcBorders>
              <w:righ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C7522D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</w:tr>
      <w:tr w:rsidR="00457B6C" w14:paraId="6578F140" w14:textId="77777777" w:rsidTr="00D47460">
        <w:trPr>
          <w:trHeight w:val="289"/>
        </w:trPr>
        <w:tc>
          <w:tcPr>
            <w:tcW w:w="3564" w:type="dxa"/>
            <w:tcBorders>
              <w:left w:val="none" w:sz="4" w:space="0" w:color="000000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4C9A8" w14:textId="77777777" w:rsidR="00457B6C" w:rsidRDefault="00457B6C" w:rsidP="00D47460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Inpatient rehabilitation facilities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A8F52A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D242DF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08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5C2D2B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3DA164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6539D8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68D601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E6C997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6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D08EE7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05" w:type="dxa"/>
            <w:tcBorders>
              <w:bottom w:val="single" w:sz="4" w:space="0" w:color="auto"/>
              <w:right w:val="none" w:sz="4" w:space="0" w:color="00000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07273C" w14:textId="77777777" w:rsidR="00457B6C" w:rsidRDefault="00457B6C" w:rsidP="00D4746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</w:p>
        </w:tc>
      </w:tr>
    </w:tbl>
    <w:p w14:paraId="6BCC16E3" w14:textId="77777777" w:rsidR="00457B6C" w:rsidRDefault="00457B6C" w:rsidP="00457B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AMI, acute myocardial infarction; ED, emergency department; MM, medically managed; MS-DRG, Medicare Severity Diagnosis Related Groups; PCI, percutaneous coronary intervention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</w:p>
    <w:bookmarkEnd w:id="0"/>
    <w:p w14:paraId="7DC38E84" w14:textId="77777777" w:rsidR="00555664" w:rsidRDefault="00555664"/>
    <w:sectPr w:rsidR="00555664" w:rsidSect="00DD04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6C"/>
    <w:rsid w:val="00131101"/>
    <w:rsid w:val="001A6BE0"/>
    <w:rsid w:val="00457B6C"/>
    <w:rsid w:val="00537EAB"/>
    <w:rsid w:val="00555664"/>
    <w:rsid w:val="005E4372"/>
    <w:rsid w:val="008F1A0F"/>
    <w:rsid w:val="00D8184E"/>
    <w:rsid w:val="00DD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5E597"/>
  <w15:chartTrackingRefBased/>
  <w15:docId w15:val="{760D2A0E-7E0F-476B-8442-74DB74A2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B6C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7B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san.Gabriel@cslbehr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Meridian HealthComms</dc:creator>
  <cp:keywords/>
  <dc:description/>
  <cp:lastModifiedBy>Pushpakala S.</cp:lastModifiedBy>
  <cp:revision>4</cp:revision>
  <dcterms:created xsi:type="dcterms:W3CDTF">2022-01-11T14:47:00Z</dcterms:created>
  <dcterms:modified xsi:type="dcterms:W3CDTF">2022-02-05T16:14:00Z</dcterms:modified>
</cp:coreProperties>
</file>