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10656" w14:textId="77777777" w:rsidR="00662023" w:rsidRPr="00662023" w:rsidRDefault="00662023" w:rsidP="00662023">
      <w:pPr>
        <w:pStyle w:val="Heading1"/>
        <w:rPr>
          <w:b/>
          <w:bCs/>
          <w:color w:val="auto"/>
          <w:lang w:val="en-GB"/>
        </w:rPr>
      </w:pPr>
      <w:bookmarkStart w:id="0" w:name="_Hlk94256200"/>
      <w:bookmarkStart w:id="1" w:name="_GoBack"/>
      <w:bookmarkEnd w:id="0"/>
      <w:bookmarkEnd w:id="1"/>
      <w:r w:rsidRPr="00662023">
        <w:rPr>
          <w:b/>
          <w:bCs/>
          <w:color w:val="auto"/>
          <w:lang w:val="en-GB"/>
        </w:rPr>
        <w:t xml:space="preserve">Appendix </w:t>
      </w:r>
    </w:p>
    <w:p w14:paraId="213C77FE" w14:textId="76792294" w:rsidR="00F543F7" w:rsidRPr="0051536E" w:rsidRDefault="00F543F7" w:rsidP="00F543F7">
      <w:pPr>
        <w:spacing w:before="240" w:after="120" w:line="360" w:lineRule="auto"/>
        <w:jc w:val="both"/>
        <w:rPr>
          <w:rFonts w:asciiTheme="majorHAnsi" w:hAnsiTheme="majorHAnsi" w:cstheme="majorHAnsi"/>
          <w:b/>
          <w:lang w:val="en-GB"/>
        </w:rPr>
      </w:pPr>
      <w:r w:rsidRPr="0051536E">
        <w:rPr>
          <w:rFonts w:asciiTheme="majorHAnsi" w:hAnsiTheme="majorHAnsi" w:cstheme="majorHAnsi"/>
          <w:b/>
          <w:lang w:val="en-GB"/>
        </w:rPr>
        <w:t>PharmacoEconomics</w:t>
      </w:r>
      <w:r>
        <w:rPr>
          <w:rFonts w:asciiTheme="majorHAnsi" w:hAnsiTheme="majorHAnsi" w:cstheme="majorHAnsi"/>
          <w:b/>
          <w:lang w:val="en-GB"/>
        </w:rPr>
        <w:t xml:space="preserve"> - Open</w:t>
      </w:r>
    </w:p>
    <w:p w14:paraId="27D40F9C" w14:textId="6AA72E37" w:rsidR="00F543F7" w:rsidRDefault="00F543F7" w:rsidP="00F543F7">
      <w:pPr>
        <w:spacing w:before="240" w:after="120" w:line="360" w:lineRule="auto"/>
        <w:jc w:val="both"/>
        <w:rPr>
          <w:rFonts w:asciiTheme="majorHAnsi" w:hAnsiTheme="majorHAnsi" w:cstheme="majorHAnsi"/>
          <w:b/>
          <w:bCs/>
          <w:lang w:val="en-GB"/>
        </w:rPr>
      </w:pPr>
      <w:r w:rsidRPr="0051536E">
        <w:rPr>
          <w:rFonts w:asciiTheme="majorHAnsi" w:hAnsiTheme="majorHAnsi" w:cstheme="majorHAnsi"/>
          <w:b/>
          <w:bCs/>
          <w:lang w:val="en-GB"/>
        </w:rPr>
        <w:t>Cost-analysis of subcutaneous vs intravenous administration of natalizumab based on patient care pathway in Spain</w:t>
      </w:r>
    </w:p>
    <w:p w14:paraId="550C671B" w14:textId="77777777" w:rsidR="004A26F0" w:rsidRPr="000A61FA" w:rsidRDefault="004A26F0" w:rsidP="00F543F7">
      <w:pPr>
        <w:spacing w:after="0" w:line="360" w:lineRule="auto"/>
        <w:jc w:val="both"/>
        <w:rPr>
          <w:rFonts w:cstheme="minorHAnsi"/>
          <w:lang w:val="en-GB"/>
        </w:rPr>
      </w:pPr>
    </w:p>
    <w:p w14:paraId="521523FD" w14:textId="0C989803" w:rsidR="00F543F7" w:rsidRPr="002B1789" w:rsidRDefault="00F543F7" w:rsidP="00F543F7">
      <w:pPr>
        <w:spacing w:after="0" w:line="360" w:lineRule="auto"/>
        <w:jc w:val="both"/>
        <w:rPr>
          <w:rFonts w:cstheme="minorHAnsi"/>
        </w:rPr>
      </w:pPr>
      <w:r w:rsidRPr="002B1789">
        <w:rPr>
          <w:rFonts w:cstheme="minorHAnsi"/>
        </w:rPr>
        <w:t>Alonso Torres AM*</w:t>
      </w:r>
      <w:r w:rsidRPr="002B1789">
        <w:rPr>
          <w:rFonts w:cstheme="minorHAnsi"/>
          <w:vertAlign w:val="superscript"/>
        </w:rPr>
        <w:t>1</w:t>
      </w:r>
      <w:r w:rsidRPr="002B1789">
        <w:rPr>
          <w:rFonts w:cstheme="minorHAnsi"/>
        </w:rPr>
        <w:t>, Arévalo Bernabé AG*</w:t>
      </w:r>
      <w:r w:rsidRPr="002B1789">
        <w:rPr>
          <w:rFonts w:cstheme="minorHAnsi"/>
          <w:vertAlign w:val="superscript"/>
        </w:rPr>
        <w:t>2</w:t>
      </w:r>
      <w:r w:rsidRPr="002B1789">
        <w:rPr>
          <w:rFonts w:cstheme="minorHAnsi"/>
        </w:rPr>
        <w:t>, Becerril Ríos N*</w:t>
      </w:r>
      <w:r w:rsidRPr="002B1789">
        <w:rPr>
          <w:rFonts w:cstheme="minorHAnsi"/>
          <w:vertAlign w:val="superscript"/>
        </w:rPr>
        <w:t>3</w:t>
      </w:r>
      <w:r w:rsidRPr="002B1789">
        <w:rPr>
          <w:rFonts w:cstheme="minorHAnsi"/>
        </w:rPr>
        <w:t>, Hellín Gil MF*</w:t>
      </w:r>
      <w:r w:rsidRPr="002B1789">
        <w:rPr>
          <w:rFonts w:cstheme="minorHAnsi"/>
          <w:vertAlign w:val="superscript"/>
        </w:rPr>
        <w:t>4</w:t>
      </w:r>
      <w:r w:rsidRPr="002B1789">
        <w:rPr>
          <w:rFonts w:cstheme="minorHAnsi"/>
        </w:rPr>
        <w:t>, Martínez Sesmero JM*</w:t>
      </w:r>
      <w:r w:rsidRPr="002B1789">
        <w:rPr>
          <w:rFonts w:cstheme="minorHAnsi"/>
          <w:vertAlign w:val="superscript"/>
        </w:rPr>
        <w:t>5</w:t>
      </w:r>
      <w:r w:rsidRPr="002B1789">
        <w:rPr>
          <w:rFonts w:cstheme="minorHAnsi"/>
        </w:rPr>
        <w:t>, Meca Lallana V*</w:t>
      </w:r>
      <w:r w:rsidRPr="002B1789">
        <w:rPr>
          <w:rFonts w:cstheme="minorHAnsi"/>
          <w:vertAlign w:val="superscript"/>
        </w:rPr>
        <w:t>6</w:t>
      </w:r>
      <w:r w:rsidRPr="002B1789">
        <w:rPr>
          <w:rFonts w:cstheme="minorHAnsi"/>
        </w:rPr>
        <w:t>, Ramió-Torrentà Ll*</w:t>
      </w:r>
      <w:r w:rsidRPr="002B1789">
        <w:rPr>
          <w:rFonts w:cstheme="minorHAnsi"/>
          <w:vertAlign w:val="superscript"/>
        </w:rPr>
        <w:t>7</w:t>
      </w:r>
      <w:r w:rsidRPr="002B1789">
        <w:rPr>
          <w:rFonts w:cstheme="minorHAnsi"/>
        </w:rPr>
        <w:t>, Rodríguez-Antigüedad A*</w:t>
      </w:r>
      <w:r w:rsidRPr="002B1789">
        <w:rPr>
          <w:rFonts w:cstheme="minorHAnsi"/>
          <w:vertAlign w:val="superscript"/>
        </w:rPr>
        <w:t>8</w:t>
      </w:r>
      <w:r w:rsidRPr="002B1789">
        <w:rPr>
          <w:rFonts w:cstheme="minorHAnsi"/>
        </w:rPr>
        <w:t>, Gómez Maldonado L</w:t>
      </w:r>
      <w:r w:rsidRPr="002B1789">
        <w:rPr>
          <w:rFonts w:cstheme="minorHAnsi"/>
          <w:vertAlign w:val="superscript"/>
        </w:rPr>
        <w:t>9</w:t>
      </w:r>
      <w:r w:rsidRPr="002B1789">
        <w:rPr>
          <w:rFonts w:cstheme="minorHAnsi"/>
        </w:rPr>
        <w:t>, Triana Junco I</w:t>
      </w:r>
      <w:r w:rsidRPr="002B1789">
        <w:rPr>
          <w:rFonts w:cstheme="minorHAnsi"/>
          <w:vertAlign w:val="superscript"/>
        </w:rPr>
        <w:t>9</w:t>
      </w:r>
      <w:r w:rsidRPr="002B1789">
        <w:rPr>
          <w:rFonts w:cstheme="minorHAnsi"/>
        </w:rPr>
        <w:t>, Gómez-Barrera M</w:t>
      </w:r>
      <w:r w:rsidRPr="002B1789">
        <w:rPr>
          <w:rFonts w:cstheme="minorHAnsi"/>
          <w:vertAlign w:val="superscript"/>
        </w:rPr>
        <w:t>10</w:t>
      </w:r>
      <w:r w:rsidRPr="002B1789">
        <w:rPr>
          <w:rFonts w:cstheme="minorHAnsi"/>
        </w:rPr>
        <w:t>, Espinoza-Cámac N</w:t>
      </w:r>
      <w:r w:rsidRPr="002B1789">
        <w:rPr>
          <w:rFonts w:cstheme="minorHAnsi"/>
          <w:vertAlign w:val="superscript"/>
        </w:rPr>
        <w:t>10</w:t>
      </w:r>
      <w:r w:rsidRPr="002B1789">
        <w:rPr>
          <w:rFonts w:cstheme="minorHAnsi"/>
        </w:rPr>
        <w:t>, Oyagüez I</w:t>
      </w:r>
      <w:r w:rsidRPr="002B1789">
        <w:rPr>
          <w:rFonts w:cstheme="minorHAnsi"/>
          <w:vertAlign w:val="superscript"/>
        </w:rPr>
        <w:t>10</w:t>
      </w:r>
    </w:p>
    <w:p w14:paraId="10129547" w14:textId="77777777" w:rsidR="00F543F7" w:rsidRPr="003F42D7" w:rsidRDefault="00F543F7" w:rsidP="00F543F7">
      <w:pPr>
        <w:spacing w:after="0" w:line="360" w:lineRule="auto"/>
        <w:jc w:val="both"/>
        <w:rPr>
          <w:rFonts w:cstheme="minorHAnsi"/>
          <w:i/>
          <w:iCs/>
          <w:lang w:val="en-GB"/>
        </w:rPr>
      </w:pPr>
      <w:r w:rsidRPr="008D37D5">
        <w:rPr>
          <w:rFonts w:cstheme="minorHAnsi"/>
          <w:i/>
          <w:iCs/>
          <w:lang w:val="en-GB"/>
        </w:rPr>
        <w:t>*Co-first authors</w:t>
      </w:r>
      <w:r w:rsidRPr="008D37D5">
        <w:rPr>
          <w:rFonts w:cstheme="minorHAnsi"/>
          <w:i/>
          <w:iCs/>
          <w:lang w:val="en-US"/>
        </w:rPr>
        <w:t>: TASC group</w:t>
      </w:r>
    </w:p>
    <w:p w14:paraId="33F57BA4" w14:textId="77777777" w:rsidR="00F543F7" w:rsidRPr="00273CA1" w:rsidRDefault="00F543F7" w:rsidP="00F543F7">
      <w:pPr>
        <w:spacing w:before="240" w:after="0" w:line="360" w:lineRule="auto"/>
        <w:jc w:val="both"/>
      </w:pPr>
      <w:r w:rsidRPr="00273CA1">
        <w:rPr>
          <w:rFonts w:cstheme="minorHAnsi"/>
          <w:vertAlign w:val="superscript"/>
          <w:lang w:val="en-US"/>
        </w:rPr>
        <w:t>1</w:t>
      </w:r>
      <w:r w:rsidRPr="00273CA1">
        <w:rPr>
          <w:rFonts w:cstheme="minorHAnsi"/>
          <w:lang w:val="en-US"/>
        </w:rPr>
        <w:t xml:space="preserve">Neurology Dpt. </w:t>
      </w:r>
      <w:r w:rsidRPr="002E71D5">
        <w:rPr>
          <w:rFonts w:cstheme="minorHAnsi"/>
        </w:rPr>
        <w:t xml:space="preserve">Hospital Universitario de Málaga. </w:t>
      </w:r>
      <w:r w:rsidRPr="00273CA1">
        <w:rPr>
          <w:rFonts w:cstheme="minorHAnsi"/>
        </w:rPr>
        <w:t xml:space="preserve">Málaga, Spain. </w:t>
      </w:r>
    </w:p>
    <w:p w14:paraId="6B951AEB" w14:textId="77777777" w:rsidR="00F543F7" w:rsidRPr="007D629C" w:rsidRDefault="00F543F7" w:rsidP="00F543F7">
      <w:pPr>
        <w:spacing w:after="0" w:line="360" w:lineRule="auto"/>
        <w:jc w:val="both"/>
        <w:rPr>
          <w:rFonts w:cstheme="minorHAnsi"/>
          <w:lang w:val="en-US"/>
        </w:rPr>
      </w:pPr>
      <w:r w:rsidRPr="00054D8F">
        <w:rPr>
          <w:rFonts w:cstheme="minorHAnsi"/>
          <w:vertAlign w:val="superscript"/>
          <w:lang w:val="en-GB"/>
        </w:rPr>
        <w:t>2</w:t>
      </w:r>
      <w:r w:rsidRPr="00054D8F">
        <w:rPr>
          <w:rFonts w:cstheme="minorHAnsi"/>
          <w:lang w:val="en-GB"/>
        </w:rPr>
        <w:t xml:space="preserve">Pharmacy Dpt. </w:t>
      </w:r>
      <w:r w:rsidRPr="007D629C">
        <w:rPr>
          <w:rFonts w:cstheme="minorHAnsi"/>
          <w:lang w:val="en-US"/>
        </w:rPr>
        <w:t xml:space="preserve">Hospital Universitario Vall d’Hebron. Barcelona, Spain </w:t>
      </w:r>
    </w:p>
    <w:p w14:paraId="52368921" w14:textId="77777777" w:rsidR="00F543F7" w:rsidRPr="007D629C" w:rsidRDefault="00F543F7" w:rsidP="00F543F7">
      <w:pPr>
        <w:spacing w:after="0" w:line="360" w:lineRule="auto"/>
        <w:jc w:val="both"/>
        <w:rPr>
          <w:rFonts w:cstheme="minorHAnsi"/>
          <w:lang w:val="en-US"/>
        </w:rPr>
      </w:pPr>
      <w:r w:rsidRPr="007D629C">
        <w:rPr>
          <w:rFonts w:cstheme="minorHAnsi"/>
          <w:vertAlign w:val="superscript"/>
          <w:lang w:val="en-US"/>
        </w:rPr>
        <w:t>3</w:t>
      </w:r>
      <w:r w:rsidRPr="007D629C">
        <w:rPr>
          <w:rFonts w:cstheme="minorHAnsi"/>
          <w:lang w:val="en-US"/>
        </w:rPr>
        <w:t xml:space="preserve">Specialized Nurse. Hospital Virgen Macarena. Sevilla, Spain. </w:t>
      </w:r>
    </w:p>
    <w:p w14:paraId="1137963A" w14:textId="77777777" w:rsidR="00F543F7" w:rsidRPr="007D629C" w:rsidRDefault="00F543F7" w:rsidP="00F543F7">
      <w:pPr>
        <w:spacing w:after="0" w:line="360" w:lineRule="auto"/>
        <w:jc w:val="both"/>
        <w:rPr>
          <w:rFonts w:cstheme="minorHAnsi"/>
          <w:lang w:val="en-US"/>
        </w:rPr>
      </w:pPr>
      <w:r w:rsidRPr="007D629C">
        <w:rPr>
          <w:rFonts w:cstheme="minorHAnsi"/>
          <w:vertAlign w:val="superscript"/>
          <w:lang w:val="en-US"/>
        </w:rPr>
        <w:t>4</w:t>
      </w:r>
      <w:r w:rsidRPr="007D629C">
        <w:rPr>
          <w:rFonts w:cstheme="minorHAnsi"/>
          <w:lang w:val="en-US"/>
        </w:rPr>
        <w:t xml:space="preserve">Specialized Nurse. Hospital Virgen Arrixaca. Murcia, Spain. </w:t>
      </w:r>
    </w:p>
    <w:p w14:paraId="1C8ADD61" w14:textId="77777777" w:rsidR="00F543F7" w:rsidRPr="00054D8F" w:rsidRDefault="00F543F7" w:rsidP="00F543F7">
      <w:pPr>
        <w:spacing w:after="0" w:line="360" w:lineRule="auto"/>
        <w:jc w:val="both"/>
        <w:rPr>
          <w:rFonts w:cstheme="minorHAnsi"/>
        </w:rPr>
      </w:pPr>
      <w:r w:rsidRPr="007D629C">
        <w:rPr>
          <w:rFonts w:cstheme="minorHAnsi"/>
          <w:vertAlign w:val="superscript"/>
          <w:lang w:val="en-US"/>
        </w:rPr>
        <w:t>5</w:t>
      </w:r>
      <w:r w:rsidRPr="007D629C">
        <w:rPr>
          <w:rFonts w:cstheme="minorHAnsi"/>
          <w:lang w:val="en-US"/>
        </w:rPr>
        <w:t xml:space="preserve">Pharmacy Dpt. </w:t>
      </w:r>
      <w:r w:rsidRPr="00054D8F">
        <w:rPr>
          <w:rFonts w:cstheme="minorHAnsi"/>
        </w:rPr>
        <w:t xml:space="preserve">Hospital Clínico San Carlos. Madrid, Spain. </w:t>
      </w:r>
    </w:p>
    <w:p w14:paraId="165B8F75" w14:textId="77777777" w:rsidR="00F543F7" w:rsidRPr="00685825" w:rsidRDefault="00F543F7" w:rsidP="00F543F7">
      <w:pPr>
        <w:spacing w:after="0" w:line="360" w:lineRule="auto"/>
        <w:jc w:val="both"/>
        <w:rPr>
          <w:rFonts w:cstheme="minorHAnsi"/>
          <w:lang w:val="en-US"/>
        </w:rPr>
      </w:pPr>
      <w:r w:rsidRPr="00054D8F">
        <w:rPr>
          <w:rFonts w:cstheme="minorHAnsi"/>
          <w:vertAlign w:val="superscript"/>
        </w:rPr>
        <w:t>6</w:t>
      </w:r>
      <w:r w:rsidRPr="00054D8F">
        <w:rPr>
          <w:rFonts w:cstheme="minorHAnsi"/>
        </w:rPr>
        <w:t xml:space="preserve">Neurology Dpt. Hospital Universitario La Princesa. </w:t>
      </w:r>
      <w:r w:rsidRPr="00685825">
        <w:rPr>
          <w:rFonts w:cstheme="minorHAnsi"/>
          <w:lang w:val="en-US"/>
        </w:rPr>
        <w:t>Madrid, Spain.</w:t>
      </w:r>
    </w:p>
    <w:p w14:paraId="519B3E57" w14:textId="77777777" w:rsidR="00F543F7" w:rsidRPr="007D629C" w:rsidRDefault="00F543F7" w:rsidP="00F543F7">
      <w:pPr>
        <w:spacing w:after="0" w:line="360" w:lineRule="auto"/>
        <w:jc w:val="both"/>
        <w:rPr>
          <w:rFonts w:cstheme="minorHAnsi"/>
          <w:lang w:val="en-US"/>
        </w:rPr>
      </w:pPr>
      <w:r w:rsidRPr="007D629C">
        <w:rPr>
          <w:rFonts w:cstheme="minorHAnsi"/>
          <w:vertAlign w:val="superscript"/>
          <w:lang w:val="en-US"/>
        </w:rPr>
        <w:t>7</w:t>
      </w:r>
      <w:r w:rsidRPr="007D629C">
        <w:rPr>
          <w:rFonts w:cstheme="minorHAnsi"/>
          <w:lang w:val="en-US"/>
        </w:rPr>
        <w:t xml:space="preserve">Neurology Dpt. </w:t>
      </w:r>
      <w:r w:rsidRPr="00096411">
        <w:rPr>
          <w:rFonts w:cstheme="minorHAnsi"/>
          <w:lang w:val="en-GB"/>
        </w:rPr>
        <w:t xml:space="preserve">Hospital Universitario Josep Trueta. Neurodegeneration and Neuroinflammation Research Group, Medical Science Department, University of Girona. </w:t>
      </w:r>
      <w:r w:rsidRPr="007D629C">
        <w:rPr>
          <w:rFonts w:cstheme="minorHAnsi"/>
          <w:lang w:val="en-US"/>
        </w:rPr>
        <w:t>Spain</w:t>
      </w:r>
    </w:p>
    <w:p w14:paraId="4BB36A58" w14:textId="77777777" w:rsidR="00F543F7" w:rsidRPr="007D629C" w:rsidRDefault="00F543F7" w:rsidP="00F543F7">
      <w:pPr>
        <w:spacing w:after="0" w:line="360" w:lineRule="auto"/>
        <w:jc w:val="both"/>
        <w:rPr>
          <w:rFonts w:cstheme="minorHAnsi"/>
          <w:lang w:val="en-US"/>
        </w:rPr>
      </w:pPr>
      <w:r w:rsidRPr="007D629C">
        <w:rPr>
          <w:rFonts w:cstheme="minorHAnsi"/>
          <w:vertAlign w:val="superscript"/>
          <w:lang w:val="en-US"/>
        </w:rPr>
        <w:t>8</w:t>
      </w:r>
      <w:r w:rsidRPr="007D629C">
        <w:rPr>
          <w:rFonts w:cstheme="minorHAnsi"/>
          <w:lang w:val="en-US"/>
        </w:rPr>
        <w:t xml:space="preserve">Neurology Dpt. Hospital Universitario Cruces. Bilbao, Spain. </w:t>
      </w:r>
    </w:p>
    <w:p w14:paraId="3D038A89" w14:textId="77777777" w:rsidR="00F543F7" w:rsidRPr="007D629C" w:rsidRDefault="00F543F7" w:rsidP="00F543F7">
      <w:pPr>
        <w:spacing w:after="0" w:line="360" w:lineRule="auto"/>
        <w:jc w:val="both"/>
        <w:rPr>
          <w:rFonts w:cstheme="minorHAnsi"/>
          <w:lang w:val="en-US"/>
        </w:rPr>
      </w:pPr>
      <w:r w:rsidRPr="007D629C">
        <w:rPr>
          <w:rFonts w:cstheme="minorHAnsi"/>
          <w:vertAlign w:val="superscript"/>
          <w:lang w:val="en-US"/>
        </w:rPr>
        <w:t>9</w:t>
      </w:r>
      <w:r w:rsidRPr="007D629C">
        <w:rPr>
          <w:rFonts w:cstheme="minorHAnsi"/>
          <w:lang w:val="en-US"/>
        </w:rPr>
        <w:t xml:space="preserve">Biogen, Spain. </w:t>
      </w:r>
    </w:p>
    <w:p w14:paraId="4BE67812" w14:textId="77777777" w:rsidR="00F543F7" w:rsidRPr="007D629C" w:rsidRDefault="00F543F7" w:rsidP="00F543F7">
      <w:pPr>
        <w:spacing w:after="0" w:line="360" w:lineRule="auto"/>
        <w:jc w:val="both"/>
        <w:rPr>
          <w:rFonts w:cstheme="minorHAnsi"/>
          <w:lang w:val="en-US"/>
        </w:rPr>
      </w:pPr>
      <w:r w:rsidRPr="00B477FD">
        <w:rPr>
          <w:rFonts w:cstheme="minorHAnsi"/>
          <w:vertAlign w:val="superscript"/>
          <w:lang w:val="en-US"/>
        </w:rPr>
        <w:t>10</w:t>
      </w:r>
      <w:r w:rsidRPr="00562C7F">
        <w:rPr>
          <w:rFonts w:cstheme="minorHAnsi"/>
          <w:lang w:val="en-US"/>
        </w:rPr>
        <w:t xml:space="preserve">Pharmacoeconomics &amp; Outcomes Research Iberia (PORIB). </w:t>
      </w:r>
      <w:r w:rsidRPr="007D629C">
        <w:rPr>
          <w:rFonts w:cstheme="minorHAnsi"/>
          <w:lang w:val="en-US"/>
        </w:rPr>
        <w:t xml:space="preserve">Madrid, Spain </w:t>
      </w:r>
    </w:p>
    <w:p w14:paraId="63991D42" w14:textId="77777777" w:rsidR="00F543F7" w:rsidRDefault="00F543F7" w:rsidP="00F543F7">
      <w:pPr>
        <w:spacing w:after="0" w:line="360" w:lineRule="auto"/>
        <w:jc w:val="both"/>
        <w:rPr>
          <w:rFonts w:cstheme="minorHAnsi"/>
          <w:b/>
          <w:lang w:val="en-GB"/>
        </w:rPr>
      </w:pPr>
    </w:p>
    <w:p w14:paraId="398068E8" w14:textId="77777777" w:rsidR="004A26F0" w:rsidRDefault="004A26F0" w:rsidP="004A26F0">
      <w:pPr>
        <w:spacing w:after="0" w:line="360" w:lineRule="auto"/>
        <w:jc w:val="both"/>
        <w:rPr>
          <w:rFonts w:cstheme="minorHAnsi"/>
          <w:b/>
          <w:lang w:val="en-GB"/>
        </w:rPr>
      </w:pPr>
    </w:p>
    <w:p w14:paraId="13DC4DEF" w14:textId="77777777" w:rsidR="004A26F0" w:rsidRDefault="004A26F0" w:rsidP="004A26F0">
      <w:pPr>
        <w:spacing w:after="0" w:line="360" w:lineRule="auto"/>
        <w:jc w:val="both"/>
        <w:rPr>
          <w:rFonts w:cstheme="minorHAnsi"/>
          <w:b/>
          <w:lang w:val="en-GB"/>
        </w:rPr>
      </w:pPr>
    </w:p>
    <w:p w14:paraId="5F5E21ED" w14:textId="77777777" w:rsidR="004A26F0" w:rsidRDefault="004A26F0" w:rsidP="004A26F0">
      <w:pPr>
        <w:spacing w:after="0" w:line="360" w:lineRule="auto"/>
        <w:jc w:val="both"/>
        <w:rPr>
          <w:rFonts w:cstheme="minorHAnsi"/>
          <w:b/>
          <w:lang w:val="en-GB"/>
        </w:rPr>
      </w:pPr>
    </w:p>
    <w:p w14:paraId="2C0B6A5D" w14:textId="77777777" w:rsidR="004A26F0" w:rsidRDefault="004A26F0" w:rsidP="004A26F0">
      <w:pPr>
        <w:spacing w:after="0" w:line="360" w:lineRule="auto"/>
        <w:jc w:val="both"/>
        <w:rPr>
          <w:rFonts w:cstheme="minorHAnsi"/>
          <w:b/>
          <w:lang w:val="en-GB"/>
        </w:rPr>
      </w:pPr>
    </w:p>
    <w:p w14:paraId="043BFE54" w14:textId="77777777" w:rsidR="004A26F0" w:rsidRDefault="004A26F0" w:rsidP="004A26F0">
      <w:pPr>
        <w:spacing w:after="0" w:line="360" w:lineRule="auto"/>
        <w:jc w:val="both"/>
        <w:rPr>
          <w:rFonts w:cstheme="minorHAnsi"/>
          <w:b/>
          <w:lang w:val="en-GB"/>
        </w:rPr>
      </w:pPr>
    </w:p>
    <w:p w14:paraId="26F8B0F1" w14:textId="4CFC404F" w:rsidR="004A26F0" w:rsidRPr="0051536E" w:rsidRDefault="004A26F0" w:rsidP="004A26F0">
      <w:pPr>
        <w:spacing w:after="0" w:line="360" w:lineRule="auto"/>
        <w:jc w:val="both"/>
        <w:rPr>
          <w:rFonts w:cstheme="minorHAnsi"/>
          <w:b/>
          <w:lang w:val="en-GB"/>
        </w:rPr>
      </w:pPr>
      <w:r w:rsidRPr="0051536E">
        <w:rPr>
          <w:rFonts w:cstheme="minorHAnsi"/>
          <w:b/>
          <w:lang w:val="en-GB"/>
        </w:rPr>
        <w:t>Corresponding author:</w:t>
      </w:r>
    </w:p>
    <w:p w14:paraId="2DA8C30D" w14:textId="77777777" w:rsidR="004A26F0" w:rsidRPr="0051536E" w:rsidRDefault="004A26F0" w:rsidP="004A26F0">
      <w:pPr>
        <w:spacing w:after="0" w:line="360" w:lineRule="auto"/>
        <w:jc w:val="both"/>
        <w:rPr>
          <w:rFonts w:cstheme="minorHAnsi"/>
          <w:bCs/>
          <w:lang w:val="en-GB"/>
        </w:rPr>
      </w:pPr>
      <w:r w:rsidRPr="0051536E">
        <w:rPr>
          <w:rFonts w:cstheme="minorHAnsi"/>
          <w:bCs/>
          <w:lang w:val="en-GB"/>
        </w:rPr>
        <w:t>Nataly Espinoza Cámac</w:t>
      </w:r>
    </w:p>
    <w:p w14:paraId="3E4F97B9" w14:textId="77777777" w:rsidR="004A26F0" w:rsidRPr="006C266F" w:rsidRDefault="004A26F0" w:rsidP="004A26F0">
      <w:pPr>
        <w:spacing w:after="0" w:line="360" w:lineRule="auto"/>
        <w:jc w:val="both"/>
        <w:rPr>
          <w:rFonts w:cstheme="minorHAnsi"/>
          <w:bCs/>
        </w:rPr>
      </w:pPr>
      <w:r w:rsidRPr="006C266F">
        <w:rPr>
          <w:rFonts w:cstheme="minorHAnsi"/>
          <w:bCs/>
        </w:rPr>
        <w:t>Pharmacoeconomics &amp; Outcomes Research Iberia</w:t>
      </w:r>
    </w:p>
    <w:p w14:paraId="0E7C716C" w14:textId="77777777" w:rsidR="004A26F0" w:rsidRPr="001253F0" w:rsidRDefault="004A26F0" w:rsidP="004A26F0">
      <w:pPr>
        <w:spacing w:after="0" w:line="360" w:lineRule="auto"/>
        <w:jc w:val="both"/>
        <w:rPr>
          <w:rFonts w:cstheme="minorHAnsi"/>
          <w:bCs/>
        </w:rPr>
      </w:pPr>
      <w:r w:rsidRPr="001253F0">
        <w:rPr>
          <w:rFonts w:cstheme="minorHAnsi"/>
          <w:bCs/>
        </w:rPr>
        <w:t>Paseo Joaquín Rodrigo 4- letra I</w:t>
      </w:r>
    </w:p>
    <w:p w14:paraId="5717EE36" w14:textId="77777777" w:rsidR="004A26F0" w:rsidRPr="00324B0A" w:rsidRDefault="004A26F0" w:rsidP="004A26F0">
      <w:pPr>
        <w:spacing w:after="0" w:line="360" w:lineRule="auto"/>
        <w:jc w:val="both"/>
        <w:rPr>
          <w:rFonts w:cstheme="minorHAnsi"/>
          <w:bCs/>
        </w:rPr>
      </w:pPr>
      <w:r w:rsidRPr="001253F0">
        <w:rPr>
          <w:rFonts w:cstheme="minorHAnsi"/>
          <w:bCs/>
        </w:rPr>
        <w:t xml:space="preserve">28224 Pozuelo de Alarcón. </w:t>
      </w:r>
      <w:r w:rsidRPr="00324B0A">
        <w:rPr>
          <w:rFonts w:cstheme="minorHAnsi"/>
          <w:bCs/>
        </w:rPr>
        <w:t>Madrid (Spain)</w:t>
      </w:r>
    </w:p>
    <w:p w14:paraId="56D7672C" w14:textId="2CE2DAF6" w:rsidR="00662023" w:rsidRPr="004629D8" w:rsidRDefault="004A26F0" w:rsidP="004A26F0">
      <w:pPr>
        <w:rPr>
          <w:rFonts w:cstheme="minorHAnsi"/>
          <w:b/>
          <w:lang w:val="en-US"/>
        </w:rPr>
      </w:pPr>
      <w:r w:rsidRPr="004629D8">
        <w:rPr>
          <w:rFonts w:cstheme="minorHAnsi"/>
          <w:bCs/>
          <w:lang w:val="en-US"/>
        </w:rPr>
        <w:t>nespinoza@porib.com</w:t>
      </w:r>
      <w:r w:rsidRPr="004629D8">
        <w:rPr>
          <w:rFonts w:cstheme="minorHAnsi"/>
          <w:b/>
          <w:lang w:val="en-US"/>
        </w:rPr>
        <w:t xml:space="preserve"> </w:t>
      </w:r>
      <w:r w:rsidR="00662023" w:rsidRPr="004629D8">
        <w:rPr>
          <w:rFonts w:cstheme="minorHAnsi"/>
          <w:b/>
          <w:lang w:val="en-US"/>
        </w:rPr>
        <w:br w:type="page"/>
      </w:r>
    </w:p>
    <w:p w14:paraId="38C7EA40" w14:textId="7A7ADF5A" w:rsidR="00F543F7" w:rsidRPr="00F543F7" w:rsidRDefault="00F543F7" w:rsidP="00F543F7">
      <w:pPr>
        <w:spacing w:after="0" w:line="360" w:lineRule="auto"/>
        <w:jc w:val="both"/>
        <w:rPr>
          <w:rFonts w:cstheme="minorHAnsi"/>
          <w:b/>
          <w:lang w:val="en-GB"/>
        </w:rPr>
      </w:pPr>
      <w:r w:rsidRPr="00F543F7">
        <w:rPr>
          <w:rFonts w:cstheme="minorHAnsi"/>
          <w:b/>
          <w:lang w:val="en-GB"/>
        </w:rPr>
        <w:lastRenderedPageBreak/>
        <w:t xml:space="preserve">Disclosure: </w:t>
      </w:r>
      <w:r w:rsidRPr="00662023">
        <w:rPr>
          <w:rFonts w:cstheme="minorHAnsi"/>
          <w:bCs/>
          <w:lang w:val="en-GB"/>
        </w:rPr>
        <w:t>This analysis was supported by Biogen Spain S.L.U</w:t>
      </w:r>
    </w:p>
    <w:p w14:paraId="453B7519" w14:textId="139DAF8A" w:rsidR="00662023" w:rsidRDefault="00F543F7" w:rsidP="00590370">
      <w:pPr>
        <w:pStyle w:val="Caption"/>
        <w:jc w:val="both"/>
        <w:rPr>
          <w:rFonts w:cstheme="minorHAnsi"/>
          <w:bCs/>
          <w:lang w:val="en-GB"/>
        </w:rPr>
      </w:pPr>
      <w:r w:rsidRPr="00F543F7">
        <w:rPr>
          <w:rFonts w:cstheme="minorHAnsi"/>
          <w:b/>
          <w:lang w:val="en-GB"/>
        </w:rPr>
        <w:t xml:space="preserve">Conflict of interest </w:t>
      </w:r>
      <w:r w:rsidRPr="00662023">
        <w:rPr>
          <w:rFonts w:cstheme="minorHAnsi"/>
          <w:bCs/>
          <w:lang w:val="en-GB"/>
        </w:rPr>
        <w:t>Ana María Alonso Torres has received compensation for serving on advisory boards for Biogen Spain S.L.U, Bristol Myers Squibb (BMS), Janssen, Novartis, Roche, and Sanofi; speaker honoraria from Almirall, Biogen Spain S.L.U, BMS, Janssen, Merck, Novartis, Roche, and Sanofi; Ángel Guillermo Arévalo Bernabé has received compensation for serving on advisory boards for Biogen Spain S.L.U and Merck. Noelia Becerril Ríos has received compensation for serving on advisory boards and speaker fees from Almirall, Bayer, Biogen Spain S.L.U, BMS, Janssen, Merck, Novartis, Sanofi. María Fuensanta Hellín Gil has received compensation for serving on advisory boards and speaker event for Biogen Spain S.L.U. José Manuel Martínez Sesmero has received compensation for serving on advisory boards for Biogen Spain S.L.U, Merck, Roche, and Teva Pharmaceutical. Virginia Meca Lallana has received compensation for serving on scientific advisory boards and has received speaker honoraria from Almirall, Biogen Spain S.L.U, BMS, Genzyme, Janssen, Merck-Serono, Novartis, Roche, Sanofi-Aventis, Terumo, and Teva Pharmaceutical. Lluís Ramió-Torrentá have received compensation for serving on advisory boards and speaker honoraria from Almirall, Biogen Spain S.L.U, BMS, Merck, Novartis, Roche, Sanofi and Teva Pharmaceutical. Alfredo Rodriguez-Antigüedad Zarranz has received compensation for serving on advisory boards or speaker honoraria from Biogen, BMS, Janssen, Merck‐Serono, Novartis, Roche, and Sanofi. Laura Gómez Maldonado and Inés Triana Junco are employees of Biogen Spain S.L.U and hold shares or stocks as part of their remuneration. Manuel Gómez-Barrera, Nataly Espinoza, and Itziar Oyagüezof Pharmacoeconomics &amp; Outcomes Research Iberia (PORIB), an independent research organisation, which received funding pursuant to a contract with Biogen Spain S.L.U.</w:t>
      </w:r>
    </w:p>
    <w:p w14:paraId="5F580D3D" w14:textId="77777777" w:rsidR="00662023" w:rsidRDefault="00662023" w:rsidP="00B75A5A">
      <w:pPr>
        <w:pStyle w:val="Caption"/>
        <w:rPr>
          <w:rFonts w:cstheme="minorHAnsi"/>
          <w:bCs/>
          <w:lang w:val="en-GB"/>
        </w:rPr>
        <w:sectPr w:rsidR="00662023" w:rsidSect="00662023">
          <w:endnotePr>
            <w:numFmt w:val="decimal"/>
          </w:endnotePr>
          <w:pgSz w:w="11906" w:h="16838"/>
          <w:pgMar w:top="1304" w:right="1304" w:bottom="1418" w:left="1418" w:header="709" w:footer="709" w:gutter="0"/>
          <w:cols w:space="708"/>
          <w:docGrid w:linePitch="360"/>
        </w:sectPr>
      </w:pPr>
    </w:p>
    <w:p w14:paraId="15CD1F88" w14:textId="31E0FC8F" w:rsidR="00B75A5A" w:rsidRPr="004A47DA" w:rsidRDefault="00DC45A8" w:rsidP="00DC45A8">
      <w:pPr>
        <w:pStyle w:val="Caption"/>
        <w:rPr>
          <w:b/>
          <w:bCs/>
          <w:lang w:val="en-GB"/>
        </w:rPr>
      </w:pPr>
      <w:r w:rsidRPr="00DC45A8">
        <w:rPr>
          <w:b/>
          <w:bCs/>
        </w:rPr>
        <w:lastRenderedPageBreak/>
        <w:t xml:space="preserve">Figure </w:t>
      </w:r>
      <w:r w:rsidRPr="00DC45A8">
        <w:rPr>
          <w:b/>
          <w:bCs/>
        </w:rPr>
        <w:fldChar w:fldCharType="begin"/>
      </w:r>
      <w:r w:rsidRPr="00DC45A8">
        <w:rPr>
          <w:b/>
          <w:bCs/>
        </w:rPr>
        <w:instrText xml:space="preserve"> SEQ Figure \* ARABIC </w:instrText>
      </w:r>
      <w:r w:rsidRPr="00DC45A8">
        <w:rPr>
          <w:b/>
          <w:bCs/>
        </w:rPr>
        <w:fldChar w:fldCharType="separate"/>
      </w:r>
      <w:r>
        <w:rPr>
          <w:b/>
          <w:bCs/>
          <w:noProof/>
        </w:rPr>
        <w:t>1</w:t>
      </w:r>
      <w:r w:rsidRPr="00DC45A8">
        <w:rPr>
          <w:b/>
          <w:bCs/>
        </w:rPr>
        <w:fldChar w:fldCharType="end"/>
      </w:r>
      <w:r w:rsidR="00B75A5A" w:rsidRPr="00DC45A8">
        <w:rPr>
          <w:b/>
          <w:bCs/>
          <w:lang w:val="en-GB"/>
        </w:rPr>
        <w:t>. Critical</w:t>
      </w:r>
      <w:r w:rsidR="00B75A5A" w:rsidRPr="004A47DA">
        <w:rPr>
          <w:b/>
          <w:bCs/>
          <w:lang w:val="en-GB"/>
        </w:rPr>
        <w:t xml:space="preserve"> points diagram on starting and switching natalizumab treatment (from IV to SC)</w:t>
      </w:r>
    </w:p>
    <w:p w14:paraId="793F5F86" w14:textId="77777777" w:rsidR="00B75A5A" w:rsidRPr="0051536E" w:rsidRDefault="00B75A5A" w:rsidP="00B75A5A">
      <w:pPr>
        <w:suppressLineNumbers/>
        <w:spacing w:after="0" w:line="240" w:lineRule="auto"/>
        <w:jc w:val="both"/>
        <w:rPr>
          <w:lang w:val="en-GB"/>
        </w:rPr>
      </w:pPr>
      <w:r w:rsidRPr="008F64F0">
        <w:rPr>
          <w:noProof/>
          <w:lang w:val="en-IN" w:eastAsia="en-IN"/>
        </w:rPr>
        <w:drawing>
          <wp:inline distT="0" distB="0" distL="0" distR="0" wp14:anchorId="17E4F1B1" wp14:editId="4518CD12">
            <wp:extent cx="8819515" cy="4485005"/>
            <wp:effectExtent l="0" t="0" r="635" b="0"/>
            <wp:docPr id="1"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cala de tiempo&#10;&#10;Descripción generada automáticamente"/>
                    <pic:cNvPicPr/>
                  </pic:nvPicPr>
                  <pic:blipFill>
                    <a:blip r:embed="rId8"/>
                    <a:stretch>
                      <a:fillRect/>
                    </a:stretch>
                  </pic:blipFill>
                  <pic:spPr>
                    <a:xfrm>
                      <a:off x="0" y="0"/>
                      <a:ext cx="8819515" cy="4485005"/>
                    </a:xfrm>
                    <a:prstGeom prst="rect">
                      <a:avLst/>
                    </a:prstGeom>
                  </pic:spPr>
                </pic:pic>
              </a:graphicData>
            </a:graphic>
          </wp:inline>
        </w:drawing>
      </w:r>
    </w:p>
    <w:p w14:paraId="0F407D96" w14:textId="77777777" w:rsidR="00B75A5A" w:rsidRPr="0051536E" w:rsidRDefault="00B75A5A" w:rsidP="00B75A5A">
      <w:pPr>
        <w:pStyle w:val="leyenda"/>
        <w:suppressLineNumbers/>
      </w:pPr>
      <w:r w:rsidRPr="005177F1">
        <w:t xml:space="preserve">AACC: Autonomous Community, AE: Adverse </w:t>
      </w:r>
      <w:r>
        <w:t>event</w:t>
      </w:r>
      <w:r w:rsidRPr="005177F1">
        <w:t>s, EMA: European Medicines Agency, IV: Intravenous, JCV: John Cunningham virus, MRI: Magnetic resonance imaging, NTZ: Natalizumab, PML: Progressive multifocal leukoencephalopathy, Q4W: Every four weeks, RRMS: Relapsing-remitting multiple sclerosis, SC: Subcutaneous, SmPC: Summary of product characteristics.</w:t>
      </w:r>
      <w:r w:rsidRPr="0051536E">
        <w:br w:type="page"/>
      </w:r>
    </w:p>
    <w:p w14:paraId="381E982B" w14:textId="38AD1B02" w:rsidR="00B75A5A" w:rsidRPr="004A47DA" w:rsidRDefault="00DC45A8" w:rsidP="00DC45A8">
      <w:pPr>
        <w:pStyle w:val="Caption"/>
        <w:rPr>
          <w:b/>
          <w:bCs/>
          <w:szCs w:val="22"/>
        </w:rPr>
      </w:pPr>
      <w:r w:rsidRPr="00DC45A8">
        <w:rPr>
          <w:b/>
          <w:bCs/>
        </w:rPr>
        <w:lastRenderedPageBreak/>
        <w:t xml:space="preserve">Figure </w:t>
      </w:r>
      <w:r w:rsidRPr="00DC45A8">
        <w:rPr>
          <w:b/>
          <w:bCs/>
        </w:rPr>
        <w:fldChar w:fldCharType="begin"/>
      </w:r>
      <w:r w:rsidRPr="00DC45A8">
        <w:rPr>
          <w:b/>
          <w:bCs/>
        </w:rPr>
        <w:instrText xml:space="preserve"> SEQ Figure \* ARABIC </w:instrText>
      </w:r>
      <w:r w:rsidRPr="00DC45A8">
        <w:rPr>
          <w:b/>
          <w:bCs/>
        </w:rPr>
        <w:fldChar w:fldCharType="separate"/>
      </w:r>
      <w:r w:rsidRPr="00DC45A8">
        <w:rPr>
          <w:b/>
          <w:bCs/>
          <w:noProof/>
        </w:rPr>
        <w:t>2</w:t>
      </w:r>
      <w:r w:rsidRPr="00DC45A8">
        <w:rPr>
          <w:b/>
          <w:bCs/>
        </w:rPr>
        <w:fldChar w:fldCharType="end"/>
      </w:r>
      <w:r w:rsidR="00B75A5A" w:rsidRPr="00DC45A8">
        <w:rPr>
          <w:b/>
          <w:bCs/>
          <w:szCs w:val="22"/>
        </w:rPr>
        <w:t>.</w:t>
      </w:r>
      <w:r w:rsidR="00B75A5A" w:rsidRPr="004A47DA">
        <w:rPr>
          <w:b/>
          <w:bCs/>
          <w:szCs w:val="22"/>
        </w:rPr>
        <w:t xml:space="preserve"> Patient referral diagram for the administration of natalizumab SC</w:t>
      </w:r>
    </w:p>
    <w:p w14:paraId="08C077B3" w14:textId="77777777" w:rsidR="00B75A5A" w:rsidRPr="00434F7F" w:rsidRDefault="00B75A5A" w:rsidP="00B75A5A">
      <w:pPr>
        <w:pStyle w:val="leyenda"/>
        <w:suppressLineNumbers/>
        <w:rPr>
          <w:rStyle w:val="SubtleReference"/>
        </w:rPr>
      </w:pPr>
      <w:r w:rsidRPr="00FA6381">
        <w:rPr>
          <w:rStyle w:val="SubtleReference"/>
          <w:noProof/>
          <w:lang w:val="en-IN" w:eastAsia="en-IN"/>
        </w:rPr>
        <w:drawing>
          <wp:inline distT="0" distB="0" distL="0" distR="0" wp14:anchorId="63800719" wp14:editId="419D48F0">
            <wp:extent cx="8819515" cy="4537075"/>
            <wp:effectExtent l="0" t="0" r="635" b="0"/>
            <wp:docPr id="2" name="Imagen 2"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Escala de tiempo&#10;&#10;Descripción generada automáticamente"/>
                    <pic:cNvPicPr/>
                  </pic:nvPicPr>
                  <pic:blipFill>
                    <a:blip r:embed="rId9"/>
                    <a:stretch>
                      <a:fillRect/>
                    </a:stretch>
                  </pic:blipFill>
                  <pic:spPr>
                    <a:xfrm>
                      <a:off x="0" y="0"/>
                      <a:ext cx="8819515" cy="4537075"/>
                    </a:xfrm>
                    <a:prstGeom prst="rect">
                      <a:avLst/>
                    </a:prstGeom>
                  </pic:spPr>
                </pic:pic>
              </a:graphicData>
            </a:graphic>
          </wp:inline>
        </w:drawing>
      </w:r>
    </w:p>
    <w:p w14:paraId="6FBA4ADD" w14:textId="3B828A7F" w:rsidR="00B75A5A" w:rsidRPr="006C266F" w:rsidRDefault="00B75A5A" w:rsidP="006C266F">
      <w:pPr>
        <w:pStyle w:val="leyenda"/>
        <w:rPr>
          <w:b/>
          <w:bCs/>
        </w:rPr>
      </w:pPr>
      <w:r w:rsidRPr="005177F1">
        <w:t xml:space="preserve">AACC: Autonomous Community, AE: Adverse </w:t>
      </w:r>
      <w:r>
        <w:t>event</w:t>
      </w:r>
      <w:r w:rsidRPr="005177F1">
        <w:t>s, EMA: European Medicines Agency, IV: Intravenous, JCV: John Cunningham virus, MRI: Magnetic resonance imaging, NTZ: Natalizumab, PML: Progressive multifocal leukoencephalopathy, Q4W: Every four weeks, RRMS: Relapsing-remitting multiple sclerosis, SC: Subcutaneous, SmPC: Summary of product characteristics</w:t>
      </w:r>
      <w:r w:rsidR="006C266F">
        <w:t>.</w:t>
      </w:r>
    </w:p>
    <w:sectPr w:rsidR="00B75A5A" w:rsidRPr="006C266F" w:rsidSect="006C266F">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5027B" w14:textId="77777777" w:rsidR="00F94D58" w:rsidRDefault="00F94D58" w:rsidP="000A61FA">
      <w:pPr>
        <w:spacing w:after="0" w:line="240" w:lineRule="auto"/>
      </w:pPr>
      <w:r>
        <w:separator/>
      </w:r>
    </w:p>
  </w:endnote>
  <w:endnote w:type="continuationSeparator" w:id="0">
    <w:p w14:paraId="54376959" w14:textId="77777777" w:rsidR="00F94D58" w:rsidRDefault="00F94D58" w:rsidP="000A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9D659" w14:textId="77777777" w:rsidR="00F94D58" w:rsidRDefault="00F94D58" w:rsidP="000A61FA">
      <w:pPr>
        <w:spacing w:after="0" w:line="240" w:lineRule="auto"/>
      </w:pPr>
      <w:r>
        <w:separator/>
      </w:r>
    </w:p>
  </w:footnote>
  <w:footnote w:type="continuationSeparator" w:id="0">
    <w:p w14:paraId="0F40F571" w14:textId="77777777" w:rsidR="00F94D58" w:rsidRDefault="00F94D58" w:rsidP="000A6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F3E"/>
    <w:multiLevelType w:val="hybridMultilevel"/>
    <w:tmpl w:val="093A44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3527C9"/>
    <w:multiLevelType w:val="hybridMultilevel"/>
    <w:tmpl w:val="B49093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B526D02"/>
    <w:multiLevelType w:val="hybridMultilevel"/>
    <w:tmpl w:val="0F2438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7CB44871"/>
    <w:multiLevelType w:val="hybridMultilevel"/>
    <w:tmpl w:val="C0D434E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F273E0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5A"/>
    <w:rsid w:val="000827E7"/>
    <w:rsid w:val="000A61FA"/>
    <w:rsid w:val="001D4A37"/>
    <w:rsid w:val="002564A5"/>
    <w:rsid w:val="002E6FE3"/>
    <w:rsid w:val="004629D8"/>
    <w:rsid w:val="004A26F0"/>
    <w:rsid w:val="00590370"/>
    <w:rsid w:val="00662023"/>
    <w:rsid w:val="006C266F"/>
    <w:rsid w:val="00943FC3"/>
    <w:rsid w:val="00A87E61"/>
    <w:rsid w:val="00AD0365"/>
    <w:rsid w:val="00B6342D"/>
    <w:rsid w:val="00B75A5A"/>
    <w:rsid w:val="00D13D9C"/>
    <w:rsid w:val="00DC45A8"/>
    <w:rsid w:val="00DD7A23"/>
    <w:rsid w:val="00F161A2"/>
    <w:rsid w:val="00F536B0"/>
    <w:rsid w:val="00F543F7"/>
    <w:rsid w:val="00F94D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AAEB"/>
  <w15:chartTrackingRefBased/>
  <w15:docId w15:val="{D615B2EA-3496-4BDC-9A01-AFE4E8DB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43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75A5A"/>
    <w:pPr>
      <w:spacing w:before="100" w:beforeAutospacing="1" w:after="120" w:line="360" w:lineRule="auto"/>
      <w:jc w:val="both"/>
      <w:outlineLvl w:val="1"/>
    </w:pPr>
    <w:rPr>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75A5A"/>
    <w:pPr>
      <w:spacing w:before="240" w:after="0" w:line="360" w:lineRule="auto"/>
    </w:pPr>
    <w:rPr>
      <w:iCs/>
      <w:szCs w:val="18"/>
      <w:lang w:val="en-US"/>
    </w:rPr>
  </w:style>
  <w:style w:type="paragraph" w:customStyle="1" w:styleId="leyenda">
    <w:name w:val="leyenda"/>
    <w:basedOn w:val="Normal"/>
    <w:link w:val="leyendaCar"/>
    <w:qFormat/>
    <w:rsid w:val="00B75A5A"/>
    <w:pPr>
      <w:spacing w:before="60" w:after="0" w:line="240" w:lineRule="auto"/>
      <w:jc w:val="both"/>
    </w:pPr>
    <w:rPr>
      <w:sz w:val="18"/>
      <w:szCs w:val="18"/>
      <w:lang w:val="en-GB"/>
    </w:rPr>
  </w:style>
  <w:style w:type="character" w:customStyle="1" w:styleId="leyendaCar">
    <w:name w:val="leyenda Car"/>
    <w:basedOn w:val="DefaultParagraphFont"/>
    <w:link w:val="leyenda"/>
    <w:rsid w:val="00B75A5A"/>
    <w:rPr>
      <w:sz w:val="18"/>
      <w:szCs w:val="18"/>
      <w:lang w:val="en-GB"/>
    </w:rPr>
  </w:style>
  <w:style w:type="character" w:styleId="SubtleReference">
    <w:name w:val="Subtle Reference"/>
    <w:basedOn w:val="DefaultParagraphFont"/>
    <w:uiPriority w:val="31"/>
    <w:qFormat/>
    <w:rsid w:val="00B75A5A"/>
    <w:rPr>
      <w:smallCaps/>
      <w:color w:val="5A5A5A" w:themeColor="text1" w:themeTint="A5"/>
    </w:rPr>
  </w:style>
  <w:style w:type="paragraph" w:styleId="Revision">
    <w:name w:val="Revision"/>
    <w:hidden/>
    <w:uiPriority w:val="99"/>
    <w:semiHidden/>
    <w:rsid w:val="00B75A5A"/>
    <w:pPr>
      <w:spacing w:after="0" w:line="240" w:lineRule="auto"/>
    </w:pPr>
  </w:style>
  <w:style w:type="character" w:customStyle="1" w:styleId="Heading2Char">
    <w:name w:val="Heading 2 Char"/>
    <w:basedOn w:val="DefaultParagraphFont"/>
    <w:link w:val="Heading2"/>
    <w:uiPriority w:val="9"/>
    <w:rsid w:val="00B75A5A"/>
    <w:rPr>
      <w:u w:val="single"/>
      <w:lang w:val="en-GB"/>
    </w:rPr>
  </w:style>
  <w:style w:type="character" w:styleId="CommentReference">
    <w:name w:val="annotation reference"/>
    <w:basedOn w:val="DefaultParagraphFont"/>
    <w:uiPriority w:val="99"/>
    <w:semiHidden/>
    <w:unhideWhenUsed/>
    <w:rsid w:val="00B75A5A"/>
    <w:rPr>
      <w:sz w:val="16"/>
      <w:szCs w:val="16"/>
    </w:rPr>
  </w:style>
  <w:style w:type="paragraph" w:styleId="CommentText">
    <w:name w:val="annotation text"/>
    <w:basedOn w:val="Normal"/>
    <w:link w:val="CommentTextChar"/>
    <w:uiPriority w:val="99"/>
    <w:unhideWhenUsed/>
    <w:rsid w:val="00B75A5A"/>
    <w:pPr>
      <w:spacing w:line="240" w:lineRule="auto"/>
    </w:pPr>
    <w:rPr>
      <w:sz w:val="20"/>
      <w:szCs w:val="20"/>
    </w:rPr>
  </w:style>
  <w:style w:type="character" w:customStyle="1" w:styleId="CommentTextChar">
    <w:name w:val="Comment Text Char"/>
    <w:basedOn w:val="DefaultParagraphFont"/>
    <w:link w:val="CommentText"/>
    <w:uiPriority w:val="99"/>
    <w:rsid w:val="00B75A5A"/>
    <w:rPr>
      <w:sz w:val="20"/>
      <w:szCs w:val="20"/>
    </w:rPr>
  </w:style>
  <w:style w:type="paragraph" w:customStyle="1" w:styleId="pf0">
    <w:name w:val="pf0"/>
    <w:basedOn w:val="Normal"/>
    <w:rsid w:val="00A87E6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f01">
    <w:name w:val="cf01"/>
    <w:basedOn w:val="DefaultParagraphFont"/>
    <w:rsid w:val="00A87E61"/>
    <w:rPr>
      <w:rFonts w:ascii="Segoe UI" w:hAnsi="Segoe UI" w:cs="Segoe UI" w:hint="default"/>
      <w:sz w:val="18"/>
      <w:szCs w:val="18"/>
    </w:rPr>
  </w:style>
  <w:style w:type="character" w:customStyle="1" w:styleId="Heading1Char">
    <w:name w:val="Heading 1 Char"/>
    <w:basedOn w:val="DefaultParagraphFont"/>
    <w:link w:val="Heading1"/>
    <w:uiPriority w:val="9"/>
    <w:rsid w:val="00F543F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A6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61FA"/>
    <w:rPr>
      <w:i/>
      <w:iCs/>
    </w:rPr>
  </w:style>
  <w:style w:type="paragraph" w:styleId="FootnoteText">
    <w:name w:val="footnote text"/>
    <w:basedOn w:val="Normal"/>
    <w:link w:val="FootnoteTextChar"/>
    <w:uiPriority w:val="99"/>
    <w:semiHidden/>
    <w:unhideWhenUsed/>
    <w:rsid w:val="000A61FA"/>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semiHidden/>
    <w:rsid w:val="000A61FA"/>
    <w:rPr>
      <w:sz w:val="20"/>
      <w:szCs w:val="20"/>
      <w:lang w:val="en-GB"/>
    </w:rPr>
  </w:style>
  <w:style w:type="character" w:styleId="FootnoteReference">
    <w:name w:val="footnote reference"/>
    <w:basedOn w:val="DefaultParagraphFont"/>
    <w:uiPriority w:val="99"/>
    <w:semiHidden/>
    <w:unhideWhenUsed/>
    <w:rsid w:val="000A61FA"/>
    <w:rPr>
      <w:vertAlign w:val="superscript"/>
    </w:rPr>
  </w:style>
  <w:style w:type="paragraph" w:styleId="ListParagraph">
    <w:name w:val="List Paragraph"/>
    <w:basedOn w:val="Normal"/>
    <w:uiPriority w:val="34"/>
    <w:qFormat/>
    <w:rsid w:val="000A6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E09ED-F784-4CB8-AD14-20878396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627</Words>
  <Characters>3577</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P&amp;O03</dc:creator>
  <cp:keywords/>
  <dc:description/>
  <cp:lastModifiedBy>Vigneswari Ravindran </cp:lastModifiedBy>
  <cp:revision>2</cp:revision>
  <dcterms:created xsi:type="dcterms:W3CDTF">2023-04-22T01:42:00Z</dcterms:created>
  <dcterms:modified xsi:type="dcterms:W3CDTF">2023-04-22T01:42:00Z</dcterms:modified>
</cp:coreProperties>
</file>