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CE87A" w14:textId="77777777" w:rsidR="00464419" w:rsidRDefault="00464419" w:rsidP="006E6EB4">
      <w:bookmarkStart w:id="0" w:name="_Toc89253064"/>
    </w:p>
    <w:p w14:paraId="3CA27B9A" w14:textId="77777777" w:rsidR="00464419" w:rsidRPr="004E2161" w:rsidRDefault="00464419" w:rsidP="00464419">
      <w:pPr>
        <w:rPr>
          <w:rFonts w:ascii="Times New Roman" w:hAnsi="Times New Roman" w:cs="Times New Roman"/>
          <w:i/>
          <w:iCs/>
        </w:rPr>
      </w:pPr>
      <w:proofErr w:type="spellStart"/>
      <w:r w:rsidRPr="004E2161">
        <w:rPr>
          <w:rFonts w:ascii="Times New Roman" w:hAnsi="Times New Roman" w:cs="Times New Roman"/>
          <w:i/>
          <w:iCs/>
        </w:rPr>
        <w:t>PharmacoEconomics</w:t>
      </w:r>
      <w:proofErr w:type="spellEnd"/>
      <w:r w:rsidRPr="004E2161">
        <w:rPr>
          <w:rFonts w:ascii="Times New Roman" w:hAnsi="Times New Roman" w:cs="Times New Roman"/>
          <w:i/>
          <w:iCs/>
        </w:rPr>
        <w:t xml:space="preserve"> Open</w:t>
      </w:r>
    </w:p>
    <w:p w14:paraId="406CA09B" w14:textId="77777777" w:rsidR="00464419" w:rsidRPr="004E2161" w:rsidRDefault="00464419" w:rsidP="00464419">
      <w:pPr>
        <w:spacing w:line="360" w:lineRule="auto"/>
        <w:rPr>
          <w:rFonts w:ascii="Times New Roman" w:hAnsi="Times New Roman" w:cs="Times New Roman"/>
          <w:b/>
          <w:bCs w:val="0"/>
        </w:rPr>
      </w:pPr>
      <w:r w:rsidRPr="004E2161">
        <w:rPr>
          <w:rFonts w:ascii="Times New Roman" w:hAnsi="Times New Roman" w:cs="Times New Roman"/>
          <w:b/>
        </w:rPr>
        <w:t xml:space="preserve">Cost-Effectiveness of Nivolumab Plus Ipilimumab for the First-Line Treatment of Intermediate/Poor-Risk Advanced and/or Metastatic Renal Cell Carcinoma in Switzerland </w:t>
      </w:r>
    </w:p>
    <w:p w14:paraId="225A3619" w14:textId="77777777" w:rsidR="00464419" w:rsidRPr="004E2161" w:rsidRDefault="00464419" w:rsidP="00464419">
      <w:pPr>
        <w:spacing w:line="360" w:lineRule="auto"/>
        <w:rPr>
          <w:rFonts w:ascii="Times New Roman" w:hAnsi="Times New Roman" w:cs="Times New Roman"/>
          <w:b/>
          <w:bCs w:val="0"/>
        </w:rPr>
      </w:pPr>
      <w:r w:rsidRPr="004E2161">
        <w:rPr>
          <w:rFonts w:ascii="Times New Roman" w:hAnsi="Times New Roman" w:cs="Times New Roman"/>
          <w:b/>
        </w:rPr>
        <w:t>Esra Çakar · César Oniangue-ndza · Ralp</w:t>
      </w:r>
      <w:bookmarkStart w:id="1" w:name="_GoBack"/>
      <w:bookmarkEnd w:id="1"/>
      <w:r w:rsidRPr="004E2161">
        <w:rPr>
          <w:rFonts w:ascii="Times New Roman" w:hAnsi="Times New Roman" w:cs="Times New Roman"/>
          <w:b/>
        </w:rPr>
        <w:t>h P. Schneider · Sven L. Klijn · Ursula M. Vogl ·</w:t>
      </w:r>
      <w:r w:rsidRPr="004E2161">
        <w:rPr>
          <w:rFonts w:ascii="Times New Roman" w:hAnsi="Times New Roman" w:cs="Times New Roman"/>
          <w:b/>
        </w:rPr>
        <w:br/>
        <w:t>Christian Rothermundt · Jessica R. May</w:t>
      </w:r>
    </w:p>
    <w:p w14:paraId="79DA241C" w14:textId="77777777" w:rsidR="00464419" w:rsidRPr="004E2161" w:rsidRDefault="00464419" w:rsidP="00464419">
      <w:pPr>
        <w:spacing w:line="360" w:lineRule="auto"/>
        <w:rPr>
          <w:rFonts w:ascii="Times New Roman" w:hAnsi="Times New Roman" w:cs="Times New Roman"/>
        </w:rPr>
      </w:pPr>
      <w:r w:rsidRPr="004E2161">
        <w:rPr>
          <w:rFonts w:ascii="Times New Roman" w:hAnsi="Times New Roman" w:cs="Times New Roman"/>
        </w:rPr>
        <w:t xml:space="preserve">Correspondence to: César Oniangue-ndza (Bristol Myers Squibb SA, </w:t>
      </w:r>
      <w:proofErr w:type="spellStart"/>
      <w:r w:rsidRPr="004E2161">
        <w:rPr>
          <w:rFonts w:ascii="Times New Roman" w:hAnsi="Times New Roman" w:cs="Times New Roman"/>
        </w:rPr>
        <w:t>Steinhausen</w:t>
      </w:r>
      <w:proofErr w:type="spellEnd"/>
      <w:r w:rsidRPr="004E2161">
        <w:rPr>
          <w:rFonts w:ascii="Times New Roman" w:hAnsi="Times New Roman" w:cs="Times New Roman"/>
        </w:rPr>
        <w:t xml:space="preserve">, Switzerland), </w:t>
      </w:r>
      <w:proofErr w:type="spellStart"/>
      <w:r w:rsidRPr="004E2161">
        <w:rPr>
          <w:rFonts w:ascii="Times New Roman" w:hAnsi="Times New Roman" w:cs="Times New Roman"/>
        </w:rPr>
        <w:t>Hinterbergstrasse</w:t>
      </w:r>
      <w:proofErr w:type="spellEnd"/>
      <w:r w:rsidRPr="004E2161">
        <w:rPr>
          <w:rFonts w:ascii="Times New Roman" w:hAnsi="Times New Roman" w:cs="Times New Roman"/>
        </w:rPr>
        <w:t xml:space="preserve"> 16, 6330 </w:t>
      </w:r>
      <w:proofErr w:type="spellStart"/>
      <w:r w:rsidRPr="004E2161">
        <w:rPr>
          <w:rFonts w:ascii="Times New Roman" w:hAnsi="Times New Roman" w:cs="Times New Roman"/>
        </w:rPr>
        <w:t>Steinhausen</w:t>
      </w:r>
      <w:proofErr w:type="spellEnd"/>
      <w:r w:rsidRPr="004E2161">
        <w:rPr>
          <w:rFonts w:ascii="Times New Roman" w:hAnsi="Times New Roman" w:cs="Times New Roman"/>
        </w:rPr>
        <w:t xml:space="preserve"> Switzerland, tel. +41 41 767 73 54, e-mail: cesar.oniangue-ndza@bms.com</w:t>
      </w:r>
    </w:p>
    <w:p w14:paraId="40A84DDE" w14:textId="77777777" w:rsidR="00464419" w:rsidRPr="004E2161" w:rsidRDefault="00464419" w:rsidP="00464419">
      <w:pPr>
        <w:spacing w:line="360" w:lineRule="auto"/>
        <w:rPr>
          <w:rFonts w:ascii="Times New Roman" w:hAnsi="Times New Roman" w:cs="Times New Roman"/>
        </w:rPr>
      </w:pPr>
      <w:r w:rsidRPr="004E2161">
        <w:rPr>
          <w:rFonts w:ascii="Times New Roman" w:hAnsi="Times New Roman" w:cs="Times New Roman"/>
        </w:rPr>
        <w:t xml:space="preserve">Funding: This study was funded by Bristol Myers Squibb. </w:t>
      </w:r>
    </w:p>
    <w:p w14:paraId="13C015B1" w14:textId="77777777" w:rsidR="00464419" w:rsidRPr="004E2161" w:rsidRDefault="00464419" w:rsidP="00464419">
      <w:pPr>
        <w:spacing w:line="360" w:lineRule="auto"/>
        <w:rPr>
          <w:rFonts w:ascii="Times New Roman" w:hAnsi="Times New Roman" w:cs="Times New Roman"/>
        </w:rPr>
      </w:pPr>
      <w:r w:rsidRPr="004E2161">
        <w:rPr>
          <w:rFonts w:ascii="Times New Roman" w:hAnsi="Times New Roman" w:cs="Times New Roman"/>
        </w:rPr>
        <w:t xml:space="preserve">Conflicts of interest: EÇ reports funding (institutional) from Bristol Myers Squibb (BMS) to write this manuscript. UMV reports honoraria (institutional) from Merck, BMS, Merck Sharp &amp; Dohme (MSD), Pfizer, Janssen, Astellas, Roche, Bayer, Ipsen, and Sanofi, and (personal) from the Swiss Academy of Multidisciplinary Oncology (SAMO), </w:t>
      </w:r>
      <w:proofErr w:type="spellStart"/>
      <w:r w:rsidRPr="004E2161">
        <w:rPr>
          <w:rFonts w:ascii="Times New Roman" w:hAnsi="Times New Roman" w:cs="Times New Roman"/>
        </w:rPr>
        <w:t>Inselspital</w:t>
      </w:r>
      <w:proofErr w:type="spellEnd"/>
      <w:r w:rsidRPr="004E2161">
        <w:rPr>
          <w:rFonts w:ascii="Times New Roman" w:hAnsi="Times New Roman" w:cs="Times New Roman"/>
        </w:rPr>
        <w:t xml:space="preserve"> Bern, and </w:t>
      </w:r>
      <w:proofErr w:type="spellStart"/>
      <w:r w:rsidRPr="004E2161">
        <w:rPr>
          <w:rFonts w:ascii="Times New Roman" w:hAnsi="Times New Roman" w:cs="Times New Roman"/>
        </w:rPr>
        <w:t>Healthbook</w:t>
      </w:r>
      <w:proofErr w:type="spellEnd"/>
      <w:r w:rsidRPr="004E2161">
        <w:rPr>
          <w:rFonts w:ascii="Times New Roman" w:hAnsi="Times New Roman" w:cs="Times New Roman"/>
        </w:rPr>
        <w:t>; payment for expert testimony (institutional) from Merck; travel support from Merck and Ipsen; and advisory board fees from Merck, BMS, MSD, Pfizer, Janssen, Astellas, Roche, Bayer, Ipsen, and Sanofi. CR reports consulting fees from Merck (Schweiz) AG (personal) and Pfizer, BMS, MSD Oncology, Bayer (Schweiz) AG, and Ipsen (institutional). SLK reports consulting fees (institutional) from Bayer, BMS, Kite, and Janssen. CO, RPS, and JRM are employed by and have stock ownership in BMS.</w:t>
      </w:r>
    </w:p>
    <w:p w14:paraId="228BCB68" w14:textId="1E4334B6" w:rsidR="00464419" w:rsidRPr="004E2161" w:rsidRDefault="00464419" w:rsidP="00464419">
      <w:pPr>
        <w:pStyle w:val="Heading4"/>
        <w:numPr>
          <w:ilvl w:val="0"/>
          <w:numId w:val="0"/>
        </w:numPr>
        <w:ind w:left="1080" w:hanging="1080"/>
        <w:rPr>
          <w:rFonts w:ascii="Times New Roman" w:hAnsi="Times New Roman" w:cs="Times New Roman"/>
          <w:lang w:val="en-GB"/>
        </w:rPr>
      </w:pPr>
    </w:p>
    <w:p w14:paraId="1349E9CF" w14:textId="159B6CD0" w:rsidR="00464419" w:rsidRPr="004E2161" w:rsidRDefault="00464419" w:rsidP="00464419">
      <w:pPr>
        <w:rPr>
          <w:lang w:val="en-GB"/>
        </w:rPr>
      </w:pPr>
    </w:p>
    <w:p w14:paraId="06AA2D66" w14:textId="499C609F" w:rsidR="00464419" w:rsidRPr="004E2161" w:rsidRDefault="00464419" w:rsidP="00464419">
      <w:pPr>
        <w:rPr>
          <w:lang w:val="en-GB"/>
        </w:rPr>
      </w:pPr>
    </w:p>
    <w:p w14:paraId="0F3380F1" w14:textId="45E65479" w:rsidR="00464419" w:rsidRPr="004E2161" w:rsidRDefault="00464419" w:rsidP="00464419">
      <w:pPr>
        <w:rPr>
          <w:lang w:val="en-GB"/>
        </w:rPr>
      </w:pPr>
    </w:p>
    <w:p w14:paraId="30438544" w14:textId="295C5D58" w:rsidR="00464419" w:rsidRPr="004E2161" w:rsidRDefault="00464419" w:rsidP="00464419">
      <w:pPr>
        <w:rPr>
          <w:lang w:val="en-GB"/>
        </w:rPr>
      </w:pPr>
    </w:p>
    <w:p w14:paraId="5775B210" w14:textId="593CF963" w:rsidR="00464419" w:rsidRPr="004E2161" w:rsidRDefault="00464419" w:rsidP="00464419">
      <w:pPr>
        <w:rPr>
          <w:lang w:val="en-GB"/>
        </w:rPr>
      </w:pPr>
    </w:p>
    <w:p w14:paraId="1338222F" w14:textId="6B842908" w:rsidR="00464419" w:rsidRPr="004E2161" w:rsidRDefault="00464419" w:rsidP="00464419">
      <w:pPr>
        <w:rPr>
          <w:lang w:val="en-GB"/>
        </w:rPr>
      </w:pPr>
    </w:p>
    <w:p w14:paraId="48270E71" w14:textId="1D61ECAE" w:rsidR="00464419" w:rsidRPr="004E2161" w:rsidRDefault="00464419" w:rsidP="00464419">
      <w:pPr>
        <w:rPr>
          <w:lang w:val="en-GB"/>
        </w:rPr>
      </w:pPr>
    </w:p>
    <w:p w14:paraId="50C18AB4" w14:textId="2BF2FDC6" w:rsidR="00464419" w:rsidRPr="004E2161" w:rsidRDefault="00464419" w:rsidP="00464419">
      <w:pPr>
        <w:rPr>
          <w:lang w:val="en-GB"/>
        </w:rPr>
      </w:pPr>
    </w:p>
    <w:p w14:paraId="23FE5B5D" w14:textId="7003CEBB" w:rsidR="00464419" w:rsidRPr="004E2161" w:rsidRDefault="00464419" w:rsidP="00464419">
      <w:pPr>
        <w:rPr>
          <w:lang w:val="en-GB"/>
        </w:rPr>
      </w:pPr>
    </w:p>
    <w:p w14:paraId="5D1ED4DE" w14:textId="02D92916" w:rsidR="00464419" w:rsidRPr="004E2161" w:rsidRDefault="00464419" w:rsidP="00464419">
      <w:pPr>
        <w:rPr>
          <w:lang w:val="en-GB"/>
        </w:rPr>
      </w:pPr>
    </w:p>
    <w:p w14:paraId="6009DBB3" w14:textId="753E5065" w:rsidR="00464419" w:rsidRPr="004E2161" w:rsidRDefault="00464419" w:rsidP="00464419">
      <w:pPr>
        <w:rPr>
          <w:lang w:val="en-GB"/>
        </w:rPr>
      </w:pPr>
    </w:p>
    <w:p w14:paraId="729F38E3" w14:textId="61564297" w:rsidR="00464419" w:rsidRPr="004E2161" w:rsidRDefault="00464419" w:rsidP="00464419">
      <w:pPr>
        <w:rPr>
          <w:lang w:val="en-GB"/>
        </w:rPr>
      </w:pPr>
    </w:p>
    <w:p w14:paraId="45458AE0" w14:textId="17ED7C0F" w:rsidR="00464419" w:rsidRPr="004E2161" w:rsidRDefault="00464419" w:rsidP="00464419">
      <w:pPr>
        <w:rPr>
          <w:lang w:val="en-GB"/>
        </w:rPr>
      </w:pPr>
    </w:p>
    <w:p w14:paraId="0CBD0645" w14:textId="4AA64F18" w:rsidR="00464419" w:rsidRPr="004E2161" w:rsidRDefault="00464419" w:rsidP="00464419">
      <w:pPr>
        <w:rPr>
          <w:lang w:val="en-GB"/>
        </w:rPr>
      </w:pPr>
    </w:p>
    <w:p w14:paraId="6935373D" w14:textId="3995121A" w:rsidR="00464419" w:rsidRPr="004E2161" w:rsidRDefault="00464419" w:rsidP="00464419">
      <w:pPr>
        <w:rPr>
          <w:lang w:val="en-GB"/>
        </w:rPr>
      </w:pPr>
    </w:p>
    <w:p w14:paraId="647B0C86" w14:textId="77777777" w:rsidR="00464419" w:rsidRPr="004E2161" w:rsidRDefault="00464419" w:rsidP="00464419">
      <w:pPr>
        <w:rPr>
          <w:lang w:val="en-GB"/>
        </w:rPr>
      </w:pPr>
    </w:p>
    <w:p w14:paraId="47F65314" w14:textId="761BC61A" w:rsidR="007E3B13" w:rsidRPr="004E2161" w:rsidRDefault="007E3B13" w:rsidP="006E6EB4">
      <w:pPr>
        <w:pStyle w:val="Heading4"/>
        <w:rPr>
          <w:rFonts w:ascii="Times New Roman" w:hAnsi="Times New Roman" w:cs="Times New Roman"/>
          <w:lang w:val="en-GB"/>
        </w:rPr>
      </w:pPr>
      <w:r w:rsidRPr="004E2161">
        <w:rPr>
          <w:rFonts w:ascii="Times New Roman" w:hAnsi="Times New Roman" w:cs="Times New Roman"/>
          <w:lang w:val="en-GB"/>
        </w:rPr>
        <w:lastRenderedPageBreak/>
        <w:t>SUPPLEMENTARY MATERIALS</w:t>
      </w:r>
      <w:bookmarkEnd w:id="0"/>
    </w:p>
    <w:p w14:paraId="4FDE1409" w14:textId="77777777" w:rsidR="007E3B13" w:rsidRPr="004E2161" w:rsidRDefault="007E3B13" w:rsidP="007E3B13">
      <w:pPr>
        <w:pStyle w:val="Heading2"/>
        <w:numPr>
          <w:ilvl w:val="0"/>
          <w:numId w:val="0"/>
        </w:numPr>
        <w:spacing w:before="240" w:after="0"/>
        <w:rPr>
          <w:rFonts w:ascii="Times New Roman" w:hAnsi="Times New Roman" w:cs="Times New Roman"/>
          <w:b/>
          <w:bCs w:val="0"/>
          <w:i/>
          <w:iCs w:val="0"/>
          <w:color w:val="000000" w:themeColor="text1"/>
          <w:sz w:val="20"/>
          <w:szCs w:val="20"/>
          <w:lang w:val="en-GB"/>
        </w:rPr>
      </w:pPr>
      <w:bookmarkStart w:id="2" w:name="_Toc89253065"/>
      <w:r w:rsidRPr="004E2161">
        <w:rPr>
          <w:rFonts w:ascii="Times New Roman" w:hAnsi="Times New Roman" w:cs="Times New Roman"/>
          <w:b/>
          <w:bCs w:val="0"/>
          <w:i/>
          <w:iCs w:val="0"/>
          <w:color w:val="000000" w:themeColor="text1"/>
          <w:sz w:val="20"/>
          <w:szCs w:val="20"/>
          <w:lang w:val="en-GB"/>
        </w:rPr>
        <w:t>Sensitivity analyses</w:t>
      </w:r>
    </w:p>
    <w:p w14:paraId="15B37B15" w14:textId="39D99E50" w:rsidR="007E3B13" w:rsidRPr="004E2161" w:rsidRDefault="007E3B13" w:rsidP="007E3B13">
      <w:pPr>
        <w:spacing w:before="120" w:after="0" w:line="240" w:lineRule="auto"/>
        <w:ind w:firstLine="432"/>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b/>
          <w:bCs w:val="0"/>
          <w:color w:val="000000" w:themeColor="text1"/>
          <w:sz w:val="20"/>
          <w:szCs w:val="20"/>
          <w:lang w:val="en-GB"/>
        </w:rPr>
        <w:t xml:space="preserve">One-way sensitivity analysis </w:t>
      </w:r>
      <w:r w:rsidR="006E75E4" w:rsidRPr="004E2161">
        <w:rPr>
          <w:rFonts w:ascii="Times New Roman" w:hAnsi="Times New Roman" w:cs="Times New Roman"/>
          <w:b/>
          <w:bCs w:val="0"/>
          <w:color w:val="000000" w:themeColor="text1"/>
          <w:sz w:val="20"/>
          <w:szCs w:val="20"/>
          <w:lang w:val="en-GB"/>
        </w:rPr>
        <w:t xml:space="preserve">(OWSA) </w:t>
      </w:r>
      <w:r w:rsidRPr="004E2161">
        <w:rPr>
          <w:rFonts w:ascii="Times New Roman" w:hAnsi="Times New Roman" w:cs="Times New Roman"/>
          <w:b/>
          <w:bCs w:val="0"/>
          <w:color w:val="000000" w:themeColor="text1"/>
          <w:sz w:val="20"/>
          <w:szCs w:val="20"/>
          <w:lang w:val="en-GB"/>
        </w:rPr>
        <w:t>results.</w:t>
      </w:r>
      <w:r w:rsidRPr="004E2161">
        <w:rPr>
          <w:rFonts w:ascii="Times New Roman" w:hAnsi="Times New Roman" w:cs="Times New Roman"/>
          <w:color w:val="000000" w:themeColor="text1"/>
          <w:sz w:val="20"/>
          <w:szCs w:val="20"/>
          <w:lang w:val="en-GB"/>
        </w:rPr>
        <w:t xml:space="preserve"> The OWSA results show that the top three model drivers were the proportion of progressed patients that received a subsequent treatment after </w:t>
      </w:r>
      <w:r w:rsidR="006E75E4" w:rsidRPr="004E2161">
        <w:rPr>
          <w:rFonts w:ascii="Times New Roman" w:hAnsi="Times New Roman" w:cs="Times New Roman"/>
          <w:color w:val="000000" w:themeColor="text1"/>
          <w:sz w:val="20"/>
          <w:szCs w:val="20"/>
          <w:lang w:val="en-GB"/>
        </w:rPr>
        <w:t>sunitinib (SUN), pazopanib (PAZ) or nivolumab (NIVO)</w:t>
      </w:r>
      <w:r w:rsidRPr="004E2161">
        <w:rPr>
          <w:rFonts w:ascii="Times New Roman" w:hAnsi="Times New Roman" w:cs="Times New Roman"/>
          <w:color w:val="000000" w:themeColor="text1"/>
          <w:sz w:val="20"/>
          <w:szCs w:val="20"/>
          <w:lang w:val="en-GB"/>
        </w:rPr>
        <w:t xml:space="preserve">, respectively, and the mean </w:t>
      </w:r>
      <w:r w:rsidR="006E75E4" w:rsidRPr="004E2161">
        <w:rPr>
          <w:rFonts w:ascii="Times New Roman" w:hAnsi="Times New Roman" w:cs="Times New Roman"/>
          <w:color w:val="000000" w:themeColor="text1"/>
          <w:sz w:val="20"/>
          <w:szCs w:val="20"/>
          <w:lang w:val="en-GB"/>
        </w:rPr>
        <w:t>progression-free survival (</w:t>
      </w:r>
      <w:r w:rsidRPr="004E2161">
        <w:rPr>
          <w:rFonts w:ascii="Times New Roman" w:hAnsi="Times New Roman" w:cs="Times New Roman"/>
          <w:color w:val="000000" w:themeColor="text1"/>
          <w:sz w:val="20"/>
          <w:szCs w:val="20"/>
          <w:lang w:val="en-GB"/>
        </w:rPr>
        <w:t>PFS</w:t>
      </w:r>
      <w:r w:rsidR="006E75E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in second-line treatment (Fig</w:t>
      </w:r>
      <w:r w:rsidR="006E75E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S1). Varying these parameters resulted in changes of ±14.1%, ±9.8% and ±6.7% in the </w:t>
      </w:r>
      <w:r w:rsidR="006E75E4" w:rsidRPr="004E2161">
        <w:rPr>
          <w:rFonts w:ascii="Times New Roman" w:hAnsi="Times New Roman" w:cs="Times New Roman"/>
          <w:color w:val="000000" w:themeColor="text1"/>
          <w:sz w:val="20"/>
          <w:szCs w:val="20"/>
          <w:lang w:val="en-GB"/>
        </w:rPr>
        <w:t>incremental cost-utility ratio (ICUR)</w:t>
      </w:r>
      <w:r w:rsidRPr="004E2161">
        <w:rPr>
          <w:rFonts w:ascii="Times New Roman" w:hAnsi="Times New Roman" w:cs="Times New Roman"/>
          <w:color w:val="000000" w:themeColor="text1"/>
          <w:sz w:val="20"/>
          <w:szCs w:val="20"/>
          <w:lang w:val="en-GB"/>
        </w:rPr>
        <w:t xml:space="preserve">, respectively, versus SUN, and changes of ±12.9%, ±8.6% and ±5.5% in the ICUR, respectively, versus PAZ. </w:t>
      </w:r>
    </w:p>
    <w:p w14:paraId="218597FE" w14:textId="77777777" w:rsidR="007E3B13" w:rsidRPr="004E2161" w:rsidRDefault="007E3B13" w:rsidP="007E3B13">
      <w:pPr>
        <w:spacing w:before="120" w:after="0" w:line="240" w:lineRule="auto"/>
        <w:contextualSpacing w:val="0"/>
        <w:jc w:val="left"/>
        <w:rPr>
          <w:rFonts w:ascii="Times New Roman" w:hAnsi="Times New Roman" w:cs="Times New Roman"/>
          <w:color w:val="000000" w:themeColor="text1"/>
          <w:sz w:val="20"/>
          <w:szCs w:val="20"/>
          <w:lang w:val="en-GB" w:eastAsia="en-US"/>
        </w:rPr>
      </w:pPr>
      <w:r w:rsidRPr="004E2161">
        <w:rPr>
          <w:rFonts w:ascii="Times New Roman" w:hAnsi="Times New Roman" w:cs="Times New Roman"/>
          <w:color w:val="000000" w:themeColor="text1"/>
          <w:sz w:val="20"/>
          <w:szCs w:val="20"/>
          <w:lang w:val="en-GB"/>
        </w:rPr>
        <w:t>Drug acquisition costs were assumed not to be subject to uncertainty and therefore were not included in the sensitivity analyses</w:t>
      </w:r>
      <w:r w:rsidRPr="004E2161">
        <w:rPr>
          <w:rFonts w:ascii="Times New Roman" w:hAnsi="Times New Roman" w:cs="Times New Roman"/>
          <w:color w:val="000000" w:themeColor="text1"/>
          <w:sz w:val="20"/>
          <w:szCs w:val="20"/>
          <w:lang w:val="en-GB" w:eastAsia="en-US"/>
        </w:rPr>
        <w:t>.</w:t>
      </w:r>
    </w:p>
    <w:p w14:paraId="1D24AA11" w14:textId="77777777" w:rsidR="007E3B13" w:rsidRPr="004E2161" w:rsidRDefault="007E3B13" w:rsidP="007E3B13">
      <w:pPr>
        <w:spacing w:before="120" w:after="0" w:line="240" w:lineRule="auto"/>
        <w:contextualSpacing w:val="0"/>
        <w:jc w:val="left"/>
        <w:rPr>
          <w:rFonts w:ascii="Times New Roman" w:hAnsi="Times New Roman" w:cs="Times New Roman"/>
          <w:color w:val="000000" w:themeColor="text1"/>
          <w:sz w:val="20"/>
          <w:szCs w:val="20"/>
          <w:lang w:val="en-GB"/>
        </w:rPr>
      </w:pPr>
    </w:p>
    <w:p w14:paraId="229D09E5" w14:textId="5E2DAA67" w:rsidR="007E3B13" w:rsidRPr="004E2161" w:rsidRDefault="007E3B13" w:rsidP="007E3B13">
      <w:pPr>
        <w:spacing w:before="240" w:after="0" w:line="240" w:lineRule="auto"/>
        <w:contextualSpacing w:val="0"/>
        <w:jc w:val="left"/>
        <w:rPr>
          <w:rFonts w:ascii="Times New Roman" w:hAnsi="Times New Roman" w:cs="Times New Roman"/>
          <w:b/>
          <w:bCs w:val="0"/>
          <w:color w:val="000000" w:themeColor="text1"/>
          <w:sz w:val="20"/>
          <w:szCs w:val="20"/>
          <w:lang w:val="en-GB"/>
        </w:rPr>
      </w:pPr>
      <w:r w:rsidRPr="004E2161">
        <w:rPr>
          <w:rFonts w:ascii="Times New Roman" w:hAnsi="Times New Roman" w:cs="Times New Roman"/>
          <w:b/>
          <w:bCs w:val="0"/>
          <w:color w:val="000000" w:themeColor="text1"/>
          <w:sz w:val="20"/>
          <w:szCs w:val="20"/>
          <w:lang w:val="en-GB"/>
        </w:rPr>
        <w:t>Fig</w:t>
      </w:r>
      <w:r w:rsidR="006E75E4" w:rsidRPr="004E2161">
        <w:rPr>
          <w:rFonts w:ascii="Times New Roman" w:hAnsi="Times New Roman" w:cs="Times New Roman"/>
          <w:b/>
          <w:bCs w:val="0"/>
          <w:color w:val="000000" w:themeColor="text1"/>
          <w:sz w:val="20"/>
          <w:szCs w:val="20"/>
          <w:lang w:val="en-GB"/>
        </w:rPr>
        <w:t>.</w:t>
      </w:r>
      <w:r w:rsidRPr="004E2161">
        <w:rPr>
          <w:rFonts w:ascii="Times New Roman" w:hAnsi="Times New Roman" w:cs="Times New Roman"/>
          <w:b/>
          <w:bCs w:val="0"/>
          <w:color w:val="000000" w:themeColor="text1"/>
          <w:sz w:val="20"/>
          <w:szCs w:val="20"/>
          <w:lang w:val="en-GB"/>
        </w:rPr>
        <w:t xml:space="preserve"> S1</w:t>
      </w:r>
      <w:r w:rsidRPr="004E2161">
        <w:rPr>
          <w:rFonts w:ascii="Times New Roman" w:hAnsi="Times New Roman" w:cs="Times New Roman"/>
          <w:color w:val="000000" w:themeColor="text1"/>
          <w:sz w:val="20"/>
          <w:szCs w:val="20"/>
          <w:lang w:val="en-GB"/>
        </w:rPr>
        <w:t xml:space="preserve"> One-way sensitivity analysis versus SUN and PAZ</w:t>
      </w:r>
      <w:r w:rsidR="006E75E4" w:rsidRPr="004E2161">
        <w:rPr>
          <w:rFonts w:ascii="Times New Roman" w:hAnsi="Times New Roman" w:cs="Times New Roman"/>
          <w:color w:val="000000" w:themeColor="text1"/>
          <w:sz w:val="20"/>
          <w:szCs w:val="20"/>
          <w:lang w:val="en-GB"/>
        </w:rPr>
        <w:t>.</w:t>
      </w:r>
    </w:p>
    <w:p w14:paraId="7D91671C" w14:textId="3CE80DD4" w:rsidR="007E3B13" w:rsidRPr="004E2161" w:rsidRDefault="007E3B13" w:rsidP="007E3B13">
      <w:pPr>
        <w:pStyle w:val="Caption"/>
        <w:keepNext/>
        <w:spacing w:before="240" w:line="240" w:lineRule="auto"/>
        <w:contextualSpacing w:val="0"/>
        <w:jc w:val="left"/>
        <w:rPr>
          <w:rFonts w:ascii="Times New Roman" w:hAnsi="Times New Roman" w:cs="Times New Roman"/>
          <w:sz w:val="20"/>
          <w:szCs w:val="20"/>
          <w:lang w:val="en-GB"/>
        </w:rPr>
      </w:pPr>
      <w:r w:rsidRPr="004E2161">
        <w:rPr>
          <w:rFonts w:ascii="Times New Roman" w:hAnsi="Times New Roman" w:cs="Times New Roman"/>
          <w:noProof/>
          <w:color w:val="000000" w:themeColor="text1"/>
          <w:sz w:val="20"/>
          <w:szCs w:val="20"/>
          <w:lang w:eastAsia="en-US"/>
        </w:rPr>
        <w:drawing>
          <wp:anchor distT="0" distB="0" distL="114300" distR="114300" simplePos="0" relativeHeight="251659264" behindDoc="1" locked="0" layoutInCell="1" allowOverlap="1" wp14:anchorId="06D81CC8" wp14:editId="7EE3A4C3">
            <wp:simplePos x="0" y="0"/>
            <wp:positionH relativeFrom="margin">
              <wp:posOffset>3041015</wp:posOffset>
            </wp:positionH>
            <wp:positionV relativeFrom="paragraph">
              <wp:posOffset>329565</wp:posOffset>
            </wp:positionV>
            <wp:extent cx="3013075" cy="1632585"/>
            <wp:effectExtent l="0" t="0" r="0" b="5715"/>
            <wp:wrapTight wrapText="bothSides">
              <wp:wrapPolygon edited="0">
                <wp:start x="0" y="0"/>
                <wp:lineTo x="0" y="21424"/>
                <wp:lineTo x="21441" y="21424"/>
                <wp:lineTo x="2144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3075" cy="1632585"/>
                    </a:xfrm>
                    <a:prstGeom prst="rect">
                      <a:avLst/>
                    </a:prstGeom>
                    <a:noFill/>
                  </pic:spPr>
                </pic:pic>
              </a:graphicData>
            </a:graphic>
            <wp14:sizeRelH relativeFrom="page">
              <wp14:pctWidth>0</wp14:pctWidth>
            </wp14:sizeRelH>
            <wp14:sizeRelV relativeFrom="page">
              <wp14:pctHeight>0</wp14:pctHeight>
            </wp14:sizeRelV>
          </wp:anchor>
        </w:drawing>
      </w:r>
      <w:r w:rsidRPr="004E2161">
        <w:rPr>
          <w:rFonts w:ascii="Times New Roman" w:hAnsi="Times New Roman" w:cs="Times New Roman"/>
          <w:noProof/>
          <w:color w:val="000000" w:themeColor="text1"/>
          <w:sz w:val="20"/>
          <w:szCs w:val="20"/>
          <w:lang w:eastAsia="en-US"/>
        </w:rPr>
        <w:drawing>
          <wp:anchor distT="0" distB="0" distL="114300" distR="114300" simplePos="0" relativeHeight="251660288" behindDoc="1" locked="0" layoutInCell="1" allowOverlap="1" wp14:anchorId="1E0FF210" wp14:editId="7E34BEF4">
            <wp:simplePos x="0" y="0"/>
            <wp:positionH relativeFrom="margin">
              <wp:align>left</wp:align>
            </wp:positionH>
            <wp:positionV relativeFrom="paragraph">
              <wp:posOffset>252095</wp:posOffset>
            </wp:positionV>
            <wp:extent cx="3001645" cy="1678940"/>
            <wp:effectExtent l="0" t="0" r="8255" b="0"/>
            <wp:wrapTight wrapText="bothSides">
              <wp:wrapPolygon edited="0">
                <wp:start x="0" y="0"/>
                <wp:lineTo x="0" y="21322"/>
                <wp:lineTo x="21522" y="21322"/>
                <wp:lineTo x="2152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645" cy="1678940"/>
                    </a:xfrm>
                    <a:prstGeom prst="rect">
                      <a:avLst/>
                    </a:prstGeom>
                    <a:noFill/>
                  </pic:spPr>
                </pic:pic>
              </a:graphicData>
            </a:graphic>
            <wp14:sizeRelH relativeFrom="page">
              <wp14:pctWidth>0</wp14:pctWidth>
            </wp14:sizeRelH>
            <wp14:sizeRelV relativeFrom="page">
              <wp14:pctHeight>0</wp14:pctHeight>
            </wp14:sizeRelV>
          </wp:anchor>
        </w:drawing>
      </w:r>
    </w:p>
    <w:p w14:paraId="4E2DA3F8" w14:textId="2ABB1609" w:rsidR="007E3B13" w:rsidRPr="004E2161" w:rsidRDefault="007E3B13" w:rsidP="007E3B13">
      <w:pPr>
        <w:spacing w:before="120" w:after="0" w:line="240" w:lineRule="auto"/>
        <w:contextualSpacing w:val="0"/>
        <w:jc w:val="left"/>
        <w:rPr>
          <w:rFonts w:ascii="Times New Roman" w:hAnsi="Times New Roman" w:cs="Times New Roman"/>
          <w:bCs w:val="0"/>
          <w:color w:val="000000" w:themeColor="text1"/>
          <w:sz w:val="20"/>
          <w:szCs w:val="20"/>
          <w:lang w:val="en-GB" w:eastAsia="en-US"/>
        </w:rPr>
      </w:pPr>
      <w:r w:rsidRPr="004E2161">
        <w:rPr>
          <w:rFonts w:ascii="Times New Roman" w:hAnsi="Times New Roman" w:cs="Times New Roman"/>
          <w:bCs w:val="0"/>
          <w:i/>
          <w:iCs/>
          <w:color w:val="000000" w:themeColor="text1"/>
          <w:sz w:val="20"/>
          <w:szCs w:val="20"/>
          <w:lang w:val="en-GB" w:eastAsia="en-US"/>
        </w:rPr>
        <w:t>2L</w:t>
      </w:r>
      <w:r w:rsidRPr="004E2161">
        <w:rPr>
          <w:rFonts w:ascii="Times New Roman" w:hAnsi="Times New Roman" w:cs="Times New Roman"/>
          <w:bCs w:val="0"/>
          <w:color w:val="000000" w:themeColor="text1"/>
          <w:sz w:val="20"/>
          <w:szCs w:val="20"/>
          <w:lang w:val="en-GB" w:eastAsia="en-US"/>
        </w:rPr>
        <w:t xml:space="preserve"> second line</w:t>
      </w:r>
      <w:r w:rsidR="00721FEA" w:rsidRPr="004E2161">
        <w:rPr>
          <w:rFonts w:ascii="Times New Roman" w:hAnsi="Times New Roman" w:cs="Times New Roman"/>
          <w:bCs w:val="0"/>
          <w:color w:val="000000" w:themeColor="text1"/>
          <w:sz w:val="20"/>
          <w:szCs w:val="20"/>
          <w:lang w:val="en-GB" w:eastAsia="en-US"/>
        </w:rPr>
        <w:t>,</w:t>
      </w:r>
      <w:r w:rsidRPr="004E2161">
        <w:rPr>
          <w:rFonts w:ascii="Times New Roman" w:hAnsi="Times New Roman" w:cs="Times New Roman"/>
          <w:bCs w:val="0"/>
          <w:color w:val="000000" w:themeColor="text1"/>
          <w:sz w:val="20"/>
          <w:szCs w:val="20"/>
          <w:lang w:val="en-GB" w:eastAsia="en-US"/>
        </w:rPr>
        <w:t xml:space="preserve"> </w:t>
      </w:r>
      <w:r w:rsidRPr="004E2161">
        <w:rPr>
          <w:rFonts w:ascii="Times New Roman" w:hAnsi="Times New Roman" w:cs="Times New Roman"/>
          <w:bCs w:val="0"/>
          <w:i/>
          <w:iCs/>
          <w:color w:val="000000" w:themeColor="text1"/>
          <w:sz w:val="20"/>
          <w:szCs w:val="20"/>
          <w:lang w:val="en-GB" w:eastAsia="en-US"/>
        </w:rPr>
        <w:t>CHF</w:t>
      </w:r>
      <w:r w:rsidRPr="004E2161">
        <w:rPr>
          <w:rFonts w:ascii="Times New Roman" w:hAnsi="Times New Roman" w:cs="Times New Roman"/>
          <w:bCs w:val="0"/>
          <w:color w:val="000000" w:themeColor="text1"/>
          <w:sz w:val="20"/>
          <w:szCs w:val="20"/>
          <w:lang w:val="en-GB" w:eastAsia="en-US"/>
        </w:rPr>
        <w:t xml:space="preserve"> Swiss francs</w:t>
      </w:r>
      <w:r w:rsidR="00721FEA" w:rsidRPr="004E2161">
        <w:rPr>
          <w:rFonts w:ascii="Times New Roman" w:hAnsi="Times New Roman" w:cs="Times New Roman"/>
          <w:bCs w:val="0"/>
          <w:color w:val="000000" w:themeColor="text1"/>
          <w:sz w:val="20"/>
          <w:szCs w:val="20"/>
          <w:lang w:val="en-GB" w:eastAsia="en-US"/>
        </w:rPr>
        <w:t>,</w:t>
      </w:r>
      <w:r w:rsidRPr="004E2161">
        <w:rPr>
          <w:rFonts w:ascii="Times New Roman" w:hAnsi="Times New Roman" w:cs="Times New Roman"/>
          <w:bCs w:val="0"/>
          <w:color w:val="000000" w:themeColor="text1"/>
          <w:sz w:val="20"/>
          <w:szCs w:val="20"/>
          <w:lang w:val="en-GB" w:eastAsia="en-US"/>
        </w:rPr>
        <w:t xml:space="preserve"> </w:t>
      </w:r>
      <w:r w:rsidRPr="004E2161">
        <w:rPr>
          <w:rFonts w:ascii="Times New Roman" w:hAnsi="Times New Roman" w:cs="Times New Roman"/>
          <w:bCs w:val="0"/>
          <w:i/>
          <w:iCs/>
          <w:color w:val="000000" w:themeColor="text1"/>
          <w:sz w:val="20"/>
          <w:szCs w:val="20"/>
          <w:lang w:val="en-GB" w:eastAsia="en-US"/>
        </w:rPr>
        <w:t>NIVO</w:t>
      </w:r>
      <w:r w:rsidRPr="004E2161">
        <w:rPr>
          <w:rFonts w:ascii="Times New Roman" w:hAnsi="Times New Roman" w:cs="Times New Roman"/>
          <w:bCs w:val="0"/>
          <w:color w:val="000000" w:themeColor="text1"/>
          <w:sz w:val="20"/>
          <w:szCs w:val="20"/>
          <w:lang w:val="en-GB" w:eastAsia="en-US"/>
        </w:rPr>
        <w:t xml:space="preserve"> nivolumab</w:t>
      </w:r>
      <w:r w:rsidR="00721FEA" w:rsidRPr="004E2161">
        <w:rPr>
          <w:rFonts w:ascii="Times New Roman" w:hAnsi="Times New Roman" w:cs="Times New Roman"/>
          <w:bCs w:val="0"/>
          <w:color w:val="000000" w:themeColor="text1"/>
          <w:sz w:val="20"/>
          <w:szCs w:val="20"/>
          <w:lang w:val="en-GB" w:eastAsia="en-US"/>
        </w:rPr>
        <w:t>,</w:t>
      </w:r>
      <w:r w:rsidRPr="004E2161">
        <w:rPr>
          <w:rFonts w:ascii="Times New Roman" w:hAnsi="Times New Roman" w:cs="Times New Roman"/>
          <w:bCs w:val="0"/>
          <w:color w:val="000000" w:themeColor="text1"/>
          <w:sz w:val="20"/>
          <w:szCs w:val="20"/>
          <w:lang w:val="en-GB" w:eastAsia="en-US"/>
        </w:rPr>
        <w:t xml:space="preserve"> </w:t>
      </w:r>
      <w:r w:rsidRPr="004E2161">
        <w:rPr>
          <w:rFonts w:ascii="Times New Roman" w:hAnsi="Times New Roman" w:cs="Times New Roman"/>
          <w:bCs w:val="0"/>
          <w:i/>
          <w:iCs/>
          <w:color w:val="000000" w:themeColor="text1"/>
          <w:sz w:val="20"/>
          <w:szCs w:val="20"/>
          <w:lang w:val="en-GB" w:eastAsia="en-US"/>
        </w:rPr>
        <w:t>NIVO+IPI</w:t>
      </w:r>
      <w:r w:rsidRPr="004E2161">
        <w:rPr>
          <w:rFonts w:ascii="Times New Roman" w:hAnsi="Times New Roman" w:cs="Times New Roman"/>
          <w:bCs w:val="0"/>
          <w:color w:val="000000" w:themeColor="text1"/>
          <w:sz w:val="20"/>
          <w:szCs w:val="20"/>
          <w:lang w:val="en-GB" w:eastAsia="en-US"/>
        </w:rPr>
        <w:t xml:space="preserve"> nivolumab plus ipilimumab</w:t>
      </w:r>
      <w:r w:rsidR="00721FEA" w:rsidRPr="004E2161">
        <w:rPr>
          <w:rFonts w:ascii="Times New Roman" w:hAnsi="Times New Roman" w:cs="Times New Roman"/>
          <w:bCs w:val="0"/>
          <w:color w:val="000000" w:themeColor="text1"/>
          <w:sz w:val="20"/>
          <w:szCs w:val="20"/>
          <w:lang w:val="en-GB" w:eastAsia="en-US"/>
        </w:rPr>
        <w:t>,</w:t>
      </w:r>
      <w:r w:rsidRPr="004E2161">
        <w:rPr>
          <w:rFonts w:ascii="Times New Roman" w:hAnsi="Times New Roman" w:cs="Times New Roman"/>
          <w:bCs w:val="0"/>
          <w:color w:val="000000" w:themeColor="text1"/>
          <w:sz w:val="20"/>
          <w:szCs w:val="20"/>
          <w:lang w:val="en-GB" w:eastAsia="en-US"/>
        </w:rPr>
        <w:t xml:space="preserve"> </w:t>
      </w:r>
      <w:r w:rsidRPr="004E2161">
        <w:rPr>
          <w:rFonts w:ascii="Times New Roman" w:hAnsi="Times New Roman" w:cs="Times New Roman"/>
          <w:bCs w:val="0"/>
          <w:i/>
          <w:iCs/>
          <w:color w:val="000000" w:themeColor="text1"/>
          <w:sz w:val="20"/>
          <w:szCs w:val="20"/>
          <w:lang w:val="en-GB" w:eastAsia="en-US"/>
        </w:rPr>
        <w:t>PAZ</w:t>
      </w:r>
      <w:r w:rsidRPr="004E2161">
        <w:rPr>
          <w:rFonts w:ascii="Times New Roman" w:hAnsi="Times New Roman" w:cs="Times New Roman"/>
          <w:bCs w:val="0"/>
          <w:color w:val="000000" w:themeColor="text1"/>
          <w:sz w:val="20"/>
          <w:szCs w:val="20"/>
          <w:lang w:val="en-GB" w:eastAsia="en-US"/>
        </w:rPr>
        <w:t xml:space="preserve"> pazopanib</w:t>
      </w:r>
      <w:r w:rsidR="00721FEA" w:rsidRPr="004E2161">
        <w:rPr>
          <w:rFonts w:ascii="Times New Roman" w:hAnsi="Times New Roman" w:cs="Times New Roman"/>
          <w:bCs w:val="0"/>
          <w:color w:val="000000" w:themeColor="text1"/>
          <w:sz w:val="20"/>
          <w:szCs w:val="20"/>
          <w:lang w:val="en-GB" w:eastAsia="en-US"/>
        </w:rPr>
        <w:t>,</w:t>
      </w:r>
      <w:r w:rsidRPr="004E2161">
        <w:rPr>
          <w:rFonts w:ascii="Times New Roman" w:hAnsi="Times New Roman" w:cs="Times New Roman"/>
          <w:bCs w:val="0"/>
          <w:color w:val="000000" w:themeColor="text1"/>
          <w:sz w:val="20"/>
          <w:szCs w:val="20"/>
          <w:lang w:val="en-GB" w:eastAsia="en-US"/>
        </w:rPr>
        <w:t xml:space="preserve"> </w:t>
      </w:r>
      <w:r w:rsidRPr="004E2161">
        <w:rPr>
          <w:rFonts w:ascii="Times New Roman" w:hAnsi="Times New Roman" w:cs="Times New Roman"/>
          <w:bCs w:val="0"/>
          <w:i/>
          <w:iCs/>
          <w:color w:val="000000" w:themeColor="text1"/>
          <w:sz w:val="20"/>
          <w:szCs w:val="20"/>
          <w:lang w:val="en-GB" w:eastAsia="en-US"/>
        </w:rPr>
        <w:t>PFS</w:t>
      </w:r>
      <w:r w:rsidRPr="004E2161">
        <w:rPr>
          <w:rFonts w:ascii="Times New Roman" w:hAnsi="Times New Roman" w:cs="Times New Roman"/>
          <w:bCs w:val="0"/>
          <w:color w:val="000000" w:themeColor="text1"/>
          <w:sz w:val="20"/>
          <w:szCs w:val="20"/>
          <w:lang w:val="en-GB" w:eastAsia="en-US"/>
        </w:rPr>
        <w:t xml:space="preserve"> progression-free survival</w:t>
      </w:r>
      <w:r w:rsidR="00721FEA" w:rsidRPr="004E2161">
        <w:rPr>
          <w:rFonts w:ascii="Times New Roman" w:hAnsi="Times New Roman" w:cs="Times New Roman"/>
          <w:bCs w:val="0"/>
          <w:color w:val="000000" w:themeColor="text1"/>
          <w:sz w:val="20"/>
          <w:szCs w:val="20"/>
          <w:lang w:val="en-GB" w:eastAsia="en-US"/>
        </w:rPr>
        <w:t>,</w:t>
      </w:r>
      <w:r w:rsidRPr="004E2161">
        <w:rPr>
          <w:rFonts w:ascii="Times New Roman" w:hAnsi="Times New Roman" w:cs="Times New Roman"/>
          <w:bCs w:val="0"/>
          <w:color w:val="000000" w:themeColor="text1"/>
          <w:sz w:val="20"/>
          <w:szCs w:val="20"/>
          <w:lang w:val="en-GB" w:eastAsia="en-US"/>
        </w:rPr>
        <w:t xml:space="preserve"> </w:t>
      </w:r>
      <w:r w:rsidRPr="004E2161">
        <w:rPr>
          <w:rFonts w:ascii="Times New Roman" w:hAnsi="Times New Roman" w:cs="Times New Roman"/>
          <w:bCs w:val="0"/>
          <w:i/>
          <w:iCs/>
          <w:color w:val="000000" w:themeColor="text1"/>
          <w:sz w:val="20"/>
          <w:szCs w:val="20"/>
          <w:lang w:val="en-GB" w:eastAsia="en-US"/>
        </w:rPr>
        <w:t>PP</w:t>
      </w:r>
      <w:r w:rsidRPr="004E2161">
        <w:rPr>
          <w:rFonts w:ascii="Times New Roman" w:hAnsi="Times New Roman" w:cs="Times New Roman"/>
          <w:bCs w:val="0"/>
          <w:color w:val="000000" w:themeColor="text1"/>
          <w:sz w:val="20"/>
          <w:szCs w:val="20"/>
          <w:lang w:val="en-GB" w:eastAsia="en-US"/>
        </w:rPr>
        <w:t xml:space="preserve"> post-progression</w:t>
      </w:r>
      <w:r w:rsidR="00721FEA" w:rsidRPr="004E2161">
        <w:rPr>
          <w:rFonts w:ascii="Times New Roman" w:hAnsi="Times New Roman" w:cs="Times New Roman"/>
          <w:bCs w:val="0"/>
          <w:color w:val="000000" w:themeColor="text1"/>
          <w:sz w:val="20"/>
          <w:szCs w:val="20"/>
          <w:lang w:val="en-GB" w:eastAsia="en-US"/>
        </w:rPr>
        <w:t>,</w:t>
      </w:r>
      <w:r w:rsidRPr="004E2161">
        <w:rPr>
          <w:rFonts w:ascii="Times New Roman" w:hAnsi="Times New Roman" w:cs="Times New Roman"/>
          <w:bCs w:val="0"/>
          <w:color w:val="000000" w:themeColor="text1"/>
          <w:sz w:val="20"/>
          <w:szCs w:val="20"/>
          <w:lang w:val="en-GB" w:eastAsia="en-US"/>
        </w:rPr>
        <w:t xml:space="preserve"> </w:t>
      </w:r>
      <w:r w:rsidRPr="004E2161">
        <w:rPr>
          <w:rFonts w:ascii="Times New Roman" w:hAnsi="Times New Roman" w:cs="Times New Roman"/>
          <w:bCs w:val="0"/>
          <w:i/>
          <w:iCs/>
          <w:color w:val="000000" w:themeColor="text1"/>
          <w:sz w:val="20"/>
          <w:szCs w:val="20"/>
          <w:lang w:val="en-GB" w:eastAsia="en-US"/>
        </w:rPr>
        <w:t>SUN</w:t>
      </w:r>
      <w:r w:rsidRPr="004E2161">
        <w:rPr>
          <w:rFonts w:ascii="Times New Roman" w:hAnsi="Times New Roman" w:cs="Times New Roman"/>
          <w:bCs w:val="0"/>
          <w:color w:val="000000" w:themeColor="text1"/>
          <w:sz w:val="20"/>
          <w:szCs w:val="20"/>
          <w:lang w:val="en-GB" w:eastAsia="en-US"/>
        </w:rPr>
        <w:t xml:space="preserve"> sunitinib</w:t>
      </w:r>
    </w:p>
    <w:p w14:paraId="47F8323E" w14:textId="66491EAD" w:rsidR="007E3B13" w:rsidRPr="004E2161" w:rsidRDefault="007E3B13" w:rsidP="007E3B13">
      <w:pPr>
        <w:spacing w:before="240" w:line="240" w:lineRule="auto"/>
        <w:ind w:firstLine="432"/>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b/>
          <w:bCs w:val="0"/>
          <w:color w:val="000000" w:themeColor="text1"/>
          <w:sz w:val="20"/>
          <w:szCs w:val="20"/>
          <w:lang w:val="en-GB"/>
        </w:rPr>
        <w:t>Probabilistic analysis results.</w:t>
      </w:r>
      <w:r w:rsidRPr="004E2161">
        <w:rPr>
          <w:rFonts w:ascii="Times New Roman" w:hAnsi="Times New Roman" w:cs="Times New Roman"/>
          <w:color w:val="000000" w:themeColor="text1"/>
          <w:sz w:val="20"/>
          <w:szCs w:val="20"/>
          <w:lang w:val="en-GB"/>
        </w:rPr>
        <w:t xml:space="preserve"> Of 1000 iterations, all demonstrated a QALY gain for NIVO+IPI at an increased cost relative to SUN or PAZ (Fig</w:t>
      </w:r>
      <w:r w:rsidR="002D344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S2). The deterministic ICUR varied from the probabilistic ICUR 0.61% and 0.60% versus SUN and PAZ, respectively indicating that the probabilistic model outcomes are robust.</w:t>
      </w:r>
    </w:p>
    <w:p w14:paraId="17AC4380" w14:textId="66C806C1" w:rsidR="007E3B13" w:rsidRPr="004E2161" w:rsidRDefault="00942745" w:rsidP="007E3B13">
      <w:pPr>
        <w:pStyle w:val="Caption"/>
        <w:keepNext/>
        <w:spacing w:before="240" w:after="0" w:line="240" w:lineRule="auto"/>
        <w:contextualSpacing w:val="0"/>
        <w:jc w:val="left"/>
        <w:rPr>
          <w:rFonts w:ascii="Times New Roman" w:hAnsi="Times New Roman" w:cs="Times New Roman"/>
          <w:sz w:val="20"/>
          <w:szCs w:val="20"/>
          <w:lang w:val="en-GB"/>
        </w:rPr>
      </w:pPr>
      <w:r w:rsidRPr="004E2161">
        <w:rPr>
          <w:rFonts w:ascii="Times New Roman" w:hAnsi="Times New Roman" w:cs="Times New Roman"/>
          <w:noProof/>
          <w:sz w:val="20"/>
          <w:szCs w:val="20"/>
          <w:lang w:eastAsia="en-US"/>
        </w:rPr>
        <w:drawing>
          <wp:anchor distT="0" distB="0" distL="114300" distR="114300" simplePos="0" relativeHeight="251661312" behindDoc="1" locked="0" layoutInCell="1" allowOverlap="1" wp14:anchorId="37B49C15" wp14:editId="1A045E20">
            <wp:simplePos x="0" y="0"/>
            <wp:positionH relativeFrom="margin">
              <wp:posOffset>-40005</wp:posOffset>
            </wp:positionH>
            <wp:positionV relativeFrom="paragraph">
              <wp:posOffset>313055</wp:posOffset>
            </wp:positionV>
            <wp:extent cx="2922905" cy="2545080"/>
            <wp:effectExtent l="0" t="0" r="0" b="7620"/>
            <wp:wrapTight wrapText="bothSides">
              <wp:wrapPolygon edited="0">
                <wp:start x="0" y="0"/>
                <wp:lineTo x="0" y="21503"/>
                <wp:lineTo x="21398" y="21503"/>
                <wp:lineTo x="2139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2905" cy="2545080"/>
                    </a:xfrm>
                    <a:prstGeom prst="rect">
                      <a:avLst/>
                    </a:prstGeom>
                    <a:noFill/>
                  </pic:spPr>
                </pic:pic>
              </a:graphicData>
            </a:graphic>
            <wp14:sizeRelH relativeFrom="page">
              <wp14:pctWidth>0</wp14:pctWidth>
            </wp14:sizeRelH>
            <wp14:sizeRelV relativeFrom="page">
              <wp14:pctHeight>0</wp14:pctHeight>
            </wp14:sizeRelV>
          </wp:anchor>
        </w:drawing>
      </w:r>
      <w:r w:rsidRPr="004E2161">
        <w:rPr>
          <w:rFonts w:ascii="Times New Roman" w:hAnsi="Times New Roman" w:cs="Times New Roman"/>
          <w:noProof/>
          <w:sz w:val="20"/>
          <w:szCs w:val="20"/>
          <w:lang w:eastAsia="en-US"/>
        </w:rPr>
        <w:drawing>
          <wp:anchor distT="0" distB="0" distL="114300" distR="114300" simplePos="0" relativeHeight="251662336" behindDoc="1" locked="0" layoutInCell="1" allowOverlap="1" wp14:anchorId="1D3F2B20" wp14:editId="3E9CA21F">
            <wp:simplePos x="0" y="0"/>
            <wp:positionH relativeFrom="column">
              <wp:posOffset>2848858</wp:posOffset>
            </wp:positionH>
            <wp:positionV relativeFrom="paragraph">
              <wp:posOffset>244640</wp:posOffset>
            </wp:positionV>
            <wp:extent cx="2505075" cy="2457450"/>
            <wp:effectExtent l="0" t="0" r="9525" b="0"/>
            <wp:wrapTight wrapText="bothSides">
              <wp:wrapPolygon edited="0">
                <wp:start x="0" y="0"/>
                <wp:lineTo x="0" y="21433"/>
                <wp:lineTo x="21518" y="21433"/>
                <wp:lineTo x="2151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5075" cy="2457450"/>
                    </a:xfrm>
                    <a:prstGeom prst="rect">
                      <a:avLst/>
                    </a:prstGeom>
                    <a:noFill/>
                  </pic:spPr>
                </pic:pic>
              </a:graphicData>
            </a:graphic>
            <wp14:sizeRelH relativeFrom="page">
              <wp14:pctWidth>0</wp14:pctWidth>
            </wp14:sizeRelH>
            <wp14:sizeRelV relativeFrom="page">
              <wp14:pctHeight>0</wp14:pctHeight>
            </wp14:sizeRelV>
          </wp:anchor>
        </w:drawing>
      </w:r>
      <w:r w:rsidR="007E3B13" w:rsidRPr="004E2161">
        <w:rPr>
          <w:rFonts w:ascii="Times New Roman" w:hAnsi="Times New Roman" w:cs="Times New Roman"/>
          <w:color w:val="000000" w:themeColor="text1"/>
          <w:sz w:val="20"/>
          <w:szCs w:val="20"/>
          <w:lang w:val="en-GB"/>
        </w:rPr>
        <w:t>Fig</w:t>
      </w:r>
      <w:r w:rsidR="006E75E4" w:rsidRPr="004E2161">
        <w:rPr>
          <w:rFonts w:ascii="Times New Roman" w:hAnsi="Times New Roman" w:cs="Times New Roman"/>
          <w:color w:val="000000" w:themeColor="text1"/>
          <w:sz w:val="20"/>
          <w:szCs w:val="20"/>
          <w:lang w:val="en-GB"/>
        </w:rPr>
        <w:t>.</w:t>
      </w:r>
      <w:r w:rsidR="007E3B13" w:rsidRPr="004E2161">
        <w:rPr>
          <w:rFonts w:ascii="Times New Roman" w:hAnsi="Times New Roman" w:cs="Times New Roman"/>
          <w:color w:val="000000" w:themeColor="text1"/>
          <w:sz w:val="20"/>
          <w:szCs w:val="20"/>
          <w:lang w:val="en-GB"/>
        </w:rPr>
        <w:t xml:space="preserve"> S2 </w:t>
      </w:r>
      <w:r w:rsidR="007E3B13" w:rsidRPr="004E2161">
        <w:rPr>
          <w:rFonts w:ascii="Times New Roman" w:hAnsi="Times New Roman" w:cs="Times New Roman"/>
          <w:b w:val="0"/>
          <w:bCs/>
          <w:color w:val="000000" w:themeColor="text1"/>
          <w:sz w:val="20"/>
          <w:szCs w:val="20"/>
          <w:lang w:val="en-GB"/>
        </w:rPr>
        <w:t>Incremental cost-effectiveness plane of NIVO+IPI versus SUN and PAZ.</w:t>
      </w:r>
    </w:p>
    <w:p w14:paraId="51DA6AF6" w14:textId="77777777" w:rsidR="00942745" w:rsidRPr="004E2161" w:rsidRDefault="00942745" w:rsidP="00942745">
      <w:pPr>
        <w:tabs>
          <w:tab w:val="clear" w:pos="1134"/>
        </w:tabs>
        <w:spacing w:after="0" w:line="240" w:lineRule="auto"/>
        <w:contextualSpacing w:val="0"/>
        <w:jc w:val="left"/>
        <w:rPr>
          <w:rFonts w:ascii="Times New Roman" w:hAnsi="Times New Roman" w:cs="Times New Roman"/>
          <w:i/>
          <w:iCs/>
          <w:color w:val="000000" w:themeColor="text1"/>
          <w:sz w:val="20"/>
          <w:szCs w:val="20"/>
          <w:lang w:val="en-GB"/>
        </w:rPr>
      </w:pPr>
    </w:p>
    <w:p w14:paraId="46A64A36" w14:textId="39F2B0F1" w:rsidR="007E3B13" w:rsidRPr="004E2161" w:rsidRDefault="007E3B13" w:rsidP="00942745">
      <w:pPr>
        <w:tabs>
          <w:tab w:val="clear" w:pos="1134"/>
        </w:tabs>
        <w:spacing w:after="0" w:line="240" w:lineRule="auto"/>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i/>
          <w:iCs/>
          <w:color w:val="000000" w:themeColor="text1"/>
          <w:sz w:val="20"/>
          <w:szCs w:val="20"/>
          <w:lang w:val="en-GB"/>
        </w:rPr>
        <w:t>CHF</w:t>
      </w:r>
      <w:r w:rsidRPr="004E2161">
        <w:rPr>
          <w:rFonts w:ascii="Times New Roman" w:hAnsi="Times New Roman" w:cs="Times New Roman"/>
          <w:color w:val="000000" w:themeColor="text1"/>
          <w:sz w:val="20"/>
          <w:szCs w:val="20"/>
          <w:lang w:val="en-GB"/>
        </w:rPr>
        <w:t xml:space="preserve"> Swiss francs,</w:t>
      </w:r>
      <w:r w:rsidR="00DC0F85" w:rsidRPr="004E2161">
        <w:rPr>
          <w:rFonts w:ascii="Times New Roman" w:hAnsi="Times New Roman" w:cs="Times New Roman"/>
          <w:color w:val="000000" w:themeColor="text1"/>
          <w:sz w:val="20"/>
          <w:szCs w:val="20"/>
          <w:lang w:val="en-GB"/>
        </w:rPr>
        <w:t xml:space="preserve"> </w:t>
      </w:r>
      <w:r w:rsidR="00DC0F85" w:rsidRPr="004E2161">
        <w:rPr>
          <w:rFonts w:ascii="Times New Roman" w:hAnsi="Times New Roman" w:cs="Times New Roman"/>
          <w:bCs w:val="0"/>
          <w:i/>
          <w:iCs/>
          <w:color w:val="000000" w:themeColor="text1"/>
          <w:sz w:val="20"/>
          <w:szCs w:val="20"/>
          <w:lang w:val="en-GB" w:eastAsia="en-US"/>
        </w:rPr>
        <w:t>NIVO+IPI</w:t>
      </w:r>
      <w:r w:rsidR="00DC0F85" w:rsidRPr="004E2161">
        <w:rPr>
          <w:rFonts w:ascii="Times New Roman" w:hAnsi="Times New Roman" w:cs="Times New Roman"/>
          <w:bCs w:val="0"/>
          <w:color w:val="000000" w:themeColor="text1"/>
          <w:sz w:val="20"/>
          <w:szCs w:val="20"/>
          <w:lang w:val="en-GB" w:eastAsia="en-US"/>
        </w:rPr>
        <w:t xml:space="preserve"> nivolumab plus ipilimumab, </w:t>
      </w:r>
      <w:r w:rsidR="00DC0F85" w:rsidRPr="004E2161">
        <w:rPr>
          <w:rFonts w:ascii="Times New Roman" w:hAnsi="Times New Roman" w:cs="Times New Roman"/>
          <w:bCs w:val="0"/>
          <w:i/>
          <w:iCs/>
          <w:color w:val="000000" w:themeColor="text1"/>
          <w:sz w:val="20"/>
          <w:szCs w:val="20"/>
          <w:lang w:val="en-GB" w:eastAsia="en-US"/>
        </w:rPr>
        <w:t>PAZ</w:t>
      </w:r>
      <w:r w:rsidR="00DC0F85" w:rsidRPr="004E2161">
        <w:rPr>
          <w:rFonts w:ascii="Times New Roman" w:hAnsi="Times New Roman" w:cs="Times New Roman"/>
          <w:bCs w:val="0"/>
          <w:color w:val="000000" w:themeColor="text1"/>
          <w:sz w:val="20"/>
          <w:szCs w:val="20"/>
          <w:lang w:val="en-GB" w:eastAsia="en-US"/>
        </w:rPr>
        <w:t xml:space="preserve"> pazopanib,</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i/>
          <w:iCs/>
          <w:color w:val="000000" w:themeColor="text1"/>
          <w:sz w:val="20"/>
          <w:szCs w:val="20"/>
          <w:lang w:val="en-GB"/>
        </w:rPr>
        <w:t>QALY</w:t>
      </w:r>
      <w:r w:rsidRPr="004E2161">
        <w:rPr>
          <w:rFonts w:ascii="Times New Roman" w:hAnsi="Times New Roman" w:cs="Times New Roman"/>
          <w:color w:val="000000" w:themeColor="text1"/>
          <w:sz w:val="20"/>
          <w:szCs w:val="20"/>
          <w:lang w:val="en-GB"/>
        </w:rPr>
        <w:t xml:space="preserve"> quality-adjusted life-year</w:t>
      </w:r>
      <w:r w:rsidR="00DC0F85" w:rsidRPr="004E2161">
        <w:rPr>
          <w:rFonts w:ascii="Times New Roman" w:hAnsi="Times New Roman" w:cs="Times New Roman"/>
          <w:bCs w:val="0"/>
          <w:color w:val="000000" w:themeColor="text1"/>
          <w:sz w:val="20"/>
          <w:szCs w:val="20"/>
          <w:lang w:val="en-GB" w:eastAsia="en-US"/>
        </w:rPr>
        <w:t xml:space="preserve">, </w:t>
      </w:r>
      <w:r w:rsidR="00DC0F85" w:rsidRPr="004E2161">
        <w:rPr>
          <w:rFonts w:ascii="Times New Roman" w:hAnsi="Times New Roman" w:cs="Times New Roman"/>
          <w:bCs w:val="0"/>
          <w:i/>
          <w:iCs/>
          <w:color w:val="000000" w:themeColor="text1"/>
          <w:sz w:val="20"/>
          <w:szCs w:val="20"/>
          <w:lang w:val="en-GB" w:eastAsia="en-US"/>
        </w:rPr>
        <w:t>SUN</w:t>
      </w:r>
      <w:r w:rsidR="00DC0F85" w:rsidRPr="004E2161">
        <w:rPr>
          <w:rFonts w:ascii="Times New Roman" w:hAnsi="Times New Roman" w:cs="Times New Roman"/>
          <w:bCs w:val="0"/>
          <w:color w:val="000000" w:themeColor="text1"/>
          <w:sz w:val="20"/>
          <w:szCs w:val="20"/>
          <w:lang w:val="en-GB" w:eastAsia="en-US"/>
        </w:rPr>
        <w:t xml:space="preserve"> sunitinib</w:t>
      </w:r>
      <w:r w:rsidRPr="004E2161">
        <w:rPr>
          <w:rFonts w:ascii="Times New Roman" w:hAnsi="Times New Roman" w:cs="Times New Roman"/>
          <w:color w:val="000000" w:themeColor="text1"/>
          <w:sz w:val="20"/>
          <w:szCs w:val="20"/>
          <w:lang w:val="en-GB"/>
        </w:rPr>
        <w:br w:type="page"/>
      </w:r>
    </w:p>
    <w:bookmarkEnd w:id="2"/>
    <w:p w14:paraId="7479C2BF" w14:textId="77777777" w:rsidR="007E3B13" w:rsidRPr="004E2161" w:rsidRDefault="007E3B13" w:rsidP="007E3B13">
      <w:pPr>
        <w:pStyle w:val="Heading2"/>
        <w:numPr>
          <w:ilvl w:val="0"/>
          <w:numId w:val="0"/>
        </w:numPr>
        <w:spacing w:before="120" w:after="0"/>
        <w:rPr>
          <w:rFonts w:ascii="Times New Roman" w:hAnsi="Times New Roman" w:cs="Times New Roman"/>
          <w:b/>
          <w:bCs w:val="0"/>
          <w:i/>
          <w:iCs w:val="0"/>
          <w:color w:val="000000" w:themeColor="text1"/>
          <w:sz w:val="20"/>
          <w:szCs w:val="20"/>
          <w:lang w:val="en-GB"/>
        </w:rPr>
      </w:pPr>
      <w:r w:rsidRPr="004E2161">
        <w:rPr>
          <w:rFonts w:ascii="Times New Roman" w:hAnsi="Times New Roman" w:cs="Times New Roman"/>
          <w:b/>
          <w:bCs w:val="0"/>
          <w:i/>
          <w:iCs w:val="0"/>
          <w:color w:val="000000" w:themeColor="text1"/>
          <w:sz w:val="20"/>
          <w:szCs w:val="20"/>
          <w:lang w:val="en-GB"/>
        </w:rPr>
        <w:lastRenderedPageBreak/>
        <w:t>Efficacy and survival</w:t>
      </w:r>
    </w:p>
    <w:p w14:paraId="7E30FE03" w14:textId="34309C5A" w:rsidR="007E3B13" w:rsidRPr="004E2161" w:rsidRDefault="007E3B13" w:rsidP="007E3B13">
      <w:pPr>
        <w:spacing w:before="120" w:line="240" w:lineRule="auto"/>
        <w:ind w:firstLine="432"/>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b/>
          <w:bCs w:val="0"/>
          <w:color w:val="000000" w:themeColor="text1"/>
          <w:sz w:val="20"/>
          <w:szCs w:val="20"/>
          <w:lang w:val="en-GB"/>
        </w:rPr>
        <w:t>Progression-free survival.</w:t>
      </w:r>
      <w:r w:rsidRPr="004E2161">
        <w:rPr>
          <w:rFonts w:ascii="Times New Roman" w:hAnsi="Times New Roman" w:cs="Times New Roman"/>
          <w:color w:val="000000" w:themeColor="text1"/>
          <w:sz w:val="20"/>
          <w:szCs w:val="20"/>
          <w:lang w:val="en-GB"/>
        </w:rPr>
        <w:t xml:space="preserve"> The proportional-hazards assumption between treatment arms was tested. The assumption of proportional-hazards effect between treatments was rejected with a </w:t>
      </w:r>
      <w:r w:rsidRPr="004E2161">
        <w:rPr>
          <w:rFonts w:ascii="Times New Roman" w:hAnsi="Times New Roman" w:cs="Times New Roman"/>
          <w:i/>
          <w:iCs/>
          <w:color w:val="000000" w:themeColor="text1"/>
          <w:sz w:val="20"/>
          <w:szCs w:val="20"/>
          <w:lang w:val="en-GB"/>
        </w:rPr>
        <w:t>P</w:t>
      </w:r>
      <w:r w:rsidRPr="004E2161">
        <w:rPr>
          <w:rFonts w:ascii="Times New Roman" w:hAnsi="Times New Roman" w:cs="Times New Roman"/>
          <w:color w:val="000000" w:themeColor="text1"/>
          <w:sz w:val="20"/>
          <w:szCs w:val="20"/>
          <w:lang w:val="en-GB"/>
        </w:rPr>
        <w:t xml:space="preserve"> value inferior to 0.05 (</w:t>
      </w:r>
      <w:r w:rsidRPr="004E2161">
        <w:rPr>
          <w:rFonts w:ascii="Times New Roman" w:hAnsi="Times New Roman" w:cs="Times New Roman"/>
          <w:i/>
          <w:iCs/>
          <w:color w:val="000000" w:themeColor="text1"/>
          <w:sz w:val="20"/>
          <w:szCs w:val="20"/>
          <w:lang w:val="en-GB"/>
        </w:rPr>
        <w:t>P</w:t>
      </w:r>
      <w:r w:rsidRPr="004E2161">
        <w:rPr>
          <w:rFonts w:ascii="Times New Roman" w:hAnsi="Times New Roman" w:cs="Times New Roman"/>
          <w:color w:val="000000" w:themeColor="text1"/>
          <w:sz w:val="20"/>
          <w:szCs w:val="20"/>
          <w:lang w:val="en-GB"/>
        </w:rPr>
        <w:t xml:space="preserve"> = 0.001). This result was also confirmed by visual assessment of the log-cumulative hazard plot (Fig</w:t>
      </w:r>
      <w:r w:rsidR="002D344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S3), which shows crossing of the trial arms, and the Schoenfeld residuals (</w:t>
      </w:r>
      <w:r w:rsidR="002D3444" w:rsidRPr="004E2161">
        <w:rPr>
          <w:rFonts w:ascii="Times New Roman" w:hAnsi="Times New Roman" w:cs="Times New Roman"/>
          <w:color w:val="000000" w:themeColor="text1"/>
          <w:sz w:val="20"/>
          <w:szCs w:val="20"/>
          <w:lang w:val="en-GB"/>
        </w:rPr>
        <w:t xml:space="preserve">Fig. </w:t>
      </w:r>
      <w:r w:rsidRPr="004E2161">
        <w:rPr>
          <w:rFonts w:ascii="Times New Roman" w:hAnsi="Times New Roman" w:cs="Times New Roman"/>
          <w:color w:val="000000" w:themeColor="text1"/>
          <w:sz w:val="20"/>
          <w:szCs w:val="20"/>
          <w:lang w:val="en-GB"/>
        </w:rPr>
        <w:t>S4), which shows a clear declining trend over time. As the proportional-hazards assumption was violated, separate independent parametric models were fitted to the two trial arms.</w:t>
      </w:r>
    </w:p>
    <w:p w14:paraId="388DB732" w14:textId="1AD075D8" w:rsidR="007E3B13" w:rsidRPr="004E2161" w:rsidRDefault="007E3B13" w:rsidP="007E3B13">
      <w:pPr>
        <w:pStyle w:val="Caption"/>
        <w:keepNext/>
        <w:spacing w:before="240" w:line="240" w:lineRule="auto"/>
        <w:contextualSpacing w:val="0"/>
        <w:jc w:val="left"/>
        <w:rPr>
          <w:rFonts w:ascii="Times New Roman" w:hAnsi="Times New Roman" w:cs="Times New Roman"/>
          <w:color w:val="000000" w:themeColor="text1"/>
          <w:sz w:val="20"/>
          <w:szCs w:val="20"/>
          <w:lang w:val="en-GB"/>
        </w:rPr>
      </w:pPr>
      <w:bookmarkStart w:id="3" w:name="_Ref26262248"/>
      <w:bookmarkStart w:id="4" w:name="_Toc26955710"/>
      <w:r w:rsidRPr="004E2161">
        <w:rPr>
          <w:rFonts w:ascii="Times New Roman" w:hAnsi="Times New Roman" w:cs="Times New Roman"/>
          <w:color w:val="000000" w:themeColor="text1"/>
          <w:sz w:val="20"/>
          <w:szCs w:val="20"/>
          <w:lang w:val="en-GB"/>
        </w:rPr>
        <w:t>Fig</w:t>
      </w:r>
      <w:r w:rsidR="006E75E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S3</w:t>
      </w:r>
      <w:bookmarkEnd w:id="3"/>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b w:val="0"/>
          <w:bCs/>
          <w:color w:val="000000" w:themeColor="text1"/>
          <w:sz w:val="20"/>
          <w:szCs w:val="20"/>
          <w:lang w:val="en-GB"/>
        </w:rPr>
        <w:t>PFS; log-cumulative hazard plot</w:t>
      </w:r>
      <w:bookmarkEnd w:id="4"/>
      <w:r w:rsidRPr="004E2161">
        <w:rPr>
          <w:rFonts w:ascii="Times New Roman" w:hAnsi="Times New Roman" w:cs="Times New Roman"/>
          <w:b w:val="0"/>
          <w:bCs/>
          <w:color w:val="000000" w:themeColor="text1"/>
          <w:sz w:val="20"/>
          <w:szCs w:val="20"/>
          <w:lang w:val="en-GB"/>
        </w:rPr>
        <w:t>.</w:t>
      </w:r>
    </w:p>
    <w:p w14:paraId="2FB9C79E" w14:textId="77777777" w:rsidR="007E3B13" w:rsidRPr="004E2161" w:rsidRDefault="007E3B13" w:rsidP="007E3B13">
      <w:pPr>
        <w:rPr>
          <w:rFonts w:ascii="Times New Roman" w:hAnsi="Times New Roman" w:cs="Times New Roman"/>
          <w:sz w:val="20"/>
          <w:szCs w:val="20"/>
          <w:lang w:val="en-GB"/>
        </w:rPr>
      </w:pPr>
      <w:r w:rsidRPr="004E2161">
        <w:rPr>
          <w:rFonts w:ascii="Times New Roman" w:hAnsi="Times New Roman" w:cs="Times New Roman"/>
          <w:noProof/>
          <w:sz w:val="20"/>
          <w:szCs w:val="20"/>
          <w:lang w:eastAsia="en-US"/>
        </w:rPr>
        <w:drawing>
          <wp:inline distT="0" distB="0" distL="0" distR="0" wp14:anchorId="4880A3BB" wp14:editId="0A1612E1">
            <wp:extent cx="5455920" cy="2727960"/>
            <wp:effectExtent l="0" t="0" r="0" b="0"/>
            <wp:docPr id="453" name="Picture 45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453" descr="Chart, line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55920" cy="2727960"/>
                    </a:xfrm>
                    <a:prstGeom prst="rect">
                      <a:avLst/>
                    </a:prstGeom>
                    <a:noFill/>
                    <a:ln>
                      <a:noFill/>
                    </a:ln>
                  </pic:spPr>
                </pic:pic>
              </a:graphicData>
            </a:graphic>
          </wp:inline>
        </w:drawing>
      </w:r>
    </w:p>
    <w:p w14:paraId="052BB2B2" w14:textId="0CA7E875" w:rsidR="007E3B13" w:rsidRPr="004E2161" w:rsidRDefault="007E3B13" w:rsidP="007E3B13">
      <w:pPr>
        <w:pStyle w:val="Caption"/>
        <w:keepNext/>
        <w:spacing w:before="240" w:line="240" w:lineRule="auto"/>
        <w:contextualSpacing w:val="0"/>
        <w:jc w:val="left"/>
        <w:rPr>
          <w:rFonts w:ascii="Times New Roman" w:hAnsi="Times New Roman" w:cs="Times New Roman"/>
          <w:color w:val="000000" w:themeColor="text1"/>
          <w:sz w:val="20"/>
          <w:szCs w:val="20"/>
          <w:lang w:val="en-GB"/>
        </w:rPr>
      </w:pPr>
      <w:bookmarkStart w:id="5" w:name="_Ref26262249"/>
      <w:bookmarkStart w:id="6" w:name="_Toc26955711"/>
      <w:r w:rsidRPr="004E2161">
        <w:rPr>
          <w:rFonts w:ascii="Times New Roman" w:hAnsi="Times New Roman" w:cs="Times New Roman"/>
          <w:color w:val="000000" w:themeColor="text1"/>
          <w:sz w:val="20"/>
          <w:szCs w:val="20"/>
          <w:lang w:val="en-GB"/>
        </w:rPr>
        <w:t>Fig</w:t>
      </w:r>
      <w:r w:rsidR="006E75E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S4</w:t>
      </w:r>
      <w:bookmarkEnd w:id="5"/>
      <w:r w:rsidRPr="004E2161">
        <w:rPr>
          <w:rFonts w:ascii="Times New Roman" w:hAnsi="Times New Roman" w:cs="Times New Roman"/>
          <w:b w:val="0"/>
          <w:bCs/>
          <w:color w:val="000000" w:themeColor="text1"/>
          <w:sz w:val="20"/>
          <w:szCs w:val="20"/>
          <w:lang w:val="en-GB"/>
        </w:rPr>
        <w:t xml:space="preserve"> PFS; Schoenfeld residuals</w:t>
      </w:r>
      <w:bookmarkEnd w:id="6"/>
      <w:r w:rsidRPr="004E2161">
        <w:rPr>
          <w:rFonts w:ascii="Times New Roman" w:hAnsi="Times New Roman" w:cs="Times New Roman"/>
          <w:b w:val="0"/>
          <w:bCs/>
          <w:color w:val="000000" w:themeColor="text1"/>
          <w:sz w:val="20"/>
          <w:szCs w:val="20"/>
          <w:lang w:val="en-GB"/>
        </w:rPr>
        <w:t>.</w:t>
      </w:r>
    </w:p>
    <w:p w14:paraId="78731646" w14:textId="77777777" w:rsidR="007E3B13" w:rsidRPr="004E2161" w:rsidRDefault="007E3B13" w:rsidP="007E3B13">
      <w:pPr>
        <w:rPr>
          <w:rFonts w:ascii="Times New Roman" w:hAnsi="Times New Roman" w:cs="Times New Roman"/>
          <w:sz w:val="20"/>
          <w:szCs w:val="20"/>
          <w:lang w:val="en-GB"/>
        </w:rPr>
      </w:pPr>
      <w:r w:rsidRPr="004E2161">
        <w:rPr>
          <w:rFonts w:ascii="Times New Roman" w:hAnsi="Times New Roman" w:cs="Times New Roman"/>
          <w:noProof/>
          <w:sz w:val="20"/>
          <w:szCs w:val="20"/>
          <w:lang w:eastAsia="en-US"/>
        </w:rPr>
        <w:drawing>
          <wp:inline distT="0" distB="0" distL="0" distR="0" wp14:anchorId="0BDF0254" wp14:editId="05691A06">
            <wp:extent cx="5455920" cy="2727960"/>
            <wp:effectExtent l="0" t="0" r="0" b="0"/>
            <wp:docPr id="454" name="Picture 4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55920" cy="2727960"/>
                    </a:xfrm>
                    <a:prstGeom prst="rect">
                      <a:avLst/>
                    </a:prstGeom>
                    <a:noFill/>
                    <a:ln>
                      <a:noFill/>
                    </a:ln>
                  </pic:spPr>
                </pic:pic>
              </a:graphicData>
            </a:graphic>
          </wp:inline>
        </w:drawing>
      </w:r>
    </w:p>
    <w:p w14:paraId="722A83CC" w14:textId="77777777" w:rsidR="007E3B13" w:rsidRPr="004E2161" w:rsidRDefault="007E3B13" w:rsidP="007E3B13">
      <w:pPr>
        <w:spacing w:line="240" w:lineRule="auto"/>
        <w:ind w:firstLine="432"/>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br w:type="page"/>
      </w:r>
    </w:p>
    <w:p w14:paraId="640F196D" w14:textId="16385AEB" w:rsidR="007E3B13" w:rsidRPr="004E2161" w:rsidRDefault="007E3B13" w:rsidP="007E3B13">
      <w:pPr>
        <w:spacing w:line="240" w:lineRule="auto"/>
        <w:ind w:firstLine="432"/>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lastRenderedPageBreak/>
        <w:t>Table S1 shows the AIC and BIC values of the NIVO+IPI and SUN arms, as well as the parametr</w:t>
      </w:r>
      <w:r w:rsidR="006E75E4" w:rsidRPr="004E2161">
        <w:rPr>
          <w:rFonts w:ascii="Times New Roman" w:hAnsi="Times New Roman" w:cs="Times New Roman"/>
          <w:color w:val="000000" w:themeColor="text1"/>
          <w:sz w:val="20"/>
          <w:szCs w:val="20"/>
          <w:lang w:val="en-GB"/>
        </w:rPr>
        <w:t>iza</w:t>
      </w:r>
      <w:r w:rsidRPr="004E2161">
        <w:rPr>
          <w:rFonts w:ascii="Times New Roman" w:hAnsi="Times New Roman" w:cs="Times New Roman"/>
          <w:color w:val="000000" w:themeColor="text1"/>
          <w:sz w:val="20"/>
          <w:szCs w:val="20"/>
          <w:lang w:val="en-GB"/>
        </w:rPr>
        <w:t>tion for the selected distribution. Based on both criteria, the parametric spline models provide an improved fit over the traditional parametric distribution models. The odds spline one-knot is the best performing model, as it minim</w:t>
      </w:r>
      <w:r w:rsidR="006E75E4" w:rsidRPr="004E2161">
        <w:rPr>
          <w:rFonts w:ascii="Times New Roman" w:hAnsi="Times New Roman" w:cs="Times New Roman"/>
          <w:color w:val="000000" w:themeColor="text1"/>
          <w:sz w:val="20"/>
          <w:szCs w:val="20"/>
          <w:lang w:val="en-GB"/>
        </w:rPr>
        <w:t>ize</w:t>
      </w:r>
      <w:r w:rsidRPr="004E2161">
        <w:rPr>
          <w:rFonts w:ascii="Times New Roman" w:hAnsi="Times New Roman" w:cs="Times New Roman"/>
          <w:color w:val="000000" w:themeColor="text1"/>
          <w:sz w:val="20"/>
          <w:szCs w:val="20"/>
          <w:lang w:val="en-GB"/>
        </w:rPr>
        <w:t>s the AIC and BIC of both arms. Considering both AIC and BIC on both trial arms, the hazard spline one-knot seems to be the second-best fitting distribution, as it stays within 2 points deviation in terms of BIC for NIVO+IPI and in terms of AIC and BIC for sunitinib. The best non-spline option is the general</w:t>
      </w:r>
      <w:r w:rsidR="006E75E4" w:rsidRPr="004E2161">
        <w:rPr>
          <w:rFonts w:ascii="Times New Roman" w:hAnsi="Times New Roman" w:cs="Times New Roman"/>
          <w:color w:val="000000" w:themeColor="text1"/>
          <w:sz w:val="20"/>
          <w:szCs w:val="20"/>
          <w:lang w:val="en-GB"/>
        </w:rPr>
        <w:t>ize</w:t>
      </w:r>
      <w:r w:rsidRPr="004E2161">
        <w:rPr>
          <w:rFonts w:ascii="Times New Roman" w:hAnsi="Times New Roman" w:cs="Times New Roman"/>
          <w:color w:val="000000" w:themeColor="text1"/>
          <w:sz w:val="20"/>
          <w:szCs w:val="20"/>
          <w:lang w:val="en-GB"/>
        </w:rPr>
        <w:t xml:space="preserve">d gamma distribution, minimizing both AIC and BIC of NIVO+IPI for the conventional distributions. </w:t>
      </w:r>
    </w:p>
    <w:p w14:paraId="324F4F3A" w14:textId="290A687D" w:rsidR="007E3B13" w:rsidRPr="004E2161" w:rsidRDefault="007E3B13" w:rsidP="007E3B13">
      <w:pPr>
        <w:pStyle w:val="Caption"/>
        <w:keepNext/>
        <w:spacing w:before="240" w:line="240" w:lineRule="auto"/>
        <w:contextualSpacing w:val="0"/>
        <w:jc w:val="left"/>
        <w:rPr>
          <w:rStyle w:val="NoteChar0"/>
          <w:rFonts w:ascii="Times New Roman" w:hAnsi="Times New Roman" w:cs="Times New Roman"/>
          <w:color w:val="000000" w:themeColor="text1"/>
          <w:sz w:val="20"/>
          <w:szCs w:val="20"/>
        </w:rPr>
      </w:pPr>
      <w:bookmarkStart w:id="7" w:name="_Toc26955712"/>
      <w:r w:rsidRPr="004E2161">
        <w:rPr>
          <w:rFonts w:ascii="Times New Roman" w:hAnsi="Times New Roman" w:cs="Times New Roman"/>
          <w:color w:val="000000" w:themeColor="text1"/>
          <w:sz w:val="20"/>
          <w:szCs w:val="20"/>
          <w:lang w:val="en-GB"/>
        </w:rPr>
        <w:t xml:space="preserve">Table S1 </w:t>
      </w:r>
      <w:r w:rsidRPr="004E2161">
        <w:rPr>
          <w:rFonts w:ascii="Times New Roman" w:hAnsi="Times New Roman" w:cs="Times New Roman"/>
          <w:b w:val="0"/>
          <w:bCs/>
          <w:color w:val="000000" w:themeColor="text1"/>
          <w:sz w:val="20"/>
          <w:szCs w:val="20"/>
          <w:lang w:val="en-GB"/>
        </w:rPr>
        <w:t>PFS; AIC and BIC values for nivolumab plus ipilimumab</w:t>
      </w:r>
      <w:bookmarkEnd w:id="7"/>
      <w:r w:rsidRPr="004E2161">
        <w:rPr>
          <w:rFonts w:ascii="Times New Roman" w:hAnsi="Times New Roman" w:cs="Times New Roman"/>
          <w:b w:val="0"/>
          <w:bCs/>
          <w:color w:val="000000" w:themeColor="text1"/>
          <w:sz w:val="20"/>
          <w:szCs w:val="20"/>
          <w:lang w:val="en-GB"/>
        </w:rPr>
        <w:t xml:space="preserve"> and sunitinib, and the parametr</w:t>
      </w:r>
      <w:r w:rsidR="006E75E4" w:rsidRPr="004E2161">
        <w:rPr>
          <w:rFonts w:ascii="Times New Roman" w:hAnsi="Times New Roman" w:cs="Times New Roman"/>
          <w:b w:val="0"/>
          <w:bCs/>
          <w:color w:val="000000" w:themeColor="text1"/>
          <w:sz w:val="20"/>
          <w:szCs w:val="20"/>
          <w:lang w:val="en-GB"/>
        </w:rPr>
        <w:t>iza</w:t>
      </w:r>
      <w:r w:rsidRPr="004E2161">
        <w:rPr>
          <w:rFonts w:ascii="Times New Roman" w:hAnsi="Times New Roman" w:cs="Times New Roman"/>
          <w:b w:val="0"/>
          <w:bCs/>
          <w:color w:val="000000" w:themeColor="text1"/>
          <w:sz w:val="20"/>
          <w:szCs w:val="20"/>
          <w:lang w:val="en-GB"/>
        </w:rPr>
        <w:t>tion for the best performing model</w:t>
      </w:r>
      <w:r w:rsidR="00D60A41" w:rsidRPr="004E2161">
        <w:rPr>
          <w:rFonts w:ascii="Times New Roman" w:hAnsi="Times New Roman" w:cs="Times New Roman"/>
          <w:b w:val="0"/>
          <w:bCs/>
          <w:color w:val="000000" w:themeColor="text1"/>
          <w:sz w:val="20"/>
          <w:szCs w:val="20"/>
          <w:lang w:val="en-GB"/>
        </w:rPr>
        <w:t>.</w:t>
      </w:r>
    </w:p>
    <w:tbl>
      <w:tblPr>
        <w:tblStyle w:val="PharmeritTable2018"/>
        <w:tblW w:w="5000" w:type="pct"/>
        <w:tblLayout w:type="fixed"/>
        <w:tblLook w:val="04A0" w:firstRow="1" w:lastRow="0" w:firstColumn="1" w:lastColumn="0" w:noHBand="0" w:noVBand="1"/>
      </w:tblPr>
      <w:tblGrid>
        <w:gridCol w:w="1747"/>
        <w:gridCol w:w="1747"/>
        <w:gridCol w:w="1746"/>
        <w:gridCol w:w="1746"/>
        <w:gridCol w:w="1746"/>
      </w:tblGrid>
      <w:tr w:rsidR="007E3B13" w:rsidRPr="004E2161" w14:paraId="180D6346" w14:textId="77777777" w:rsidTr="006967DA">
        <w:trPr>
          <w:cnfStyle w:val="100000000000" w:firstRow="1" w:lastRow="0" w:firstColumn="0" w:lastColumn="0" w:oddVBand="0" w:evenVBand="0" w:oddHBand="0" w:evenHBand="0" w:firstRowFirstColumn="0" w:firstRowLastColumn="0" w:lastRowFirstColumn="0" w:lastRowLastColumn="0"/>
          <w:trHeight w:val="13"/>
        </w:trPr>
        <w:tc>
          <w:tcPr>
            <w:tcW w:w="0" w:type="pct"/>
            <w:vMerge w:val="restart"/>
            <w:tcBorders>
              <w:top w:val="single" w:sz="4" w:space="0" w:color="auto"/>
              <w:left w:val="nil"/>
              <w:right w:val="single" w:sz="4" w:space="0" w:color="FFFFFF" w:themeColor="background1"/>
            </w:tcBorders>
            <w:shd w:val="clear" w:color="auto" w:fill="FFFFFF" w:themeFill="background1"/>
            <w:vAlign w:val="bottom"/>
          </w:tcPr>
          <w:p w14:paraId="279F3BBD" w14:textId="77777777" w:rsidR="007E3B13" w:rsidRPr="004E2161" w:rsidRDefault="007E3B13" w:rsidP="00993332">
            <w:pPr>
              <w:spacing w:after="0" w:line="240" w:lineRule="auto"/>
              <w:jc w:val="left"/>
              <w:rPr>
                <w:rFonts w:ascii="Times New Roman" w:hAnsi="Times New Roman" w:cs="Times New Roman"/>
                <w:i/>
                <w:color w:val="000000" w:themeColor="text1"/>
                <w:sz w:val="20"/>
                <w:szCs w:val="20"/>
                <w:lang w:val="en-GB"/>
              </w:rPr>
            </w:pPr>
            <w:r w:rsidRPr="004E2161">
              <w:rPr>
                <w:rFonts w:ascii="Times New Roman" w:hAnsi="Times New Roman" w:cs="Times New Roman"/>
                <w:color w:val="000000" w:themeColor="text1"/>
                <w:sz w:val="20"/>
                <w:szCs w:val="20"/>
                <w:lang w:val="en-GB"/>
              </w:rPr>
              <w:t>Survival model</w:t>
            </w:r>
          </w:p>
        </w:tc>
        <w:tc>
          <w:tcPr>
            <w:tcW w:w="0" w:type="pct"/>
            <w:gridSpan w:val="2"/>
            <w:tcBorders>
              <w:top w:val="single" w:sz="4" w:space="0" w:color="auto"/>
              <w:left w:val="single" w:sz="4" w:space="0" w:color="FFFFFF" w:themeColor="background1"/>
              <w:right w:val="single" w:sz="4" w:space="0" w:color="D5DCE4" w:themeColor="text2" w:themeTint="33"/>
            </w:tcBorders>
            <w:shd w:val="clear" w:color="auto" w:fill="FFFFFF" w:themeFill="background1"/>
          </w:tcPr>
          <w:p w14:paraId="22C38912"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color w:val="000000" w:themeColor="text1"/>
                <w:kern w:val="24"/>
                <w:sz w:val="20"/>
                <w:szCs w:val="20"/>
                <w:lang w:val="en-GB" w:eastAsia="en-US"/>
              </w:rPr>
              <w:t>PFS NIVO+IPI</w:t>
            </w:r>
          </w:p>
        </w:tc>
        <w:tc>
          <w:tcPr>
            <w:tcW w:w="0" w:type="pct"/>
            <w:gridSpan w:val="2"/>
            <w:tcBorders>
              <w:top w:val="single" w:sz="4" w:space="0" w:color="auto"/>
              <w:left w:val="single" w:sz="4" w:space="0" w:color="D5DCE4" w:themeColor="text2" w:themeTint="33"/>
              <w:right w:val="nil"/>
            </w:tcBorders>
            <w:shd w:val="clear" w:color="auto" w:fill="FFFFFF" w:themeFill="background1"/>
          </w:tcPr>
          <w:p w14:paraId="426E2EFC"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iCs/>
                <w:color w:val="000000" w:themeColor="text1"/>
                <w:sz w:val="20"/>
                <w:szCs w:val="20"/>
                <w:lang w:val="en-GB"/>
              </w:rPr>
              <w:t>PFS SUN</w:t>
            </w:r>
          </w:p>
        </w:tc>
      </w:tr>
      <w:tr w:rsidR="007E3B13" w:rsidRPr="004E2161" w14:paraId="51609F85" w14:textId="77777777" w:rsidTr="006967DA">
        <w:trPr>
          <w:cnfStyle w:val="000000100000" w:firstRow="0" w:lastRow="0" w:firstColumn="0" w:lastColumn="0" w:oddVBand="0" w:evenVBand="0" w:oddHBand="1" w:evenHBand="0" w:firstRowFirstColumn="0" w:firstRowLastColumn="0" w:lastRowFirstColumn="0" w:lastRowLastColumn="0"/>
          <w:trHeight w:val="13"/>
        </w:trPr>
        <w:tc>
          <w:tcPr>
            <w:tcW w:w="0" w:type="pct"/>
            <w:vMerge/>
            <w:tcBorders>
              <w:top w:val="single" w:sz="4" w:space="0" w:color="D5DCE4" w:themeColor="text2" w:themeTint="33"/>
              <w:left w:val="nil"/>
              <w:right w:val="single" w:sz="4" w:space="0" w:color="FFFFFF" w:themeColor="background1"/>
            </w:tcBorders>
            <w:shd w:val="clear" w:color="auto" w:fill="FFFFFF" w:themeFill="background1"/>
          </w:tcPr>
          <w:p w14:paraId="54A63338"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p>
        </w:tc>
        <w:tc>
          <w:tcPr>
            <w:tcW w:w="0" w:type="pct"/>
            <w:gridSpan w:val="4"/>
            <w:tcBorders>
              <w:top w:val="single" w:sz="4" w:space="0" w:color="D5DCE4" w:themeColor="text2" w:themeTint="33"/>
              <w:left w:val="single" w:sz="4" w:space="0" w:color="FFFFFF" w:themeColor="background1"/>
              <w:right w:val="nil"/>
            </w:tcBorders>
            <w:shd w:val="clear" w:color="auto" w:fill="FFFFFF" w:themeFill="background1"/>
          </w:tcPr>
          <w:p w14:paraId="0707CD6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r>
      <w:tr w:rsidR="005A5AD0" w:rsidRPr="004E2161" w14:paraId="711D051B" w14:textId="77777777" w:rsidTr="00153264">
        <w:trPr>
          <w:trHeight w:val="13"/>
        </w:trPr>
        <w:tc>
          <w:tcPr>
            <w:tcW w:w="0" w:type="pct"/>
            <w:vMerge/>
            <w:tcBorders>
              <w:top w:val="single" w:sz="4" w:space="0" w:color="D5DCE4" w:themeColor="text2" w:themeTint="33"/>
              <w:left w:val="nil"/>
              <w:bottom w:val="single" w:sz="4" w:space="0" w:color="auto"/>
              <w:right w:val="single" w:sz="4" w:space="0" w:color="FFFFFF" w:themeColor="background1"/>
            </w:tcBorders>
            <w:shd w:val="clear" w:color="auto" w:fill="FFFFFF" w:themeFill="background1"/>
            <w:vAlign w:val="bottom"/>
          </w:tcPr>
          <w:p w14:paraId="02D491C1"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left w:val="single" w:sz="4" w:space="0" w:color="FFFFFF" w:themeColor="background1"/>
              <w:bottom w:val="single" w:sz="4" w:space="0" w:color="auto"/>
            </w:tcBorders>
            <w:shd w:val="clear" w:color="auto" w:fill="FFFFFF" w:themeFill="background1"/>
          </w:tcPr>
          <w:p w14:paraId="2FE843D3" w14:textId="77777777" w:rsidR="007E3B13" w:rsidRPr="004E2161" w:rsidRDefault="007E3B13" w:rsidP="00993332">
            <w:pPr>
              <w:spacing w:after="0" w:line="240" w:lineRule="auto"/>
              <w:jc w:val="center"/>
              <w:rPr>
                <w:rFonts w:ascii="Times New Roman" w:hAnsi="Times New Roman" w:cs="Times New Roman"/>
                <w:color w:val="000000" w:themeColor="text1"/>
                <w:kern w:val="24"/>
                <w:sz w:val="20"/>
                <w:szCs w:val="20"/>
                <w:lang w:val="en-GB" w:eastAsia="en-US"/>
              </w:rPr>
            </w:pPr>
            <w:r w:rsidRPr="004E2161">
              <w:rPr>
                <w:rFonts w:ascii="Times New Roman" w:hAnsi="Times New Roman" w:cs="Times New Roman"/>
                <w:sz w:val="20"/>
                <w:szCs w:val="20"/>
                <w:lang w:val="en-GB"/>
              </w:rPr>
              <w:t>AIC</w:t>
            </w:r>
          </w:p>
        </w:tc>
        <w:tc>
          <w:tcPr>
            <w:tcW w:w="0" w:type="pct"/>
            <w:tcBorders>
              <w:top w:val="single" w:sz="4" w:space="0" w:color="D5DCE4" w:themeColor="text2" w:themeTint="33"/>
              <w:bottom w:val="single" w:sz="4" w:space="0" w:color="auto"/>
              <w:right w:val="single" w:sz="4" w:space="0" w:color="D5DCE4" w:themeColor="text2" w:themeTint="33"/>
            </w:tcBorders>
            <w:shd w:val="clear" w:color="auto" w:fill="FFFFFF" w:themeFill="background1"/>
          </w:tcPr>
          <w:p w14:paraId="7C7EBDA8"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sz w:val="20"/>
                <w:szCs w:val="20"/>
                <w:lang w:val="en-GB"/>
              </w:rPr>
              <w:t>BIC</w:t>
            </w:r>
          </w:p>
        </w:tc>
        <w:tc>
          <w:tcPr>
            <w:tcW w:w="0" w:type="pct"/>
            <w:tcBorders>
              <w:top w:val="single" w:sz="4" w:space="0" w:color="D5DCE4" w:themeColor="text2" w:themeTint="33"/>
              <w:left w:val="single" w:sz="4" w:space="0" w:color="D5DCE4" w:themeColor="text2" w:themeTint="33"/>
              <w:bottom w:val="single" w:sz="4" w:space="0" w:color="auto"/>
            </w:tcBorders>
            <w:shd w:val="clear" w:color="auto" w:fill="FFFFFF" w:themeFill="background1"/>
          </w:tcPr>
          <w:p w14:paraId="253EDC3B"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sz w:val="20"/>
                <w:szCs w:val="20"/>
                <w:lang w:val="en-GB"/>
              </w:rPr>
              <w:t>AIC</w:t>
            </w:r>
          </w:p>
        </w:tc>
        <w:tc>
          <w:tcPr>
            <w:tcW w:w="0" w:type="pct"/>
            <w:tcBorders>
              <w:top w:val="single" w:sz="4" w:space="0" w:color="D5DCE4" w:themeColor="text2" w:themeTint="33"/>
              <w:bottom w:val="single" w:sz="4" w:space="0" w:color="auto"/>
              <w:right w:val="nil"/>
            </w:tcBorders>
            <w:shd w:val="clear" w:color="auto" w:fill="FFFFFF" w:themeFill="background1"/>
          </w:tcPr>
          <w:p w14:paraId="77938332"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sz w:val="20"/>
                <w:szCs w:val="20"/>
                <w:lang w:val="en-GB"/>
              </w:rPr>
              <w:t>BIC</w:t>
            </w:r>
          </w:p>
        </w:tc>
      </w:tr>
      <w:tr w:rsidR="007E3B13" w:rsidRPr="004E2161" w14:paraId="740EAD40"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auto"/>
              <w:left w:val="nil"/>
              <w:right w:val="nil"/>
            </w:tcBorders>
          </w:tcPr>
          <w:p w14:paraId="0159C50A"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Exponential</w:t>
            </w:r>
          </w:p>
        </w:tc>
        <w:tc>
          <w:tcPr>
            <w:tcW w:w="0" w:type="pct"/>
            <w:tcBorders>
              <w:top w:val="single" w:sz="4" w:space="0" w:color="auto"/>
              <w:left w:val="nil"/>
            </w:tcBorders>
          </w:tcPr>
          <w:p w14:paraId="6BE8B738"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3696.4</w:t>
            </w:r>
          </w:p>
        </w:tc>
        <w:tc>
          <w:tcPr>
            <w:tcW w:w="0" w:type="pct"/>
            <w:tcBorders>
              <w:top w:val="single" w:sz="4" w:space="0" w:color="auto"/>
              <w:right w:val="single" w:sz="4" w:space="0" w:color="D5DCE4" w:themeColor="text2" w:themeTint="33"/>
            </w:tcBorders>
          </w:tcPr>
          <w:p w14:paraId="59C9CE1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3700.5</w:t>
            </w:r>
          </w:p>
        </w:tc>
        <w:tc>
          <w:tcPr>
            <w:tcW w:w="0" w:type="pct"/>
            <w:tcBorders>
              <w:top w:val="single" w:sz="4" w:space="0" w:color="auto"/>
              <w:left w:val="single" w:sz="4" w:space="0" w:color="D5DCE4" w:themeColor="text2" w:themeTint="33"/>
            </w:tcBorders>
          </w:tcPr>
          <w:p w14:paraId="2DF41934"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3596.4</w:t>
            </w:r>
          </w:p>
        </w:tc>
        <w:tc>
          <w:tcPr>
            <w:tcW w:w="0" w:type="pct"/>
            <w:tcBorders>
              <w:top w:val="single" w:sz="4" w:space="0" w:color="auto"/>
              <w:right w:val="nil"/>
            </w:tcBorders>
          </w:tcPr>
          <w:p w14:paraId="0877B95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3600.4</w:t>
            </w:r>
          </w:p>
        </w:tc>
      </w:tr>
      <w:tr w:rsidR="007E3B13" w:rsidRPr="004E2161" w14:paraId="5A910E68" w14:textId="77777777" w:rsidTr="006967DA">
        <w:tc>
          <w:tcPr>
            <w:tcW w:w="0" w:type="pct"/>
            <w:tcBorders>
              <w:top w:val="single" w:sz="4" w:space="0" w:color="D5DCE4" w:themeColor="text2" w:themeTint="33"/>
              <w:left w:val="nil"/>
              <w:right w:val="nil"/>
            </w:tcBorders>
          </w:tcPr>
          <w:p w14:paraId="72195E3E"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Weibull</w:t>
            </w:r>
          </w:p>
        </w:tc>
        <w:tc>
          <w:tcPr>
            <w:tcW w:w="0" w:type="pct"/>
            <w:tcBorders>
              <w:top w:val="single" w:sz="4" w:space="0" w:color="D5DCE4" w:themeColor="text2" w:themeTint="33"/>
              <w:left w:val="nil"/>
            </w:tcBorders>
          </w:tcPr>
          <w:p w14:paraId="5241633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3657.5</w:t>
            </w:r>
          </w:p>
        </w:tc>
        <w:tc>
          <w:tcPr>
            <w:tcW w:w="0" w:type="pct"/>
            <w:tcBorders>
              <w:top w:val="single" w:sz="4" w:space="0" w:color="D5DCE4" w:themeColor="text2" w:themeTint="33"/>
              <w:right w:val="single" w:sz="4" w:space="0" w:color="D5DCE4" w:themeColor="text2" w:themeTint="33"/>
            </w:tcBorders>
          </w:tcPr>
          <w:p w14:paraId="3188F899"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3665.6</w:t>
            </w:r>
          </w:p>
        </w:tc>
        <w:tc>
          <w:tcPr>
            <w:tcW w:w="0" w:type="pct"/>
            <w:tcBorders>
              <w:top w:val="single" w:sz="4" w:space="0" w:color="D5DCE4" w:themeColor="text2" w:themeTint="33"/>
              <w:left w:val="single" w:sz="4" w:space="0" w:color="D5DCE4" w:themeColor="text2" w:themeTint="33"/>
            </w:tcBorders>
          </w:tcPr>
          <w:p w14:paraId="6EB5CC7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3597.2</w:t>
            </w:r>
          </w:p>
        </w:tc>
        <w:tc>
          <w:tcPr>
            <w:tcW w:w="0" w:type="pct"/>
            <w:tcBorders>
              <w:top w:val="single" w:sz="4" w:space="0" w:color="D5DCE4" w:themeColor="text2" w:themeTint="33"/>
              <w:right w:val="nil"/>
            </w:tcBorders>
          </w:tcPr>
          <w:p w14:paraId="4F71C4A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3605.3</w:t>
            </w:r>
          </w:p>
        </w:tc>
      </w:tr>
      <w:tr w:rsidR="007E3B13" w:rsidRPr="004E2161" w14:paraId="2AC10CA7"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09E29549"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Gompertz</w:t>
            </w:r>
          </w:p>
        </w:tc>
        <w:tc>
          <w:tcPr>
            <w:tcW w:w="0" w:type="pct"/>
            <w:tcBorders>
              <w:top w:val="single" w:sz="4" w:space="0" w:color="D5DCE4" w:themeColor="text2" w:themeTint="33"/>
              <w:left w:val="nil"/>
            </w:tcBorders>
          </w:tcPr>
          <w:p w14:paraId="5485BB6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3578.4</w:t>
            </w:r>
          </w:p>
        </w:tc>
        <w:tc>
          <w:tcPr>
            <w:tcW w:w="0" w:type="pct"/>
            <w:tcBorders>
              <w:top w:val="single" w:sz="4" w:space="0" w:color="D5DCE4" w:themeColor="text2" w:themeTint="33"/>
              <w:right w:val="single" w:sz="4" w:space="0" w:color="D5DCE4" w:themeColor="text2" w:themeTint="33"/>
            </w:tcBorders>
          </w:tcPr>
          <w:p w14:paraId="29734CD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3586.5</w:t>
            </w:r>
          </w:p>
        </w:tc>
        <w:tc>
          <w:tcPr>
            <w:tcW w:w="0" w:type="pct"/>
            <w:tcBorders>
              <w:top w:val="single" w:sz="4" w:space="0" w:color="D5DCE4" w:themeColor="text2" w:themeTint="33"/>
              <w:left w:val="single" w:sz="4" w:space="0" w:color="D5DCE4" w:themeColor="text2" w:themeTint="33"/>
            </w:tcBorders>
          </w:tcPr>
          <w:p w14:paraId="47588A1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3580.0</w:t>
            </w:r>
          </w:p>
        </w:tc>
        <w:tc>
          <w:tcPr>
            <w:tcW w:w="0" w:type="pct"/>
            <w:tcBorders>
              <w:top w:val="single" w:sz="4" w:space="0" w:color="D5DCE4" w:themeColor="text2" w:themeTint="33"/>
              <w:right w:val="nil"/>
            </w:tcBorders>
          </w:tcPr>
          <w:p w14:paraId="2AB632A1"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3588.1</w:t>
            </w:r>
          </w:p>
        </w:tc>
      </w:tr>
      <w:tr w:rsidR="007E3B13" w:rsidRPr="004E2161" w14:paraId="283AA3A4" w14:textId="77777777" w:rsidTr="006967DA">
        <w:tc>
          <w:tcPr>
            <w:tcW w:w="0" w:type="pct"/>
            <w:tcBorders>
              <w:top w:val="single" w:sz="4" w:space="0" w:color="D5DCE4" w:themeColor="text2" w:themeTint="33"/>
              <w:left w:val="nil"/>
              <w:right w:val="nil"/>
            </w:tcBorders>
          </w:tcPr>
          <w:p w14:paraId="4B0F250E"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Log-logistic</w:t>
            </w:r>
          </w:p>
        </w:tc>
        <w:tc>
          <w:tcPr>
            <w:tcW w:w="0" w:type="pct"/>
            <w:tcBorders>
              <w:top w:val="single" w:sz="4" w:space="0" w:color="D5DCE4" w:themeColor="text2" w:themeTint="33"/>
              <w:left w:val="nil"/>
            </w:tcBorders>
          </w:tcPr>
          <w:p w14:paraId="1F0D6161"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3610.0</w:t>
            </w:r>
          </w:p>
        </w:tc>
        <w:tc>
          <w:tcPr>
            <w:tcW w:w="0" w:type="pct"/>
            <w:tcBorders>
              <w:top w:val="single" w:sz="4" w:space="0" w:color="D5DCE4" w:themeColor="text2" w:themeTint="33"/>
              <w:right w:val="single" w:sz="4" w:space="0" w:color="D5DCE4" w:themeColor="text2" w:themeTint="33"/>
            </w:tcBorders>
          </w:tcPr>
          <w:p w14:paraId="5F5D912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3618.1</w:t>
            </w:r>
          </w:p>
        </w:tc>
        <w:tc>
          <w:tcPr>
            <w:tcW w:w="0" w:type="pct"/>
            <w:tcBorders>
              <w:top w:val="single" w:sz="4" w:space="0" w:color="D5DCE4" w:themeColor="text2" w:themeTint="33"/>
              <w:left w:val="single" w:sz="4" w:space="0" w:color="D5DCE4" w:themeColor="text2" w:themeTint="33"/>
            </w:tcBorders>
          </w:tcPr>
          <w:p w14:paraId="2396EAA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3556.8</w:t>
            </w:r>
          </w:p>
        </w:tc>
        <w:tc>
          <w:tcPr>
            <w:tcW w:w="0" w:type="pct"/>
            <w:tcBorders>
              <w:top w:val="single" w:sz="4" w:space="0" w:color="D5DCE4" w:themeColor="text2" w:themeTint="33"/>
              <w:right w:val="nil"/>
            </w:tcBorders>
          </w:tcPr>
          <w:p w14:paraId="6FB5B05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3564.9</w:t>
            </w:r>
          </w:p>
        </w:tc>
      </w:tr>
      <w:tr w:rsidR="007E3B13" w:rsidRPr="004E2161" w14:paraId="25BA270A"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6CA4A0AB"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Log-normal</w:t>
            </w:r>
          </w:p>
        </w:tc>
        <w:tc>
          <w:tcPr>
            <w:tcW w:w="0" w:type="pct"/>
            <w:tcBorders>
              <w:top w:val="single" w:sz="4" w:space="0" w:color="D5DCE4" w:themeColor="text2" w:themeTint="33"/>
              <w:left w:val="nil"/>
            </w:tcBorders>
          </w:tcPr>
          <w:p w14:paraId="02B4B503"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3593.1</w:t>
            </w:r>
          </w:p>
        </w:tc>
        <w:tc>
          <w:tcPr>
            <w:tcW w:w="0" w:type="pct"/>
            <w:tcBorders>
              <w:top w:val="single" w:sz="4" w:space="0" w:color="D5DCE4" w:themeColor="text2" w:themeTint="33"/>
              <w:right w:val="single" w:sz="4" w:space="0" w:color="D5DCE4" w:themeColor="text2" w:themeTint="33"/>
            </w:tcBorders>
          </w:tcPr>
          <w:p w14:paraId="6990F55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3601.2</w:t>
            </w:r>
          </w:p>
        </w:tc>
        <w:tc>
          <w:tcPr>
            <w:tcW w:w="0" w:type="pct"/>
            <w:tcBorders>
              <w:top w:val="single" w:sz="4" w:space="0" w:color="D5DCE4" w:themeColor="text2" w:themeTint="33"/>
              <w:left w:val="single" w:sz="4" w:space="0" w:color="D5DCE4" w:themeColor="text2" w:themeTint="33"/>
            </w:tcBorders>
          </w:tcPr>
          <w:p w14:paraId="79215F8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3549.1</w:t>
            </w:r>
          </w:p>
        </w:tc>
        <w:tc>
          <w:tcPr>
            <w:tcW w:w="0" w:type="pct"/>
            <w:tcBorders>
              <w:top w:val="single" w:sz="4" w:space="0" w:color="D5DCE4" w:themeColor="text2" w:themeTint="33"/>
              <w:right w:val="nil"/>
            </w:tcBorders>
          </w:tcPr>
          <w:p w14:paraId="105B9D9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3557.2</w:t>
            </w:r>
          </w:p>
        </w:tc>
      </w:tr>
      <w:tr w:rsidR="007E3B13" w:rsidRPr="004E2161" w14:paraId="796C258C" w14:textId="77777777" w:rsidTr="006967DA">
        <w:tc>
          <w:tcPr>
            <w:tcW w:w="0" w:type="pct"/>
            <w:tcBorders>
              <w:top w:val="single" w:sz="4" w:space="0" w:color="D5DCE4" w:themeColor="text2" w:themeTint="33"/>
              <w:left w:val="nil"/>
              <w:right w:val="nil"/>
            </w:tcBorders>
          </w:tcPr>
          <w:p w14:paraId="71787B67"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Gamma</w:t>
            </w:r>
          </w:p>
        </w:tc>
        <w:tc>
          <w:tcPr>
            <w:tcW w:w="0" w:type="pct"/>
            <w:tcBorders>
              <w:top w:val="single" w:sz="4" w:space="0" w:color="D5DCE4" w:themeColor="text2" w:themeTint="33"/>
              <w:left w:val="nil"/>
            </w:tcBorders>
          </w:tcPr>
          <w:p w14:paraId="3623174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3672.5</w:t>
            </w:r>
          </w:p>
        </w:tc>
        <w:tc>
          <w:tcPr>
            <w:tcW w:w="0" w:type="pct"/>
            <w:tcBorders>
              <w:top w:val="single" w:sz="4" w:space="0" w:color="D5DCE4" w:themeColor="text2" w:themeTint="33"/>
              <w:right w:val="single" w:sz="4" w:space="0" w:color="D5DCE4" w:themeColor="text2" w:themeTint="33"/>
            </w:tcBorders>
          </w:tcPr>
          <w:p w14:paraId="7B40D82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3680.6</w:t>
            </w:r>
          </w:p>
        </w:tc>
        <w:tc>
          <w:tcPr>
            <w:tcW w:w="0" w:type="pct"/>
            <w:tcBorders>
              <w:top w:val="single" w:sz="4" w:space="0" w:color="D5DCE4" w:themeColor="text2" w:themeTint="33"/>
              <w:left w:val="single" w:sz="4" w:space="0" w:color="D5DCE4" w:themeColor="text2" w:themeTint="33"/>
            </w:tcBorders>
          </w:tcPr>
          <w:p w14:paraId="01B2514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3598.4</w:t>
            </w:r>
          </w:p>
        </w:tc>
        <w:tc>
          <w:tcPr>
            <w:tcW w:w="0" w:type="pct"/>
            <w:tcBorders>
              <w:top w:val="single" w:sz="4" w:space="0" w:color="D5DCE4" w:themeColor="text2" w:themeTint="33"/>
              <w:right w:val="nil"/>
            </w:tcBorders>
          </w:tcPr>
          <w:p w14:paraId="30E5C2B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3606.5</w:t>
            </w:r>
          </w:p>
        </w:tc>
      </w:tr>
      <w:tr w:rsidR="007E3B13" w:rsidRPr="004E2161" w14:paraId="3359BD34"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44E963BF" w14:textId="0F573C49"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General</w:t>
            </w:r>
            <w:r w:rsidR="006E75E4" w:rsidRPr="004E2161">
              <w:rPr>
                <w:rFonts w:ascii="Times New Roman" w:hAnsi="Times New Roman" w:cs="Times New Roman"/>
                <w:color w:val="000000" w:themeColor="text1"/>
                <w:sz w:val="20"/>
                <w:szCs w:val="20"/>
                <w:lang w:val="en-GB"/>
              </w:rPr>
              <w:t>ize</w:t>
            </w:r>
            <w:r w:rsidRPr="004E2161">
              <w:rPr>
                <w:rFonts w:ascii="Times New Roman" w:hAnsi="Times New Roman" w:cs="Times New Roman"/>
                <w:color w:val="000000" w:themeColor="text1"/>
                <w:sz w:val="20"/>
                <w:szCs w:val="20"/>
                <w:lang w:val="en-GB"/>
              </w:rPr>
              <w:t>d gamma</w:t>
            </w:r>
          </w:p>
        </w:tc>
        <w:tc>
          <w:tcPr>
            <w:tcW w:w="0" w:type="pct"/>
            <w:tcBorders>
              <w:top w:val="single" w:sz="4" w:space="0" w:color="D5DCE4" w:themeColor="text2" w:themeTint="33"/>
              <w:left w:val="nil"/>
            </w:tcBorders>
          </w:tcPr>
          <w:p w14:paraId="48A461D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3543.7</w:t>
            </w:r>
          </w:p>
        </w:tc>
        <w:tc>
          <w:tcPr>
            <w:tcW w:w="0" w:type="pct"/>
            <w:tcBorders>
              <w:top w:val="single" w:sz="4" w:space="0" w:color="D5DCE4" w:themeColor="text2" w:themeTint="33"/>
              <w:right w:val="single" w:sz="4" w:space="0" w:color="D5DCE4" w:themeColor="text2" w:themeTint="33"/>
            </w:tcBorders>
          </w:tcPr>
          <w:p w14:paraId="654A4B92"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3555.8</w:t>
            </w:r>
          </w:p>
        </w:tc>
        <w:tc>
          <w:tcPr>
            <w:tcW w:w="0" w:type="pct"/>
            <w:tcBorders>
              <w:top w:val="single" w:sz="4" w:space="0" w:color="D5DCE4" w:themeColor="text2" w:themeTint="33"/>
              <w:left w:val="single" w:sz="4" w:space="0" w:color="D5DCE4" w:themeColor="text2" w:themeTint="33"/>
            </w:tcBorders>
          </w:tcPr>
          <w:p w14:paraId="6E42116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3546.4</w:t>
            </w:r>
          </w:p>
        </w:tc>
        <w:tc>
          <w:tcPr>
            <w:tcW w:w="0" w:type="pct"/>
            <w:tcBorders>
              <w:top w:val="single" w:sz="4" w:space="0" w:color="D5DCE4" w:themeColor="text2" w:themeTint="33"/>
              <w:right w:val="nil"/>
            </w:tcBorders>
          </w:tcPr>
          <w:p w14:paraId="77A295C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3558.6</w:t>
            </w:r>
          </w:p>
        </w:tc>
      </w:tr>
      <w:tr w:rsidR="007E3B13" w:rsidRPr="004E2161" w14:paraId="38EFE25B" w14:textId="77777777" w:rsidTr="006967DA">
        <w:tc>
          <w:tcPr>
            <w:tcW w:w="0" w:type="pct"/>
            <w:tcBorders>
              <w:top w:val="single" w:sz="4" w:space="0" w:color="D5DCE4" w:themeColor="text2" w:themeTint="33"/>
              <w:left w:val="nil"/>
              <w:bottom w:val="single" w:sz="4" w:space="0" w:color="D5DCE4" w:themeColor="text2" w:themeTint="33"/>
              <w:right w:val="nil"/>
            </w:tcBorders>
          </w:tcPr>
          <w:p w14:paraId="14BC44BE"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Hazard spline one knot</w:t>
            </w:r>
          </w:p>
        </w:tc>
        <w:tc>
          <w:tcPr>
            <w:tcW w:w="0" w:type="pct"/>
            <w:tcBorders>
              <w:top w:val="single" w:sz="4" w:space="0" w:color="D5DCE4" w:themeColor="text2" w:themeTint="33"/>
              <w:left w:val="nil"/>
              <w:bottom w:val="single" w:sz="4" w:space="0" w:color="D5DCE4" w:themeColor="text2" w:themeTint="33"/>
            </w:tcBorders>
          </w:tcPr>
          <w:p w14:paraId="15A5E021"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3533.7</w:t>
            </w:r>
          </w:p>
        </w:tc>
        <w:tc>
          <w:tcPr>
            <w:tcW w:w="0" w:type="pct"/>
            <w:tcBorders>
              <w:top w:val="single" w:sz="4" w:space="0" w:color="D5DCE4" w:themeColor="text2" w:themeTint="33"/>
              <w:bottom w:val="single" w:sz="4" w:space="0" w:color="D5DCE4" w:themeColor="text2" w:themeTint="33"/>
              <w:right w:val="single" w:sz="4" w:space="0" w:color="D5DCE4" w:themeColor="text2" w:themeTint="33"/>
            </w:tcBorders>
          </w:tcPr>
          <w:p w14:paraId="179400D2"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3545.8</w:t>
            </w:r>
          </w:p>
        </w:tc>
        <w:tc>
          <w:tcPr>
            <w:tcW w:w="0" w:type="pct"/>
            <w:tcBorders>
              <w:top w:val="single" w:sz="4" w:space="0" w:color="D5DCE4" w:themeColor="text2" w:themeTint="33"/>
              <w:left w:val="single" w:sz="4" w:space="0" w:color="D5DCE4" w:themeColor="text2" w:themeTint="33"/>
              <w:bottom w:val="single" w:sz="4" w:space="0" w:color="D5DCE4" w:themeColor="text2" w:themeTint="33"/>
            </w:tcBorders>
          </w:tcPr>
          <w:p w14:paraId="23F03FE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3538.3</w:t>
            </w:r>
          </w:p>
        </w:tc>
        <w:tc>
          <w:tcPr>
            <w:tcW w:w="0" w:type="pct"/>
            <w:tcBorders>
              <w:top w:val="single" w:sz="4" w:space="0" w:color="D5DCE4" w:themeColor="text2" w:themeTint="33"/>
              <w:bottom w:val="single" w:sz="4" w:space="0" w:color="D5DCE4" w:themeColor="text2" w:themeTint="33"/>
              <w:right w:val="nil"/>
            </w:tcBorders>
          </w:tcPr>
          <w:p w14:paraId="52D10D1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3550.4</w:t>
            </w:r>
          </w:p>
        </w:tc>
      </w:tr>
      <w:tr w:rsidR="007E3B13" w:rsidRPr="004E2161" w14:paraId="39C5224E"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D5DCE4" w:themeColor="text2" w:themeTint="33"/>
              <w:right w:val="nil"/>
            </w:tcBorders>
          </w:tcPr>
          <w:p w14:paraId="65CB7CF8"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Hazard spline two knots</w:t>
            </w:r>
          </w:p>
        </w:tc>
        <w:tc>
          <w:tcPr>
            <w:tcW w:w="0" w:type="pct"/>
            <w:tcBorders>
              <w:top w:val="single" w:sz="4" w:space="0" w:color="D5DCE4" w:themeColor="text2" w:themeTint="33"/>
              <w:left w:val="nil"/>
              <w:bottom w:val="single" w:sz="4" w:space="0" w:color="D5DCE4" w:themeColor="text2" w:themeTint="33"/>
            </w:tcBorders>
          </w:tcPr>
          <w:p w14:paraId="4A8633F9"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3531.9</w:t>
            </w:r>
          </w:p>
        </w:tc>
        <w:tc>
          <w:tcPr>
            <w:tcW w:w="0" w:type="pct"/>
            <w:tcBorders>
              <w:top w:val="single" w:sz="4" w:space="0" w:color="D5DCE4" w:themeColor="text2" w:themeTint="33"/>
              <w:bottom w:val="single" w:sz="4" w:space="0" w:color="D5DCE4" w:themeColor="text2" w:themeTint="33"/>
              <w:right w:val="single" w:sz="4" w:space="0" w:color="D5DCE4" w:themeColor="text2" w:themeTint="33"/>
            </w:tcBorders>
          </w:tcPr>
          <w:p w14:paraId="1984B74B"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3548.1</w:t>
            </w:r>
          </w:p>
        </w:tc>
        <w:tc>
          <w:tcPr>
            <w:tcW w:w="0" w:type="pct"/>
            <w:tcBorders>
              <w:top w:val="single" w:sz="4" w:space="0" w:color="D5DCE4" w:themeColor="text2" w:themeTint="33"/>
              <w:left w:val="single" w:sz="4" w:space="0" w:color="D5DCE4" w:themeColor="text2" w:themeTint="33"/>
              <w:bottom w:val="single" w:sz="4" w:space="0" w:color="D5DCE4" w:themeColor="text2" w:themeTint="33"/>
            </w:tcBorders>
          </w:tcPr>
          <w:p w14:paraId="137877F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3539.3</w:t>
            </w:r>
          </w:p>
        </w:tc>
        <w:tc>
          <w:tcPr>
            <w:tcW w:w="0" w:type="pct"/>
            <w:tcBorders>
              <w:top w:val="single" w:sz="4" w:space="0" w:color="D5DCE4" w:themeColor="text2" w:themeTint="33"/>
              <w:bottom w:val="single" w:sz="4" w:space="0" w:color="D5DCE4" w:themeColor="text2" w:themeTint="33"/>
              <w:right w:val="nil"/>
            </w:tcBorders>
          </w:tcPr>
          <w:p w14:paraId="0F9DF4C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3555.5</w:t>
            </w:r>
          </w:p>
        </w:tc>
      </w:tr>
      <w:tr w:rsidR="007E3B13" w:rsidRPr="004E2161" w14:paraId="2521ECD2" w14:textId="77777777" w:rsidTr="006967DA">
        <w:tc>
          <w:tcPr>
            <w:tcW w:w="0" w:type="pct"/>
            <w:tcBorders>
              <w:top w:val="single" w:sz="4" w:space="0" w:color="D5DCE4" w:themeColor="text2" w:themeTint="33"/>
              <w:left w:val="nil"/>
              <w:bottom w:val="single" w:sz="4" w:space="0" w:color="D5DCE4" w:themeColor="text2" w:themeTint="33"/>
              <w:right w:val="nil"/>
            </w:tcBorders>
          </w:tcPr>
          <w:p w14:paraId="5AC1EF43"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Odds spline one knot</w:t>
            </w:r>
          </w:p>
        </w:tc>
        <w:tc>
          <w:tcPr>
            <w:tcW w:w="0" w:type="pct"/>
            <w:tcBorders>
              <w:top w:val="single" w:sz="4" w:space="0" w:color="D5DCE4" w:themeColor="text2" w:themeTint="33"/>
              <w:left w:val="nil"/>
              <w:bottom w:val="single" w:sz="4" w:space="0" w:color="D5DCE4" w:themeColor="text2" w:themeTint="33"/>
            </w:tcBorders>
          </w:tcPr>
          <w:p w14:paraId="5D04D0E1"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3531.6</w:t>
            </w:r>
          </w:p>
        </w:tc>
        <w:tc>
          <w:tcPr>
            <w:tcW w:w="0" w:type="pct"/>
            <w:tcBorders>
              <w:top w:val="single" w:sz="4" w:space="0" w:color="D5DCE4" w:themeColor="text2" w:themeTint="33"/>
              <w:bottom w:val="single" w:sz="4" w:space="0" w:color="D5DCE4" w:themeColor="text2" w:themeTint="33"/>
              <w:right w:val="single" w:sz="4" w:space="0" w:color="D5DCE4" w:themeColor="text2" w:themeTint="33"/>
            </w:tcBorders>
          </w:tcPr>
          <w:p w14:paraId="1CCE250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3543.8</w:t>
            </w:r>
          </w:p>
        </w:tc>
        <w:tc>
          <w:tcPr>
            <w:tcW w:w="0" w:type="pct"/>
            <w:tcBorders>
              <w:top w:val="single" w:sz="4" w:space="0" w:color="D5DCE4" w:themeColor="text2" w:themeTint="33"/>
              <w:left w:val="single" w:sz="4" w:space="0" w:color="D5DCE4" w:themeColor="text2" w:themeTint="33"/>
              <w:bottom w:val="single" w:sz="4" w:space="0" w:color="D5DCE4" w:themeColor="text2" w:themeTint="33"/>
            </w:tcBorders>
          </w:tcPr>
          <w:p w14:paraId="2B6F367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3537.8</w:t>
            </w:r>
          </w:p>
        </w:tc>
        <w:tc>
          <w:tcPr>
            <w:tcW w:w="0" w:type="pct"/>
            <w:tcBorders>
              <w:top w:val="single" w:sz="4" w:space="0" w:color="D5DCE4" w:themeColor="text2" w:themeTint="33"/>
              <w:bottom w:val="single" w:sz="4" w:space="0" w:color="D5DCE4" w:themeColor="text2" w:themeTint="33"/>
              <w:right w:val="nil"/>
            </w:tcBorders>
          </w:tcPr>
          <w:p w14:paraId="648A350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3549.9</w:t>
            </w:r>
          </w:p>
        </w:tc>
      </w:tr>
      <w:tr w:rsidR="007E3B13" w:rsidRPr="004E2161" w14:paraId="2895178E"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D5DCE4" w:themeColor="text2" w:themeTint="33"/>
              <w:right w:val="nil"/>
            </w:tcBorders>
          </w:tcPr>
          <w:p w14:paraId="2186F780"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Odds spline two knots</w:t>
            </w:r>
          </w:p>
        </w:tc>
        <w:tc>
          <w:tcPr>
            <w:tcW w:w="0" w:type="pct"/>
            <w:tcBorders>
              <w:top w:val="single" w:sz="4" w:space="0" w:color="D5DCE4" w:themeColor="text2" w:themeTint="33"/>
              <w:left w:val="nil"/>
              <w:bottom w:val="single" w:sz="4" w:space="0" w:color="D5DCE4" w:themeColor="text2" w:themeTint="33"/>
            </w:tcBorders>
          </w:tcPr>
          <w:p w14:paraId="51D1C0B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3532.2</w:t>
            </w:r>
          </w:p>
        </w:tc>
        <w:tc>
          <w:tcPr>
            <w:tcW w:w="0" w:type="pct"/>
            <w:tcBorders>
              <w:top w:val="single" w:sz="4" w:space="0" w:color="D5DCE4" w:themeColor="text2" w:themeTint="33"/>
              <w:bottom w:val="single" w:sz="4" w:space="0" w:color="D5DCE4" w:themeColor="text2" w:themeTint="33"/>
              <w:right w:val="single" w:sz="4" w:space="0" w:color="D5DCE4" w:themeColor="text2" w:themeTint="33"/>
            </w:tcBorders>
          </w:tcPr>
          <w:p w14:paraId="76DB16C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3548.4</w:t>
            </w:r>
          </w:p>
        </w:tc>
        <w:tc>
          <w:tcPr>
            <w:tcW w:w="0" w:type="pct"/>
            <w:tcBorders>
              <w:top w:val="single" w:sz="4" w:space="0" w:color="D5DCE4" w:themeColor="text2" w:themeTint="33"/>
              <w:left w:val="single" w:sz="4" w:space="0" w:color="D5DCE4" w:themeColor="text2" w:themeTint="33"/>
              <w:bottom w:val="single" w:sz="4" w:space="0" w:color="D5DCE4" w:themeColor="text2" w:themeTint="33"/>
            </w:tcBorders>
          </w:tcPr>
          <w:p w14:paraId="4E06AD02"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3539.7</w:t>
            </w:r>
          </w:p>
        </w:tc>
        <w:tc>
          <w:tcPr>
            <w:tcW w:w="0" w:type="pct"/>
            <w:tcBorders>
              <w:top w:val="single" w:sz="4" w:space="0" w:color="D5DCE4" w:themeColor="text2" w:themeTint="33"/>
              <w:bottom w:val="single" w:sz="4" w:space="0" w:color="D5DCE4" w:themeColor="text2" w:themeTint="33"/>
              <w:right w:val="nil"/>
            </w:tcBorders>
          </w:tcPr>
          <w:p w14:paraId="71280D5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3555.8</w:t>
            </w:r>
          </w:p>
        </w:tc>
      </w:tr>
      <w:tr w:rsidR="007E3B13" w:rsidRPr="004E2161" w14:paraId="063F5360" w14:textId="77777777" w:rsidTr="006967DA">
        <w:tc>
          <w:tcPr>
            <w:tcW w:w="0" w:type="pct"/>
            <w:tcBorders>
              <w:top w:val="single" w:sz="4" w:space="0" w:color="D5DCE4" w:themeColor="text2" w:themeTint="33"/>
              <w:left w:val="nil"/>
              <w:bottom w:val="single" w:sz="4" w:space="0" w:color="D5DCE4" w:themeColor="text2" w:themeTint="33"/>
              <w:right w:val="nil"/>
            </w:tcBorders>
          </w:tcPr>
          <w:p w14:paraId="7AB55EC0"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Probit spline one knot</w:t>
            </w:r>
          </w:p>
        </w:tc>
        <w:tc>
          <w:tcPr>
            <w:tcW w:w="0" w:type="pct"/>
            <w:tcBorders>
              <w:top w:val="single" w:sz="4" w:space="0" w:color="D5DCE4" w:themeColor="text2" w:themeTint="33"/>
              <w:left w:val="nil"/>
              <w:bottom w:val="single" w:sz="4" w:space="0" w:color="D5DCE4" w:themeColor="text2" w:themeTint="33"/>
            </w:tcBorders>
          </w:tcPr>
          <w:p w14:paraId="1B00E67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3533.2</w:t>
            </w:r>
          </w:p>
        </w:tc>
        <w:tc>
          <w:tcPr>
            <w:tcW w:w="0" w:type="pct"/>
            <w:tcBorders>
              <w:top w:val="single" w:sz="4" w:space="0" w:color="D5DCE4" w:themeColor="text2" w:themeTint="33"/>
              <w:bottom w:val="single" w:sz="4" w:space="0" w:color="D5DCE4" w:themeColor="text2" w:themeTint="33"/>
              <w:right w:val="single" w:sz="4" w:space="0" w:color="D5DCE4" w:themeColor="text2" w:themeTint="33"/>
            </w:tcBorders>
          </w:tcPr>
          <w:p w14:paraId="0C96EAE8"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3545.3</w:t>
            </w:r>
          </w:p>
        </w:tc>
        <w:tc>
          <w:tcPr>
            <w:tcW w:w="0" w:type="pct"/>
            <w:tcBorders>
              <w:top w:val="single" w:sz="4" w:space="0" w:color="D5DCE4" w:themeColor="text2" w:themeTint="33"/>
              <w:left w:val="single" w:sz="4" w:space="0" w:color="D5DCE4" w:themeColor="text2" w:themeTint="33"/>
              <w:bottom w:val="single" w:sz="4" w:space="0" w:color="D5DCE4" w:themeColor="text2" w:themeTint="33"/>
            </w:tcBorders>
          </w:tcPr>
          <w:p w14:paraId="14BE812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3543.2</w:t>
            </w:r>
          </w:p>
        </w:tc>
        <w:tc>
          <w:tcPr>
            <w:tcW w:w="0" w:type="pct"/>
            <w:tcBorders>
              <w:top w:val="single" w:sz="4" w:space="0" w:color="D5DCE4" w:themeColor="text2" w:themeTint="33"/>
              <w:bottom w:val="single" w:sz="4" w:space="0" w:color="D5DCE4" w:themeColor="text2" w:themeTint="33"/>
              <w:right w:val="nil"/>
            </w:tcBorders>
          </w:tcPr>
          <w:p w14:paraId="6B6E6C58"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3555.4</w:t>
            </w:r>
          </w:p>
        </w:tc>
      </w:tr>
      <w:tr w:rsidR="007E3B13" w:rsidRPr="004E2161" w14:paraId="6EEFE56A"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auto"/>
              <w:right w:val="nil"/>
            </w:tcBorders>
          </w:tcPr>
          <w:p w14:paraId="466E3077"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left w:val="nil"/>
              <w:bottom w:val="single" w:sz="4" w:space="0" w:color="auto"/>
            </w:tcBorders>
          </w:tcPr>
          <w:p w14:paraId="0C460D9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bottom w:val="single" w:sz="4" w:space="0" w:color="auto"/>
              <w:right w:val="single" w:sz="4" w:space="0" w:color="D5DCE4" w:themeColor="text2" w:themeTint="33"/>
            </w:tcBorders>
          </w:tcPr>
          <w:p w14:paraId="7685055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left w:val="single" w:sz="4" w:space="0" w:color="D5DCE4" w:themeColor="text2" w:themeTint="33"/>
              <w:bottom w:val="single" w:sz="4" w:space="0" w:color="auto"/>
            </w:tcBorders>
          </w:tcPr>
          <w:p w14:paraId="682ADB7B"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bottom w:val="single" w:sz="4" w:space="0" w:color="auto"/>
              <w:right w:val="nil"/>
            </w:tcBorders>
          </w:tcPr>
          <w:p w14:paraId="4F32E7B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r>
      <w:tr w:rsidR="007E3B13" w:rsidRPr="004E2161" w14:paraId="0D56C1BF" w14:textId="77777777" w:rsidTr="006967DA">
        <w:tc>
          <w:tcPr>
            <w:tcW w:w="0" w:type="pct"/>
            <w:tcBorders>
              <w:top w:val="single" w:sz="4" w:space="0" w:color="auto"/>
              <w:left w:val="nil"/>
              <w:bottom w:val="single" w:sz="4" w:space="0" w:color="D5DCE4" w:themeColor="text2" w:themeTint="33"/>
              <w:right w:val="nil"/>
            </w:tcBorders>
          </w:tcPr>
          <w:p w14:paraId="04410B79"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 xml:space="preserve">Parameters best performing model </w:t>
            </w:r>
          </w:p>
        </w:tc>
        <w:tc>
          <w:tcPr>
            <w:tcW w:w="0" w:type="pct"/>
            <w:gridSpan w:val="2"/>
            <w:tcBorders>
              <w:top w:val="single" w:sz="4" w:space="0" w:color="auto"/>
              <w:left w:val="nil"/>
              <w:bottom w:val="single" w:sz="4" w:space="0" w:color="D5DCE4" w:themeColor="text2" w:themeTint="33"/>
              <w:right w:val="single" w:sz="4" w:space="0" w:color="D5DCE4" w:themeColor="text2" w:themeTint="33"/>
            </w:tcBorders>
          </w:tcPr>
          <w:p w14:paraId="4E61CD1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Input parameters NIVO+IPI</w:t>
            </w:r>
          </w:p>
        </w:tc>
        <w:tc>
          <w:tcPr>
            <w:tcW w:w="0" w:type="pct"/>
            <w:gridSpan w:val="2"/>
            <w:tcBorders>
              <w:top w:val="single" w:sz="4" w:space="0" w:color="auto"/>
              <w:left w:val="single" w:sz="4" w:space="0" w:color="D5DCE4" w:themeColor="text2" w:themeTint="33"/>
              <w:bottom w:val="single" w:sz="4" w:space="0" w:color="D5DCE4" w:themeColor="text2" w:themeTint="33"/>
              <w:right w:val="nil"/>
            </w:tcBorders>
          </w:tcPr>
          <w:p w14:paraId="1905C4A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Input parameters SUN</w:t>
            </w:r>
          </w:p>
        </w:tc>
      </w:tr>
      <w:tr w:rsidR="007E3B13" w:rsidRPr="004E2161" w14:paraId="420636B9"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auto"/>
              <w:right w:val="nil"/>
            </w:tcBorders>
          </w:tcPr>
          <w:p w14:paraId="545365E5"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Odds spline 1-knot</w:t>
            </w:r>
          </w:p>
        </w:tc>
        <w:tc>
          <w:tcPr>
            <w:tcW w:w="0" w:type="pct"/>
            <w:gridSpan w:val="2"/>
            <w:tcBorders>
              <w:top w:val="single" w:sz="4" w:space="0" w:color="D5DCE4" w:themeColor="text2" w:themeTint="33"/>
              <w:left w:val="nil"/>
              <w:bottom w:val="single" w:sz="4" w:space="0" w:color="auto"/>
              <w:right w:val="single" w:sz="4" w:space="0" w:color="D5DCE4" w:themeColor="text2" w:themeTint="33"/>
            </w:tcBorders>
          </w:tcPr>
          <w:p w14:paraId="1E78F429"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val="nl-NL" w:eastAsia="en-US"/>
              </w:rPr>
            </w:pPr>
            <w:r w:rsidRPr="004E2161">
              <w:rPr>
                <w:rFonts w:ascii="Times New Roman" w:hAnsi="Times New Roman" w:cs="Times New Roman"/>
                <w:color w:val="000000" w:themeColor="text1"/>
                <w:sz w:val="20"/>
                <w:szCs w:val="20"/>
                <w:lang w:eastAsia="en-US"/>
              </w:rPr>
              <w:t>γ</w:t>
            </w:r>
            <w:r w:rsidRPr="004E2161">
              <w:rPr>
                <w:rFonts w:ascii="Times New Roman" w:hAnsi="Times New Roman" w:cs="Times New Roman"/>
                <w:color w:val="000000" w:themeColor="text1"/>
                <w:sz w:val="20"/>
                <w:szCs w:val="20"/>
                <w:lang w:val="nl-NL" w:eastAsia="en-US"/>
              </w:rPr>
              <w:t>0: –12.44</w:t>
            </w:r>
          </w:p>
          <w:p w14:paraId="213B86F0"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val="nl-NL" w:eastAsia="en-US"/>
              </w:rPr>
            </w:pPr>
            <w:r w:rsidRPr="004E2161">
              <w:rPr>
                <w:rFonts w:ascii="Times New Roman" w:hAnsi="Times New Roman" w:cs="Times New Roman"/>
                <w:color w:val="000000" w:themeColor="text1"/>
                <w:sz w:val="20"/>
                <w:szCs w:val="20"/>
                <w:lang w:eastAsia="en-US"/>
              </w:rPr>
              <w:t>γ</w:t>
            </w:r>
            <w:r w:rsidRPr="004E2161">
              <w:rPr>
                <w:rFonts w:ascii="Times New Roman" w:hAnsi="Times New Roman" w:cs="Times New Roman"/>
                <w:color w:val="000000" w:themeColor="text1"/>
                <w:sz w:val="20"/>
                <w:szCs w:val="20"/>
                <w:lang w:val="nl-NL" w:eastAsia="en-US"/>
              </w:rPr>
              <w:t>1: 2.49</w:t>
            </w:r>
          </w:p>
          <w:p w14:paraId="03B467F4"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val="nl-NL" w:eastAsia="en-US"/>
              </w:rPr>
            </w:pPr>
            <w:r w:rsidRPr="004E2161">
              <w:rPr>
                <w:rFonts w:ascii="Times New Roman" w:hAnsi="Times New Roman" w:cs="Times New Roman"/>
                <w:color w:val="000000" w:themeColor="text1"/>
                <w:sz w:val="20"/>
                <w:szCs w:val="20"/>
                <w:lang w:eastAsia="en-US"/>
              </w:rPr>
              <w:t>γ</w:t>
            </w:r>
            <w:r w:rsidRPr="004E2161">
              <w:rPr>
                <w:rFonts w:ascii="Times New Roman" w:hAnsi="Times New Roman" w:cs="Times New Roman"/>
                <w:color w:val="000000" w:themeColor="text1"/>
                <w:sz w:val="20"/>
                <w:szCs w:val="20"/>
                <w:lang w:val="nl-NL" w:eastAsia="en-US"/>
              </w:rPr>
              <w:t>2: 0.14</w:t>
            </w:r>
          </w:p>
          <w:p w14:paraId="3B04A90C"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val="nl-NL" w:eastAsia="en-US"/>
              </w:rPr>
            </w:pPr>
            <w:r w:rsidRPr="004E2161">
              <w:rPr>
                <w:rFonts w:ascii="Times New Roman" w:hAnsi="Times New Roman" w:cs="Times New Roman"/>
                <w:color w:val="000000" w:themeColor="text1"/>
                <w:sz w:val="20"/>
                <w:szCs w:val="20"/>
                <w:lang w:val="nl-NL" w:eastAsia="en-US"/>
              </w:rPr>
              <w:t>Min: 2.71</w:t>
            </w:r>
          </w:p>
          <w:p w14:paraId="3CD60E0C"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val="nl-NL" w:eastAsia="en-US"/>
              </w:rPr>
            </w:pPr>
            <w:r w:rsidRPr="004E2161">
              <w:rPr>
                <w:rFonts w:ascii="Times New Roman" w:hAnsi="Times New Roman" w:cs="Times New Roman"/>
                <w:color w:val="000000" w:themeColor="text1"/>
                <w:sz w:val="20"/>
                <w:szCs w:val="20"/>
                <w:lang w:val="nl-NL" w:eastAsia="en-US"/>
              </w:rPr>
              <w:t>Knot 1: 4.93</w:t>
            </w:r>
          </w:p>
          <w:p w14:paraId="7AE5B048"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Max: 7.11</w:t>
            </w:r>
          </w:p>
        </w:tc>
        <w:tc>
          <w:tcPr>
            <w:tcW w:w="0" w:type="pct"/>
            <w:gridSpan w:val="2"/>
            <w:tcBorders>
              <w:top w:val="single" w:sz="4" w:space="0" w:color="D5DCE4" w:themeColor="text2" w:themeTint="33"/>
              <w:left w:val="single" w:sz="4" w:space="0" w:color="D5DCE4" w:themeColor="text2" w:themeTint="33"/>
              <w:bottom w:val="single" w:sz="4" w:space="0" w:color="auto"/>
              <w:right w:val="nil"/>
            </w:tcBorders>
          </w:tcPr>
          <w:p w14:paraId="58A8B6C3"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val="nl-NL" w:eastAsia="en-US"/>
              </w:rPr>
            </w:pPr>
            <w:r w:rsidRPr="004E2161">
              <w:rPr>
                <w:rFonts w:ascii="Times New Roman" w:hAnsi="Times New Roman" w:cs="Times New Roman"/>
                <w:color w:val="000000" w:themeColor="text1"/>
                <w:sz w:val="20"/>
                <w:szCs w:val="20"/>
                <w:lang w:eastAsia="en-US"/>
              </w:rPr>
              <w:t>γ</w:t>
            </w:r>
            <w:r w:rsidRPr="004E2161">
              <w:rPr>
                <w:rFonts w:ascii="Times New Roman" w:hAnsi="Times New Roman" w:cs="Times New Roman"/>
                <w:color w:val="000000" w:themeColor="text1"/>
                <w:sz w:val="20"/>
                <w:szCs w:val="20"/>
                <w:lang w:val="nl-NL" w:eastAsia="en-US"/>
              </w:rPr>
              <w:t>0: –12.29</w:t>
            </w:r>
          </w:p>
          <w:p w14:paraId="5B783360"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val="nl-NL" w:eastAsia="en-US"/>
              </w:rPr>
            </w:pPr>
            <w:r w:rsidRPr="004E2161">
              <w:rPr>
                <w:rFonts w:ascii="Times New Roman" w:hAnsi="Times New Roman" w:cs="Times New Roman"/>
                <w:color w:val="000000" w:themeColor="text1"/>
                <w:sz w:val="20"/>
                <w:szCs w:val="20"/>
                <w:lang w:eastAsia="en-US"/>
              </w:rPr>
              <w:t>γ</w:t>
            </w:r>
            <w:r w:rsidRPr="004E2161">
              <w:rPr>
                <w:rFonts w:ascii="Times New Roman" w:hAnsi="Times New Roman" w:cs="Times New Roman"/>
                <w:color w:val="000000" w:themeColor="text1"/>
                <w:sz w:val="20"/>
                <w:szCs w:val="20"/>
                <w:lang w:val="nl-NL" w:eastAsia="en-US"/>
              </w:rPr>
              <w:t>1: 2.54</w:t>
            </w:r>
          </w:p>
          <w:p w14:paraId="2D57D03A"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val="nl-NL" w:eastAsia="en-US"/>
              </w:rPr>
            </w:pPr>
            <w:r w:rsidRPr="004E2161">
              <w:rPr>
                <w:rFonts w:ascii="Times New Roman" w:hAnsi="Times New Roman" w:cs="Times New Roman"/>
                <w:color w:val="000000" w:themeColor="text1"/>
                <w:sz w:val="20"/>
                <w:szCs w:val="20"/>
                <w:lang w:eastAsia="en-US"/>
              </w:rPr>
              <w:t>γ</w:t>
            </w:r>
            <w:r w:rsidRPr="004E2161">
              <w:rPr>
                <w:rFonts w:ascii="Times New Roman" w:hAnsi="Times New Roman" w:cs="Times New Roman"/>
                <w:color w:val="000000" w:themeColor="text1"/>
                <w:sz w:val="20"/>
                <w:szCs w:val="20"/>
                <w:lang w:val="nl-NL" w:eastAsia="en-US"/>
              </w:rPr>
              <w:t>2: 0.07</w:t>
            </w:r>
          </w:p>
          <w:p w14:paraId="1CDC1F8F"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val="nl-NL" w:eastAsia="en-US"/>
              </w:rPr>
            </w:pPr>
            <w:r w:rsidRPr="004E2161">
              <w:rPr>
                <w:rFonts w:ascii="Times New Roman" w:hAnsi="Times New Roman" w:cs="Times New Roman"/>
                <w:color w:val="000000" w:themeColor="text1"/>
                <w:sz w:val="20"/>
                <w:szCs w:val="20"/>
                <w:lang w:val="nl-NL" w:eastAsia="en-US"/>
              </w:rPr>
              <w:t>Min: 1.39</w:t>
            </w:r>
          </w:p>
          <w:p w14:paraId="43B3664C"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val="nl-NL" w:eastAsia="en-US"/>
              </w:rPr>
            </w:pPr>
            <w:r w:rsidRPr="004E2161">
              <w:rPr>
                <w:rFonts w:ascii="Times New Roman" w:hAnsi="Times New Roman" w:cs="Times New Roman"/>
                <w:color w:val="000000" w:themeColor="text1"/>
                <w:sz w:val="20"/>
                <w:szCs w:val="20"/>
                <w:lang w:val="nl-NL" w:eastAsia="en-US"/>
              </w:rPr>
              <w:t>Knot 1: 5.11</w:t>
            </w:r>
          </w:p>
          <w:p w14:paraId="54685809"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Max: 7.25</w:t>
            </w:r>
          </w:p>
        </w:tc>
      </w:tr>
    </w:tbl>
    <w:p w14:paraId="036E2ECD" w14:textId="60571BCF" w:rsidR="007E3B13" w:rsidRPr="004E2161" w:rsidRDefault="007E3B13" w:rsidP="007E3B13">
      <w:pPr>
        <w:spacing w:before="120" w:line="240" w:lineRule="auto"/>
        <w:contextualSpacing w:val="0"/>
        <w:jc w:val="left"/>
        <w:rPr>
          <w:rStyle w:val="NoteChar0"/>
          <w:rFonts w:ascii="Times New Roman" w:hAnsi="Times New Roman" w:cs="Times New Roman"/>
          <w:sz w:val="20"/>
          <w:szCs w:val="20"/>
        </w:rPr>
      </w:pPr>
      <w:r w:rsidRPr="004E2161">
        <w:rPr>
          <w:rFonts w:ascii="Times New Roman" w:hAnsi="Times New Roman" w:cs="Times New Roman"/>
          <w:bCs w:val="0"/>
          <w:i/>
          <w:iCs/>
          <w:color w:val="auto"/>
          <w:sz w:val="20"/>
          <w:szCs w:val="20"/>
          <w:lang w:val="en-GB" w:eastAsia="en-US"/>
        </w:rPr>
        <w:t>AIC</w:t>
      </w:r>
      <w:r w:rsidRPr="004E2161">
        <w:rPr>
          <w:rFonts w:ascii="Times New Roman" w:hAnsi="Times New Roman" w:cs="Times New Roman"/>
          <w:bCs w:val="0"/>
          <w:color w:val="auto"/>
          <w:sz w:val="20"/>
          <w:szCs w:val="20"/>
          <w:lang w:val="en-GB" w:eastAsia="en-US"/>
        </w:rPr>
        <w:t xml:space="preserve"> </w:t>
      </w:r>
      <w:r w:rsidRPr="004E2161">
        <w:rPr>
          <w:rFonts w:ascii="Times New Roman" w:hAnsi="Times New Roman" w:cs="Times New Roman"/>
          <w:color w:val="auto"/>
          <w:sz w:val="20"/>
          <w:szCs w:val="20"/>
          <w:lang w:val="en-GB"/>
        </w:rPr>
        <w:t xml:space="preserve">Akaike’s information criterion, </w:t>
      </w:r>
      <w:r w:rsidRPr="004E2161">
        <w:rPr>
          <w:rFonts w:ascii="Times New Roman" w:hAnsi="Times New Roman" w:cs="Times New Roman"/>
          <w:i/>
          <w:iCs/>
          <w:color w:val="auto"/>
          <w:sz w:val="20"/>
          <w:szCs w:val="20"/>
          <w:lang w:val="en-GB"/>
        </w:rPr>
        <w:t>BIC</w:t>
      </w:r>
      <w:r w:rsidRPr="004E2161">
        <w:rPr>
          <w:rFonts w:ascii="Times New Roman" w:hAnsi="Times New Roman" w:cs="Times New Roman"/>
          <w:color w:val="auto"/>
          <w:sz w:val="20"/>
          <w:szCs w:val="20"/>
          <w:lang w:val="en-GB"/>
        </w:rPr>
        <w:t xml:space="preserve"> Bayesian information criterion, </w:t>
      </w:r>
      <w:r w:rsidRPr="004E2161">
        <w:rPr>
          <w:rFonts w:ascii="Times New Roman" w:hAnsi="Times New Roman" w:cs="Times New Roman"/>
          <w:i/>
          <w:iCs/>
          <w:color w:val="auto"/>
          <w:sz w:val="20"/>
          <w:szCs w:val="20"/>
          <w:lang w:val="en-GB"/>
        </w:rPr>
        <w:t>NIVO+IPI</w:t>
      </w:r>
      <w:r w:rsidRPr="004E2161">
        <w:rPr>
          <w:rFonts w:ascii="Times New Roman" w:hAnsi="Times New Roman" w:cs="Times New Roman"/>
          <w:color w:val="auto"/>
          <w:sz w:val="20"/>
          <w:szCs w:val="20"/>
          <w:lang w:val="en-GB"/>
        </w:rPr>
        <w:t xml:space="preserve"> nivolumab plus ipilimumab, </w:t>
      </w:r>
      <w:r w:rsidRPr="004E2161">
        <w:rPr>
          <w:rFonts w:ascii="Times New Roman" w:hAnsi="Times New Roman" w:cs="Times New Roman"/>
          <w:bCs w:val="0"/>
          <w:i/>
          <w:iCs/>
          <w:color w:val="auto"/>
          <w:sz w:val="20"/>
          <w:szCs w:val="20"/>
          <w:lang w:val="en-GB" w:eastAsia="en-US"/>
        </w:rPr>
        <w:t>PFS</w:t>
      </w:r>
      <w:r w:rsidRPr="004E2161">
        <w:rPr>
          <w:rFonts w:ascii="Times New Roman" w:hAnsi="Times New Roman" w:cs="Times New Roman"/>
          <w:bCs w:val="0"/>
          <w:color w:val="auto"/>
          <w:sz w:val="20"/>
          <w:szCs w:val="20"/>
          <w:lang w:val="en-GB" w:eastAsia="en-US"/>
        </w:rPr>
        <w:t xml:space="preserve"> progression-free survival</w:t>
      </w:r>
      <w:r w:rsidRPr="004E2161">
        <w:rPr>
          <w:rFonts w:ascii="Times New Roman" w:hAnsi="Times New Roman" w:cs="Times New Roman"/>
          <w:color w:val="auto"/>
          <w:sz w:val="20"/>
          <w:szCs w:val="20"/>
          <w:lang w:val="en-GB"/>
        </w:rPr>
        <w:t xml:space="preserve">, </w:t>
      </w:r>
      <w:r w:rsidRPr="004E2161">
        <w:rPr>
          <w:rFonts w:ascii="Times New Roman" w:hAnsi="Times New Roman" w:cs="Times New Roman"/>
          <w:bCs w:val="0"/>
          <w:i/>
          <w:iCs/>
          <w:color w:val="auto"/>
          <w:sz w:val="20"/>
          <w:szCs w:val="20"/>
          <w:lang w:val="en-GB" w:eastAsia="en-US"/>
        </w:rPr>
        <w:t>SUN</w:t>
      </w:r>
      <w:r w:rsidRPr="004E2161">
        <w:rPr>
          <w:rFonts w:ascii="Times New Roman" w:hAnsi="Times New Roman" w:cs="Times New Roman"/>
          <w:bCs w:val="0"/>
          <w:color w:val="auto"/>
          <w:sz w:val="20"/>
          <w:szCs w:val="20"/>
          <w:lang w:val="en-GB" w:eastAsia="en-US"/>
        </w:rPr>
        <w:t xml:space="preserve"> sunitinib</w:t>
      </w:r>
    </w:p>
    <w:p w14:paraId="35062EE9" w14:textId="77777777" w:rsidR="007E3B13" w:rsidRPr="004E2161" w:rsidRDefault="007E3B13" w:rsidP="007E3B13">
      <w:pPr>
        <w:jc w:val="left"/>
        <w:rPr>
          <w:rFonts w:ascii="Times New Roman" w:hAnsi="Times New Roman" w:cs="Times New Roman"/>
          <w:color w:val="000000" w:themeColor="text1"/>
          <w:sz w:val="20"/>
          <w:szCs w:val="20"/>
          <w:lang w:val="en-GB"/>
        </w:rPr>
      </w:pPr>
    </w:p>
    <w:p w14:paraId="49428293" w14:textId="08D2CCEA" w:rsidR="007E3B13" w:rsidRPr="004E2161" w:rsidRDefault="007E3B13" w:rsidP="007E3B13">
      <w:pPr>
        <w:spacing w:line="240" w:lineRule="auto"/>
        <w:ind w:firstLine="432"/>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b/>
          <w:bCs w:val="0"/>
          <w:color w:val="000000" w:themeColor="text1"/>
          <w:sz w:val="20"/>
          <w:szCs w:val="20"/>
          <w:lang w:val="en-GB"/>
        </w:rPr>
        <w:t>Overall survival.</w:t>
      </w:r>
      <w:r w:rsidRPr="004E2161">
        <w:rPr>
          <w:rFonts w:ascii="Times New Roman" w:hAnsi="Times New Roman" w:cs="Times New Roman"/>
          <w:color w:val="000000" w:themeColor="text1"/>
          <w:sz w:val="20"/>
          <w:szCs w:val="20"/>
          <w:lang w:val="en-GB"/>
        </w:rPr>
        <w:t xml:space="preserve"> The log-cumulative hazard plot is displayed in Figure S5. The log-cumulative hazard plot does not suggest proportional hazards due to the crossing of the NIVO+IPI and the SUN curves. However, the chi-square test could not be labelled as statistically significant (</w:t>
      </w:r>
      <w:r w:rsidRPr="004E2161">
        <w:rPr>
          <w:rFonts w:ascii="Times New Roman" w:hAnsi="Times New Roman" w:cs="Times New Roman"/>
          <w:i/>
          <w:iCs/>
          <w:color w:val="000000" w:themeColor="text1"/>
          <w:sz w:val="20"/>
          <w:szCs w:val="20"/>
          <w:lang w:val="en-GB"/>
        </w:rPr>
        <w:t>P</w:t>
      </w:r>
      <w:r w:rsidR="001778D5" w:rsidRPr="004E2161">
        <w:rPr>
          <w:rFonts w:ascii="Times New Roman" w:hAnsi="Times New Roman" w:cs="Times New Roman"/>
          <w:i/>
          <w:iCs/>
          <w:color w:val="000000" w:themeColor="text1"/>
          <w:sz w:val="20"/>
          <w:szCs w:val="20"/>
          <w:lang w:val="en-GB"/>
        </w:rPr>
        <w:t xml:space="preserve"> </w:t>
      </w:r>
      <w:r w:rsidRPr="004E2161">
        <w:rPr>
          <w:rFonts w:ascii="Times New Roman" w:hAnsi="Times New Roman" w:cs="Times New Roman"/>
          <w:color w:val="000000" w:themeColor="text1"/>
          <w:sz w:val="20"/>
          <w:szCs w:val="20"/>
          <w:lang w:val="en-GB"/>
        </w:rPr>
        <w:t>=</w:t>
      </w:r>
      <w:r w:rsidR="001778D5"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color w:val="000000" w:themeColor="text1"/>
          <w:sz w:val="20"/>
          <w:szCs w:val="20"/>
          <w:lang w:val="en-GB"/>
        </w:rPr>
        <w:t xml:space="preserve">0.672), which means that the proportional-hazard assumption cannot be rejected based on this test. In addition, the assumption of a constant HR does not appear violated by the Schoenfeld residuals, as no clear trend in time can be observed </w:t>
      </w:r>
      <w:r w:rsidRPr="004E2161">
        <w:rPr>
          <w:rFonts w:ascii="Times New Roman" w:hAnsi="Times New Roman" w:cs="Times New Roman"/>
          <w:color w:val="000000" w:themeColor="text1"/>
          <w:sz w:val="20"/>
          <w:szCs w:val="20"/>
          <w:lang w:val="en-GB"/>
        </w:rPr>
        <w:lastRenderedPageBreak/>
        <w:t>(Fig</w:t>
      </w:r>
      <w:r w:rsidR="002D344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S6). Based on these results, the proportional-hazard assumption was not rejected for OS and a single dependent model, including a treatment effect (HR), was fitted on both the NIVO+IPI and SUN arms.</w:t>
      </w:r>
    </w:p>
    <w:p w14:paraId="17982AC1" w14:textId="5284FFAE" w:rsidR="007E3B13" w:rsidRPr="004E2161" w:rsidRDefault="007E3B13" w:rsidP="007E3B13">
      <w:pPr>
        <w:pStyle w:val="Caption"/>
        <w:keepNext/>
        <w:spacing w:line="240" w:lineRule="auto"/>
        <w:contextualSpacing w:val="0"/>
        <w:rPr>
          <w:rFonts w:ascii="Times New Roman" w:hAnsi="Times New Roman" w:cs="Times New Roman"/>
          <w:color w:val="000000" w:themeColor="text1"/>
          <w:sz w:val="20"/>
          <w:szCs w:val="20"/>
          <w:lang w:val="en-GB"/>
        </w:rPr>
      </w:pPr>
      <w:bookmarkStart w:id="8" w:name="_Ref26262344"/>
      <w:bookmarkStart w:id="9" w:name="_Toc26955721"/>
      <w:r w:rsidRPr="004E2161">
        <w:rPr>
          <w:rFonts w:ascii="Times New Roman" w:hAnsi="Times New Roman" w:cs="Times New Roman"/>
          <w:color w:val="000000" w:themeColor="text1"/>
          <w:sz w:val="20"/>
          <w:szCs w:val="20"/>
          <w:lang w:val="en-GB"/>
        </w:rPr>
        <w:t>Fig</w:t>
      </w:r>
      <w:r w:rsidR="006E75E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bookmarkEnd w:id="8"/>
      <w:r w:rsidRPr="004E2161">
        <w:rPr>
          <w:rFonts w:ascii="Times New Roman" w:hAnsi="Times New Roman" w:cs="Times New Roman"/>
          <w:color w:val="000000" w:themeColor="text1"/>
          <w:sz w:val="20"/>
          <w:szCs w:val="20"/>
          <w:lang w:val="en-GB"/>
        </w:rPr>
        <w:t xml:space="preserve">S5 </w:t>
      </w:r>
      <w:r w:rsidRPr="004E2161">
        <w:rPr>
          <w:rFonts w:ascii="Times New Roman" w:hAnsi="Times New Roman" w:cs="Times New Roman"/>
          <w:b w:val="0"/>
          <w:bCs/>
          <w:color w:val="000000" w:themeColor="text1"/>
          <w:sz w:val="20"/>
          <w:szCs w:val="20"/>
          <w:lang w:val="en-GB"/>
        </w:rPr>
        <w:t>OS; Log-cumulative hazard plot</w:t>
      </w:r>
      <w:bookmarkEnd w:id="9"/>
      <w:r w:rsidRPr="004E2161">
        <w:rPr>
          <w:rFonts w:ascii="Times New Roman" w:hAnsi="Times New Roman" w:cs="Times New Roman"/>
          <w:b w:val="0"/>
          <w:bCs/>
          <w:color w:val="000000" w:themeColor="text1"/>
          <w:sz w:val="20"/>
          <w:szCs w:val="20"/>
          <w:lang w:val="en-GB"/>
        </w:rPr>
        <w:t>.</w:t>
      </w:r>
    </w:p>
    <w:p w14:paraId="43ACF06D" w14:textId="77777777" w:rsidR="007E3B13" w:rsidRPr="004E2161" w:rsidRDefault="007E3B13" w:rsidP="007E3B13">
      <w:pPr>
        <w:rPr>
          <w:rFonts w:ascii="Times New Roman" w:hAnsi="Times New Roman" w:cs="Times New Roman"/>
          <w:sz w:val="20"/>
          <w:szCs w:val="20"/>
          <w:lang w:val="en-GB"/>
        </w:rPr>
      </w:pPr>
      <w:r w:rsidRPr="004E2161">
        <w:rPr>
          <w:rFonts w:ascii="Times New Roman" w:hAnsi="Times New Roman" w:cs="Times New Roman"/>
          <w:noProof/>
          <w:sz w:val="20"/>
          <w:szCs w:val="20"/>
          <w:lang w:eastAsia="en-US"/>
        </w:rPr>
        <w:drawing>
          <wp:inline distT="0" distB="0" distL="0" distR="0" wp14:anchorId="2C1812ED" wp14:editId="329AD129">
            <wp:extent cx="5505450" cy="2755930"/>
            <wp:effectExtent l="0" t="0" r="0" b="6350"/>
            <wp:docPr id="465" name="Picture 465"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Chart, line chart, scatt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5562" cy="2755986"/>
                    </a:xfrm>
                    <a:prstGeom prst="rect">
                      <a:avLst/>
                    </a:prstGeom>
                    <a:noFill/>
                    <a:ln>
                      <a:noFill/>
                    </a:ln>
                  </pic:spPr>
                </pic:pic>
              </a:graphicData>
            </a:graphic>
          </wp:inline>
        </w:drawing>
      </w:r>
    </w:p>
    <w:p w14:paraId="5C9055EB" w14:textId="06EB5134" w:rsidR="007E3B13" w:rsidRPr="004E2161" w:rsidRDefault="007E3B13" w:rsidP="007E3B13">
      <w:pPr>
        <w:pStyle w:val="Caption"/>
        <w:keepNext/>
        <w:spacing w:line="240" w:lineRule="auto"/>
        <w:contextualSpacing w:val="0"/>
        <w:jc w:val="left"/>
        <w:rPr>
          <w:rFonts w:ascii="Times New Roman" w:hAnsi="Times New Roman" w:cs="Times New Roman"/>
          <w:color w:val="000000" w:themeColor="text1"/>
          <w:sz w:val="20"/>
          <w:szCs w:val="20"/>
          <w:lang w:val="en-GB"/>
        </w:rPr>
      </w:pPr>
      <w:bookmarkStart w:id="10" w:name="_Ref26262352"/>
      <w:bookmarkStart w:id="11" w:name="_Toc26955722"/>
      <w:r w:rsidRPr="004E2161">
        <w:rPr>
          <w:rFonts w:ascii="Times New Roman" w:hAnsi="Times New Roman" w:cs="Times New Roman"/>
          <w:color w:val="000000" w:themeColor="text1"/>
          <w:sz w:val="20"/>
          <w:szCs w:val="20"/>
          <w:lang w:val="en-GB"/>
        </w:rPr>
        <w:t>Fig</w:t>
      </w:r>
      <w:r w:rsidR="006E75E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S6</w:t>
      </w:r>
      <w:bookmarkEnd w:id="10"/>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b w:val="0"/>
          <w:bCs/>
          <w:color w:val="000000" w:themeColor="text1"/>
          <w:sz w:val="20"/>
          <w:szCs w:val="20"/>
          <w:lang w:val="en-GB"/>
        </w:rPr>
        <w:t>OS; Schoenfeld residuals</w:t>
      </w:r>
      <w:bookmarkEnd w:id="11"/>
      <w:r w:rsidRPr="004E2161">
        <w:rPr>
          <w:rFonts w:ascii="Times New Roman" w:hAnsi="Times New Roman" w:cs="Times New Roman"/>
          <w:b w:val="0"/>
          <w:bCs/>
          <w:color w:val="000000" w:themeColor="text1"/>
          <w:sz w:val="20"/>
          <w:szCs w:val="20"/>
          <w:lang w:val="en-GB"/>
        </w:rPr>
        <w:t>.</w:t>
      </w:r>
    </w:p>
    <w:p w14:paraId="283D0DC9" w14:textId="77777777" w:rsidR="007E3B13" w:rsidRPr="004E2161" w:rsidRDefault="007E3B13" w:rsidP="007E3B13">
      <w:pPr>
        <w:rPr>
          <w:rFonts w:ascii="Times New Roman" w:hAnsi="Times New Roman" w:cs="Times New Roman"/>
          <w:sz w:val="20"/>
          <w:szCs w:val="20"/>
          <w:lang w:val="en-GB"/>
        </w:rPr>
      </w:pPr>
      <w:r w:rsidRPr="004E2161">
        <w:rPr>
          <w:rFonts w:ascii="Times New Roman" w:hAnsi="Times New Roman" w:cs="Times New Roman"/>
          <w:noProof/>
          <w:sz w:val="20"/>
          <w:szCs w:val="20"/>
          <w:lang w:eastAsia="en-US"/>
        </w:rPr>
        <w:drawing>
          <wp:inline distT="0" distB="0" distL="0" distR="0" wp14:anchorId="7856DB2C" wp14:editId="3723198D">
            <wp:extent cx="5518080" cy="2762250"/>
            <wp:effectExtent l="0" t="0" r="6985" b="0"/>
            <wp:docPr id="466" name="Picture 46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5788" cy="2776120"/>
                    </a:xfrm>
                    <a:prstGeom prst="rect">
                      <a:avLst/>
                    </a:prstGeom>
                    <a:noFill/>
                    <a:ln>
                      <a:noFill/>
                    </a:ln>
                  </pic:spPr>
                </pic:pic>
              </a:graphicData>
            </a:graphic>
          </wp:inline>
        </w:drawing>
      </w:r>
    </w:p>
    <w:p w14:paraId="4946A3B2" w14:textId="1C175959" w:rsidR="007E3B13" w:rsidRPr="004E2161" w:rsidRDefault="007E3B13" w:rsidP="007E3B13">
      <w:pPr>
        <w:spacing w:before="120" w:line="240" w:lineRule="auto"/>
        <w:ind w:firstLine="432"/>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AIC and BIC were evaluated to statistically compare model fits, as presented in Table S2. Based on these criteria, the log-normal distribution provides the best statistical fit to the data as it minim</w:t>
      </w:r>
      <w:r w:rsidR="006E75E4" w:rsidRPr="004E2161">
        <w:rPr>
          <w:rFonts w:ascii="Times New Roman" w:hAnsi="Times New Roman" w:cs="Times New Roman"/>
          <w:color w:val="000000" w:themeColor="text1"/>
          <w:sz w:val="20"/>
          <w:szCs w:val="20"/>
          <w:lang w:val="en-GB"/>
        </w:rPr>
        <w:t>ize</w:t>
      </w:r>
      <w:r w:rsidRPr="004E2161">
        <w:rPr>
          <w:rFonts w:ascii="Times New Roman" w:hAnsi="Times New Roman" w:cs="Times New Roman"/>
          <w:color w:val="000000" w:themeColor="text1"/>
          <w:sz w:val="20"/>
          <w:szCs w:val="20"/>
          <w:lang w:val="en-GB"/>
        </w:rPr>
        <w:t>s BIC. Further, it deviates less than 2.0 points from the hazard spline one-knot in terms of AIC, providing substantial support that the curves perform equally well in terms of AIC. The log-normal distribution is followed by the hazard spline one-knot and the odds spline one-knot.</w:t>
      </w:r>
    </w:p>
    <w:p w14:paraId="3602CF0A" w14:textId="77777777" w:rsidR="007E3B13" w:rsidRPr="004E2161" w:rsidRDefault="007E3B13" w:rsidP="007E3B13">
      <w:pPr>
        <w:spacing w:before="120" w:line="240" w:lineRule="auto"/>
        <w:ind w:firstLine="432"/>
        <w:contextualSpacing w:val="0"/>
        <w:jc w:val="left"/>
        <w:rPr>
          <w:rFonts w:ascii="Times New Roman" w:hAnsi="Times New Roman" w:cs="Times New Roman"/>
          <w:color w:val="000000" w:themeColor="text1"/>
          <w:sz w:val="20"/>
          <w:szCs w:val="20"/>
          <w:lang w:val="en-GB"/>
        </w:rPr>
      </w:pPr>
    </w:p>
    <w:p w14:paraId="24CD7146" w14:textId="77777777" w:rsidR="007E3B13" w:rsidRPr="004E2161" w:rsidRDefault="007E3B13" w:rsidP="007E3B13">
      <w:pPr>
        <w:spacing w:before="120" w:line="240" w:lineRule="auto"/>
        <w:ind w:firstLine="432"/>
        <w:contextualSpacing w:val="0"/>
        <w:jc w:val="left"/>
        <w:rPr>
          <w:rFonts w:ascii="Times New Roman" w:hAnsi="Times New Roman" w:cs="Times New Roman"/>
          <w:color w:val="000000" w:themeColor="text1"/>
          <w:sz w:val="20"/>
          <w:szCs w:val="20"/>
          <w:lang w:val="en-GB"/>
        </w:rPr>
      </w:pPr>
    </w:p>
    <w:p w14:paraId="787F5E92" w14:textId="77777777" w:rsidR="007E3B13" w:rsidRPr="004E2161" w:rsidRDefault="007E3B13" w:rsidP="007E3B13">
      <w:pPr>
        <w:spacing w:before="120" w:line="240" w:lineRule="auto"/>
        <w:ind w:firstLine="432"/>
        <w:contextualSpacing w:val="0"/>
        <w:jc w:val="left"/>
        <w:rPr>
          <w:rFonts w:ascii="Times New Roman" w:hAnsi="Times New Roman" w:cs="Times New Roman"/>
          <w:color w:val="000000" w:themeColor="text1"/>
          <w:sz w:val="20"/>
          <w:szCs w:val="20"/>
          <w:lang w:val="en-GB"/>
        </w:rPr>
      </w:pPr>
    </w:p>
    <w:p w14:paraId="495C0691" w14:textId="77777777" w:rsidR="007E3B13" w:rsidRPr="004E2161" w:rsidRDefault="007E3B13" w:rsidP="007E3B13">
      <w:pPr>
        <w:spacing w:before="120" w:line="240" w:lineRule="auto"/>
        <w:ind w:firstLine="432"/>
        <w:contextualSpacing w:val="0"/>
        <w:jc w:val="left"/>
        <w:rPr>
          <w:rFonts w:ascii="Times New Roman" w:hAnsi="Times New Roman" w:cs="Times New Roman"/>
          <w:color w:val="000000" w:themeColor="text1"/>
          <w:sz w:val="20"/>
          <w:szCs w:val="20"/>
          <w:lang w:val="en-GB"/>
        </w:rPr>
      </w:pPr>
    </w:p>
    <w:p w14:paraId="6A74C882" w14:textId="77777777" w:rsidR="007E3B13" w:rsidRPr="004E2161" w:rsidRDefault="007E3B13" w:rsidP="007E3B13">
      <w:pPr>
        <w:spacing w:before="120" w:line="240" w:lineRule="auto"/>
        <w:ind w:firstLine="432"/>
        <w:contextualSpacing w:val="0"/>
        <w:jc w:val="left"/>
        <w:rPr>
          <w:rFonts w:ascii="Times New Roman" w:hAnsi="Times New Roman" w:cs="Times New Roman"/>
          <w:color w:val="000000" w:themeColor="text1"/>
          <w:sz w:val="20"/>
          <w:szCs w:val="20"/>
          <w:lang w:val="en-GB"/>
        </w:rPr>
      </w:pPr>
    </w:p>
    <w:p w14:paraId="1D3D0948" w14:textId="03CA33D2" w:rsidR="007E3B13" w:rsidRPr="004E2161" w:rsidRDefault="007E3B13" w:rsidP="007E3B13">
      <w:pPr>
        <w:pStyle w:val="Caption"/>
        <w:keepNext/>
        <w:spacing w:before="240" w:line="240" w:lineRule="auto"/>
        <w:contextualSpacing w:val="0"/>
        <w:jc w:val="left"/>
        <w:rPr>
          <w:rStyle w:val="NoteChar0"/>
          <w:rFonts w:ascii="Times New Roman" w:hAnsi="Times New Roman" w:cs="Times New Roman"/>
          <w:color w:val="000000" w:themeColor="text1"/>
          <w:sz w:val="20"/>
          <w:szCs w:val="20"/>
        </w:rPr>
      </w:pPr>
      <w:r w:rsidRPr="004E2161">
        <w:rPr>
          <w:rFonts w:ascii="Times New Roman" w:hAnsi="Times New Roman" w:cs="Times New Roman"/>
          <w:color w:val="000000" w:themeColor="text1"/>
          <w:sz w:val="20"/>
          <w:szCs w:val="20"/>
          <w:lang w:val="en-GB"/>
        </w:rPr>
        <w:lastRenderedPageBreak/>
        <w:t xml:space="preserve">Table S2 </w:t>
      </w:r>
      <w:r w:rsidRPr="004E2161">
        <w:rPr>
          <w:rFonts w:ascii="Times New Roman" w:hAnsi="Times New Roman" w:cs="Times New Roman"/>
          <w:b w:val="0"/>
          <w:bCs/>
          <w:color w:val="000000" w:themeColor="text1"/>
          <w:sz w:val="20"/>
          <w:szCs w:val="20"/>
          <w:lang w:val="en-GB"/>
        </w:rPr>
        <w:t>OS; AIC and BIC values for nivolumab plus ipilimumab and sunitinib, and the parametr</w:t>
      </w:r>
      <w:r w:rsidR="006E75E4" w:rsidRPr="004E2161">
        <w:rPr>
          <w:rFonts w:ascii="Times New Roman" w:hAnsi="Times New Roman" w:cs="Times New Roman"/>
          <w:b w:val="0"/>
          <w:bCs/>
          <w:color w:val="000000" w:themeColor="text1"/>
          <w:sz w:val="20"/>
          <w:szCs w:val="20"/>
          <w:lang w:val="en-GB"/>
        </w:rPr>
        <w:t>iza</w:t>
      </w:r>
      <w:r w:rsidRPr="004E2161">
        <w:rPr>
          <w:rFonts w:ascii="Times New Roman" w:hAnsi="Times New Roman" w:cs="Times New Roman"/>
          <w:b w:val="0"/>
          <w:bCs/>
          <w:color w:val="000000" w:themeColor="text1"/>
          <w:sz w:val="20"/>
          <w:szCs w:val="20"/>
          <w:lang w:val="en-GB"/>
        </w:rPr>
        <w:t>tion for the best performing model</w:t>
      </w:r>
      <w:r w:rsidR="00D60A41" w:rsidRPr="004E2161">
        <w:rPr>
          <w:rFonts w:ascii="Times New Roman" w:hAnsi="Times New Roman" w:cs="Times New Roman"/>
          <w:b w:val="0"/>
          <w:bCs/>
          <w:color w:val="000000" w:themeColor="text1"/>
          <w:sz w:val="20"/>
          <w:szCs w:val="20"/>
          <w:lang w:val="en-GB"/>
        </w:rPr>
        <w:t>.</w:t>
      </w:r>
    </w:p>
    <w:tbl>
      <w:tblPr>
        <w:tblStyle w:val="PharmeritTable2018"/>
        <w:tblW w:w="5000" w:type="pct"/>
        <w:tblLook w:val="04A0" w:firstRow="1" w:lastRow="0" w:firstColumn="1" w:lastColumn="0" w:noHBand="0" w:noVBand="1"/>
      </w:tblPr>
      <w:tblGrid>
        <w:gridCol w:w="2970"/>
        <w:gridCol w:w="2881"/>
        <w:gridCol w:w="2881"/>
      </w:tblGrid>
      <w:tr w:rsidR="007E3B13" w:rsidRPr="004E2161" w14:paraId="08AD85FD" w14:textId="77777777" w:rsidTr="006967DA">
        <w:trPr>
          <w:cnfStyle w:val="100000000000" w:firstRow="1" w:lastRow="0" w:firstColumn="0" w:lastColumn="0" w:oddVBand="0" w:evenVBand="0" w:oddHBand="0" w:evenHBand="0" w:firstRowFirstColumn="0" w:firstRowLastColumn="0" w:lastRowFirstColumn="0" w:lastRowLastColumn="0"/>
          <w:trHeight w:val="13"/>
        </w:trPr>
        <w:tc>
          <w:tcPr>
            <w:tcW w:w="0" w:type="pct"/>
            <w:vMerge w:val="restart"/>
            <w:tcBorders>
              <w:top w:val="single" w:sz="4" w:space="0" w:color="auto"/>
              <w:left w:val="nil"/>
              <w:right w:val="single" w:sz="4" w:space="0" w:color="FFFFFF" w:themeColor="background1"/>
            </w:tcBorders>
            <w:shd w:val="clear" w:color="auto" w:fill="FFFFFF" w:themeFill="background1"/>
            <w:vAlign w:val="bottom"/>
          </w:tcPr>
          <w:p w14:paraId="4999D1C4" w14:textId="77777777" w:rsidR="007E3B13" w:rsidRPr="004E2161" w:rsidRDefault="007E3B13" w:rsidP="00993332">
            <w:pPr>
              <w:spacing w:after="0" w:line="240" w:lineRule="auto"/>
              <w:jc w:val="left"/>
              <w:rPr>
                <w:rFonts w:ascii="Times New Roman" w:hAnsi="Times New Roman" w:cs="Times New Roman"/>
                <w:i/>
                <w:color w:val="000000" w:themeColor="text1"/>
                <w:sz w:val="20"/>
                <w:szCs w:val="20"/>
                <w:lang w:val="en-GB"/>
              </w:rPr>
            </w:pPr>
            <w:r w:rsidRPr="004E2161">
              <w:rPr>
                <w:rFonts w:ascii="Times New Roman" w:hAnsi="Times New Roman" w:cs="Times New Roman"/>
                <w:color w:val="000000" w:themeColor="text1"/>
                <w:sz w:val="20"/>
                <w:szCs w:val="20"/>
                <w:lang w:val="en-GB"/>
              </w:rPr>
              <w:t>Survival model</w:t>
            </w:r>
          </w:p>
        </w:tc>
        <w:tc>
          <w:tcPr>
            <w:tcW w:w="0" w:type="pct"/>
            <w:gridSpan w:val="2"/>
            <w:tcBorders>
              <w:top w:val="single" w:sz="4" w:space="0" w:color="auto"/>
              <w:left w:val="single" w:sz="4" w:space="0" w:color="FFFFFF" w:themeColor="background1"/>
              <w:right w:val="nil"/>
            </w:tcBorders>
            <w:shd w:val="clear" w:color="auto" w:fill="FFFFFF" w:themeFill="background1"/>
          </w:tcPr>
          <w:p w14:paraId="2D113867"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p>
        </w:tc>
      </w:tr>
      <w:tr w:rsidR="007E3B13" w:rsidRPr="004E2161" w14:paraId="1E844945" w14:textId="77777777" w:rsidTr="006967DA">
        <w:trPr>
          <w:cnfStyle w:val="000000100000" w:firstRow="0" w:lastRow="0" w:firstColumn="0" w:lastColumn="0" w:oddVBand="0" w:evenVBand="0" w:oddHBand="1" w:evenHBand="0" w:firstRowFirstColumn="0" w:firstRowLastColumn="0" w:lastRowFirstColumn="0" w:lastRowLastColumn="0"/>
          <w:trHeight w:val="13"/>
        </w:trPr>
        <w:tc>
          <w:tcPr>
            <w:tcW w:w="0" w:type="pct"/>
            <w:vMerge/>
            <w:tcBorders>
              <w:top w:val="single" w:sz="4" w:space="0" w:color="D5DCE4" w:themeColor="text2" w:themeTint="33"/>
              <w:left w:val="nil"/>
              <w:bottom w:val="single" w:sz="4" w:space="0" w:color="auto"/>
              <w:right w:val="single" w:sz="4" w:space="0" w:color="FFFFFF" w:themeColor="background1"/>
            </w:tcBorders>
            <w:shd w:val="clear" w:color="auto" w:fill="FFFFFF" w:themeFill="background1"/>
            <w:vAlign w:val="bottom"/>
          </w:tcPr>
          <w:p w14:paraId="03F9E1BA"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left w:val="single" w:sz="4" w:space="0" w:color="FFFFFF" w:themeColor="background1"/>
              <w:bottom w:val="single" w:sz="4" w:space="0" w:color="auto"/>
            </w:tcBorders>
            <w:shd w:val="clear" w:color="auto" w:fill="FFFFFF" w:themeFill="background1"/>
          </w:tcPr>
          <w:p w14:paraId="2455537F" w14:textId="77777777" w:rsidR="007E3B13" w:rsidRPr="004E2161" w:rsidRDefault="007E3B13" w:rsidP="00993332">
            <w:pPr>
              <w:spacing w:after="0" w:line="240" w:lineRule="auto"/>
              <w:jc w:val="center"/>
              <w:rPr>
                <w:rFonts w:ascii="Times New Roman" w:hAnsi="Times New Roman" w:cs="Times New Roman"/>
                <w:color w:val="000000" w:themeColor="text1"/>
                <w:kern w:val="24"/>
                <w:sz w:val="20"/>
                <w:szCs w:val="20"/>
                <w:lang w:val="en-GB" w:eastAsia="en-US"/>
              </w:rPr>
            </w:pPr>
            <w:r w:rsidRPr="004E2161">
              <w:rPr>
                <w:rFonts w:ascii="Times New Roman" w:hAnsi="Times New Roman" w:cs="Times New Roman"/>
                <w:sz w:val="20"/>
                <w:szCs w:val="20"/>
                <w:lang w:val="en-GB"/>
              </w:rPr>
              <w:t>AIC</w:t>
            </w:r>
          </w:p>
        </w:tc>
        <w:tc>
          <w:tcPr>
            <w:tcW w:w="0" w:type="pct"/>
            <w:tcBorders>
              <w:top w:val="single" w:sz="4" w:space="0" w:color="D5DCE4" w:themeColor="text2" w:themeTint="33"/>
              <w:bottom w:val="single" w:sz="4" w:space="0" w:color="auto"/>
              <w:right w:val="nil"/>
            </w:tcBorders>
            <w:shd w:val="clear" w:color="auto" w:fill="FFFFFF" w:themeFill="background1"/>
          </w:tcPr>
          <w:p w14:paraId="7870E814"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sz w:val="20"/>
                <w:szCs w:val="20"/>
                <w:lang w:val="en-GB"/>
              </w:rPr>
              <w:t>BIC</w:t>
            </w:r>
          </w:p>
        </w:tc>
      </w:tr>
      <w:tr w:rsidR="007E3B13" w:rsidRPr="004E2161" w14:paraId="507470CD" w14:textId="77777777" w:rsidTr="006967DA">
        <w:tc>
          <w:tcPr>
            <w:tcW w:w="0" w:type="pct"/>
            <w:tcBorders>
              <w:top w:val="single" w:sz="4" w:space="0" w:color="auto"/>
              <w:left w:val="nil"/>
              <w:right w:val="nil"/>
            </w:tcBorders>
          </w:tcPr>
          <w:p w14:paraId="53FB953C"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Exponential</w:t>
            </w:r>
          </w:p>
        </w:tc>
        <w:tc>
          <w:tcPr>
            <w:tcW w:w="0" w:type="pct"/>
            <w:tcBorders>
              <w:top w:val="single" w:sz="4" w:space="0" w:color="auto"/>
              <w:left w:val="nil"/>
            </w:tcBorders>
          </w:tcPr>
          <w:p w14:paraId="75990F5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7741.1</w:t>
            </w:r>
          </w:p>
        </w:tc>
        <w:tc>
          <w:tcPr>
            <w:tcW w:w="0" w:type="pct"/>
            <w:tcBorders>
              <w:top w:val="single" w:sz="4" w:space="0" w:color="auto"/>
              <w:right w:val="nil"/>
            </w:tcBorders>
          </w:tcPr>
          <w:p w14:paraId="0BEE4FB4"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7750.6</w:t>
            </w:r>
          </w:p>
        </w:tc>
      </w:tr>
      <w:tr w:rsidR="007E3B13" w:rsidRPr="004E2161" w14:paraId="36A70655"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1E183C18"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Weibull</w:t>
            </w:r>
          </w:p>
        </w:tc>
        <w:tc>
          <w:tcPr>
            <w:tcW w:w="0" w:type="pct"/>
            <w:tcBorders>
              <w:top w:val="single" w:sz="4" w:space="0" w:color="D5DCE4" w:themeColor="text2" w:themeTint="33"/>
              <w:left w:val="nil"/>
            </w:tcBorders>
          </w:tcPr>
          <w:p w14:paraId="22C63378"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7741.1</w:t>
            </w:r>
          </w:p>
        </w:tc>
        <w:tc>
          <w:tcPr>
            <w:tcW w:w="0" w:type="pct"/>
            <w:tcBorders>
              <w:top w:val="single" w:sz="4" w:space="0" w:color="D5DCE4" w:themeColor="text2" w:themeTint="33"/>
              <w:right w:val="nil"/>
            </w:tcBorders>
          </w:tcPr>
          <w:p w14:paraId="28B158C3"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7755.4</w:t>
            </w:r>
          </w:p>
        </w:tc>
      </w:tr>
      <w:tr w:rsidR="007E3B13" w:rsidRPr="004E2161" w14:paraId="704F3D7F" w14:textId="77777777" w:rsidTr="006967DA">
        <w:tc>
          <w:tcPr>
            <w:tcW w:w="0" w:type="pct"/>
            <w:tcBorders>
              <w:top w:val="single" w:sz="4" w:space="0" w:color="D5DCE4" w:themeColor="text2" w:themeTint="33"/>
              <w:left w:val="nil"/>
              <w:right w:val="nil"/>
            </w:tcBorders>
          </w:tcPr>
          <w:p w14:paraId="40AACE62"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Gompertz</w:t>
            </w:r>
          </w:p>
        </w:tc>
        <w:tc>
          <w:tcPr>
            <w:tcW w:w="0" w:type="pct"/>
            <w:tcBorders>
              <w:top w:val="single" w:sz="4" w:space="0" w:color="D5DCE4" w:themeColor="text2" w:themeTint="33"/>
              <w:left w:val="nil"/>
            </w:tcBorders>
          </w:tcPr>
          <w:p w14:paraId="73BC67D4"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7727.1</w:t>
            </w:r>
          </w:p>
        </w:tc>
        <w:tc>
          <w:tcPr>
            <w:tcW w:w="0" w:type="pct"/>
            <w:tcBorders>
              <w:top w:val="single" w:sz="4" w:space="0" w:color="D5DCE4" w:themeColor="text2" w:themeTint="33"/>
              <w:right w:val="nil"/>
            </w:tcBorders>
          </w:tcPr>
          <w:p w14:paraId="1DE8353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7741.3</w:t>
            </w:r>
          </w:p>
        </w:tc>
      </w:tr>
      <w:tr w:rsidR="007E3B13" w:rsidRPr="004E2161" w14:paraId="6B5BBE19"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2AF73743"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Log-logistic</w:t>
            </w:r>
          </w:p>
        </w:tc>
        <w:tc>
          <w:tcPr>
            <w:tcW w:w="0" w:type="pct"/>
            <w:tcBorders>
              <w:top w:val="single" w:sz="4" w:space="0" w:color="D5DCE4" w:themeColor="text2" w:themeTint="33"/>
              <w:left w:val="nil"/>
            </w:tcBorders>
          </w:tcPr>
          <w:p w14:paraId="690FBE3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7718.5</w:t>
            </w:r>
          </w:p>
        </w:tc>
        <w:tc>
          <w:tcPr>
            <w:tcW w:w="0" w:type="pct"/>
            <w:tcBorders>
              <w:top w:val="single" w:sz="4" w:space="0" w:color="D5DCE4" w:themeColor="text2" w:themeTint="33"/>
              <w:right w:val="nil"/>
            </w:tcBorders>
          </w:tcPr>
          <w:p w14:paraId="1C00F24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7732.7</w:t>
            </w:r>
          </w:p>
        </w:tc>
      </w:tr>
      <w:tr w:rsidR="007E3B13" w:rsidRPr="004E2161" w14:paraId="62F0EFC6" w14:textId="77777777" w:rsidTr="006967DA">
        <w:tc>
          <w:tcPr>
            <w:tcW w:w="0" w:type="pct"/>
            <w:tcBorders>
              <w:top w:val="single" w:sz="4" w:space="0" w:color="D5DCE4" w:themeColor="text2" w:themeTint="33"/>
              <w:left w:val="nil"/>
              <w:right w:val="nil"/>
            </w:tcBorders>
          </w:tcPr>
          <w:p w14:paraId="3998AE48"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Log-normal</w:t>
            </w:r>
          </w:p>
        </w:tc>
        <w:tc>
          <w:tcPr>
            <w:tcW w:w="0" w:type="pct"/>
            <w:tcBorders>
              <w:top w:val="single" w:sz="4" w:space="0" w:color="D5DCE4" w:themeColor="text2" w:themeTint="33"/>
              <w:left w:val="nil"/>
            </w:tcBorders>
          </w:tcPr>
          <w:p w14:paraId="3162DAE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7708.1</w:t>
            </w:r>
          </w:p>
        </w:tc>
        <w:tc>
          <w:tcPr>
            <w:tcW w:w="0" w:type="pct"/>
            <w:tcBorders>
              <w:top w:val="single" w:sz="4" w:space="0" w:color="D5DCE4" w:themeColor="text2" w:themeTint="33"/>
              <w:right w:val="nil"/>
            </w:tcBorders>
          </w:tcPr>
          <w:p w14:paraId="38745BC2"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7722.3</w:t>
            </w:r>
          </w:p>
        </w:tc>
      </w:tr>
      <w:tr w:rsidR="007E3B13" w:rsidRPr="004E2161" w14:paraId="0A0D8401"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502B7803"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Gamma</w:t>
            </w:r>
          </w:p>
        </w:tc>
        <w:tc>
          <w:tcPr>
            <w:tcW w:w="0" w:type="pct"/>
            <w:tcBorders>
              <w:top w:val="single" w:sz="4" w:space="0" w:color="D5DCE4" w:themeColor="text2" w:themeTint="33"/>
              <w:left w:val="nil"/>
            </w:tcBorders>
          </w:tcPr>
          <w:p w14:paraId="2EA7F95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7742.6</w:t>
            </w:r>
          </w:p>
        </w:tc>
        <w:tc>
          <w:tcPr>
            <w:tcW w:w="0" w:type="pct"/>
            <w:tcBorders>
              <w:top w:val="single" w:sz="4" w:space="0" w:color="D5DCE4" w:themeColor="text2" w:themeTint="33"/>
              <w:right w:val="nil"/>
            </w:tcBorders>
          </w:tcPr>
          <w:p w14:paraId="7D142CF4"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7756.8</w:t>
            </w:r>
          </w:p>
        </w:tc>
      </w:tr>
      <w:tr w:rsidR="007E3B13" w:rsidRPr="004E2161" w14:paraId="05383DB5" w14:textId="77777777" w:rsidTr="006967DA">
        <w:tc>
          <w:tcPr>
            <w:tcW w:w="0" w:type="pct"/>
            <w:tcBorders>
              <w:top w:val="single" w:sz="4" w:space="0" w:color="D5DCE4" w:themeColor="text2" w:themeTint="33"/>
              <w:left w:val="nil"/>
              <w:right w:val="nil"/>
            </w:tcBorders>
          </w:tcPr>
          <w:p w14:paraId="438DDB7A" w14:textId="7F32C4BE"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General</w:t>
            </w:r>
            <w:r w:rsidR="006E75E4" w:rsidRPr="004E2161">
              <w:rPr>
                <w:rFonts w:ascii="Times New Roman" w:hAnsi="Times New Roman" w:cs="Times New Roman"/>
                <w:color w:val="000000" w:themeColor="text1"/>
                <w:sz w:val="20"/>
                <w:szCs w:val="20"/>
                <w:lang w:val="en-GB"/>
              </w:rPr>
              <w:t>ize</w:t>
            </w:r>
            <w:r w:rsidRPr="004E2161">
              <w:rPr>
                <w:rFonts w:ascii="Times New Roman" w:hAnsi="Times New Roman" w:cs="Times New Roman"/>
                <w:color w:val="000000" w:themeColor="text1"/>
                <w:sz w:val="20"/>
                <w:szCs w:val="20"/>
                <w:lang w:val="en-GB"/>
              </w:rPr>
              <w:t>d gamma</w:t>
            </w:r>
          </w:p>
        </w:tc>
        <w:tc>
          <w:tcPr>
            <w:tcW w:w="0" w:type="pct"/>
            <w:tcBorders>
              <w:top w:val="single" w:sz="4" w:space="0" w:color="D5DCE4" w:themeColor="text2" w:themeTint="33"/>
              <w:left w:val="nil"/>
            </w:tcBorders>
          </w:tcPr>
          <w:p w14:paraId="3429AB3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7709.7</w:t>
            </w:r>
          </w:p>
        </w:tc>
        <w:tc>
          <w:tcPr>
            <w:tcW w:w="0" w:type="pct"/>
            <w:tcBorders>
              <w:top w:val="single" w:sz="4" w:space="0" w:color="D5DCE4" w:themeColor="text2" w:themeTint="33"/>
              <w:right w:val="nil"/>
            </w:tcBorders>
          </w:tcPr>
          <w:p w14:paraId="3D9B2DC9"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7728.7</w:t>
            </w:r>
          </w:p>
        </w:tc>
      </w:tr>
      <w:tr w:rsidR="007E3B13" w:rsidRPr="004E2161" w14:paraId="5EBC590C"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D5DCE4" w:themeColor="text2" w:themeTint="33"/>
              <w:right w:val="nil"/>
            </w:tcBorders>
          </w:tcPr>
          <w:p w14:paraId="59A3F962"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Hazard spline one knot</w:t>
            </w:r>
          </w:p>
        </w:tc>
        <w:tc>
          <w:tcPr>
            <w:tcW w:w="0" w:type="pct"/>
            <w:tcBorders>
              <w:top w:val="single" w:sz="4" w:space="0" w:color="D5DCE4" w:themeColor="text2" w:themeTint="33"/>
              <w:left w:val="nil"/>
              <w:bottom w:val="single" w:sz="4" w:space="0" w:color="D5DCE4" w:themeColor="text2" w:themeTint="33"/>
            </w:tcBorders>
          </w:tcPr>
          <w:p w14:paraId="02A2FA0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7707.6</w:t>
            </w:r>
          </w:p>
        </w:tc>
        <w:tc>
          <w:tcPr>
            <w:tcW w:w="0" w:type="pct"/>
            <w:tcBorders>
              <w:top w:val="single" w:sz="4" w:space="0" w:color="D5DCE4" w:themeColor="text2" w:themeTint="33"/>
              <w:bottom w:val="single" w:sz="4" w:space="0" w:color="D5DCE4" w:themeColor="text2" w:themeTint="33"/>
              <w:right w:val="nil"/>
            </w:tcBorders>
          </w:tcPr>
          <w:p w14:paraId="415E6E5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7726.5</w:t>
            </w:r>
          </w:p>
        </w:tc>
      </w:tr>
      <w:tr w:rsidR="007E3B13" w:rsidRPr="004E2161" w14:paraId="2FED765D" w14:textId="77777777" w:rsidTr="006967DA">
        <w:tc>
          <w:tcPr>
            <w:tcW w:w="0" w:type="pct"/>
            <w:tcBorders>
              <w:top w:val="single" w:sz="4" w:space="0" w:color="D5DCE4" w:themeColor="text2" w:themeTint="33"/>
              <w:left w:val="nil"/>
              <w:bottom w:val="single" w:sz="4" w:space="0" w:color="D5DCE4" w:themeColor="text2" w:themeTint="33"/>
              <w:right w:val="nil"/>
            </w:tcBorders>
          </w:tcPr>
          <w:p w14:paraId="7AB116D8"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Hazard spline two knots</w:t>
            </w:r>
          </w:p>
        </w:tc>
        <w:tc>
          <w:tcPr>
            <w:tcW w:w="0" w:type="pct"/>
            <w:tcBorders>
              <w:top w:val="single" w:sz="4" w:space="0" w:color="D5DCE4" w:themeColor="text2" w:themeTint="33"/>
              <w:left w:val="nil"/>
              <w:bottom w:val="single" w:sz="4" w:space="0" w:color="D5DCE4" w:themeColor="text2" w:themeTint="33"/>
            </w:tcBorders>
          </w:tcPr>
          <w:p w14:paraId="76C6557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7709.1</w:t>
            </w:r>
          </w:p>
        </w:tc>
        <w:tc>
          <w:tcPr>
            <w:tcW w:w="0" w:type="pct"/>
            <w:tcBorders>
              <w:top w:val="single" w:sz="4" w:space="0" w:color="D5DCE4" w:themeColor="text2" w:themeTint="33"/>
              <w:bottom w:val="single" w:sz="4" w:space="0" w:color="D5DCE4" w:themeColor="text2" w:themeTint="33"/>
              <w:right w:val="nil"/>
            </w:tcBorders>
          </w:tcPr>
          <w:p w14:paraId="31CA10A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7732.8</w:t>
            </w:r>
          </w:p>
        </w:tc>
      </w:tr>
      <w:tr w:rsidR="007E3B13" w:rsidRPr="004E2161" w14:paraId="4D18E07D"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D5DCE4" w:themeColor="text2" w:themeTint="33"/>
              <w:right w:val="nil"/>
            </w:tcBorders>
          </w:tcPr>
          <w:p w14:paraId="43E2A141"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Odds spline one knot</w:t>
            </w:r>
          </w:p>
        </w:tc>
        <w:tc>
          <w:tcPr>
            <w:tcW w:w="0" w:type="pct"/>
            <w:tcBorders>
              <w:top w:val="single" w:sz="4" w:space="0" w:color="D5DCE4" w:themeColor="text2" w:themeTint="33"/>
              <w:left w:val="nil"/>
              <w:bottom w:val="single" w:sz="4" w:space="0" w:color="D5DCE4" w:themeColor="text2" w:themeTint="33"/>
            </w:tcBorders>
          </w:tcPr>
          <w:p w14:paraId="685121C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7707.7</w:t>
            </w:r>
          </w:p>
        </w:tc>
        <w:tc>
          <w:tcPr>
            <w:tcW w:w="0" w:type="pct"/>
            <w:tcBorders>
              <w:top w:val="single" w:sz="4" w:space="0" w:color="D5DCE4" w:themeColor="text2" w:themeTint="33"/>
              <w:bottom w:val="single" w:sz="4" w:space="0" w:color="D5DCE4" w:themeColor="text2" w:themeTint="33"/>
              <w:right w:val="nil"/>
            </w:tcBorders>
          </w:tcPr>
          <w:p w14:paraId="0B8A20C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7726.6</w:t>
            </w:r>
          </w:p>
        </w:tc>
      </w:tr>
      <w:tr w:rsidR="007E3B13" w:rsidRPr="004E2161" w14:paraId="610DE311" w14:textId="77777777" w:rsidTr="006967DA">
        <w:tc>
          <w:tcPr>
            <w:tcW w:w="0" w:type="pct"/>
            <w:tcBorders>
              <w:top w:val="single" w:sz="4" w:space="0" w:color="D5DCE4" w:themeColor="text2" w:themeTint="33"/>
              <w:left w:val="nil"/>
              <w:bottom w:val="single" w:sz="4" w:space="0" w:color="D5DCE4" w:themeColor="text2" w:themeTint="33"/>
              <w:right w:val="nil"/>
            </w:tcBorders>
          </w:tcPr>
          <w:p w14:paraId="4E6905F5"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Odds spline two knots</w:t>
            </w:r>
          </w:p>
        </w:tc>
        <w:tc>
          <w:tcPr>
            <w:tcW w:w="0" w:type="pct"/>
            <w:tcBorders>
              <w:top w:val="single" w:sz="4" w:space="0" w:color="D5DCE4" w:themeColor="text2" w:themeTint="33"/>
              <w:left w:val="nil"/>
              <w:bottom w:val="single" w:sz="4" w:space="0" w:color="D5DCE4" w:themeColor="text2" w:themeTint="33"/>
            </w:tcBorders>
          </w:tcPr>
          <w:p w14:paraId="2E166D1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7709.1</w:t>
            </w:r>
          </w:p>
        </w:tc>
        <w:tc>
          <w:tcPr>
            <w:tcW w:w="0" w:type="pct"/>
            <w:tcBorders>
              <w:top w:val="single" w:sz="4" w:space="0" w:color="D5DCE4" w:themeColor="text2" w:themeTint="33"/>
              <w:bottom w:val="single" w:sz="4" w:space="0" w:color="D5DCE4" w:themeColor="text2" w:themeTint="33"/>
              <w:right w:val="nil"/>
            </w:tcBorders>
          </w:tcPr>
          <w:p w14:paraId="2D6399B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7732.8</w:t>
            </w:r>
          </w:p>
        </w:tc>
      </w:tr>
      <w:tr w:rsidR="007E3B13" w:rsidRPr="004E2161" w14:paraId="6EE58D60"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D5DCE4" w:themeColor="text2" w:themeTint="33"/>
              <w:right w:val="nil"/>
            </w:tcBorders>
          </w:tcPr>
          <w:p w14:paraId="6CCCE33B"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Probit spline one knot</w:t>
            </w:r>
          </w:p>
        </w:tc>
        <w:tc>
          <w:tcPr>
            <w:tcW w:w="0" w:type="pct"/>
            <w:tcBorders>
              <w:top w:val="single" w:sz="4" w:space="0" w:color="D5DCE4" w:themeColor="text2" w:themeTint="33"/>
              <w:left w:val="nil"/>
              <w:bottom w:val="single" w:sz="4" w:space="0" w:color="D5DCE4" w:themeColor="text2" w:themeTint="33"/>
            </w:tcBorders>
          </w:tcPr>
          <w:p w14:paraId="0B36496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7709.0</w:t>
            </w:r>
          </w:p>
        </w:tc>
        <w:tc>
          <w:tcPr>
            <w:tcW w:w="0" w:type="pct"/>
            <w:tcBorders>
              <w:top w:val="single" w:sz="4" w:space="0" w:color="D5DCE4" w:themeColor="text2" w:themeTint="33"/>
              <w:bottom w:val="single" w:sz="4" w:space="0" w:color="D5DCE4" w:themeColor="text2" w:themeTint="33"/>
              <w:right w:val="nil"/>
            </w:tcBorders>
          </w:tcPr>
          <w:p w14:paraId="3CAA5E04"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7727.9</w:t>
            </w:r>
          </w:p>
        </w:tc>
      </w:tr>
      <w:tr w:rsidR="007E3B13" w:rsidRPr="004E2161" w14:paraId="31B72805" w14:textId="77777777" w:rsidTr="006967DA">
        <w:tc>
          <w:tcPr>
            <w:tcW w:w="0" w:type="pct"/>
            <w:tcBorders>
              <w:top w:val="single" w:sz="4" w:space="0" w:color="D5DCE4" w:themeColor="text2" w:themeTint="33"/>
              <w:left w:val="nil"/>
              <w:bottom w:val="single" w:sz="4" w:space="0" w:color="auto"/>
              <w:right w:val="nil"/>
            </w:tcBorders>
          </w:tcPr>
          <w:p w14:paraId="776D987A"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left w:val="nil"/>
              <w:bottom w:val="single" w:sz="4" w:space="0" w:color="auto"/>
            </w:tcBorders>
          </w:tcPr>
          <w:p w14:paraId="427F8338"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bottom w:val="single" w:sz="4" w:space="0" w:color="auto"/>
              <w:right w:val="nil"/>
            </w:tcBorders>
          </w:tcPr>
          <w:p w14:paraId="30D9E1C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r>
      <w:tr w:rsidR="007E3B13" w:rsidRPr="004E2161" w14:paraId="67A2BDCC"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auto"/>
              <w:left w:val="nil"/>
              <w:bottom w:val="single" w:sz="4" w:space="0" w:color="D5DCE4" w:themeColor="text2" w:themeTint="33"/>
              <w:right w:val="nil"/>
            </w:tcBorders>
          </w:tcPr>
          <w:p w14:paraId="5A871F68"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 xml:space="preserve">Parameters best performing model </w:t>
            </w:r>
          </w:p>
        </w:tc>
        <w:tc>
          <w:tcPr>
            <w:tcW w:w="0" w:type="pct"/>
            <w:tcBorders>
              <w:top w:val="single" w:sz="4" w:space="0" w:color="auto"/>
              <w:left w:val="nil"/>
              <w:bottom w:val="single" w:sz="4" w:space="0" w:color="D5DCE4" w:themeColor="text2" w:themeTint="33"/>
            </w:tcBorders>
          </w:tcPr>
          <w:p w14:paraId="0CCCBF9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Input parameters NIVO+IPI</w:t>
            </w:r>
          </w:p>
        </w:tc>
        <w:tc>
          <w:tcPr>
            <w:tcW w:w="0" w:type="pct"/>
            <w:tcBorders>
              <w:top w:val="single" w:sz="4" w:space="0" w:color="auto"/>
              <w:bottom w:val="single" w:sz="4" w:space="0" w:color="D5DCE4" w:themeColor="text2" w:themeTint="33"/>
              <w:right w:val="nil"/>
            </w:tcBorders>
          </w:tcPr>
          <w:p w14:paraId="25DE991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Input parameters SUN</w:t>
            </w:r>
          </w:p>
        </w:tc>
      </w:tr>
      <w:tr w:rsidR="007E3B13" w:rsidRPr="004E2161" w14:paraId="25E1787C" w14:textId="77777777" w:rsidTr="006967DA">
        <w:tc>
          <w:tcPr>
            <w:tcW w:w="0" w:type="pct"/>
            <w:tcBorders>
              <w:top w:val="single" w:sz="4" w:space="0" w:color="D5DCE4" w:themeColor="text2" w:themeTint="33"/>
              <w:left w:val="nil"/>
              <w:bottom w:val="single" w:sz="4" w:space="0" w:color="auto"/>
              <w:right w:val="nil"/>
            </w:tcBorders>
            <w:vAlign w:val="center"/>
          </w:tcPr>
          <w:p w14:paraId="695823C8"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Dependent log-normal</w:t>
            </w:r>
          </w:p>
        </w:tc>
        <w:tc>
          <w:tcPr>
            <w:tcW w:w="0" w:type="pct"/>
            <w:tcBorders>
              <w:top w:val="single" w:sz="4" w:space="0" w:color="D5DCE4" w:themeColor="text2" w:themeTint="33"/>
              <w:left w:val="nil"/>
              <w:bottom w:val="single" w:sz="4" w:space="0" w:color="auto"/>
            </w:tcBorders>
            <w:vAlign w:val="center"/>
          </w:tcPr>
          <w:p w14:paraId="7561A657"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eastAsia="en-US"/>
              </w:rPr>
            </w:pPr>
            <w:proofErr w:type="spellStart"/>
            <w:r w:rsidRPr="004E2161">
              <w:rPr>
                <w:rFonts w:ascii="Times New Roman" w:hAnsi="Times New Roman" w:cs="Times New Roman"/>
                <w:color w:val="000000" w:themeColor="text1"/>
                <w:sz w:val="20"/>
                <w:szCs w:val="20"/>
                <w:lang w:eastAsia="en-US"/>
              </w:rPr>
              <w:t>Meanlog</w:t>
            </w:r>
            <w:proofErr w:type="spellEnd"/>
            <w:r w:rsidRPr="004E2161">
              <w:rPr>
                <w:rFonts w:ascii="Times New Roman" w:hAnsi="Times New Roman" w:cs="Times New Roman"/>
                <w:color w:val="000000" w:themeColor="text1"/>
                <w:sz w:val="20"/>
                <w:szCs w:val="20"/>
                <w:lang w:eastAsia="en-US"/>
              </w:rPr>
              <w:t>: 6.78</w:t>
            </w:r>
          </w:p>
          <w:p w14:paraId="3E374D05"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eastAsia="en-US"/>
              </w:rPr>
            </w:pPr>
            <w:proofErr w:type="spellStart"/>
            <w:r w:rsidRPr="004E2161">
              <w:rPr>
                <w:rFonts w:ascii="Times New Roman" w:hAnsi="Times New Roman" w:cs="Times New Roman"/>
                <w:color w:val="000000" w:themeColor="text1"/>
                <w:sz w:val="20"/>
                <w:szCs w:val="20"/>
                <w:lang w:eastAsia="en-US"/>
              </w:rPr>
              <w:t>Sdlog</w:t>
            </w:r>
            <w:proofErr w:type="spellEnd"/>
            <w:r w:rsidRPr="004E2161">
              <w:rPr>
                <w:rFonts w:ascii="Times New Roman" w:hAnsi="Times New Roman" w:cs="Times New Roman"/>
                <w:color w:val="000000" w:themeColor="text1"/>
                <w:sz w:val="20"/>
                <w:szCs w:val="20"/>
                <w:lang w:eastAsia="en-US"/>
              </w:rPr>
              <w:t>: 1.49</w:t>
            </w:r>
          </w:p>
          <w:p w14:paraId="6A928491"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roofErr w:type="spellStart"/>
            <w:r w:rsidRPr="004E2161">
              <w:rPr>
                <w:rFonts w:ascii="Times New Roman" w:hAnsi="Times New Roman" w:cs="Times New Roman"/>
                <w:color w:val="000000" w:themeColor="text1"/>
                <w:sz w:val="20"/>
                <w:szCs w:val="20"/>
                <w:lang w:val="en-GB" w:eastAsia="en-US"/>
              </w:rPr>
              <w:t>tx</w:t>
            </w:r>
            <w:proofErr w:type="spellEnd"/>
            <w:r w:rsidRPr="004E2161">
              <w:rPr>
                <w:rFonts w:ascii="Times New Roman" w:hAnsi="Times New Roman" w:cs="Times New Roman"/>
                <w:color w:val="000000" w:themeColor="text1"/>
                <w:sz w:val="20"/>
                <w:szCs w:val="20"/>
                <w:lang w:val="en-GB" w:eastAsia="en-US"/>
              </w:rPr>
              <w:t>: 0.42</w:t>
            </w:r>
          </w:p>
        </w:tc>
        <w:tc>
          <w:tcPr>
            <w:tcW w:w="0" w:type="pct"/>
            <w:tcBorders>
              <w:top w:val="single" w:sz="4" w:space="0" w:color="D5DCE4" w:themeColor="text2" w:themeTint="33"/>
              <w:bottom w:val="single" w:sz="4" w:space="0" w:color="auto"/>
              <w:right w:val="nil"/>
            </w:tcBorders>
            <w:vAlign w:val="center"/>
          </w:tcPr>
          <w:p w14:paraId="11F4A105"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eastAsia="en-US"/>
              </w:rPr>
            </w:pPr>
            <w:proofErr w:type="spellStart"/>
            <w:r w:rsidRPr="004E2161">
              <w:rPr>
                <w:rFonts w:ascii="Times New Roman" w:hAnsi="Times New Roman" w:cs="Times New Roman"/>
                <w:color w:val="000000" w:themeColor="text1"/>
                <w:sz w:val="20"/>
                <w:szCs w:val="20"/>
                <w:lang w:eastAsia="en-US"/>
              </w:rPr>
              <w:t>Meanlog</w:t>
            </w:r>
            <w:proofErr w:type="spellEnd"/>
            <w:r w:rsidRPr="004E2161">
              <w:rPr>
                <w:rFonts w:ascii="Times New Roman" w:hAnsi="Times New Roman" w:cs="Times New Roman"/>
                <w:color w:val="000000" w:themeColor="text1"/>
                <w:sz w:val="20"/>
                <w:szCs w:val="20"/>
                <w:lang w:eastAsia="en-US"/>
              </w:rPr>
              <w:t>: 6.78</w:t>
            </w:r>
          </w:p>
          <w:p w14:paraId="70D1F755" w14:textId="77777777" w:rsidR="007E3B13" w:rsidRPr="004E2161" w:rsidRDefault="007E3B13" w:rsidP="00993332">
            <w:pPr>
              <w:pStyle w:val="NoSpacing"/>
              <w:keepNext/>
              <w:jc w:val="center"/>
              <w:rPr>
                <w:rFonts w:ascii="Times New Roman" w:hAnsi="Times New Roman" w:cs="Times New Roman"/>
                <w:color w:val="000000" w:themeColor="text1"/>
                <w:sz w:val="20"/>
                <w:szCs w:val="20"/>
                <w:lang w:eastAsia="en-US"/>
              </w:rPr>
            </w:pPr>
            <w:proofErr w:type="spellStart"/>
            <w:r w:rsidRPr="004E2161">
              <w:rPr>
                <w:rFonts w:ascii="Times New Roman" w:hAnsi="Times New Roman" w:cs="Times New Roman"/>
                <w:color w:val="000000" w:themeColor="text1"/>
                <w:sz w:val="20"/>
                <w:szCs w:val="20"/>
                <w:lang w:eastAsia="en-US"/>
              </w:rPr>
              <w:t>Sdlog</w:t>
            </w:r>
            <w:proofErr w:type="spellEnd"/>
            <w:r w:rsidRPr="004E2161">
              <w:rPr>
                <w:rFonts w:ascii="Times New Roman" w:hAnsi="Times New Roman" w:cs="Times New Roman"/>
                <w:color w:val="000000" w:themeColor="text1"/>
                <w:sz w:val="20"/>
                <w:szCs w:val="20"/>
                <w:lang w:eastAsia="en-US"/>
              </w:rPr>
              <w:t>: 1.49</w:t>
            </w:r>
          </w:p>
          <w:p w14:paraId="420A72C3"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roofErr w:type="spellStart"/>
            <w:r w:rsidRPr="004E2161">
              <w:rPr>
                <w:rFonts w:ascii="Times New Roman" w:hAnsi="Times New Roman" w:cs="Times New Roman"/>
                <w:color w:val="000000" w:themeColor="text1"/>
                <w:sz w:val="20"/>
                <w:szCs w:val="20"/>
                <w:lang w:val="en-GB" w:eastAsia="en-US"/>
              </w:rPr>
              <w:t>tx</w:t>
            </w:r>
            <w:proofErr w:type="spellEnd"/>
            <w:r w:rsidRPr="004E2161">
              <w:rPr>
                <w:rFonts w:ascii="Times New Roman" w:hAnsi="Times New Roman" w:cs="Times New Roman"/>
                <w:color w:val="000000" w:themeColor="text1"/>
                <w:sz w:val="20"/>
                <w:szCs w:val="20"/>
                <w:lang w:val="en-GB" w:eastAsia="en-US"/>
              </w:rPr>
              <w:t>: 0.00</w:t>
            </w:r>
          </w:p>
        </w:tc>
      </w:tr>
    </w:tbl>
    <w:p w14:paraId="55D7F820" w14:textId="498F9132" w:rsidR="007E3B13" w:rsidRPr="004E2161" w:rsidRDefault="007E3B13" w:rsidP="007E3B13">
      <w:pPr>
        <w:spacing w:before="120" w:line="240" w:lineRule="auto"/>
        <w:contextualSpacing w:val="0"/>
        <w:jc w:val="left"/>
        <w:rPr>
          <w:rStyle w:val="NoteChar0"/>
          <w:rFonts w:ascii="Times New Roman" w:hAnsi="Times New Roman" w:cs="Times New Roman"/>
          <w:sz w:val="20"/>
          <w:szCs w:val="20"/>
        </w:rPr>
      </w:pPr>
      <w:r w:rsidRPr="004E2161">
        <w:rPr>
          <w:rFonts w:ascii="Times New Roman" w:hAnsi="Times New Roman" w:cs="Times New Roman"/>
          <w:bCs w:val="0"/>
          <w:i/>
          <w:iCs/>
          <w:color w:val="auto"/>
          <w:sz w:val="20"/>
          <w:szCs w:val="20"/>
          <w:lang w:val="en-GB" w:eastAsia="en-US"/>
        </w:rPr>
        <w:t>AIC</w:t>
      </w:r>
      <w:r w:rsidRPr="004E2161">
        <w:rPr>
          <w:rFonts w:ascii="Times New Roman" w:hAnsi="Times New Roman" w:cs="Times New Roman"/>
          <w:bCs w:val="0"/>
          <w:color w:val="auto"/>
          <w:sz w:val="20"/>
          <w:szCs w:val="20"/>
          <w:lang w:val="en-GB" w:eastAsia="en-US"/>
        </w:rPr>
        <w:t xml:space="preserve"> </w:t>
      </w:r>
      <w:r w:rsidRPr="004E2161">
        <w:rPr>
          <w:rFonts w:ascii="Times New Roman" w:hAnsi="Times New Roman" w:cs="Times New Roman"/>
          <w:color w:val="auto"/>
          <w:sz w:val="20"/>
          <w:szCs w:val="20"/>
          <w:lang w:val="en-GB"/>
        </w:rPr>
        <w:t xml:space="preserve">Akaike’s information criterion, </w:t>
      </w:r>
      <w:r w:rsidRPr="004E2161">
        <w:rPr>
          <w:rFonts w:ascii="Times New Roman" w:hAnsi="Times New Roman" w:cs="Times New Roman"/>
          <w:i/>
          <w:iCs/>
          <w:color w:val="auto"/>
          <w:sz w:val="20"/>
          <w:szCs w:val="20"/>
          <w:lang w:val="en-GB"/>
        </w:rPr>
        <w:t>BIC</w:t>
      </w:r>
      <w:r w:rsidRPr="004E2161">
        <w:rPr>
          <w:rFonts w:ascii="Times New Roman" w:hAnsi="Times New Roman" w:cs="Times New Roman"/>
          <w:color w:val="auto"/>
          <w:sz w:val="20"/>
          <w:szCs w:val="20"/>
          <w:lang w:val="en-GB"/>
        </w:rPr>
        <w:t xml:space="preserve"> Bayesian information criterion, </w:t>
      </w:r>
      <w:r w:rsidRPr="004E2161">
        <w:rPr>
          <w:rFonts w:ascii="Times New Roman" w:hAnsi="Times New Roman" w:cs="Times New Roman"/>
          <w:bCs w:val="0"/>
          <w:i/>
          <w:iCs/>
          <w:color w:val="000000" w:themeColor="text1"/>
          <w:sz w:val="20"/>
          <w:szCs w:val="20"/>
          <w:lang w:val="en-GB" w:eastAsia="en-US"/>
        </w:rPr>
        <w:t>NIVO+IPI</w:t>
      </w:r>
      <w:r w:rsidRPr="004E2161">
        <w:rPr>
          <w:rFonts w:ascii="Times New Roman" w:hAnsi="Times New Roman" w:cs="Times New Roman"/>
          <w:bCs w:val="0"/>
          <w:color w:val="000000" w:themeColor="text1"/>
          <w:sz w:val="20"/>
          <w:szCs w:val="20"/>
          <w:lang w:val="en-GB" w:eastAsia="en-US"/>
        </w:rPr>
        <w:t xml:space="preserve"> nivolumab plus ipilimumab</w:t>
      </w:r>
      <w:r w:rsidRPr="004E2161">
        <w:rPr>
          <w:rFonts w:ascii="Times New Roman" w:hAnsi="Times New Roman" w:cs="Times New Roman"/>
          <w:bCs w:val="0"/>
          <w:color w:val="auto"/>
          <w:sz w:val="20"/>
          <w:szCs w:val="20"/>
          <w:lang w:val="en-GB" w:eastAsia="en-US"/>
        </w:rPr>
        <w:t xml:space="preserve">, </w:t>
      </w:r>
      <w:r w:rsidRPr="004E2161">
        <w:rPr>
          <w:rFonts w:ascii="Times New Roman" w:hAnsi="Times New Roman" w:cs="Times New Roman"/>
          <w:bCs w:val="0"/>
          <w:i/>
          <w:iCs/>
          <w:color w:val="auto"/>
          <w:sz w:val="20"/>
          <w:szCs w:val="20"/>
          <w:lang w:val="en-GB" w:eastAsia="en-US"/>
        </w:rPr>
        <w:t>OS</w:t>
      </w:r>
      <w:r w:rsidRPr="004E2161">
        <w:rPr>
          <w:rFonts w:ascii="Times New Roman" w:hAnsi="Times New Roman" w:cs="Times New Roman"/>
          <w:bCs w:val="0"/>
          <w:color w:val="auto"/>
          <w:sz w:val="20"/>
          <w:szCs w:val="20"/>
          <w:lang w:val="en-GB" w:eastAsia="en-US"/>
        </w:rPr>
        <w:t xml:space="preserve"> overall survival, </w:t>
      </w:r>
      <w:r w:rsidRPr="004E2161">
        <w:rPr>
          <w:rFonts w:ascii="Times New Roman" w:hAnsi="Times New Roman" w:cs="Times New Roman"/>
          <w:bCs w:val="0"/>
          <w:i/>
          <w:iCs/>
          <w:color w:val="auto"/>
          <w:sz w:val="20"/>
          <w:szCs w:val="20"/>
          <w:lang w:val="en-GB" w:eastAsia="en-US"/>
        </w:rPr>
        <w:t>SUN</w:t>
      </w:r>
      <w:r w:rsidRPr="004E2161">
        <w:rPr>
          <w:rFonts w:ascii="Times New Roman" w:hAnsi="Times New Roman" w:cs="Times New Roman"/>
          <w:bCs w:val="0"/>
          <w:color w:val="auto"/>
          <w:sz w:val="20"/>
          <w:szCs w:val="20"/>
          <w:lang w:val="en-GB" w:eastAsia="en-US"/>
        </w:rPr>
        <w:t xml:space="preserve"> sunitinib</w:t>
      </w:r>
    </w:p>
    <w:p w14:paraId="5956BD9D" w14:textId="77777777" w:rsidR="007E3B13" w:rsidRPr="004E2161" w:rsidRDefault="007E3B13" w:rsidP="007E3B13">
      <w:pPr>
        <w:spacing w:before="120" w:line="240" w:lineRule="auto"/>
        <w:ind w:firstLine="432"/>
        <w:contextualSpacing w:val="0"/>
        <w:jc w:val="left"/>
        <w:rPr>
          <w:rFonts w:ascii="Times New Roman" w:hAnsi="Times New Roman" w:cs="Times New Roman"/>
          <w:color w:val="000000" w:themeColor="text1"/>
          <w:sz w:val="20"/>
          <w:szCs w:val="20"/>
          <w:lang w:val="en-GB"/>
        </w:rPr>
      </w:pPr>
    </w:p>
    <w:p w14:paraId="6FB50FA4" w14:textId="6327817A" w:rsidR="007E3B13" w:rsidRPr="004E2161" w:rsidRDefault="00D54B11" w:rsidP="007E3B13">
      <w:pPr>
        <w:spacing w:before="240" w:line="240" w:lineRule="auto"/>
        <w:ind w:firstLine="432"/>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b/>
          <w:bCs w:val="0"/>
          <w:color w:val="000000" w:themeColor="text1"/>
          <w:sz w:val="20"/>
          <w:szCs w:val="20"/>
          <w:lang w:val="en-GB"/>
        </w:rPr>
        <w:t xml:space="preserve">Time to treatment </w:t>
      </w:r>
      <w:r w:rsidR="007E3B13" w:rsidRPr="004E2161">
        <w:rPr>
          <w:rFonts w:ascii="Times New Roman" w:hAnsi="Times New Roman" w:cs="Times New Roman"/>
          <w:b/>
          <w:bCs w:val="0"/>
          <w:color w:val="000000" w:themeColor="text1"/>
          <w:sz w:val="20"/>
          <w:szCs w:val="20"/>
          <w:lang w:val="en-GB"/>
        </w:rPr>
        <w:t>discontinuation.</w:t>
      </w:r>
      <w:r w:rsidR="007E3B13" w:rsidRPr="004E2161">
        <w:rPr>
          <w:rFonts w:ascii="Times New Roman" w:hAnsi="Times New Roman" w:cs="Times New Roman"/>
          <w:color w:val="000000" w:themeColor="text1"/>
          <w:sz w:val="20"/>
          <w:szCs w:val="20"/>
          <w:lang w:val="en-GB"/>
        </w:rPr>
        <w:t xml:space="preserve"> The log-cumulative hazard plot is displayed in Figure S7. The log-cumulative hazard plot does not suggest proportional hazards due to the crossing of the NIVO+IPI and the SUN curves. However, the chi-square test could not be labelled as statistically significant (</w:t>
      </w:r>
      <w:r w:rsidR="007E3B13" w:rsidRPr="004E2161">
        <w:rPr>
          <w:rFonts w:ascii="Times New Roman" w:hAnsi="Times New Roman" w:cs="Times New Roman"/>
          <w:i/>
          <w:iCs/>
          <w:color w:val="000000" w:themeColor="text1"/>
          <w:sz w:val="20"/>
          <w:szCs w:val="20"/>
          <w:lang w:val="en-GB"/>
        </w:rPr>
        <w:t xml:space="preserve">P </w:t>
      </w:r>
      <w:r w:rsidR="007E3B13" w:rsidRPr="004E2161">
        <w:rPr>
          <w:rFonts w:ascii="Times New Roman" w:hAnsi="Times New Roman" w:cs="Times New Roman"/>
          <w:color w:val="000000" w:themeColor="text1"/>
          <w:sz w:val="20"/>
          <w:szCs w:val="20"/>
          <w:lang w:val="en-GB"/>
        </w:rPr>
        <w:t>= 0.672), which means that the proportional-hazard assumption cannot be rejected based on this test. In addition, the assumption of a constant HR does not appear violated by the Schoenfeld residuals, as no clear trend in time can be observed (Fig</w:t>
      </w:r>
      <w:r w:rsidR="002D3444" w:rsidRPr="004E2161">
        <w:rPr>
          <w:rFonts w:ascii="Times New Roman" w:hAnsi="Times New Roman" w:cs="Times New Roman"/>
          <w:color w:val="000000" w:themeColor="text1"/>
          <w:sz w:val="20"/>
          <w:szCs w:val="20"/>
          <w:lang w:val="en-GB"/>
        </w:rPr>
        <w:t>.</w:t>
      </w:r>
      <w:r w:rsidR="007E3B13" w:rsidRPr="004E2161">
        <w:rPr>
          <w:rFonts w:ascii="Times New Roman" w:hAnsi="Times New Roman" w:cs="Times New Roman"/>
          <w:color w:val="000000" w:themeColor="text1"/>
          <w:sz w:val="20"/>
          <w:szCs w:val="20"/>
          <w:lang w:val="en-GB"/>
        </w:rPr>
        <w:t xml:space="preserve"> S8). Based on these results, the proportional-hazard assumption was not rejected for OS and a single dependent model, including a treatment effect (HR), was fitted on both the NIVO+IPI and SUN arms.</w:t>
      </w:r>
    </w:p>
    <w:p w14:paraId="1025FE18" w14:textId="77777777" w:rsidR="007E3B13" w:rsidRPr="004E2161" w:rsidRDefault="007E3B13" w:rsidP="007E3B13">
      <w:pPr>
        <w:rPr>
          <w:rFonts w:ascii="Times New Roman" w:hAnsi="Times New Roman" w:cs="Times New Roman"/>
          <w:color w:val="000000" w:themeColor="text1"/>
          <w:sz w:val="20"/>
          <w:szCs w:val="20"/>
          <w:lang w:val="en-GB"/>
        </w:rPr>
      </w:pPr>
    </w:p>
    <w:p w14:paraId="1C918768" w14:textId="359ECADA" w:rsidR="007E3B13" w:rsidRPr="004E2161" w:rsidRDefault="007E3B13" w:rsidP="007E3B13">
      <w:pPr>
        <w:pStyle w:val="Caption"/>
        <w:keepNext/>
        <w:spacing w:line="240" w:lineRule="auto"/>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lastRenderedPageBreak/>
        <w:t>Fig</w:t>
      </w:r>
      <w:r w:rsidR="006E75E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S7 </w:t>
      </w:r>
      <w:r w:rsidRPr="004E2161">
        <w:rPr>
          <w:rFonts w:ascii="Times New Roman" w:hAnsi="Times New Roman" w:cs="Times New Roman"/>
          <w:b w:val="0"/>
          <w:bCs/>
          <w:color w:val="000000" w:themeColor="text1"/>
          <w:sz w:val="20"/>
          <w:szCs w:val="20"/>
          <w:lang w:val="en-GB"/>
        </w:rPr>
        <w:t xml:space="preserve">TTD; </w:t>
      </w:r>
      <w:r w:rsidR="006E75E4" w:rsidRPr="004E2161">
        <w:rPr>
          <w:rFonts w:ascii="Times New Roman" w:hAnsi="Times New Roman" w:cs="Times New Roman"/>
          <w:b w:val="0"/>
          <w:bCs/>
          <w:color w:val="000000" w:themeColor="text1"/>
          <w:sz w:val="20"/>
          <w:szCs w:val="20"/>
          <w:lang w:val="en-GB"/>
        </w:rPr>
        <w:t>l</w:t>
      </w:r>
      <w:r w:rsidRPr="004E2161">
        <w:rPr>
          <w:rFonts w:ascii="Times New Roman" w:hAnsi="Times New Roman" w:cs="Times New Roman"/>
          <w:b w:val="0"/>
          <w:bCs/>
          <w:color w:val="000000" w:themeColor="text1"/>
          <w:sz w:val="20"/>
          <w:szCs w:val="20"/>
          <w:lang w:val="en-GB"/>
        </w:rPr>
        <w:t>og-cumulative hazard plot.</w:t>
      </w:r>
    </w:p>
    <w:p w14:paraId="16046C76" w14:textId="77777777" w:rsidR="007E3B13" w:rsidRPr="004E2161" w:rsidRDefault="007E3B13" w:rsidP="007E3B13">
      <w:pPr>
        <w:rPr>
          <w:rFonts w:ascii="Times New Roman" w:hAnsi="Times New Roman" w:cs="Times New Roman"/>
          <w:sz w:val="20"/>
          <w:szCs w:val="20"/>
          <w:lang w:val="en-GB"/>
        </w:rPr>
      </w:pPr>
      <w:r w:rsidRPr="004E2161">
        <w:rPr>
          <w:rFonts w:ascii="Times New Roman" w:hAnsi="Times New Roman" w:cs="Times New Roman"/>
          <w:noProof/>
          <w:sz w:val="20"/>
          <w:szCs w:val="20"/>
          <w:lang w:eastAsia="en-US"/>
        </w:rPr>
        <w:drawing>
          <wp:inline distT="0" distB="0" distL="0" distR="0" wp14:anchorId="589805B8" wp14:editId="5B205954">
            <wp:extent cx="5505450" cy="2755930"/>
            <wp:effectExtent l="0" t="0" r="0" b="6350"/>
            <wp:docPr id="3" name="Picture 3"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 scatt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5562" cy="2755986"/>
                    </a:xfrm>
                    <a:prstGeom prst="rect">
                      <a:avLst/>
                    </a:prstGeom>
                    <a:noFill/>
                    <a:ln>
                      <a:noFill/>
                    </a:ln>
                  </pic:spPr>
                </pic:pic>
              </a:graphicData>
            </a:graphic>
          </wp:inline>
        </w:drawing>
      </w:r>
    </w:p>
    <w:p w14:paraId="42C1AFE0" w14:textId="434FE20B" w:rsidR="007E3B13" w:rsidRPr="004E2161" w:rsidRDefault="007E3B13" w:rsidP="007E3B13">
      <w:pPr>
        <w:pStyle w:val="Caption"/>
        <w:keepNext/>
        <w:spacing w:line="240" w:lineRule="auto"/>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Fig</w:t>
      </w:r>
      <w:r w:rsidR="006E75E4"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S8 </w:t>
      </w:r>
      <w:r w:rsidRPr="004E2161">
        <w:rPr>
          <w:rFonts w:ascii="Times New Roman" w:hAnsi="Times New Roman" w:cs="Times New Roman"/>
          <w:b w:val="0"/>
          <w:bCs/>
          <w:color w:val="000000" w:themeColor="text1"/>
          <w:sz w:val="20"/>
          <w:szCs w:val="20"/>
          <w:lang w:val="en-GB"/>
        </w:rPr>
        <w:t>TTD; Schoenfeld residuals.</w:t>
      </w:r>
    </w:p>
    <w:p w14:paraId="1B850962" w14:textId="77777777" w:rsidR="007E3B13" w:rsidRPr="004E2161" w:rsidRDefault="007E3B13" w:rsidP="007E3B13">
      <w:pPr>
        <w:rPr>
          <w:rFonts w:ascii="Times New Roman" w:hAnsi="Times New Roman" w:cs="Times New Roman"/>
          <w:sz w:val="20"/>
          <w:szCs w:val="20"/>
          <w:lang w:val="en-GB"/>
        </w:rPr>
      </w:pPr>
      <w:r w:rsidRPr="004E2161">
        <w:rPr>
          <w:rFonts w:ascii="Times New Roman" w:hAnsi="Times New Roman" w:cs="Times New Roman"/>
          <w:noProof/>
          <w:sz w:val="20"/>
          <w:szCs w:val="20"/>
          <w:lang w:eastAsia="en-US"/>
        </w:rPr>
        <w:drawing>
          <wp:inline distT="0" distB="0" distL="0" distR="0" wp14:anchorId="030FE487" wp14:editId="13BECFEF">
            <wp:extent cx="5518080" cy="2762250"/>
            <wp:effectExtent l="0" t="0" r="6985"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45788" cy="2776120"/>
                    </a:xfrm>
                    <a:prstGeom prst="rect">
                      <a:avLst/>
                    </a:prstGeom>
                    <a:noFill/>
                    <a:ln>
                      <a:noFill/>
                    </a:ln>
                  </pic:spPr>
                </pic:pic>
              </a:graphicData>
            </a:graphic>
          </wp:inline>
        </w:drawing>
      </w:r>
    </w:p>
    <w:p w14:paraId="59C5A262" w14:textId="05ACF1A3" w:rsidR="007E3B13" w:rsidRPr="004E2161" w:rsidRDefault="007E3B13" w:rsidP="007E3B13">
      <w:pPr>
        <w:spacing w:before="120" w:line="240" w:lineRule="auto"/>
        <w:ind w:firstLine="432"/>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AIC and BIC were evaluated to statistically compare model fits, as presented in Table S3. The results show the best AIC and BIC values for the log-logistic model in the NIVO+IPI arm, followed by the odds spline one-knot. For SUN, the probit spline two-knots minim</w:t>
      </w:r>
      <w:r w:rsidR="006E75E4" w:rsidRPr="004E2161">
        <w:rPr>
          <w:rFonts w:ascii="Times New Roman" w:hAnsi="Times New Roman" w:cs="Times New Roman"/>
          <w:color w:val="000000" w:themeColor="text1"/>
          <w:sz w:val="20"/>
          <w:szCs w:val="20"/>
          <w:lang w:val="en-GB"/>
        </w:rPr>
        <w:t>ize</w:t>
      </w:r>
      <w:r w:rsidRPr="004E2161">
        <w:rPr>
          <w:rFonts w:ascii="Times New Roman" w:hAnsi="Times New Roman" w:cs="Times New Roman"/>
          <w:color w:val="000000" w:themeColor="text1"/>
          <w:sz w:val="20"/>
          <w:szCs w:val="20"/>
          <w:lang w:val="en-GB"/>
        </w:rPr>
        <w:t>s the AIC, while the log-logistic distribution minim</w:t>
      </w:r>
      <w:r w:rsidR="006E75E4" w:rsidRPr="004E2161">
        <w:rPr>
          <w:rFonts w:ascii="Times New Roman" w:hAnsi="Times New Roman" w:cs="Times New Roman"/>
          <w:color w:val="000000" w:themeColor="text1"/>
          <w:sz w:val="20"/>
          <w:szCs w:val="20"/>
          <w:lang w:val="en-GB"/>
        </w:rPr>
        <w:t>ize</w:t>
      </w:r>
      <w:r w:rsidRPr="004E2161">
        <w:rPr>
          <w:rFonts w:ascii="Times New Roman" w:hAnsi="Times New Roman" w:cs="Times New Roman"/>
          <w:color w:val="000000" w:themeColor="text1"/>
          <w:sz w:val="20"/>
          <w:szCs w:val="20"/>
          <w:lang w:val="en-GB"/>
        </w:rPr>
        <w:t>s BIC. Considering both trial arms, there is an overall preference for the log-logistic model over the spline models.</w:t>
      </w:r>
      <w:r w:rsidRPr="004E2161">
        <w:rPr>
          <w:rFonts w:ascii="Times New Roman" w:hAnsi="Times New Roman" w:cs="Times New Roman"/>
          <w:color w:val="000000" w:themeColor="text1"/>
          <w:sz w:val="20"/>
          <w:szCs w:val="20"/>
          <w:lang w:val="en-GB"/>
        </w:rPr>
        <w:br w:type="page"/>
      </w:r>
    </w:p>
    <w:p w14:paraId="0DF362C5" w14:textId="6BBB553D" w:rsidR="007E3B13" w:rsidRPr="004E2161" w:rsidRDefault="007E3B13" w:rsidP="007E3B13">
      <w:pPr>
        <w:pStyle w:val="Caption"/>
        <w:keepNext/>
        <w:spacing w:before="240" w:line="240" w:lineRule="auto"/>
        <w:contextualSpacing w:val="0"/>
        <w:jc w:val="left"/>
        <w:rPr>
          <w:rStyle w:val="NoteChar0"/>
          <w:rFonts w:ascii="Times New Roman" w:hAnsi="Times New Roman" w:cs="Times New Roman"/>
          <w:color w:val="000000" w:themeColor="text1"/>
          <w:sz w:val="20"/>
          <w:szCs w:val="20"/>
        </w:rPr>
      </w:pPr>
      <w:r w:rsidRPr="004E2161">
        <w:rPr>
          <w:rFonts w:ascii="Times New Roman" w:hAnsi="Times New Roman" w:cs="Times New Roman"/>
          <w:color w:val="000000" w:themeColor="text1"/>
          <w:sz w:val="20"/>
          <w:szCs w:val="20"/>
          <w:lang w:val="en-GB"/>
        </w:rPr>
        <w:lastRenderedPageBreak/>
        <w:t xml:space="preserve">Table S3 </w:t>
      </w:r>
      <w:r w:rsidRPr="004E2161">
        <w:rPr>
          <w:rFonts w:ascii="Times New Roman" w:hAnsi="Times New Roman" w:cs="Times New Roman"/>
          <w:b w:val="0"/>
          <w:bCs/>
          <w:color w:val="000000" w:themeColor="text1"/>
          <w:sz w:val="20"/>
          <w:szCs w:val="20"/>
          <w:lang w:val="en-GB"/>
        </w:rPr>
        <w:t>TTD; AIC and BIC values for nivolumab plus ipilimumab, and the parametr</w:t>
      </w:r>
      <w:r w:rsidR="006E75E4" w:rsidRPr="004E2161">
        <w:rPr>
          <w:rFonts w:ascii="Times New Roman" w:hAnsi="Times New Roman" w:cs="Times New Roman"/>
          <w:b w:val="0"/>
          <w:bCs/>
          <w:color w:val="000000" w:themeColor="text1"/>
          <w:sz w:val="20"/>
          <w:szCs w:val="20"/>
          <w:lang w:val="en-GB"/>
        </w:rPr>
        <w:t>iza</w:t>
      </w:r>
      <w:r w:rsidRPr="004E2161">
        <w:rPr>
          <w:rFonts w:ascii="Times New Roman" w:hAnsi="Times New Roman" w:cs="Times New Roman"/>
          <w:b w:val="0"/>
          <w:bCs/>
          <w:color w:val="000000" w:themeColor="text1"/>
          <w:sz w:val="20"/>
          <w:szCs w:val="20"/>
          <w:lang w:val="en-GB"/>
        </w:rPr>
        <w:t>tion for the best-performing model</w:t>
      </w:r>
      <w:r w:rsidR="00D60A41" w:rsidRPr="004E2161">
        <w:rPr>
          <w:rFonts w:ascii="Times New Roman" w:hAnsi="Times New Roman" w:cs="Times New Roman"/>
          <w:b w:val="0"/>
          <w:bCs/>
          <w:color w:val="000000" w:themeColor="text1"/>
          <w:sz w:val="20"/>
          <w:szCs w:val="20"/>
          <w:lang w:val="en-GB"/>
        </w:rPr>
        <w:t>.</w:t>
      </w:r>
    </w:p>
    <w:tbl>
      <w:tblPr>
        <w:tblStyle w:val="PharmeritTable2018"/>
        <w:tblW w:w="5000" w:type="pct"/>
        <w:tblLayout w:type="fixed"/>
        <w:tblLook w:val="04A0" w:firstRow="1" w:lastRow="0" w:firstColumn="1" w:lastColumn="0" w:noHBand="0" w:noVBand="1"/>
      </w:tblPr>
      <w:tblGrid>
        <w:gridCol w:w="1747"/>
        <w:gridCol w:w="1747"/>
        <w:gridCol w:w="1746"/>
        <w:gridCol w:w="1746"/>
        <w:gridCol w:w="1746"/>
      </w:tblGrid>
      <w:tr w:rsidR="007E3B13" w:rsidRPr="004E2161" w14:paraId="740362A1" w14:textId="77777777" w:rsidTr="006967DA">
        <w:trPr>
          <w:cnfStyle w:val="100000000000" w:firstRow="1" w:lastRow="0" w:firstColumn="0" w:lastColumn="0" w:oddVBand="0" w:evenVBand="0" w:oddHBand="0" w:evenHBand="0" w:firstRowFirstColumn="0" w:firstRowLastColumn="0" w:lastRowFirstColumn="0" w:lastRowLastColumn="0"/>
          <w:trHeight w:val="13"/>
        </w:trPr>
        <w:tc>
          <w:tcPr>
            <w:tcW w:w="0" w:type="pct"/>
            <w:vMerge w:val="restart"/>
            <w:tcBorders>
              <w:top w:val="single" w:sz="4" w:space="0" w:color="auto"/>
              <w:left w:val="nil"/>
              <w:right w:val="single" w:sz="4" w:space="0" w:color="FFFFFF" w:themeColor="background1"/>
            </w:tcBorders>
            <w:shd w:val="clear" w:color="auto" w:fill="FFFFFF" w:themeFill="background1"/>
            <w:vAlign w:val="bottom"/>
          </w:tcPr>
          <w:p w14:paraId="4D20D8E3" w14:textId="77777777" w:rsidR="007E3B13" w:rsidRPr="004E2161" w:rsidRDefault="007E3B13" w:rsidP="00993332">
            <w:pPr>
              <w:spacing w:after="0" w:line="240" w:lineRule="auto"/>
              <w:jc w:val="left"/>
              <w:rPr>
                <w:rFonts w:ascii="Times New Roman" w:hAnsi="Times New Roman" w:cs="Times New Roman"/>
                <w:i/>
                <w:color w:val="000000" w:themeColor="text1"/>
                <w:sz w:val="20"/>
                <w:szCs w:val="20"/>
                <w:lang w:val="en-GB"/>
              </w:rPr>
            </w:pPr>
            <w:r w:rsidRPr="004E2161">
              <w:rPr>
                <w:rFonts w:ascii="Times New Roman" w:hAnsi="Times New Roman" w:cs="Times New Roman"/>
                <w:color w:val="000000" w:themeColor="text1"/>
                <w:sz w:val="20"/>
                <w:szCs w:val="20"/>
                <w:lang w:val="en-GB"/>
              </w:rPr>
              <w:t>Survival model</w:t>
            </w:r>
          </w:p>
        </w:tc>
        <w:tc>
          <w:tcPr>
            <w:tcW w:w="0" w:type="pct"/>
            <w:gridSpan w:val="2"/>
            <w:tcBorders>
              <w:top w:val="single" w:sz="4" w:space="0" w:color="auto"/>
              <w:left w:val="single" w:sz="4" w:space="0" w:color="FFFFFF" w:themeColor="background1"/>
              <w:right w:val="single" w:sz="4" w:space="0" w:color="D5DCE4" w:themeColor="text2" w:themeTint="33"/>
            </w:tcBorders>
            <w:shd w:val="clear" w:color="auto" w:fill="FFFFFF" w:themeFill="background1"/>
          </w:tcPr>
          <w:p w14:paraId="002D5496"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color w:val="000000" w:themeColor="text1"/>
                <w:kern w:val="24"/>
                <w:sz w:val="20"/>
                <w:szCs w:val="20"/>
                <w:lang w:val="en-GB" w:eastAsia="en-US"/>
              </w:rPr>
              <w:t>TTD NIVO+IPI</w:t>
            </w:r>
          </w:p>
        </w:tc>
        <w:tc>
          <w:tcPr>
            <w:tcW w:w="0" w:type="pct"/>
            <w:gridSpan w:val="2"/>
            <w:tcBorders>
              <w:top w:val="single" w:sz="4" w:space="0" w:color="auto"/>
              <w:left w:val="single" w:sz="4" w:space="0" w:color="D5DCE4" w:themeColor="text2" w:themeTint="33"/>
              <w:right w:val="nil"/>
            </w:tcBorders>
            <w:shd w:val="clear" w:color="auto" w:fill="FFFFFF" w:themeFill="background1"/>
          </w:tcPr>
          <w:p w14:paraId="6612A2FB"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iCs/>
                <w:color w:val="000000" w:themeColor="text1"/>
                <w:sz w:val="20"/>
                <w:szCs w:val="20"/>
                <w:lang w:val="en-GB"/>
              </w:rPr>
              <w:t>TTD SUN</w:t>
            </w:r>
          </w:p>
        </w:tc>
      </w:tr>
      <w:tr w:rsidR="007E3B13" w:rsidRPr="004E2161" w14:paraId="7D5C6B3E" w14:textId="77777777" w:rsidTr="006967DA">
        <w:trPr>
          <w:cnfStyle w:val="000000100000" w:firstRow="0" w:lastRow="0" w:firstColumn="0" w:lastColumn="0" w:oddVBand="0" w:evenVBand="0" w:oddHBand="1" w:evenHBand="0" w:firstRowFirstColumn="0" w:firstRowLastColumn="0" w:lastRowFirstColumn="0" w:lastRowLastColumn="0"/>
          <w:trHeight w:val="13"/>
        </w:trPr>
        <w:tc>
          <w:tcPr>
            <w:tcW w:w="0" w:type="pct"/>
            <w:vMerge/>
            <w:tcBorders>
              <w:top w:val="single" w:sz="4" w:space="0" w:color="D5DCE4" w:themeColor="text2" w:themeTint="33"/>
              <w:left w:val="nil"/>
              <w:right w:val="single" w:sz="4" w:space="0" w:color="FFFFFF" w:themeColor="background1"/>
            </w:tcBorders>
            <w:shd w:val="clear" w:color="auto" w:fill="FFFFFF" w:themeFill="background1"/>
          </w:tcPr>
          <w:p w14:paraId="40EBB4D9"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p>
        </w:tc>
        <w:tc>
          <w:tcPr>
            <w:tcW w:w="0" w:type="pct"/>
            <w:gridSpan w:val="4"/>
            <w:tcBorders>
              <w:top w:val="single" w:sz="4" w:space="0" w:color="D5DCE4" w:themeColor="text2" w:themeTint="33"/>
              <w:left w:val="single" w:sz="4" w:space="0" w:color="FFFFFF" w:themeColor="background1"/>
              <w:right w:val="nil"/>
            </w:tcBorders>
            <w:shd w:val="clear" w:color="auto" w:fill="FFFFFF" w:themeFill="background1"/>
          </w:tcPr>
          <w:p w14:paraId="2D85B423"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r>
      <w:tr w:rsidR="005A5AD0" w:rsidRPr="004E2161" w14:paraId="63BC05CD" w14:textId="77777777" w:rsidTr="00D60A41">
        <w:trPr>
          <w:trHeight w:val="13"/>
        </w:trPr>
        <w:tc>
          <w:tcPr>
            <w:tcW w:w="0" w:type="pct"/>
            <w:vMerge/>
            <w:tcBorders>
              <w:top w:val="single" w:sz="4" w:space="0" w:color="D5DCE4" w:themeColor="text2" w:themeTint="33"/>
              <w:left w:val="nil"/>
              <w:bottom w:val="single" w:sz="4" w:space="0" w:color="auto"/>
              <w:right w:val="single" w:sz="4" w:space="0" w:color="FFFFFF" w:themeColor="background1"/>
            </w:tcBorders>
            <w:shd w:val="clear" w:color="auto" w:fill="FFFFFF" w:themeFill="background1"/>
            <w:vAlign w:val="bottom"/>
          </w:tcPr>
          <w:p w14:paraId="5D8B2321"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left w:val="single" w:sz="4" w:space="0" w:color="FFFFFF" w:themeColor="background1"/>
              <w:bottom w:val="single" w:sz="4" w:space="0" w:color="auto"/>
            </w:tcBorders>
            <w:shd w:val="clear" w:color="auto" w:fill="FFFFFF" w:themeFill="background1"/>
          </w:tcPr>
          <w:p w14:paraId="3DCFA1B3" w14:textId="77777777" w:rsidR="007E3B13" w:rsidRPr="004E2161" w:rsidRDefault="007E3B13" w:rsidP="00993332">
            <w:pPr>
              <w:spacing w:after="0" w:line="240" w:lineRule="auto"/>
              <w:jc w:val="center"/>
              <w:rPr>
                <w:rFonts w:ascii="Times New Roman" w:hAnsi="Times New Roman" w:cs="Times New Roman"/>
                <w:color w:val="000000" w:themeColor="text1"/>
                <w:kern w:val="24"/>
                <w:sz w:val="20"/>
                <w:szCs w:val="20"/>
                <w:lang w:val="en-GB" w:eastAsia="en-US"/>
              </w:rPr>
            </w:pPr>
            <w:r w:rsidRPr="004E2161">
              <w:rPr>
                <w:rFonts w:ascii="Times New Roman" w:hAnsi="Times New Roman" w:cs="Times New Roman"/>
                <w:sz w:val="20"/>
                <w:szCs w:val="20"/>
                <w:lang w:val="en-GB"/>
              </w:rPr>
              <w:t>AIC</w:t>
            </w:r>
          </w:p>
        </w:tc>
        <w:tc>
          <w:tcPr>
            <w:tcW w:w="0" w:type="pct"/>
            <w:tcBorders>
              <w:top w:val="single" w:sz="4" w:space="0" w:color="D5DCE4" w:themeColor="text2" w:themeTint="33"/>
              <w:bottom w:val="single" w:sz="4" w:space="0" w:color="auto"/>
              <w:right w:val="single" w:sz="4" w:space="0" w:color="D5DCE4" w:themeColor="text2" w:themeTint="33"/>
            </w:tcBorders>
            <w:shd w:val="clear" w:color="auto" w:fill="FFFFFF" w:themeFill="background1"/>
          </w:tcPr>
          <w:p w14:paraId="617B1B67"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sz w:val="20"/>
                <w:szCs w:val="20"/>
                <w:lang w:val="en-GB"/>
              </w:rPr>
              <w:t>BIC</w:t>
            </w:r>
          </w:p>
        </w:tc>
        <w:tc>
          <w:tcPr>
            <w:tcW w:w="0" w:type="pct"/>
            <w:tcBorders>
              <w:top w:val="single" w:sz="4" w:space="0" w:color="D5DCE4" w:themeColor="text2" w:themeTint="33"/>
              <w:left w:val="single" w:sz="4" w:space="0" w:color="D5DCE4" w:themeColor="text2" w:themeTint="33"/>
              <w:bottom w:val="single" w:sz="4" w:space="0" w:color="auto"/>
            </w:tcBorders>
            <w:shd w:val="clear" w:color="auto" w:fill="FFFFFF" w:themeFill="background1"/>
          </w:tcPr>
          <w:p w14:paraId="4AD73448"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sz w:val="20"/>
                <w:szCs w:val="20"/>
                <w:lang w:val="en-GB"/>
              </w:rPr>
              <w:t>AIC</w:t>
            </w:r>
          </w:p>
        </w:tc>
        <w:tc>
          <w:tcPr>
            <w:tcW w:w="0" w:type="pct"/>
            <w:tcBorders>
              <w:top w:val="single" w:sz="4" w:space="0" w:color="D5DCE4" w:themeColor="text2" w:themeTint="33"/>
              <w:bottom w:val="single" w:sz="4" w:space="0" w:color="auto"/>
              <w:right w:val="nil"/>
            </w:tcBorders>
            <w:shd w:val="clear" w:color="auto" w:fill="FFFFFF" w:themeFill="background1"/>
          </w:tcPr>
          <w:p w14:paraId="3CFD7D48"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sz w:val="20"/>
                <w:szCs w:val="20"/>
                <w:lang w:val="en-GB"/>
              </w:rPr>
              <w:t>BIC</w:t>
            </w:r>
          </w:p>
        </w:tc>
      </w:tr>
      <w:tr w:rsidR="007E3B13" w:rsidRPr="004E2161" w14:paraId="00726E53"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auto"/>
              <w:left w:val="nil"/>
              <w:right w:val="nil"/>
            </w:tcBorders>
          </w:tcPr>
          <w:p w14:paraId="3F3770B9"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Exponential</w:t>
            </w:r>
          </w:p>
        </w:tc>
        <w:tc>
          <w:tcPr>
            <w:tcW w:w="0" w:type="pct"/>
            <w:tcBorders>
              <w:top w:val="single" w:sz="4" w:space="0" w:color="auto"/>
              <w:left w:val="nil"/>
            </w:tcBorders>
          </w:tcPr>
          <w:p w14:paraId="4CEC4E9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5386.8</w:t>
            </w:r>
          </w:p>
        </w:tc>
        <w:tc>
          <w:tcPr>
            <w:tcW w:w="0" w:type="pct"/>
            <w:tcBorders>
              <w:top w:val="single" w:sz="4" w:space="0" w:color="auto"/>
              <w:right w:val="single" w:sz="4" w:space="0" w:color="D5DCE4" w:themeColor="text2" w:themeTint="33"/>
            </w:tcBorders>
          </w:tcPr>
          <w:p w14:paraId="208FA11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5390.9</w:t>
            </w:r>
          </w:p>
        </w:tc>
        <w:tc>
          <w:tcPr>
            <w:tcW w:w="0" w:type="pct"/>
            <w:tcBorders>
              <w:top w:val="single" w:sz="4" w:space="0" w:color="auto"/>
              <w:left w:val="single" w:sz="4" w:space="0" w:color="D5DCE4" w:themeColor="text2" w:themeTint="33"/>
            </w:tcBorders>
          </w:tcPr>
          <w:p w14:paraId="4124C07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5581.2</w:t>
            </w:r>
          </w:p>
        </w:tc>
        <w:tc>
          <w:tcPr>
            <w:tcW w:w="0" w:type="pct"/>
            <w:tcBorders>
              <w:top w:val="single" w:sz="4" w:space="0" w:color="auto"/>
              <w:right w:val="nil"/>
            </w:tcBorders>
          </w:tcPr>
          <w:p w14:paraId="39F82A1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5585.3</w:t>
            </w:r>
          </w:p>
        </w:tc>
      </w:tr>
      <w:tr w:rsidR="007E3B13" w:rsidRPr="004E2161" w14:paraId="1DCEA8BB" w14:textId="77777777" w:rsidTr="006967DA">
        <w:tc>
          <w:tcPr>
            <w:tcW w:w="0" w:type="pct"/>
            <w:tcBorders>
              <w:top w:val="single" w:sz="4" w:space="0" w:color="D5DCE4" w:themeColor="text2" w:themeTint="33"/>
              <w:left w:val="nil"/>
              <w:right w:val="nil"/>
            </w:tcBorders>
          </w:tcPr>
          <w:p w14:paraId="40FF16B5"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Weibull</w:t>
            </w:r>
          </w:p>
        </w:tc>
        <w:tc>
          <w:tcPr>
            <w:tcW w:w="0" w:type="pct"/>
            <w:tcBorders>
              <w:top w:val="single" w:sz="4" w:space="0" w:color="D5DCE4" w:themeColor="text2" w:themeTint="33"/>
              <w:left w:val="nil"/>
            </w:tcBorders>
          </w:tcPr>
          <w:p w14:paraId="1516EC3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5295.4</w:t>
            </w:r>
          </w:p>
        </w:tc>
        <w:tc>
          <w:tcPr>
            <w:tcW w:w="0" w:type="pct"/>
            <w:tcBorders>
              <w:top w:val="single" w:sz="4" w:space="0" w:color="D5DCE4" w:themeColor="text2" w:themeTint="33"/>
              <w:right w:val="single" w:sz="4" w:space="0" w:color="D5DCE4" w:themeColor="text2" w:themeTint="33"/>
            </w:tcBorders>
          </w:tcPr>
          <w:p w14:paraId="2B707304"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5303.5</w:t>
            </w:r>
          </w:p>
        </w:tc>
        <w:tc>
          <w:tcPr>
            <w:tcW w:w="0" w:type="pct"/>
            <w:tcBorders>
              <w:top w:val="single" w:sz="4" w:space="0" w:color="D5DCE4" w:themeColor="text2" w:themeTint="33"/>
              <w:left w:val="single" w:sz="4" w:space="0" w:color="D5DCE4" w:themeColor="text2" w:themeTint="33"/>
            </w:tcBorders>
          </w:tcPr>
          <w:p w14:paraId="13F9180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5566.9</w:t>
            </w:r>
          </w:p>
        </w:tc>
        <w:tc>
          <w:tcPr>
            <w:tcW w:w="0" w:type="pct"/>
            <w:tcBorders>
              <w:top w:val="single" w:sz="4" w:space="0" w:color="D5DCE4" w:themeColor="text2" w:themeTint="33"/>
              <w:right w:val="nil"/>
            </w:tcBorders>
          </w:tcPr>
          <w:p w14:paraId="561C7C0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5574.9</w:t>
            </w:r>
          </w:p>
        </w:tc>
      </w:tr>
      <w:tr w:rsidR="007E3B13" w:rsidRPr="004E2161" w14:paraId="22347C10"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1C2BCA67"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Gompertz</w:t>
            </w:r>
          </w:p>
        </w:tc>
        <w:tc>
          <w:tcPr>
            <w:tcW w:w="0" w:type="pct"/>
            <w:tcBorders>
              <w:top w:val="single" w:sz="4" w:space="0" w:color="D5DCE4" w:themeColor="text2" w:themeTint="33"/>
              <w:left w:val="nil"/>
            </w:tcBorders>
          </w:tcPr>
          <w:p w14:paraId="57009B4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5290.1</w:t>
            </w:r>
          </w:p>
        </w:tc>
        <w:tc>
          <w:tcPr>
            <w:tcW w:w="0" w:type="pct"/>
            <w:tcBorders>
              <w:top w:val="single" w:sz="4" w:space="0" w:color="D5DCE4" w:themeColor="text2" w:themeTint="33"/>
              <w:right w:val="single" w:sz="4" w:space="0" w:color="D5DCE4" w:themeColor="text2" w:themeTint="33"/>
            </w:tcBorders>
          </w:tcPr>
          <w:p w14:paraId="4D529032"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5298.2</w:t>
            </w:r>
          </w:p>
        </w:tc>
        <w:tc>
          <w:tcPr>
            <w:tcW w:w="0" w:type="pct"/>
            <w:tcBorders>
              <w:top w:val="single" w:sz="4" w:space="0" w:color="D5DCE4" w:themeColor="text2" w:themeTint="33"/>
              <w:left w:val="single" w:sz="4" w:space="0" w:color="D5DCE4" w:themeColor="text2" w:themeTint="33"/>
            </w:tcBorders>
          </w:tcPr>
          <w:p w14:paraId="7372A2FB"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5556.0</w:t>
            </w:r>
          </w:p>
        </w:tc>
        <w:tc>
          <w:tcPr>
            <w:tcW w:w="0" w:type="pct"/>
            <w:tcBorders>
              <w:top w:val="single" w:sz="4" w:space="0" w:color="D5DCE4" w:themeColor="text2" w:themeTint="33"/>
              <w:right w:val="nil"/>
            </w:tcBorders>
          </w:tcPr>
          <w:p w14:paraId="0FE368B4"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5564.1</w:t>
            </w:r>
          </w:p>
        </w:tc>
      </w:tr>
      <w:tr w:rsidR="007E3B13" w:rsidRPr="004E2161" w14:paraId="6907C0B2" w14:textId="77777777" w:rsidTr="006967DA">
        <w:tc>
          <w:tcPr>
            <w:tcW w:w="0" w:type="pct"/>
            <w:tcBorders>
              <w:top w:val="single" w:sz="4" w:space="0" w:color="D5DCE4" w:themeColor="text2" w:themeTint="33"/>
              <w:left w:val="nil"/>
              <w:right w:val="nil"/>
            </w:tcBorders>
          </w:tcPr>
          <w:p w14:paraId="52882DE7"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Log-logistic</w:t>
            </w:r>
          </w:p>
        </w:tc>
        <w:tc>
          <w:tcPr>
            <w:tcW w:w="0" w:type="pct"/>
            <w:tcBorders>
              <w:top w:val="single" w:sz="4" w:space="0" w:color="D5DCE4" w:themeColor="text2" w:themeTint="33"/>
              <w:left w:val="nil"/>
            </w:tcBorders>
          </w:tcPr>
          <w:p w14:paraId="4D55EAAF"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5279.6</w:t>
            </w:r>
          </w:p>
        </w:tc>
        <w:tc>
          <w:tcPr>
            <w:tcW w:w="0" w:type="pct"/>
            <w:tcBorders>
              <w:top w:val="single" w:sz="4" w:space="0" w:color="D5DCE4" w:themeColor="text2" w:themeTint="33"/>
              <w:right w:val="single" w:sz="4" w:space="0" w:color="D5DCE4" w:themeColor="text2" w:themeTint="33"/>
            </w:tcBorders>
          </w:tcPr>
          <w:p w14:paraId="7419076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5287.7</w:t>
            </w:r>
          </w:p>
        </w:tc>
        <w:tc>
          <w:tcPr>
            <w:tcW w:w="0" w:type="pct"/>
            <w:tcBorders>
              <w:top w:val="single" w:sz="4" w:space="0" w:color="D5DCE4" w:themeColor="text2" w:themeTint="33"/>
              <w:left w:val="single" w:sz="4" w:space="0" w:color="D5DCE4" w:themeColor="text2" w:themeTint="33"/>
            </w:tcBorders>
          </w:tcPr>
          <w:p w14:paraId="7F3DCD5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5553.0</w:t>
            </w:r>
          </w:p>
        </w:tc>
        <w:tc>
          <w:tcPr>
            <w:tcW w:w="0" w:type="pct"/>
            <w:tcBorders>
              <w:top w:val="single" w:sz="4" w:space="0" w:color="D5DCE4" w:themeColor="text2" w:themeTint="33"/>
              <w:right w:val="nil"/>
            </w:tcBorders>
          </w:tcPr>
          <w:p w14:paraId="00FC45A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5561.1</w:t>
            </w:r>
          </w:p>
        </w:tc>
      </w:tr>
      <w:tr w:rsidR="007E3B13" w:rsidRPr="004E2161" w14:paraId="62D98110"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697867FF"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Log-normal</w:t>
            </w:r>
          </w:p>
        </w:tc>
        <w:tc>
          <w:tcPr>
            <w:tcW w:w="0" w:type="pct"/>
            <w:tcBorders>
              <w:top w:val="single" w:sz="4" w:space="0" w:color="D5DCE4" w:themeColor="text2" w:themeTint="33"/>
              <w:left w:val="nil"/>
            </w:tcBorders>
          </w:tcPr>
          <w:p w14:paraId="4B3A8631"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5290.5</w:t>
            </w:r>
          </w:p>
        </w:tc>
        <w:tc>
          <w:tcPr>
            <w:tcW w:w="0" w:type="pct"/>
            <w:tcBorders>
              <w:top w:val="single" w:sz="4" w:space="0" w:color="D5DCE4" w:themeColor="text2" w:themeTint="33"/>
              <w:right w:val="single" w:sz="4" w:space="0" w:color="D5DCE4" w:themeColor="text2" w:themeTint="33"/>
            </w:tcBorders>
          </w:tcPr>
          <w:p w14:paraId="1F3AD68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5298.6</w:t>
            </w:r>
          </w:p>
        </w:tc>
        <w:tc>
          <w:tcPr>
            <w:tcW w:w="0" w:type="pct"/>
            <w:tcBorders>
              <w:top w:val="single" w:sz="4" w:space="0" w:color="D5DCE4" w:themeColor="text2" w:themeTint="33"/>
              <w:left w:val="single" w:sz="4" w:space="0" w:color="D5DCE4" w:themeColor="text2" w:themeTint="33"/>
            </w:tcBorders>
          </w:tcPr>
          <w:p w14:paraId="2F43B80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5576.4</w:t>
            </w:r>
          </w:p>
        </w:tc>
        <w:tc>
          <w:tcPr>
            <w:tcW w:w="0" w:type="pct"/>
            <w:tcBorders>
              <w:top w:val="single" w:sz="4" w:space="0" w:color="D5DCE4" w:themeColor="text2" w:themeTint="33"/>
              <w:right w:val="nil"/>
            </w:tcBorders>
          </w:tcPr>
          <w:p w14:paraId="53F7C1F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5584.5</w:t>
            </w:r>
          </w:p>
        </w:tc>
      </w:tr>
      <w:tr w:rsidR="007E3B13" w:rsidRPr="004E2161" w14:paraId="26F375C1" w14:textId="77777777" w:rsidTr="006967DA">
        <w:tc>
          <w:tcPr>
            <w:tcW w:w="0" w:type="pct"/>
            <w:tcBorders>
              <w:top w:val="single" w:sz="4" w:space="0" w:color="D5DCE4" w:themeColor="text2" w:themeTint="33"/>
              <w:left w:val="nil"/>
              <w:right w:val="nil"/>
            </w:tcBorders>
          </w:tcPr>
          <w:p w14:paraId="4D393C92"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Gamma</w:t>
            </w:r>
          </w:p>
        </w:tc>
        <w:tc>
          <w:tcPr>
            <w:tcW w:w="0" w:type="pct"/>
            <w:tcBorders>
              <w:top w:val="single" w:sz="4" w:space="0" w:color="D5DCE4" w:themeColor="text2" w:themeTint="33"/>
              <w:left w:val="nil"/>
            </w:tcBorders>
          </w:tcPr>
          <w:p w14:paraId="27D58D4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5310.7</w:t>
            </w:r>
          </w:p>
        </w:tc>
        <w:tc>
          <w:tcPr>
            <w:tcW w:w="0" w:type="pct"/>
            <w:tcBorders>
              <w:top w:val="single" w:sz="4" w:space="0" w:color="D5DCE4" w:themeColor="text2" w:themeTint="33"/>
              <w:right w:val="single" w:sz="4" w:space="0" w:color="D5DCE4" w:themeColor="text2" w:themeTint="33"/>
            </w:tcBorders>
          </w:tcPr>
          <w:p w14:paraId="46988C6B"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5318.8</w:t>
            </w:r>
          </w:p>
        </w:tc>
        <w:tc>
          <w:tcPr>
            <w:tcW w:w="0" w:type="pct"/>
            <w:tcBorders>
              <w:top w:val="single" w:sz="4" w:space="0" w:color="D5DCE4" w:themeColor="text2" w:themeTint="33"/>
              <w:left w:val="single" w:sz="4" w:space="0" w:color="D5DCE4" w:themeColor="text2" w:themeTint="33"/>
            </w:tcBorders>
          </w:tcPr>
          <w:p w14:paraId="654FB93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5573.6</w:t>
            </w:r>
          </w:p>
        </w:tc>
        <w:tc>
          <w:tcPr>
            <w:tcW w:w="0" w:type="pct"/>
            <w:tcBorders>
              <w:top w:val="single" w:sz="4" w:space="0" w:color="D5DCE4" w:themeColor="text2" w:themeTint="33"/>
              <w:right w:val="nil"/>
            </w:tcBorders>
          </w:tcPr>
          <w:p w14:paraId="3E82473B"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5581.7</w:t>
            </w:r>
          </w:p>
        </w:tc>
      </w:tr>
      <w:tr w:rsidR="007E3B13" w:rsidRPr="004E2161" w14:paraId="52E3BDA5"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64F9465A" w14:textId="0CC1F375"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General</w:t>
            </w:r>
            <w:r w:rsidR="006E75E4" w:rsidRPr="004E2161">
              <w:rPr>
                <w:rFonts w:ascii="Times New Roman" w:hAnsi="Times New Roman" w:cs="Times New Roman"/>
                <w:color w:val="000000" w:themeColor="text1"/>
                <w:sz w:val="20"/>
                <w:szCs w:val="20"/>
                <w:lang w:val="en-GB"/>
              </w:rPr>
              <w:t>ize</w:t>
            </w:r>
            <w:r w:rsidRPr="004E2161">
              <w:rPr>
                <w:rFonts w:ascii="Times New Roman" w:hAnsi="Times New Roman" w:cs="Times New Roman"/>
                <w:color w:val="000000" w:themeColor="text1"/>
                <w:sz w:val="20"/>
                <w:szCs w:val="20"/>
                <w:lang w:val="en-GB"/>
              </w:rPr>
              <w:t>d gamma</w:t>
            </w:r>
          </w:p>
        </w:tc>
        <w:tc>
          <w:tcPr>
            <w:tcW w:w="0" w:type="pct"/>
            <w:tcBorders>
              <w:top w:val="single" w:sz="4" w:space="0" w:color="D5DCE4" w:themeColor="text2" w:themeTint="33"/>
              <w:left w:val="nil"/>
            </w:tcBorders>
          </w:tcPr>
          <w:p w14:paraId="4A0CD159"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5283.5</w:t>
            </w:r>
          </w:p>
        </w:tc>
        <w:tc>
          <w:tcPr>
            <w:tcW w:w="0" w:type="pct"/>
            <w:tcBorders>
              <w:top w:val="single" w:sz="4" w:space="0" w:color="D5DCE4" w:themeColor="text2" w:themeTint="33"/>
              <w:right w:val="single" w:sz="4" w:space="0" w:color="D5DCE4" w:themeColor="text2" w:themeTint="33"/>
            </w:tcBorders>
          </w:tcPr>
          <w:p w14:paraId="68C81753"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5295.6</w:t>
            </w:r>
          </w:p>
        </w:tc>
        <w:tc>
          <w:tcPr>
            <w:tcW w:w="0" w:type="pct"/>
            <w:tcBorders>
              <w:top w:val="single" w:sz="4" w:space="0" w:color="D5DCE4" w:themeColor="text2" w:themeTint="33"/>
              <w:left w:val="single" w:sz="4" w:space="0" w:color="D5DCE4" w:themeColor="text2" w:themeTint="33"/>
            </w:tcBorders>
          </w:tcPr>
          <w:p w14:paraId="5F33BCB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5554.6</w:t>
            </w:r>
          </w:p>
        </w:tc>
        <w:tc>
          <w:tcPr>
            <w:tcW w:w="0" w:type="pct"/>
            <w:tcBorders>
              <w:top w:val="single" w:sz="4" w:space="0" w:color="D5DCE4" w:themeColor="text2" w:themeTint="33"/>
              <w:right w:val="nil"/>
            </w:tcBorders>
          </w:tcPr>
          <w:p w14:paraId="5EDCACF3"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5566.7</w:t>
            </w:r>
          </w:p>
        </w:tc>
      </w:tr>
      <w:tr w:rsidR="007E3B13" w:rsidRPr="004E2161" w14:paraId="2A126628" w14:textId="77777777" w:rsidTr="006967DA">
        <w:tc>
          <w:tcPr>
            <w:tcW w:w="0" w:type="pct"/>
            <w:tcBorders>
              <w:top w:val="single" w:sz="4" w:space="0" w:color="D5DCE4" w:themeColor="text2" w:themeTint="33"/>
              <w:left w:val="nil"/>
              <w:bottom w:val="single" w:sz="4" w:space="0" w:color="D5DCE4" w:themeColor="text2" w:themeTint="33"/>
              <w:right w:val="nil"/>
            </w:tcBorders>
          </w:tcPr>
          <w:p w14:paraId="05EF34D8"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Hazard spline one knot</w:t>
            </w:r>
          </w:p>
        </w:tc>
        <w:tc>
          <w:tcPr>
            <w:tcW w:w="0" w:type="pct"/>
            <w:tcBorders>
              <w:top w:val="single" w:sz="4" w:space="0" w:color="D5DCE4" w:themeColor="text2" w:themeTint="33"/>
              <w:left w:val="nil"/>
              <w:bottom w:val="single" w:sz="4" w:space="0" w:color="D5DCE4" w:themeColor="text2" w:themeTint="33"/>
            </w:tcBorders>
          </w:tcPr>
          <w:p w14:paraId="44CAE409"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5282.6</w:t>
            </w:r>
          </w:p>
        </w:tc>
        <w:tc>
          <w:tcPr>
            <w:tcW w:w="0" w:type="pct"/>
            <w:tcBorders>
              <w:top w:val="single" w:sz="4" w:space="0" w:color="D5DCE4" w:themeColor="text2" w:themeTint="33"/>
              <w:bottom w:val="single" w:sz="4" w:space="0" w:color="D5DCE4" w:themeColor="text2" w:themeTint="33"/>
              <w:right w:val="single" w:sz="4" w:space="0" w:color="D5DCE4" w:themeColor="text2" w:themeTint="33"/>
            </w:tcBorders>
          </w:tcPr>
          <w:p w14:paraId="369B157F"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5294.7</w:t>
            </w:r>
          </w:p>
        </w:tc>
        <w:tc>
          <w:tcPr>
            <w:tcW w:w="0" w:type="pct"/>
            <w:tcBorders>
              <w:top w:val="single" w:sz="4" w:space="0" w:color="D5DCE4" w:themeColor="text2" w:themeTint="33"/>
              <w:left w:val="single" w:sz="4" w:space="0" w:color="D5DCE4" w:themeColor="text2" w:themeTint="33"/>
              <w:bottom w:val="single" w:sz="4" w:space="0" w:color="D5DCE4" w:themeColor="text2" w:themeTint="33"/>
            </w:tcBorders>
          </w:tcPr>
          <w:p w14:paraId="76947603"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5551.5</w:t>
            </w:r>
          </w:p>
        </w:tc>
        <w:tc>
          <w:tcPr>
            <w:tcW w:w="0" w:type="pct"/>
            <w:tcBorders>
              <w:top w:val="single" w:sz="4" w:space="0" w:color="D5DCE4" w:themeColor="text2" w:themeTint="33"/>
              <w:bottom w:val="single" w:sz="4" w:space="0" w:color="D5DCE4" w:themeColor="text2" w:themeTint="33"/>
              <w:right w:val="nil"/>
            </w:tcBorders>
          </w:tcPr>
          <w:p w14:paraId="388038D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5563.6</w:t>
            </w:r>
          </w:p>
        </w:tc>
      </w:tr>
      <w:tr w:rsidR="007E3B13" w:rsidRPr="004E2161" w14:paraId="7FB85C8F"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D5DCE4" w:themeColor="text2" w:themeTint="33"/>
              <w:right w:val="nil"/>
            </w:tcBorders>
          </w:tcPr>
          <w:p w14:paraId="1EE5C747"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Hazard spline two knots</w:t>
            </w:r>
          </w:p>
        </w:tc>
        <w:tc>
          <w:tcPr>
            <w:tcW w:w="0" w:type="pct"/>
            <w:tcBorders>
              <w:top w:val="single" w:sz="4" w:space="0" w:color="D5DCE4" w:themeColor="text2" w:themeTint="33"/>
              <w:left w:val="nil"/>
              <w:bottom w:val="single" w:sz="4" w:space="0" w:color="D5DCE4" w:themeColor="text2" w:themeTint="33"/>
            </w:tcBorders>
          </w:tcPr>
          <w:p w14:paraId="701AB1D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5283.0</w:t>
            </w:r>
          </w:p>
        </w:tc>
        <w:tc>
          <w:tcPr>
            <w:tcW w:w="0" w:type="pct"/>
            <w:tcBorders>
              <w:top w:val="single" w:sz="4" w:space="0" w:color="D5DCE4" w:themeColor="text2" w:themeTint="33"/>
              <w:bottom w:val="single" w:sz="4" w:space="0" w:color="D5DCE4" w:themeColor="text2" w:themeTint="33"/>
              <w:right w:val="single" w:sz="4" w:space="0" w:color="D5DCE4" w:themeColor="text2" w:themeTint="33"/>
            </w:tcBorders>
          </w:tcPr>
          <w:p w14:paraId="4B25E7D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5299.2</w:t>
            </w:r>
          </w:p>
        </w:tc>
        <w:tc>
          <w:tcPr>
            <w:tcW w:w="0" w:type="pct"/>
            <w:tcBorders>
              <w:top w:val="single" w:sz="4" w:space="0" w:color="D5DCE4" w:themeColor="text2" w:themeTint="33"/>
              <w:left w:val="single" w:sz="4" w:space="0" w:color="D5DCE4" w:themeColor="text2" w:themeTint="33"/>
              <w:bottom w:val="single" w:sz="4" w:space="0" w:color="D5DCE4" w:themeColor="text2" w:themeTint="33"/>
            </w:tcBorders>
          </w:tcPr>
          <w:p w14:paraId="083BEF7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5549.9</w:t>
            </w:r>
          </w:p>
        </w:tc>
        <w:tc>
          <w:tcPr>
            <w:tcW w:w="0" w:type="pct"/>
            <w:tcBorders>
              <w:top w:val="single" w:sz="4" w:space="0" w:color="D5DCE4" w:themeColor="text2" w:themeTint="33"/>
              <w:bottom w:val="single" w:sz="4" w:space="0" w:color="D5DCE4" w:themeColor="text2" w:themeTint="33"/>
              <w:right w:val="nil"/>
            </w:tcBorders>
          </w:tcPr>
          <w:p w14:paraId="7E5E38D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5566.1</w:t>
            </w:r>
          </w:p>
        </w:tc>
      </w:tr>
      <w:tr w:rsidR="007E3B13" w:rsidRPr="004E2161" w14:paraId="250B6F29" w14:textId="77777777" w:rsidTr="006967DA">
        <w:tc>
          <w:tcPr>
            <w:tcW w:w="0" w:type="pct"/>
            <w:tcBorders>
              <w:top w:val="single" w:sz="4" w:space="0" w:color="D5DCE4" w:themeColor="text2" w:themeTint="33"/>
              <w:left w:val="nil"/>
              <w:bottom w:val="single" w:sz="4" w:space="0" w:color="D5DCE4" w:themeColor="text2" w:themeTint="33"/>
              <w:right w:val="nil"/>
            </w:tcBorders>
          </w:tcPr>
          <w:p w14:paraId="5EC3D7E7"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Odds spline one knot</w:t>
            </w:r>
          </w:p>
        </w:tc>
        <w:tc>
          <w:tcPr>
            <w:tcW w:w="0" w:type="pct"/>
            <w:tcBorders>
              <w:top w:val="single" w:sz="4" w:space="0" w:color="D5DCE4" w:themeColor="text2" w:themeTint="33"/>
              <w:left w:val="nil"/>
              <w:bottom w:val="single" w:sz="4" w:space="0" w:color="D5DCE4" w:themeColor="text2" w:themeTint="33"/>
            </w:tcBorders>
          </w:tcPr>
          <w:p w14:paraId="1A3E9FC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5280.9</w:t>
            </w:r>
          </w:p>
        </w:tc>
        <w:tc>
          <w:tcPr>
            <w:tcW w:w="0" w:type="pct"/>
            <w:tcBorders>
              <w:top w:val="single" w:sz="4" w:space="0" w:color="D5DCE4" w:themeColor="text2" w:themeTint="33"/>
              <w:bottom w:val="single" w:sz="4" w:space="0" w:color="D5DCE4" w:themeColor="text2" w:themeTint="33"/>
              <w:right w:val="single" w:sz="4" w:space="0" w:color="D5DCE4" w:themeColor="text2" w:themeTint="33"/>
            </w:tcBorders>
          </w:tcPr>
          <w:p w14:paraId="6F8517A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5293.0</w:t>
            </w:r>
          </w:p>
        </w:tc>
        <w:tc>
          <w:tcPr>
            <w:tcW w:w="0" w:type="pct"/>
            <w:tcBorders>
              <w:top w:val="single" w:sz="4" w:space="0" w:color="D5DCE4" w:themeColor="text2" w:themeTint="33"/>
              <w:left w:val="single" w:sz="4" w:space="0" w:color="D5DCE4" w:themeColor="text2" w:themeTint="33"/>
              <w:bottom w:val="single" w:sz="4" w:space="0" w:color="D5DCE4" w:themeColor="text2" w:themeTint="33"/>
            </w:tcBorders>
          </w:tcPr>
          <w:p w14:paraId="5FE8FA2B"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5551.0</w:t>
            </w:r>
          </w:p>
        </w:tc>
        <w:tc>
          <w:tcPr>
            <w:tcW w:w="0" w:type="pct"/>
            <w:tcBorders>
              <w:top w:val="single" w:sz="4" w:space="0" w:color="D5DCE4" w:themeColor="text2" w:themeTint="33"/>
              <w:bottom w:val="single" w:sz="4" w:space="0" w:color="D5DCE4" w:themeColor="text2" w:themeTint="33"/>
              <w:right w:val="nil"/>
            </w:tcBorders>
          </w:tcPr>
          <w:p w14:paraId="07D22CC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5563.2</w:t>
            </w:r>
          </w:p>
        </w:tc>
      </w:tr>
      <w:tr w:rsidR="007E3B13" w:rsidRPr="004E2161" w14:paraId="46C1CE66"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D5DCE4" w:themeColor="text2" w:themeTint="33"/>
              <w:right w:val="nil"/>
            </w:tcBorders>
          </w:tcPr>
          <w:p w14:paraId="42B42E38"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Odds spline two knots</w:t>
            </w:r>
          </w:p>
        </w:tc>
        <w:tc>
          <w:tcPr>
            <w:tcW w:w="0" w:type="pct"/>
            <w:tcBorders>
              <w:top w:val="single" w:sz="4" w:space="0" w:color="D5DCE4" w:themeColor="text2" w:themeTint="33"/>
              <w:left w:val="nil"/>
              <w:bottom w:val="single" w:sz="4" w:space="0" w:color="D5DCE4" w:themeColor="text2" w:themeTint="33"/>
            </w:tcBorders>
          </w:tcPr>
          <w:p w14:paraId="155DE84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5282.8</w:t>
            </w:r>
          </w:p>
        </w:tc>
        <w:tc>
          <w:tcPr>
            <w:tcW w:w="0" w:type="pct"/>
            <w:tcBorders>
              <w:top w:val="single" w:sz="4" w:space="0" w:color="D5DCE4" w:themeColor="text2" w:themeTint="33"/>
              <w:bottom w:val="single" w:sz="4" w:space="0" w:color="D5DCE4" w:themeColor="text2" w:themeTint="33"/>
              <w:right w:val="single" w:sz="4" w:space="0" w:color="D5DCE4" w:themeColor="text2" w:themeTint="33"/>
            </w:tcBorders>
          </w:tcPr>
          <w:p w14:paraId="4EA4754F"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5299.0</w:t>
            </w:r>
          </w:p>
        </w:tc>
        <w:tc>
          <w:tcPr>
            <w:tcW w:w="0" w:type="pct"/>
            <w:tcBorders>
              <w:top w:val="single" w:sz="4" w:space="0" w:color="D5DCE4" w:themeColor="text2" w:themeTint="33"/>
              <w:left w:val="single" w:sz="4" w:space="0" w:color="D5DCE4" w:themeColor="text2" w:themeTint="33"/>
              <w:bottom w:val="single" w:sz="4" w:space="0" w:color="D5DCE4" w:themeColor="text2" w:themeTint="33"/>
            </w:tcBorders>
          </w:tcPr>
          <w:p w14:paraId="1635342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5552.5</w:t>
            </w:r>
          </w:p>
        </w:tc>
        <w:tc>
          <w:tcPr>
            <w:tcW w:w="0" w:type="pct"/>
            <w:tcBorders>
              <w:top w:val="single" w:sz="4" w:space="0" w:color="D5DCE4" w:themeColor="text2" w:themeTint="33"/>
              <w:bottom w:val="single" w:sz="4" w:space="0" w:color="D5DCE4" w:themeColor="text2" w:themeTint="33"/>
              <w:right w:val="nil"/>
            </w:tcBorders>
          </w:tcPr>
          <w:p w14:paraId="121EE848"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5568.7</w:t>
            </w:r>
          </w:p>
        </w:tc>
      </w:tr>
      <w:tr w:rsidR="007E3B13" w:rsidRPr="004E2161" w14:paraId="793F3106" w14:textId="77777777" w:rsidTr="006967DA">
        <w:tc>
          <w:tcPr>
            <w:tcW w:w="0" w:type="pct"/>
            <w:tcBorders>
              <w:top w:val="single" w:sz="4" w:space="0" w:color="D5DCE4" w:themeColor="text2" w:themeTint="33"/>
              <w:left w:val="nil"/>
              <w:bottom w:val="single" w:sz="4" w:space="0" w:color="D5DCE4" w:themeColor="text2" w:themeTint="33"/>
              <w:right w:val="nil"/>
            </w:tcBorders>
          </w:tcPr>
          <w:p w14:paraId="1417FA65"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Probit spline one knot</w:t>
            </w:r>
          </w:p>
        </w:tc>
        <w:tc>
          <w:tcPr>
            <w:tcW w:w="0" w:type="pct"/>
            <w:tcBorders>
              <w:top w:val="single" w:sz="4" w:space="0" w:color="D5DCE4" w:themeColor="text2" w:themeTint="33"/>
              <w:left w:val="nil"/>
              <w:bottom w:val="single" w:sz="4" w:space="0" w:color="D5DCE4" w:themeColor="text2" w:themeTint="33"/>
            </w:tcBorders>
          </w:tcPr>
          <w:p w14:paraId="76EDB84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5282.4</w:t>
            </w:r>
          </w:p>
        </w:tc>
        <w:tc>
          <w:tcPr>
            <w:tcW w:w="0" w:type="pct"/>
            <w:tcBorders>
              <w:top w:val="single" w:sz="4" w:space="0" w:color="D5DCE4" w:themeColor="text2" w:themeTint="33"/>
              <w:bottom w:val="single" w:sz="4" w:space="0" w:color="D5DCE4" w:themeColor="text2" w:themeTint="33"/>
              <w:right w:val="single" w:sz="4" w:space="0" w:color="D5DCE4" w:themeColor="text2" w:themeTint="33"/>
            </w:tcBorders>
          </w:tcPr>
          <w:p w14:paraId="18C34F7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5294.6</w:t>
            </w:r>
          </w:p>
        </w:tc>
        <w:tc>
          <w:tcPr>
            <w:tcW w:w="0" w:type="pct"/>
            <w:tcBorders>
              <w:top w:val="single" w:sz="4" w:space="0" w:color="D5DCE4" w:themeColor="text2" w:themeTint="33"/>
              <w:left w:val="single" w:sz="4" w:space="0" w:color="D5DCE4" w:themeColor="text2" w:themeTint="33"/>
              <w:bottom w:val="single" w:sz="4" w:space="0" w:color="D5DCE4" w:themeColor="text2" w:themeTint="33"/>
            </w:tcBorders>
          </w:tcPr>
          <w:p w14:paraId="17CD443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5553.3</w:t>
            </w:r>
          </w:p>
        </w:tc>
        <w:tc>
          <w:tcPr>
            <w:tcW w:w="0" w:type="pct"/>
            <w:tcBorders>
              <w:top w:val="single" w:sz="4" w:space="0" w:color="D5DCE4" w:themeColor="text2" w:themeTint="33"/>
              <w:bottom w:val="single" w:sz="4" w:space="0" w:color="D5DCE4" w:themeColor="text2" w:themeTint="33"/>
              <w:right w:val="nil"/>
            </w:tcBorders>
          </w:tcPr>
          <w:p w14:paraId="38BE57E8"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5565.4</w:t>
            </w:r>
          </w:p>
        </w:tc>
      </w:tr>
      <w:tr w:rsidR="007E3B13" w:rsidRPr="004E2161" w14:paraId="63046A54"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auto"/>
              <w:right w:val="nil"/>
            </w:tcBorders>
          </w:tcPr>
          <w:p w14:paraId="0848B9E8"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left w:val="nil"/>
              <w:bottom w:val="single" w:sz="4" w:space="0" w:color="auto"/>
            </w:tcBorders>
          </w:tcPr>
          <w:p w14:paraId="69109D2B"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bottom w:val="single" w:sz="4" w:space="0" w:color="auto"/>
              <w:right w:val="single" w:sz="4" w:space="0" w:color="D5DCE4" w:themeColor="text2" w:themeTint="33"/>
            </w:tcBorders>
          </w:tcPr>
          <w:p w14:paraId="3D6A7B0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left w:val="single" w:sz="4" w:space="0" w:color="D5DCE4" w:themeColor="text2" w:themeTint="33"/>
              <w:bottom w:val="single" w:sz="4" w:space="0" w:color="auto"/>
            </w:tcBorders>
          </w:tcPr>
          <w:p w14:paraId="38FF61F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bottom w:val="single" w:sz="4" w:space="0" w:color="auto"/>
              <w:right w:val="nil"/>
            </w:tcBorders>
          </w:tcPr>
          <w:p w14:paraId="385D013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p>
        </w:tc>
      </w:tr>
      <w:tr w:rsidR="007E3B13" w:rsidRPr="004E2161" w14:paraId="5542647C" w14:textId="77777777" w:rsidTr="006967DA">
        <w:tc>
          <w:tcPr>
            <w:tcW w:w="0" w:type="pct"/>
            <w:tcBorders>
              <w:top w:val="single" w:sz="4" w:space="0" w:color="auto"/>
              <w:left w:val="nil"/>
              <w:bottom w:val="single" w:sz="4" w:space="0" w:color="D5DCE4" w:themeColor="text2" w:themeTint="33"/>
              <w:right w:val="nil"/>
            </w:tcBorders>
          </w:tcPr>
          <w:p w14:paraId="3B700011"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Parameters best performing model</w:t>
            </w:r>
          </w:p>
        </w:tc>
        <w:tc>
          <w:tcPr>
            <w:tcW w:w="0" w:type="pct"/>
            <w:gridSpan w:val="2"/>
            <w:tcBorders>
              <w:top w:val="single" w:sz="4" w:space="0" w:color="auto"/>
              <w:left w:val="nil"/>
              <w:bottom w:val="single" w:sz="4" w:space="0" w:color="D5DCE4" w:themeColor="text2" w:themeTint="33"/>
              <w:right w:val="single" w:sz="4" w:space="0" w:color="D5DCE4" w:themeColor="text2" w:themeTint="33"/>
            </w:tcBorders>
          </w:tcPr>
          <w:p w14:paraId="52BF671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Input parameters NIVO+IPI</w:t>
            </w:r>
          </w:p>
        </w:tc>
        <w:tc>
          <w:tcPr>
            <w:tcW w:w="0" w:type="pct"/>
            <w:gridSpan w:val="2"/>
            <w:tcBorders>
              <w:top w:val="single" w:sz="4" w:space="0" w:color="auto"/>
              <w:left w:val="single" w:sz="4" w:space="0" w:color="D5DCE4" w:themeColor="text2" w:themeTint="33"/>
              <w:bottom w:val="single" w:sz="4" w:space="0" w:color="D5DCE4" w:themeColor="text2" w:themeTint="33"/>
              <w:right w:val="nil"/>
            </w:tcBorders>
          </w:tcPr>
          <w:p w14:paraId="13E1B751"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Input parameters SUN</w:t>
            </w:r>
          </w:p>
        </w:tc>
      </w:tr>
      <w:tr w:rsidR="007E3B13" w:rsidRPr="004E2161" w14:paraId="42422E50"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bottom w:val="single" w:sz="4" w:space="0" w:color="auto"/>
              <w:right w:val="nil"/>
            </w:tcBorders>
            <w:vAlign w:val="center"/>
          </w:tcPr>
          <w:p w14:paraId="6F15BC84"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Independent log-logistic</w:t>
            </w:r>
          </w:p>
        </w:tc>
        <w:tc>
          <w:tcPr>
            <w:tcW w:w="0" w:type="pct"/>
            <w:gridSpan w:val="2"/>
            <w:tcBorders>
              <w:top w:val="single" w:sz="4" w:space="0" w:color="D5DCE4" w:themeColor="text2" w:themeTint="33"/>
              <w:left w:val="nil"/>
              <w:bottom w:val="single" w:sz="4" w:space="0" w:color="auto"/>
              <w:right w:val="single" w:sz="4" w:space="0" w:color="D5DCE4" w:themeColor="text2" w:themeTint="33"/>
            </w:tcBorders>
            <w:vAlign w:val="center"/>
          </w:tcPr>
          <w:p w14:paraId="2FEDFB21" w14:textId="77777777" w:rsidR="007E3B13" w:rsidRPr="004E2161" w:rsidRDefault="007E3B13" w:rsidP="00993332">
            <w:pPr>
              <w:pStyle w:val="NoSpacing"/>
              <w:jc w:val="center"/>
              <w:rPr>
                <w:rFonts w:ascii="Times New Roman" w:hAnsi="Times New Roman" w:cs="Times New Roman"/>
                <w:color w:val="000000" w:themeColor="text1"/>
                <w:sz w:val="20"/>
                <w:szCs w:val="20"/>
                <w:lang w:eastAsia="en-US"/>
              </w:rPr>
            </w:pPr>
            <w:r w:rsidRPr="004E2161">
              <w:rPr>
                <w:rFonts w:ascii="Times New Roman" w:hAnsi="Times New Roman" w:cs="Times New Roman"/>
                <w:color w:val="000000" w:themeColor="text1"/>
                <w:sz w:val="20"/>
                <w:szCs w:val="20"/>
                <w:lang w:eastAsia="en-US"/>
              </w:rPr>
              <w:t>Shape: 0.99</w:t>
            </w:r>
          </w:p>
          <w:p w14:paraId="57C7FF79"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Scale: 214.40</w:t>
            </w:r>
          </w:p>
        </w:tc>
        <w:tc>
          <w:tcPr>
            <w:tcW w:w="0" w:type="pct"/>
            <w:gridSpan w:val="2"/>
            <w:tcBorders>
              <w:top w:val="single" w:sz="4" w:space="0" w:color="D5DCE4" w:themeColor="text2" w:themeTint="33"/>
              <w:left w:val="single" w:sz="4" w:space="0" w:color="D5DCE4" w:themeColor="text2" w:themeTint="33"/>
              <w:bottom w:val="single" w:sz="4" w:space="0" w:color="auto"/>
              <w:right w:val="nil"/>
            </w:tcBorders>
            <w:vAlign w:val="center"/>
          </w:tcPr>
          <w:p w14:paraId="2EA0A0AC" w14:textId="77777777" w:rsidR="007E3B13" w:rsidRPr="004E2161" w:rsidRDefault="007E3B13" w:rsidP="00993332">
            <w:pPr>
              <w:pStyle w:val="NoSpacing"/>
              <w:jc w:val="center"/>
              <w:rPr>
                <w:rFonts w:ascii="Times New Roman" w:hAnsi="Times New Roman" w:cs="Times New Roman"/>
                <w:color w:val="000000" w:themeColor="text1"/>
                <w:sz w:val="20"/>
                <w:szCs w:val="20"/>
                <w:lang w:eastAsia="en-US"/>
              </w:rPr>
            </w:pPr>
            <w:r w:rsidRPr="004E2161">
              <w:rPr>
                <w:rFonts w:ascii="Times New Roman" w:hAnsi="Times New Roman" w:cs="Times New Roman"/>
                <w:color w:val="000000" w:themeColor="text1"/>
                <w:sz w:val="20"/>
                <w:szCs w:val="20"/>
                <w:lang w:eastAsia="en-US"/>
              </w:rPr>
              <w:t>Shape: 1.33</w:t>
            </w:r>
          </w:p>
          <w:p w14:paraId="6340A68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eastAsia="en-US"/>
              </w:rPr>
              <w:t>Scale: 185.35</w:t>
            </w:r>
          </w:p>
        </w:tc>
      </w:tr>
    </w:tbl>
    <w:p w14:paraId="7FF78AA6" w14:textId="10D1E9C1" w:rsidR="007E3B13" w:rsidRPr="004E2161" w:rsidRDefault="007E3B13" w:rsidP="007E3B13">
      <w:pPr>
        <w:spacing w:before="120" w:line="240" w:lineRule="auto"/>
        <w:contextualSpacing w:val="0"/>
        <w:jc w:val="left"/>
        <w:rPr>
          <w:rFonts w:ascii="Times New Roman" w:eastAsiaTheme="minorHAnsi" w:hAnsi="Times New Roman" w:cs="Times New Roman"/>
          <w:color w:val="auto"/>
          <w:sz w:val="20"/>
          <w:szCs w:val="20"/>
          <w:lang w:val="en-GB"/>
        </w:rPr>
        <w:sectPr w:rsidR="007E3B13" w:rsidRPr="004E2161" w:rsidSect="004E2161">
          <w:footerReference w:type="default" r:id="rId15"/>
          <w:type w:val="continuous"/>
          <w:pgSz w:w="11900" w:h="16840" w:code="1"/>
          <w:pgMar w:top="1584" w:right="1584" w:bottom="1584" w:left="1584" w:header="562" w:footer="562" w:gutter="0"/>
          <w:cols w:space="708"/>
          <w:formProt w:val="0"/>
          <w:docGrid w:linePitch="360"/>
        </w:sectPr>
      </w:pPr>
      <w:r w:rsidRPr="004E2161">
        <w:rPr>
          <w:rFonts w:ascii="Times New Roman" w:hAnsi="Times New Roman" w:cs="Times New Roman"/>
          <w:bCs w:val="0"/>
          <w:i/>
          <w:iCs/>
          <w:color w:val="auto"/>
          <w:sz w:val="20"/>
          <w:szCs w:val="20"/>
          <w:lang w:val="en-GB" w:eastAsia="en-US"/>
        </w:rPr>
        <w:t>AIC</w:t>
      </w:r>
      <w:r w:rsidRPr="004E2161">
        <w:rPr>
          <w:rFonts w:ascii="Times New Roman" w:hAnsi="Times New Roman" w:cs="Times New Roman"/>
          <w:bCs w:val="0"/>
          <w:color w:val="auto"/>
          <w:sz w:val="20"/>
          <w:szCs w:val="20"/>
          <w:lang w:val="en-GB" w:eastAsia="en-US"/>
        </w:rPr>
        <w:t xml:space="preserve"> </w:t>
      </w:r>
      <w:r w:rsidRPr="004E2161">
        <w:rPr>
          <w:rFonts w:ascii="Times New Roman" w:hAnsi="Times New Roman" w:cs="Times New Roman"/>
          <w:color w:val="auto"/>
          <w:sz w:val="20"/>
          <w:szCs w:val="20"/>
          <w:lang w:val="en-GB"/>
        </w:rPr>
        <w:t xml:space="preserve">Akaike’s information criterion, </w:t>
      </w:r>
      <w:r w:rsidRPr="004E2161">
        <w:rPr>
          <w:rFonts w:ascii="Times New Roman" w:hAnsi="Times New Roman" w:cs="Times New Roman"/>
          <w:i/>
          <w:iCs/>
          <w:color w:val="auto"/>
          <w:sz w:val="20"/>
          <w:szCs w:val="20"/>
          <w:lang w:val="en-GB"/>
        </w:rPr>
        <w:t>BIC</w:t>
      </w:r>
      <w:r w:rsidRPr="004E2161">
        <w:rPr>
          <w:rFonts w:ascii="Times New Roman" w:hAnsi="Times New Roman" w:cs="Times New Roman"/>
          <w:color w:val="auto"/>
          <w:sz w:val="20"/>
          <w:szCs w:val="20"/>
          <w:lang w:val="en-GB"/>
        </w:rPr>
        <w:t xml:space="preserve"> Bayesian information criterion, </w:t>
      </w:r>
      <w:r w:rsidRPr="004E2161">
        <w:rPr>
          <w:rFonts w:ascii="Times New Roman" w:hAnsi="Times New Roman" w:cs="Times New Roman"/>
          <w:i/>
          <w:iCs/>
          <w:color w:val="auto"/>
          <w:sz w:val="20"/>
          <w:szCs w:val="20"/>
          <w:lang w:val="en-GB"/>
        </w:rPr>
        <w:t>NIVO+IPI</w:t>
      </w:r>
      <w:r w:rsidRPr="004E2161">
        <w:rPr>
          <w:rFonts w:ascii="Times New Roman" w:hAnsi="Times New Roman" w:cs="Times New Roman"/>
          <w:color w:val="auto"/>
          <w:sz w:val="20"/>
          <w:szCs w:val="20"/>
          <w:lang w:val="en-GB"/>
        </w:rPr>
        <w:t xml:space="preserve"> nivolumab plus ipilimumab</w:t>
      </w:r>
      <w:r w:rsidR="007A4B41" w:rsidRPr="004E2161">
        <w:rPr>
          <w:rFonts w:ascii="Times New Roman" w:hAnsi="Times New Roman" w:cs="Times New Roman"/>
          <w:color w:val="auto"/>
          <w:sz w:val="20"/>
          <w:szCs w:val="20"/>
          <w:lang w:val="en-GB"/>
        </w:rPr>
        <w:t>,</w:t>
      </w:r>
      <w:r w:rsidRPr="004E2161">
        <w:rPr>
          <w:rFonts w:ascii="Times New Roman" w:hAnsi="Times New Roman" w:cs="Times New Roman"/>
          <w:color w:val="auto"/>
          <w:sz w:val="20"/>
          <w:szCs w:val="20"/>
          <w:lang w:val="en-GB"/>
        </w:rPr>
        <w:t xml:space="preserve"> </w:t>
      </w:r>
      <w:r w:rsidRPr="004E2161">
        <w:rPr>
          <w:rFonts w:ascii="Times New Roman" w:hAnsi="Times New Roman" w:cs="Times New Roman"/>
          <w:i/>
          <w:iCs/>
          <w:color w:val="auto"/>
          <w:sz w:val="20"/>
          <w:szCs w:val="20"/>
          <w:lang w:val="en-GB"/>
        </w:rPr>
        <w:t>SUN</w:t>
      </w:r>
      <w:r w:rsidRPr="004E2161">
        <w:rPr>
          <w:rFonts w:ascii="Times New Roman" w:hAnsi="Times New Roman" w:cs="Times New Roman"/>
          <w:color w:val="auto"/>
          <w:sz w:val="20"/>
          <w:szCs w:val="20"/>
          <w:lang w:val="en-GB"/>
        </w:rPr>
        <w:t xml:space="preserve"> sunitinib</w:t>
      </w:r>
      <w:r w:rsidR="007A4B41" w:rsidRPr="004E2161">
        <w:rPr>
          <w:rFonts w:ascii="Times New Roman" w:hAnsi="Times New Roman" w:cs="Times New Roman"/>
          <w:color w:val="auto"/>
          <w:sz w:val="20"/>
          <w:szCs w:val="20"/>
          <w:lang w:val="en-GB"/>
        </w:rPr>
        <w:t>,</w:t>
      </w:r>
      <w:r w:rsidRPr="004E2161">
        <w:rPr>
          <w:rFonts w:ascii="Times New Roman" w:hAnsi="Times New Roman" w:cs="Times New Roman"/>
          <w:color w:val="auto"/>
          <w:sz w:val="20"/>
          <w:szCs w:val="20"/>
          <w:lang w:val="en-GB"/>
        </w:rPr>
        <w:t xml:space="preserve"> </w:t>
      </w:r>
      <w:r w:rsidRPr="004E2161">
        <w:rPr>
          <w:rFonts w:ascii="Times New Roman" w:hAnsi="Times New Roman" w:cs="Times New Roman"/>
          <w:bCs w:val="0"/>
          <w:i/>
          <w:iCs/>
          <w:color w:val="auto"/>
          <w:sz w:val="20"/>
          <w:szCs w:val="20"/>
          <w:lang w:val="en-GB" w:eastAsia="en-US"/>
        </w:rPr>
        <w:t>TTD</w:t>
      </w:r>
      <w:r w:rsidRPr="004E2161">
        <w:rPr>
          <w:rFonts w:ascii="Times New Roman" w:hAnsi="Times New Roman" w:cs="Times New Roman"/>
          <w:bCs w:val="0"/>
          <w:color w:val="auto"/>
          <w:sz w:val="20"/>
          <w:szCs w:val="20"/>
          <w:lang w:val="en-GB" w:eastAsia="en-US"/>
        </w:rPr>
        <w:t xml:space="preserve"> </w:t>
      </w:r>
      <w:r w:rsidR="00886AA0" w:rsidRPr="004E2161">
        <w:rPr>
          <w:rFonts w:ascii="Times New Roman" w:hAnsi="Times New Roman" w:cs="Times New Roman"/>
          <w:bCs w:val="0"/>
          <w:color w:val="auto"/>
          <w:sz w:val="20"/>
          <w:szCs w:val="20"/>
          <w:lang w:val="en-GB" w:eastAsia="en-US"/>
        </w:rPr>
        <w:t xml:space="preserve">time to treatment </w:t>
      </w:r>
      <w:r w:rsidRPr="004E2161">
        <w:rPr>
          <w:rFonts w:ascii="Times New Roman" w:hAnsi="Times New Roman" w:cs="Times New Roman"/>
          <w:bCs w:val="0"/>
          <w:color w:val="auto"/>
          <w:sz w:val="20"/>
          <w:szCs w:val="20"/>
          <w:lang w:val="en-GB" w:eastAsia="en-US"/>
        </w:rPr>
        <w:t>discontinuation</w:t>
      </w:r>
    </w:p>
    <w:p w14:paraId="568F0F78" w14:textId="15723B44" w:rsidR="007E3B13" w:rsidRPr="004E2161" w:rsidRDefault="007E3B13" w:rsidP="007E3B13">
      <w:pPr>
        <w:pStyle w:val="Caption"/>
        <w:keepNext/>
        <w:spacing w:line="240" w:lineRule="auto"/>
        <w:contextualSpacing w:val="0"/>
        <w:jc w:val="left"/>
        <w:rPr>
          <w:rFonts w:ascii="Times New Roman" w:hAnsi="Times New Roman" w:cs="Times New Roman"/>
          <w:color w:val="000000" w:themeColor="text1"/>
          <w:sz w:val="20"/>
          <w:szCs w:val="20"/>
          <w:lang w:val="en-GB"/>
        </w:rPr>
      </w:pPr>
      <w:bookmarkStart w:id="12" w:name="_Toc89253069"/>
      <w:bookmarkStart w:id="13" w:name="_Ref56440009"/>
      <w:r w:rsidRPr="004E2161">
        <w:rPr>
          <w:rFonts w:ascii="Times New Roman" w:hAnsi="Times New Roman" w:cs="Times New Roman"/>
          <w:color w:val="000000" w:themeColor="text1"/>
          <w:sz w:val="20"/>
          <w:szCs w:val="20"/>
          <w:lang w:val="en-GB"/>
        </w:rPr>
        <w:lastRenderedPageBreak/>
        <w:t xml:space="preserve">Table </w:t>
      </w:r>
      <w:r w:rsidR="00737FBE" w:rsidRPr="004E2161">
        <w:rPr>
          <w:rFonts w:ascii="Times New Roman" w:hAnsi="Times New Roman" w:cs="Times New Roman"/>
          <w:color w:val="000000" w:themeColor="text1"/>
          <w:sz w:val="20"/>
          <w:szCs w:val="20"/>
          <w:lang w:val="en-GB"/>
        </w:rPr>
        <w:t xml:space="preserve">S4 </w:t>
      </w:r>
      <w:r w:rsidRPr="004E2161">
        <w:rPr>
          <w:rFonts w:ascii="Times New Roman" w:hAnsi="Times New Roman" w:cs="Times New Roman"/>
          <w:b w:val="0"/>
          <w:color w:val="000000" w:themeColor="text1"/>
          <w:sz w:val="20"/>
          <w:szCs w:val="20"/>
          <w:lang w:val="en-GB"/>
        </w:rPr>
        <w:t>Distribution of subsequent treatment inputs (2L+, 2020) in the model by 1L treatment received</w:t>
      </w:r>
      <w:r w:rsidRPr="004E2161">
        <w:rPr>
          <w:rFonts w:ascii="Times New Roman" w:hAnsi="Times New Roman" w:cs="Times New Roman"/>
          <w:bCs/>
          <w:color w:val="000000" w:themeColor="text1"/>
          <w:sz w:val="20"/>
          <w:szCs w:val="20"/>
          <w:lang w:val="en-GB"/>
        </w:rPr>
        <w:t xml:space="preserve"> </w:t>
      </w:r>
    </w:p>
    <w:tbl>
      <w:tblPr>
        <w:tblStyle w:val="PharmeritTable2018"/>
        <w:tblW w:w="5000" w:type="pct"/>
        <w:tblLayout w:type="fixed"/>
        <w:tblLook w:val="04A0" w:firstRow="1" w:lastRow="0" w:firstColumn="1" w:lastColumn="0" w:noHBand="0" w:noVBand="1"/>
      </w:tblPr>
      <w:tblGrid>
        <w:gridCol w:w="2726"/>
        <w:gridCol w:w="2725"/>
        <w:gridCol w:w="2725"/>
        <w:gridCol w:w="2725"/>
        <w:gridCol w:w="2725"/>
      </w:tblGrid>
      <w:tr w:rsidR="007E3B13" w:rsidRPr="004E2161" w14:paraId="110933AC" w14:textId="77777777" w:rsidTr="006967DA">
        <w:trPr>
          <w:cnfStyle w:val="100000000000" w:firstRow="1" w:lastRow="0" w:firstColumn="0" w:lastColumn="0" w:oddVBand="0" w:evenVBand="0" w:oddHBand="0" w:evenHBand="0" w:firstRowFirstColumn="0" w:firstRowLastColumn="0" w:lastRowFirstColumn="0" w:lastRowLastColumn="0"/>
          <w:trHeight w:val="13"/>
        </w:trPr>
        <w:tc>
          <w:tcPr>
            <w:tcW w:w="0" w:type="pct"/>
            <w:vMerge w:val="restart"/>
            <w:tcBorders>
              <w:top w:val="single" w:sz="8" w:space="0" w:color="auto"/>
              <w:left w:val="nil"/>
              <w:right w:val="single" w:sz="4" w:space="0" w:color="FFFFFF" w:themeColor="background1"/>
            </w:tcBorders>
            <w:shd w:val="clear" w:color="auto" w:fill="FFFFFF" w:themeFill="background1"/>
            <w:vAlign w:val="bottom"/>
          </w:tcPr>
          <w:p w14:paraId="49515086" w14:textId="77777777" w:rsidR="007E3B13" w:rsidRPr="004E2161" w:rsidRDefault="007E3B13" w:rsidP="00993332">
            <w:pPr>
              <w:spacing w:after="0" w:line="240" w:lineRule="auto"/>
              <w:jc w:val="left"/>
              <w:rPr>
                <w:rFonts w:ascii="Times New Roman" w:hAnsi="Times New Roman" w:cs="Times New Roman"/>
                <w:i/>
                <w:color w:val="000000" w:themeColor="text1"/>
                <w:sz w:val="20"/>
                <w:szCs w:val="20"/>
                <w:lang w:val="en-GB"/>
              </w:rPr>
            </w:pPr>
            <w:r w:rsidRPr="004E2161">
              <w:rPr>
                <w:rFonts w:ascii="Times New Roman" w:hAnsi="Times New Roman" w:cs="Times New Roman"/>
                <w:color w:val="000000" w:themeColor="text1"/>
                <w:sz w:val="20"/>
                <w:szCs w:val="20"/>
                <w:lang w:val="en-GB"/>
              </w:rPr>
              <w:t>Subsequent systemic therapy received</w:t>
            </w:r>
          </w:p>
        </w:tc>
        <w:tc>
          <w:tcPr>
            <w:tcW w:w="0" w:type="pct"/>
            <w:gridSpan w:val="2"/>
            <w:tcBorders>
              <w:top w:val="single" w:sz="8" w:space="0" w:color="auto"/>
              <w:left w:val="single" w:sz="4" w:space="0" w:color="FFFFFF" w:themeColor="background1"/>
              <w:right w:val="single" w:sz="4" w:space="0" w:color="D5DCE4" w:themeColor="text2" w:themeTint="33"/>
            </w:tcBorders>
            <w:shd w:val="clear" w:color="auto" w:fill="FFFFFF" w:themeFill="background1"/>
          </w:tcPr>
          <w:p w14:paraId="4F8B0E07"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color w:val="000000" w:themeColor="text1"/>
                <w:kern w:val="24"/>
                <w:sz w:val="20"/>
                <w:szCs w:val="20"/>
                <w:lang w:val="en-GB" w:eastAsia="en-US"/>
              </w:rPr>
              <w:t>Base case (based on CheckMate 214 data)</w:t>
            </w:r>
          </w:p>
        </w:tc>
        <w:tc>
          <w:tcPr>
            <w:tcW w:w="0" w:type="pct"/>
            <w:gridSpan w:val="2"/>
            <w:tcBorders>
              <w:top w:val="single" w:sz="8" w:space="0" w:color="auto"/>
              <w:left w:val="single" w:sz="4" w:space="0" w:color="D5DCE4" w:themeColor="text2" w:themeTint="33"/>
              <w:right w:val="nil"/>
            </w:tcBorders>
            <w:shd w:val="clear" w:color="auto" w:fill="FFFFFF" w:themeFill="background1"/>
          </w:tcPr>
          <w:p w14:paraId="24A60B38"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iCs/>
                <w:color w:val="000000" w:themeColor="text1"/>
                <w:sz w:val="20"/>
                <w:szCs w:val="20"/>
                <w:lang w:val="en-GB"/>
              </w:rPr>
              <w:t>Scenario analysis (based on Swiss expert opinion)</w:t>
            </w:r>
          </w:p>
        </w:tc>
      </w:tr>
      <w:tr w:rsidR="007E3B13" w:rsidRPr="004E2161" w14:paraId="62095BC4" w14:textId="77777777" w:rsidTr="006967DA">
        <w:trPr>
          <w:cnfStyle w:val="000000100000" w:firstRow="0" w:lastRow="0" w:firstColumn="0" w:lastColumn="0" w:oddVBand="0" w:evenVBand="0" w:oddHBand="1" w:evenHBand="0" w:firstRowFirstColumn="0" w:firstRowLastColumn="0" w:lastRowFirstColumn="0" w:lastRowLastColumn="0"/>
          <w:trHeight w:val="13"/>
        </w:trPr>
        <w:tc>
          <w:tcPr>
            <w:tcW w:w="0" w:type="pct"/>
            <w:vMerge/>
            <w:tcBorders>
              <w:top w:val="single" w:sz="4" w:space="0" w:color="D5DCE4" w:themeColor="text2" w:themeTint="33"/>
              <w:left w:val="nil"/>
              <w:right w:val="single" w:sz="4" w:space="0" w:color="FFFFFF" w:themeColor="background1"/>
            </w:tcBorders>
            <w:shd w:val="clear" w:color="auto" w:fill="FFFFFF" w:themeFill="background1"/>
          </w:tcPr>
          <w:p w14:paraId="290FF62C"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p>
        </w:tc>
        <w:tc>
          <w:tcPr>
            <w:tcW w:w="0" w:type="pct"/>
            <w:gridSpan w:val="4"/>
            <w:tcBorders>
              <w:top w:val="single" w:sz="4" w:space="0" w:color="D5DCE4" w:themeColor="text2" w:themeTint="33"/>
              <w:left w:val="single" w:sz="4" w:space="0" w:color="FFFFFF" w:themeColor="background1"/>
              <w:right w:val="nil"/>
            </w:tcBorders>
            <w:shd w:val="clear" w:color="auto" w:fill="FFFFFF" w:themeFill="background1"/>
          </w:tcPr>
          <w:p w14:paraId="6463C1A9"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First-line therapy received</w:t>
            </w:r>
          </w:p>
        </w:tc>
      </w:tr>
      <w:tr w:rsidR="005A5AD0" w:rsidRPr="004E2161" w14:paraId="2D2FAC40" w14:textId="77777777" w:rsidTr="00A72528">
        <w:trPr>
          <w:trHeight w:val="13"/>
        </w:trPr>
        <w:tc>
          <w:tcPr>
            <w:tcW w:w="0" w:type="pct"/>
            <w:vMerge/>
            <w:tcBorders>
              <w:top w:val="single" w:sz="4" w:space="0" w:color="D5DCE4" w:themeColor="text2" w:themeTint="33"/>
              <w:left w:val="nil"/>
              <w:bottom w:val="single" w:sz="4" w:space="0" w:color="auto"/>
              <w:right w:val="single" w:sz="4" w:space="0" w:color="FFFFFF" w:themeColor="background1"/>
            </w:tcBorders>
            <w:shd w:val="clear" w:color="auto" w:fill="FFFFFF" w:themeFill="background1"/>
            <w:vAlign w:val="bottom"/>
          </w:tcPr>
          <w:p w14:paraId="1C125335"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p>
        </w:tc>
        <w:tc>
          <w:tcPr>
            <w:tcW w:w="0" w:type="pct"/>
            <w:tcBorders>
              <w:top w:val="single" w:sz="4" w:space="0" w:color="D5DCE4" w:themeColor="text2" w:themeTint="33"/>
              <w:left w:val="single" w:sz="4" w:space="0" w:color="FFFFFF" w:themeColor="background1"/>
              <w:bottom w:val="single" w:sz="4" w:space="0" w:color="auto"/>
            </w:tcBorders>
            <w:shd w:val="clear" w:color="auto" w:fill="FFFFFF" w:themeFill="background1"/>
          </w:tcPr>
          <w:p w14:paraId="060EEC67" w14:textId="77777777" w:rsidR="007E3B13" w:rsidRPr="004E2161" w:rsidRDefault="007E3B13" w:rsidP="00993332">
            <w:pPr>
              <w:spacing w:after="0" w:line="240" w:lineRule="auto"/>
              <w:jc w:val="center"/>
              <w:rPr>
                <w:rFonts w:ascii="Times New Roman" w:hAnsi="Times New Roman" w:cs="Times New Roman"/>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1L NIVO+IPI</w:t>
            </w:r>
          </w:p>
        </w:tc>
        <w:tc>
          <w:tcPr>
            <w:tcW w:w="0" w:type="pct"/>
            <w:tcBorders>
              <w:top w:val="single" w:sz="4" w:space="0" w:color="D5DCE4" w:themeColor="text2" w:themeTint="33"/>
              <w:bottom w:val="single" w:sz="4" w:space="0" w:color="auto"/>
              <w:right w:val="single" w:sz="4" w:space="0" w:color="D5DCE4" w:themeColor="text2" w:themeTint="33"/>
            </w:tcBorders>
            <w:shd w:val="clear" w:color="auto" w:fill="FFFFFF" w:themeFill="background1"/>
          </w:tcPr>
          <w:p w14:paraId="058FDE39"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color w:val="000000" w:themeColor="text1"/>
                <w:sz w:val="20"/>
                <w:szCs w:val="20"/>
                <w:lang w:val="en-GB"/>
              </w:rPr>
              <w:t>1L SUN or PAZ</w:t>
            </w:r>
          </w:p>
        </w:tc>
        <w:tc>
          <w:tcPr>
            <w:tcW w:w="0" w:type="pct"/>
            <w:tcBorders>
              <w:top w:val="single" w:sz="4" w:space="0" w:color="D5DCE4" w:themeColor="text2" w:themeTint="33"/>
              <w:left w:val="single" w:sz="4" w:space="0" w:color="D5DCE4" w:themeColor="text2" w:themeTint="33"/>
              <w:bottom w:val="single" w:sz="4" w:space="0" w:color="auto"/>
            </w:tcBorders>
            <w:shd w:val="clear" w:color="auto" w:fill="FFFFFF" w:themeFill="background1"/>
          </w:tcPr>
          <w:p w14:paraId="7B4CEA06"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color w:val="000000" w:themeColor="text1"/>
                <w:sz w:val="20"/>
                <w:szCs w:val="20"/>
                <w:lang w:val="en-GB"/>
              </w:rPr>
              <w:t>1L NIVO+IPI</w:t>
            </w:r>
          </w:p>
        </w:tc>
        <w:tc>
          <w:tcPr>
            <w:tcW w:w="0" w:type="pct"/>
            <w:tcBorders>
              <w:top w:val="single" w:sz="4" w:space="0" w:color="D5DCE4" w:themeColor="text2" w:themeTint="33"/>
              <w:bottom w:val="single" w:sz="4" w:space="0" w:color="auto"/>
              <w:right w:val="nil"/>
            </w:tcBorders>
            <w:shd w:val="clear" w:color="auto" w:fill="FFFFFF" w:themeFill="background1"/>
          </w:tcPr>
          <w:p w14:paraId="50BAE6A8" w14:textId="77777777" w:rsidR="007E3B13" w:rsidRPr="004E2161" w:rsidRDefault="007E3B13" w:rsidP="00993332">
            <w:pPr>
              <w:spacing w:after="0" w:line="240" w:lineRule="auto"/>
              <w:jc w:val="center"/>
              <w:rPr>
                <w:rFonts w:ascii="Times New Roman" w:hAnsi="Times New Roman" w:cs="Times New Roman"/>
                <w:iCs/>
                <w:color w:val="000000" w:themeColor="text1"/>
                <w:sz w:val="20"/>
                <w:szCs w:val="20"/>
                <w:lang w:val="en-GB"/>
              </w:rPr>
            </w:pPr>
            <w:r w:rsidRPr="004E2161">
              <w:rPr>
                <w:rFonts w:ascii="Times New Roman" w:hAnsi="Times New Roman" w:cs="Times New Roman"/>
                <w:color w:val="000000" w:themeColor="text1"/>
                <w:sz w:val="20"/>
                <w:szCs w:val="20"/>
                <w:lang w:val="en-GB"/>
              </w:rPr>
              <w:t>1L SUN or PAZ</w:t>
            </w:r>
          </w:p>
        </w:tc>
      </w:tr>
      <w:tr w:rsidR="007E3B13" w:rsidRPr="004E2161" w14:paraId="4B92F237"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auto"/>
              <w:left w:val="nil"/>
              <w:right w:val="nil"/>
            </w:tcBorders>
          </w:tcPr>
          <w:p w14:paraId="18EFD856"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Any type of subsequent treatment</w:t>
            </w:r>
          </w:p>
        </w:tc>
        <w:tc>
          <w:tcPr>
            <w:tcW w:w="0" w:type="pct"/>
            <w:tcBorders>
              <w:top w:val="single" w:sz="4" w:space="0" w:color="auto"/>
              <w:left w:val="nil"/>
            </w:tcBorders>
          </w:tcPr>
          <w:p w14:paraId="444B20D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66%</w:t>
            </w:r>
          </w:p>
        </w:tc>
        <w:tc>
          <w:tcPr>
            <w:tcW w:w="0" w:type="pct"/>
            <w:tcBorders>
              <w:top w:val="single" w:sz="4" w:space="0" w:color="auto"/>
              <w:right w:val="single" w:sz="4" w:space="0" w:color="D5DCE4" w:themeColor="text2" w:themeTint="33"/>
            </w:tcBorders>
          </w:tcPr>
          <w:p w14:paraId="11381B39"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71%</w:t>
            </w:r>
          </w:p>
        </w:tc>
        <w:tc>
          <w:tcPr>
            <w:tcW w:w="0" w:type="pct"/>
            <w:tcBorders>
              <w:top w:val="single" w:sz="4" w:space="0" w:color="auto"/>
              <w:left w:val="single" w:sz="4" w:space="0" w:color="D5DCE4" w:themeColor="text2" w:themeTint="33"/>
            </w:tcBorders>
          </w:tcPr>
          <w:p w14:paraId="30790CE2"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85%</w:t>
            </w:r>
          </w:p>
        </w:tc>
        <w:tc>
          <w:tcPr>
            <w:tcW w:w="0" w:type="pct"/>
            <w:tcBorders>
              <w:top w:val="single" w:sz="4" w:space="0" w:color="auto"/>
              <w:right w:val="nil"/>
            </w:tcBorders>
          </w:tcPr>
          <w:p w14:paraId="2EF01644"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85%</w:t>
            </w:r>
          </w:p>
        </w:tc>
      </w:tr>
      <w:tr w:rsidR="007E3B13" w:rsidRPr="004E2161" w14:paraId="4EBBF393" w14:textId="77777777" w:rsidTr="006967DA">
        <w:tc>
          <w:tcPr>
            <w:tcW w:w="0" w:type="pct"/>
            <w:tcBorders>
              <w:top w:val="single" w:sz="4" w:space="0" w:color="D5DCE4" w:themeColor="text2" w:themeTint="33"/>
              <w:left w:val="nil"/>
              <w:right w:val="nil"/>
            </w:tcBorders>
          </w:tcPr>
          <w:p w14:paraId="5F62F4B5"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2L+ NIVO monotherapy</w:t>
            </w:r>
          </w:p>
        </w:tc>
        <w:tc>
          <w:tcPr>
            <w:tcW w:w="0" w:type="pct"/>
            <w:tcBorders>
              <w:top w:val="single" w:sz="4" w:space="0" w:color="D5DCE4" w:themeColor="text2" w:themeTint="33"/>
              <w:left w:val="nil"/>
            </w:tcBorders>
          </w:tcPr>
          <w:p w14:paraId="72529D9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14%</w:t>
            </w:r>
          </w:p>
        </w:tc>
        <w:tc>
          <w:tcPr>
            <w:tcW w:w="0" w:type="pct"/>
            <w:tcBorders>
              <w:top w:val="single" w:sz="4" w:space="0" w:color="D5DCE4" w:themeColor="text2" w:themeTint="33"/>
              <w:right w:val="single" w:sz="4" w:space="0" w:color="D5DCE4" w:themeColor="text2" w:themeTint="33"/>
            </w:tcBorders>
          </w:tcPr>
          <w:p w14:paraId="6674A1E3"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60%</w:t>
            </w:r>
          </w:p>
        </w:tc>
        <w:tc>
          <w:tcPr>
            <w:tcW w:w="0" w:type="pct"/>
            <w:tcBorders>
              <w:top w:val="single" w:sz="4" w:space="0" w:color="D5DCE4" w:themeColor="text2" w:themeTint="33"/>
              <w:left w:val="single" w:sz="4" w:space="0" w:color="D5DCE4" w:themeColor="text2" w:themeTint="33"/>
            </w:tcBorders>
          </w:tcPr>
          <w:p w14:paraId="2373815F"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0%</w:t>
            </w:r>
          </w:p>
        </w:tc>
        <w:tc>
          <w:tcPr>
            <w:tcW w:w="0" w:type="pct"/>
            <w:tcBorders>
              <w:top w:val="single" w:sz="4" w:space="0" w:color="D5DCE4" w:themeColor="text2" w:themeTint="33"/>
              <w:right w:val="nil"/>
            </w:tcBorders>
          </w:tcPr>
          <w:p w14:paraId="2136CF5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80%</w:t>
            </w:r>
          </w:p>
        </w:tc>
      </w:tr>
      <w:tr w:rsidR="007E3B13" w:rsidRPr="004E2161" w14:paraId="1A897A13"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1B7C1B22"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2L+ SUN</w:t>
            </w:r>
          </w:p>
        </w:tc>
        <w:tc>
          <w:tcPr>
            <w:tcW w:w="0" w:type="pct"/>
            <w:tcBorders>
              <w:top w:val="single" w:sz="4" w:space="0" w:color="D5DCE4" w:themeColor="text2" w:themeTint="33"/>
              <w:left w:val="nil"/>
            </w:tcBorders>
          </w:tcPr>
          <w:p w14:paraId="03299AD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48%</w:t>
            </w:r>
          </w:p>
        </w:tc>
        <w:tc>
          <w:tcPr>
            <w:tcW w:w="0" w:type="pct"/>
            <w:tcBorders>
              <w:top w:val="single" w:sz="4" w:space="0" w:color="D5DCE4" w:themeColor="text2" w:themeTint="33"/>
              <w:right w:val="single" w:sz="4" w:space="0" w:color="D5DCE4" w:themeColor="text2" w:themeTint="33"/>
            </w:tcBorders>
          </w:tcPr>
          <w:p w14:paraId="6E2588AF"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18%</w:t>
            </w:r>
          </w:p>
        </w:tc>
        <w:tc>
          <w:tcPr>
            <w:tcW w:w="0" w:type="pct"/>
            <w:tcBorders>
              <w:top w:val="single" w:sz="4" w:space="0" w:color="D5DCE4" w:themeColor="text2" w:themeTint="33"/>
              <w:left w:val="single" w:sz="4" w:space="0" w:color="D5DCE4" w:themeColor="text2" w:themeTint="33"/>
            </w:tcBorders>
          </w:tcPr>
          <w:p w14:paraId="30F9A15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10%</w:t>
            </w:r>
          </w:p>
        </w:tc>
        <w:tc>
          <w:tcPr>
            <w:tcW w:w="0" w:type="pct"/>
            <w:tcBorders>
              <w:top w:val="single" w:sz="4" w:space="0" w:color="D5DCE4" w:themeColor="text2" w:themeTint="33"/>
              <w:right w:val="nil"/>
            </w:tcBorders>
          </w:tcPr>
          <w:p w14:paraId="73AEF8BE"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0%</w:t>
            </w:r>
          </w:p>
        </w:tc>
      </w:tr>
      <w:tr w:rsidR="007E3B13" w:rsidRPr="004E2161" w14:paraId="3523ECFF" w14:textId="77777777" w:rsidTr="006967DA">
        <w:tc>
          <w:tcPr>
            <w:tcW w:w="0" w:type="pct"/>
            <w:tcBorders>
              <w:top w:val="single" w:sz="4" w:space="0" w:color="D5DCE4" w:themeColor="text2" w:themeTint="33"/>
              <w:left w:val="nil"/>
              <w:right w:val="nil"/>
            </w:tcBorders>
          </w:tcPr>
          <w:p w14:paraId="271CF7DB" w14:textId="77777777" w:rsidR="007E3B13" w:rsidRPr="004E2161" w:rsidRDefault="007E3B13" w:rsidP="009933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2L+ PAZ</w:t>
            </w:r>
          </w:p>
        </w:tc>
        <w:tc>
          <w:tcPr>
            <w:tcW w:w="0" w:type="pct"/>
            <w:tcBorders>
              <w:top w:val="single" w:sz="4" w:space="0" w:color="D5DCE4" w:themeColor="text2" w:themeTint="33"/>
              <w:left w:val="nil"/>
            </w:tcBorders>
          </w:tcPr>
          <w:p w14:paraId="1D5D54F1"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38%</w:t>
            </w:r>
          </w:p>
        </w:tc>
        <w:tc>
          <w:tcPr>
            <w:tcW w:w="0" w:type="pct"/>
            <w:tcBorders>
              <w:top w:val="single" w:sz="4" w:space="0" w:color="D5DCE4" w:themeColor="text2" w:themeTint="33"/>
              <w:right w:val="single" w:sz="4" w:space="0" w:color="D5DCE4" w:themeColor="text2" w:themeTint="33"/>
            </w:tcBorders>
          </w:tcPr>
          <w:p w14:paraId="209066D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11%</w:t>
            </w:r>
          </w:p>
        </w:tc>
        <w:tc>
          <w:tcPr>
            <w:tcW w:w="0" w:type="pct"/>
            <w:tcBorders>
              <w:top w:val="single" w:sz="4" w:space="0" w:color="D5DCE4" w:themeColor="text2" w:themeTint="33"/>
              <w:left w:val="single" w:sz="4" w:space="0" w:color="D5DCE4" w:themeColor="text2" w:themeTint="33"/>
            </w:tcBorders>
          </w:tcPr>
          <w:p w14:paraId="5EC6E06F"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0%</w:t>
            </w:r>
          </w:p>
        </w:tc>
        <w:tc>
          <w:tcPr>
            <w:tcW w:w="0" w:type="pct"/>
            <w:tcBorders>
              <w:top w:val="single" w:sz="4" w:space="0" w:color="D5DCE4" w:themeColor="text2" w:themeTint="33"/>
              <w:right w:val="nil"/>
            </w:tcBorders>
          </w:tcPr>
          <w:p w14:paraId="0E9CEC5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0%</w:t>
            </w:r>
          </w:p>
        </w:tc>
      </w:tr>
      <w:tr w:rsidR="007E3B13" w:rsidRPr="004E2161" w14:paraId="18F91A52"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3E47C43C"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2L+ axitinib</w:t>
            </w:r>
          </w:p>
        </w:tc>
        <w:tc>
          <w:tcPr>
            <w:tcW w:w="0" w:type="pct"/>
            <w:tcBorders>
              <w:top w:val="single" w:sz="4" w:space="0" w:color="D5DCE4" w:themeColor="text2" w:themeTint="33"/>
              <w:left w:val="nil"/>
            </w:tcBorders>
          </w:tcPr>
          <w:p w14:paraId="6240043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36%</w:t>
            </w:r>
          </w:p>
        </w:tc>
        <w:tc>
          <w:tcPr>
            <w:tcW w:w="0" w:type="pct"/>
            <w:tcBorders>
              <w:top w:val="single" w:sz="4" w:space="0" w:color="D5DCE4" w:themeColor="text2" w:themeTint="33"/>
              <w:right w:val="single" w:sz="4" w:space="0" w:color="D5DCE4" w:themeColor="text2" w:themeTint="33"/>
            </w:tcBorders>
          </w:tcPr>
          <w:p w14:paraId="4CEEAAB1"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39%</w:t>
            </w:r>
          </w:p>
        </w:tc>
        <w:tc>
          <w:tcPr>
            <w:tcW w:w="0" w:type="pct"/>
            <w:tcBorders>
              <w:top w:val="single" w:sz="4" w:space="0" w:color="D5DCE4" w:themeColor="text2" w:themeTint="33"/>
              <w:left w:val="single" w:sz="4" w:space="0" w:color="D5DCE4" w:themeColor="text2" w:themeTint="33"/>
            </w:tcBorders>
          </w:tcPr>
          <w:p w14:paraId="7B1713AD"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60%</w:t>
            </w:r>
          </w:p>
        </w:tc>
        <w:tc>
          <w:tcPr>
            <w:tcW w:w="0" w:type="pct"/>
            <w:tcBorders>
              <w:top w:val="single" w:sz="4" w:space="0" w:color="D5DCE4" w:themeColor="text2" w:themeTint="33"/>
              <w:right w:val="nil"/>
            </w:tcBorders>
          </w:tcPr>
          <w:p w14:paraId="3F5AC9B6"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10%</w:t>
            </w:r>
          </w:p>
        </w:tc>
      </w:tr>
      <w:tr w:rsidR="007E3B13" w:rsidRPr="004E2161" w14:paraId="33F51E3D" w14:textId="77777777" w:rsidTr="006967DA">
        <w:tc>
          <w:tcPr>
            <w:tcW w:w="0" w:type="pct"/>
            <w:tcBorders>
              <w:top w:val="single" w:sz="4" w:space="0" w:color="D5DCE4" w:themeColor="text2" w:themeTint="33"/>
              <w:left w:val="nil"/>
              <w:right w:val="nil"/>
            </w:tcBorders>
          </w:tcPr>
          <w:p w14:paraId="27736F0B"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2L+ cabozantinib</w:t>
            </w:r>
          </w:p>
        </w:tc>
        <w:tc>
          <w:tcPr>
            <w:tcW w:w="0" w:type="pct"/>
            <w:tcBorders>
              <w:top w:val="single" w:sz="4" w:space="0" w:color="D5DCE4" w:themeColor="text2" w:themeTint="33"/>
              <w:left w:val="nil"/>
            </w:tcBorders>
          </w:tcPr>
          <w:p w14:paraId="1277B5C4"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29%</w:t>
            </w:r>
          </w:p>
        </w:tc>
        <w:tc>
          <w:tcPr>
            <w:tcW w:w="0" w:type="pct"/>
            <w:tcBorders>
              <w:top w:val="single" w:sz="4" w:space="0" w:color="D5DCE4" w:themeColor="text2" w:themeTint="33"/>
              <w:right w:val="single" w:sz="4" w:space="0" w:color="D5DCE4" w:themeColor="text2" w:themeTint="33"/>
            </w:tcBorders>
          </w:tcPr>
          <w:p w14:paraId="1584DF98"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23%</w:t>
            </w:r>
          </w:p>
        </w:tc>
        <w:tc>
          <w:tcPr>
            <w:tcW w:w="0" w:type="pct"/>
            <w:tcBorders>
              <w:top w:val="single" w:sz="4" w:space="0" w:color="D5DCE4" w:themeColor="text2" w:themeTint="33"/>
              <w:left w:val="single" w:sz="4" w:space="0" w:color="D5DCE4" w:themeColor="text2" w:themeTint="33"/>
            </w:tcBorders>
          </w:tcPr>
          <w:p w14:paraId="25829752"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30%</w:t>
            </w:r>
          </w:p>
        </w:tc>
        <w:tc>
          <w:tcPr>
            <w:tcW w:w="0" w:type="pct"/>
            <w:tcBorders>
              <w:top w:val="single" w:sz="4" w:space="0" w:color="D5DCE4" w:themeColor="text2" w:themeTint="33"/>
              <w:right w:val="nil"/>
            </w:tcBorders>
          </w:tcPr>
          <w:p w14:paraId="1DF3FB1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10%</w:t>
            </w:r>
          </w:p>
        </w:tc>
      </w:tr>
      <w:tr w:rsidR="007E3B13" w:rsidRPr="004E2161" w14:paraId="6C270060" w14:textId="77777777" w:rsidTr="006967DA">
        <w:trPr>
          <w:cnfStyle w:val="000000100000" w:firstRow="0" w:lastRow="0" w:firstColumn="0" w:lastColumn="0" w:oddVBand="0" w:evenVBand="0" w:oddHBand="1" w:evenHBand="0" w:firstRowFirstColumn="0" w:firstRowLastColumn="0" w:lastRowFirstColumn="0" w:lastRowLastColumn="0"/>
        </w:trPr>
        <w:tc>
          <w:tcPr>
            <w:tcW w:w="0" w:type="pct"/>
            <w:tcBorders>
              <w:top w:val="single" w:sz="4" w:space="0" w:color="D5DCE4" w:themeColor="text2" w:themeTint="33"/>
              <w:left w:val="nil"/>
              <w:right w:val="nil"/>
            </w:tcBorders>
          </w:tcPr>
          <w:p w14:paraId="5D95E56C"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2L+ everolimus</w:t>
            </w:r>
          </w:p>
        </w:tc>
        <w:tc>
          <w:tcPr>
            <w:tcW w:w="0" w:type="pct"/>
            <w:tcBorders>
              <w:top w:val="single" w:sz="4" w:space="0" w:color="D5DCE4" w:themeColor="text2" w:themeTint="33"/>
              <w:left w:val="nil"/>
            </w:tcBorders>
          </w:tcPr>
          <w:p w14:paraId="5A8F4337"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19%</w:t>
            </w:r>
          </w:p>
        </w:tc>
        <w:tc>
          <w:tcPr>
            <w:tcW w:w="0" w:type="pct"/>
            <w:tcBorders>
              <w:top w:val="single" w:sz="4" w:space="0" w:color="D5DCE4" w:themeColor="text2" w:themeTint="33"/>
              <w:right w:val="single" w:sz="4" w:space="0" w:color="D5DCE4" w:themeColor="text2" w:themeTint="33"/>
            </w:tcBorders>
          </w:tcPr>
          <w:p w14:paraId="45126CCC"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21%</w:t>
            </w:r>
          </w:p>
        </w:tc>
        <w:tc>
          <w:tcPr>
            <w:tcW w:w="0" w:type="pct"/>
            <w:tcBorders>
              <w:top w:val="single" w:sz="4" w:space="0" w:color="D5DCE4" w:themeColor="text2" w:themeTint="33"/>
              <w:left w:val="single" w:sz="4" w:space="0" w:color="D5DCE4" w:themeColor="text2" w:themeTint="33"/>
            </w:tcBorders>
          </w:tcPr>
          <w:p w14:paraId="6EE4A373"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0%</w:t>
            </w:r>
          </w:p>
        </w:tc>
        <w:tc>
          <w:tcPr>
            <w:tcW w:w="0" w:type="pct"/>
            <w:tcBorders>
              <w:top w:val="single" w:sz="4" w:space="0" w:color="D5DCE4" w:themeColor="text2" w:themeTint="33"/>
              <w:right w:val="nil"/>
            </w:tcBorders>
          </w:tcPr>
          <w:p w14:paraId="545F6EB5"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0%</w:t>
            </w:r>
          </w:p>
        </w:tc>
      </w:tr>
      <w:tr w:rsidR="007E3B13" w:rsidRPr="004E2161" w14:paraId="37ADBF6D" w14:textId="77777777" w:rsidTr="006967DA">
        <w:tc>
          <w:tcPr>
            <w:tcW w:w="0" w:type="pct"/>
            <w:tcBorders>
              <w:top w:val="single" w:sz="4" w:space="0" w:color="D5DCE4" w:themeColor="text2" w:themeTint="33"/>
              <w:left w:val="nil"/>
              <w:bottom w:val="single" w:sz="8" w:space="0" w:color="auto"/>
              <w:right w:val="nil"/>
            </w:tcBorders>
          </w:tcPr>
          <w:p w14:paraId="2F464EEC" w14:textId="77777777" w:rsidR="007E3B13" w:rsidRPr="004E2161" w:rsidRDefault="007E3B13" w:rsidP="00993332">
            <w:pPr>
              <w:spacing w:after="0" w:line="240" w:lineRule="auto"/>
              <w:jc w:val="left"/>
              <w:rPr>
                <w:rFonts w:ascii="Times New Roman" w:eastAsia="Calibri" w:hAnsi="Times New Roman" w:cs="Times New Roman"/>
                <w:b/>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 xml:space="preserve">2L+ sorafenib </w:t>
            </w:r>
          </w:p>
        </w:tc>
        <w:tc>
          <w:tcPr>
            <w:tcW w:w="0" w:type="pct"/>
            <w:tcBorders>
              <w:top w:val="single" w:sz="4" w:space="0" w:color="D5DCE4" w:themeColor="text2" w:themeTint="33"/>
              <w:left w:val="nil"/>
              <w:bottom w:val="single" w:sz="8" w:space="0" w:color="auto"/>
            </w:tcBorders>
          </w:tcPr>
          <w:p w14:paraId="374E8AE0"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w:t>
            </w:r>
          </w:p>
        </w:tc>
        <w:tc>
          <w:tcPr>
            <w:tcW w:w="0" w:type="pct"/>
            <w:tcBorders>
              <w:top w:val="single" w:sz="4" w:space="0" w:color="D5DCE4" w:themeColor="text2" w:themeTint="33"/>
              <w:bottom w:val="single" w:sz="8" w:space="0" w:color="auto"/>
              <w:right w:val="single" w:sz="4" w:space="0" w:color="D5DCE4" w:themeColor="text2" w:themeTint="33"/>
            </w:tcBorders>
          </w:tcPr>
          <w:p w14:paraId="5B3296BB"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2%</w:t>
            </w:r>
          </w:p>
        </w:tc>
        <w:tc>
          <w:tcPr>
            <w:tcW w:w="0" w:type="pct"/>
            <w:tcBorders>
              <w:top w:val="single" w:sz="4" w:space="0" w:color="D5DCE4" w:themeColor="text2" w:themeTint="33"/>
              <w:left w:val="single" w:sz="4" w:space="0" w:color="D5DCE4" w:themeColor="text2" w:themeTint="33"/>
              <w:bottom w:val="single" w:sz="8" w:space="0" w:color="auto"/>
            </w:tcBorders>
          </w:tcPr>
          <w:p w14:paraId="3ECD583A"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0%</w:t>
            </w:r>
          </w:p>
        </w:tc>
        <w:tc>
          <w:tcPr>
            <w:tcW w:w="0" w:type="pct"/>
            <w:tcBorders>
              <w:top w:val="single" w:sz="4" w:space="0" w:color="D5DCE4" w:themeColor="text2" w:themeTint="33"/>
              <w:bottom w:val="single" w:sz="8" w:space="0" w:color="auto"/>
              <w:right w:val="nil"/>
            </w:tcBorders>
          </w:tcPr>
          <w:p w14:paraId="66BE902B" w14:textId="77777777" w:rsidR="007E3B13" w:rsidRPr="004E2161" w:rsidRDefault="007E3B13" w:rsidP="009933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0%</w:t>
            </w:r>
          </w:p>
        </w:tc>
      </w:tr>
    </w:tbl>
    <w:p w14:paraId="1F959177" w14:textId="77777777" w:rsidR="007E3B13" w:rsidRPr="004E2161" w:rsidRDefault="007E3B13" w:rsidP="007E3B13">
      <w:pPr>
        <w:pStyle w:val="Footer"/>
        <w:spacing w:before="120" w:line="240" w:lineRule="auto"/>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Percentages do not add up to 100% as a patient can get more than one subsequent treatment.</w:t>
      </w:r>
    </w:p>
    <w:p w14:paraId="47FA460A" w14:textId="04C4BCB2" w:rsidR="007E3B13" w:rsidRPr="004E2161" w:rsidRDefault="007E3B13" w:rsidP="007E3B13">
      <w:pPr>
        <w:pStyle w:val="Footer"/>
        <w:spacing w:line="240" w:lineRule="auto"/>
        <w:rPr>
          <w:rFonts w:ascii="Times New Roman" w:hAnsi="Times New Roman" w:cs="Times New Roman"/>
          <w:color w:val="000000" w:themeColor="text1"/>
          <w:sz w:val="20"/>
          <w:szCs w:val="20"/>
          <w:lang w:val="en-GB"/>
        </w:rPr>
      </w:pPr>
      <w:r w:rsidRPr="004E2161">
        <w:rPr>
          <w:rFonts w:ascii="Times New Roman" w:hAnsi="Times New Roman" w:cs="Times New Roman"/>
          <w:i/>
          <w:iCs/>
          <w:color w:val="000000" w:themeColor="text1"/>
          <w:sz w:val="20"/>
          <w:szCs w:val="20"/>
          <w:lang w:val="en-GB"/>
        </w:rPr>
        <w:t>1L</w:t>
      </w:r>
      <w:r w:rsidRPr="004E2161">
        <w:rPr>
          <w:rFonts w:ascii="Times New Roman" w:hAnsi="Times New Roman" w:cs="Times New Roman"/>
          <w:color w:val="000000" w:themeColor="text1"/>
          <w:sz w:val="20"/>
          <w:szCs w:val="20"/>
          <w:lang w:val="en-GB"/>
        </w:rPr>
        <w:t xml:space="preserve"> first line</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i/>
          <w:iCs/>
          <w:color w:val="000000" w:themeColor="text1"/>
          <w:sz w:val="20"/>
          <w:szCs w:val="20"/>
          <w:lang w:val="en-GB"/>
        </w:rPr>
        <w:t>2L+</w:t>
      </w:r>
      <w:r w:rsidRPr="004E2161">
        <w:rPr>
          <w:rFonts w:ascii="Times New Roman" w:hAnsi="Times New Roman" w:cs="Times New Roman"/>
          <w:color w:val="000000" w:themeColor="text1"/>
          <w:sz w:val="20"/>
          <w:szCs w:val="20"/>
          <w:lang w:val="en-GB"/>
        </w:rPr>
        <w:t xml:space="preserve"> second line and subsequent lines</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i/>
          <w:iCs/>
          <w:color w:val="000000" w:themeColor="text1"/>
          <w:sz w:val="20"/>
          <w:szCs w:val="20"/>
          <w:lang w:val="en-GB"/>
        </w:rPr>
        <w:t>NIVO</w:t>
      </w:r>
      <w:r w:rsidRPr="004E2161">
        <w:rPr>
          <w:rFonts w:ascii="Times New Roman" w:hAnsi="Times New Roman" w:cs="Times New Roman"/>
          <w:color w:val="000000" w:themeColor="text1"/>
          <w:sz w:val="20"/>
          <w:szCs w:val="20"/>
          <w:lang w:val="en-GB"/>
        </w:rPr>
        <w:t xml:space="preserve"> nivolumab</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i/>
          <w:iCs/>
          <w:color w:val="000000" w:themeColor="text1"/>
          <w:sz w:val="20"/>
          <w:szCs w:val="20"/>
          <w:lang w:val="en-GB"/>
        </w:rPr>
        <w:t>NIVO+IPI</w:t>
      </w:r>
      <w:r w:rsidRPr="004E2161">
        <w:rPr>
          <w:rFonts w:ascii="Times New Roman" w:hAnsi="Times New Roman" w:cs="Times New Roman"/>
          <w:color w:val="000000" w:themeColor="text1"/>
          <w:sz w:val="20"/>
          <w:szCs w:val="20"/>
          <w:lang w:val="en-GB"/>
        </w:rPr>
        <w:t xml:space="preserve"> nivolumab plus ipilimumab</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i/>
          <w:iCs/>
          <w:color w:val="000000" w:themeColor="text1"/>
          <w:sz w:val="20"/>
          <w:szCs w:val="20"/>
          <w:lang w:val="en-GB"/>
        </w:rPr>
        <w:t>PAZ</w:t>
      </w:r>
      <w:r w:rsidRPr="004E2161">
        <w:rPr>
          <w:rFonts w:ascii="Times New Roman" w:hAnsi="Times New Roman" w:cs="Times New Roman"/>
          <w:color w:val="000000" w:themeColor="text1"/>
          <w:sz w:val="20"/>
          <w:szCs w:val="20"/>
          <w:lang w:val="en-GB"/>
        </w:rPr>
        <w:t xml:space="preserve"> pazopanib</w:t>
      </w:r>
      <w:r w:rsidR="007A4B41"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i/>
          <w:iCs/>
          <w:color w:val="000000" w:themeColor="text1"/>
          <w:sz w:val="20"/>
          <w:szCs w:val="20"/>
          <w:lang w:val="en-GB"/>
        </w:rPr>
        <w:t>SUN</w:t>
      </w:r>
      <w:r w:rsidRPr="004E2161">
        <w:rPr>
          <w:rFonts w:ascii="Times New Roman" w:hAnsi="Times New Roman" w:cs="Times New Roman"/>
          <w:color w:val="000000" w:themeColor="text1"/>
          <w:sz w:val="20"/>
          <w:szCs w:val="20"/>
          <w:lang w:val="en-GB"/>
        </w:rPr>
        <w:t xml:space="preserve"> sunitinib</w:t>
      </w:r>
    </w:p>
    <w:p w14:paraId="675DD63B" w14:textId="77777777" w:rsidR="007E3B13" w:rsidRPr="004E2161" w:rsidRDefault="007E3B13" w:rsidP="007E3B13">
      <w:pPr>
        <w:rPr>
          <w:rFonts w:ascii="Times New Roman" w:hAnsi="Times New Roman" w:cs="Times New Roman"/>
          <w:sz w:val="20"/>
          <w:szCs w:val="20"/>
          <w:lang w:val="en-GB"/>
        </w:rPr>
      </w:pPr>
      <w:r w:rsidRPr="004E2161">
        <w:rPr>
          <w:rFonts w:ascii="Times New Roman" w:hAnsi="Times New Roman" w:cs="Times New Roman"/>
          <w:sz w:val="20"/>
          <w:szCs w:val="20"/>
          <w:lang w:val="en-GB"/>
        </w:rPr>
        <w:br w:type="page"/>
      </w:r>
    </w:p>
    <w:p w14:paraId="000E85F7" w14:textId="77777777" w:rsidR="007E3B13" w:rsidRPr="004E2161" w:rsidRDefault="007E3B13" w:rsidP="007E3B13">
      <w:pPr>
        <w:pStyle w:val="Heading2"/>
        <w:numPr>
          <w:ilvl w:val="0"/>
          <w:numId w:val="0"/>
        </w:numPr>
        <w:spacing w:before="0" w:after="120"/>
        <w:rPr>
          <w:rFonts w:ascii="Times New Roman" w:hAnsi="Times New Roman" w:cs="Times New Roman"/>
          <w:b/>
          <w:bCs w:val="0"/>
          <w:i/>
          <w:iCs w:val="0"/>
          <w:color w:val="000000" w:themeColor="text1"/>
          <w:sz w:val="20"/>
          <w:szCs w:val="20"/>
          <w:lang w:val="en-GB"/>
        </w:rPr>
      </w:pPr>
      <w:r w:rsidRPr="004E2161">
        <w:rPr>
          <w:rFonts w:ascii="Times New Roman" w:hAnsi="Times New Roman" w:cs="Times New Roman"/>
          <w:b/>
          <w:bCs w:val="0"/>
          <w:i/>
          <w:iCs w:val="0"/>
          <w:color w:val="000000" w:themeColor="text1"/>
          <w:sz w:val="20"/>
          <w:szCs w:val="20"/>
          <w:lang w:val="en-GB"/>
        </w:rPr>
        <w:lastRenderedPageBreak/>
        <w:t>Resource use</w:t>
      </w:r>
      <w:bookmarkEnd w:id="12"/>
    </w:p>
    <w:p w14:paraId="48360EA6" w14:textId="0E2FA480" w:rsidR="007E3B13" w:rsidRPr="004E2161" w:rsidRDefault="007E3B13" w:rsidP="007E3B13">
      <w:pPr>
        <w:spacing w:after="0" w:line="360" w:lineRule="auto"/>
        <w:ind w:firstLine="432"/>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b/>
          <w:bCs w:val="0"/>
          <w:color w:val="000000" w:themeColor="text1"/>
          <w:sz w:val="20"/>
          <w:szCs w:val="20"/>
          <w:lang w:val="en-GB"/>
        </w:rPr>
        <w:t>Treatment acquisition, administration and monitoring.</w:t>
      </w:r>
      <w:r w:rsidRPr="004E2161">
        <w:rPr>
          <w:rFonts w:ascii="Times New Roman" w:hAnsi="Times New Roman" w:cs="Times New Roman"/>
          <w:color w:val="000000" w:themeColor="text1"/>
          <w:sz w:val="20"/>
          <w:szCs w:val="20"/>
          <w:lang w:val="en-GB"/>
        </w:rPr>
        <w:t xml:space="preserve"> NIVO+IPI was administered intravenously at 3 mg/kg every 3 weeks, for four doses, in the induction phase, followed by NIVO monotherapy at 3 mg per kg every 2 weeks in the maintenance phase (maximum of four doses).</w:t>
      </w:r>
      <w:r w:rsidRPr="004E2161">
        <w:rPr>
          <w:rFonts w:ascii="Times New Roman" w:eastAsiaTheme="minorHAnsi" w:hAnsi="Times New Roman" w:cs="Times New Roman"/>
          <w:color w:val="000000" w:themeColor="text1"/>
          <w:sz w:val="20"/>
          <w:szCs w:val="20"/>
          <w:lang w:val="en-GB"/>
        </w:rPr>
        <w:t xml:space="preserve"> </w:t>
      </w:r>
      <w:r w:rsidRPr="004E2161">
        <w:rPr>
          <w:rFonts w:ascii="Times New Roman" w:hAnsi="Times New Roman" w:cs="Times New Roman"/>
          <w:color w:val="000000" w:themeColor="text1"/>
          <w:sz w:val="20"/>
          <w:szCs w:val="20"/>
          <w:lang w:val="en-GB"/>
        </w:rPr>
        <w:t>Patients in the SUN arm received 50 mg orally once daily for 4 weeks of each 6-week cycle</w:t>
      </w:r>
      <w:r w:rsidR="00DF44B8" w:rsidRPr="004E2161">
        <w:rPr>
          <w:rFonts w:ascii="Times New Roman" w:hAnsi="Times New Roman" w:cs="Times New Roman"/>
          <w:color w:val="000000" w:themeColor="text1"/>
          <w:sz w:val="20"/>
          <w:szCs w:val="20"/>
          <w:lang w:val="en-GB"/>
        </w:rPr>
        <w:t xml:space="preserve"> [1]</w:t>
      </w:r>
      <w:r w:rsidRPr="004E2161">
        <w:rPr>
          <w:rFonts w:ascii="Times New Roman" w:hAnsi="Times New Roman" w:cs="Times New Roman"/>
          <w:color w:val="000000" w:themeColor="text1"/>
          <w:sz w:val="20"/>
          <w:szCs w:val="20"/>
          <w:lang w:val="en-GB"/>
        </w:rPr>
        <w:t>. PAZ, which is also an oral multi-TKI inhibitor, was administered at the approved daily dose of 800 mg</w:t>
      </w:r>
      <w:r w:rsidR="00DF44B8" w:rsidRPr="004E2161">
        <w:rPr>
          <w:rFonts w:ascii="Times New Roman" w:hAnsi="Times New Roman" w:cs="Times New Roman"/>
          <w:color w:val="000000" w:themeColor="text1"/>
          <w:sz w:val="20"/>
          <w:szCs w:val="20"/>
          <w:lang w:val="en-GB"/>
        </w:rPr>
        <w:t xml:space="preserve"> [2]</w:t>
      </w:r>
      <w:r w:rsidRPr="004E2161">
        <w:rPr>
          <w:rFonts w:ascii="Times New Roman" w:hAnsi="Times New Roman" w:cs="Times New Roman"/>
          <w:color w:val="000000" w:themeColor="text1"/>
          <w:sz w:val="20"/>
          <w:szCs w:val="20"/>
          <w:lang w:val="en-GB"/>
        </w:rPr>
        <w:t>.</w:t>
      </w:r>
    </w:p>
    <w:p w14:paraId="5CDCDFCE" w14:textId="77777777" w:rsidR="007E3B13" w:rsidRPr="004E2161" w:rsidRDefault="007E3B13" w:rsidP="007E3B13">
      <w:pPr>
        <w:rPr>
          <w:rFonts w:ascii="Times New Roman" w:hAnsi="Times New Roman" w:cs="Times New Roman"/>
          <w:sz w:val="20"/>
          <w:szCs w:val="20"/>
          <w:lang w:val="en-GB"/>
        </w:rPr>
      </w:pPr>
    </w:p>
    <w:p w14:paraId="2082BFB9" w14:textId="1FC33752" w:rsidR="007E3B13" w:rsidRPr="004E2161" w:rsidRDefault="007E3B13" w:rsidP="007E3B13">
      <w:pPr>
        <w:pStyle w:val="Caption"/>
        <w:keepNext/>
        <w:spacing w:line="240" w:lineRule="auto"/>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 xml:space="preserve">Table </w:t>
      </w:r>
      <w:bookmarkEnd w:id="13"/>
      <w:r w:rsidRPr="004E2161">
        <w:rPr>
          <w:rFonts w:ascii="Times New Roman" w:hAnsi="Times New Roman" w:cs="Times New Roman"/>
          <w:color w:val="000000" w:themeColor="text1"/>
          <w:sz w:val="20"/>
          <w:szCs w:val="20"/>
          <w:lang w:val="en-GB"/>
        </w:rPr>
        <w:t>S5</w:t>
      </w:r>
      <w:r w:rsidRPr="004E2161">
        <w:rPr>
          <w:rFonts w:ascii="Times New Roman" w:hAnsi="Times New Roman" w:cs="Times New Roman"/>
          <w:b w:val="0"/>
          <w:bCs/>
          <w:color w:val="000000" w:themeColor="text1"/>
          <w:sz w:val="20"/>
          <w:szCs w:val="20"/>
          <w:lang w:val="en-GB"/>
        </w:rPr>
        <w:t xml:space="preserve"> Disease management resource use estimates</w:t>
      </w:r>
      <w:r w:rsidRPr="004E2161">
        <w:rPr>
          <w:rFonts w:ascii="Times New Roman" w:hAnsi="Times New Roman" w:cs="Times New Roman"/>
          <w:color w:val="000000" w:themeColor="text1"/>
          <w:sz w:val="20"/>
          <w:szCs w:val="20"/>
          <w:lang w:val="en-GB"/>
        </w:rPr>
        <w:t xml:space="preserve"> </w:t>
      </w:r>
    </w:p>
    <w:tbl>
      <w:tblPr>
        <w:tblStyle w:val="ListTable3"/>
        <w:tblW w:w="5235" w:type="pct"/>
        <w:tblLayout w:type="fixed"/>
        <w:tblCellMar>
          <w:left w:w="29" w:type="dxa"/>
          <w:right w:w="29" w:type="dxa"/>
        </w:tblCellMar>
        <w:tblLook w:val="04A0" w:firstRow="1" w:lastRow="0" w:firstColumn="1" w:lastColumn="0" w:noHBand="0" w:noVBand="1"/>
      </w:tblPr>
      <w:tblGrid>
        <w:gridCol w:w="1098"/>
        <w:gridCol w:w="1098"/>
        <w:gridCol w:w="1098"/>
        <w:gridCol w:w="1098"/>
        <w:gridCol w:w="1098"/>
        <w:gridCol w:w="1097"/>
        <w:gridCol w:w="1097"/>
        <w:gridCol w:w="1097"/>
        <w:gridCol w:w="1097"/>
        <w:gridCol w:w="1097"/>
        <w:gridCol w:w="1097"/>
        <w:gridCol w:w="1097"/>
        <w:gridCol w:w="1097"/>
      </w:tblGrid>
      <w:tr w:rsidR="007E3B13" w:rsidRPr="004E2161" w14:paraId="3A5EDD1D" w14:textId="77777777" w:rsidTr="006967D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pct"/>
            <w:tcBorders>
              <w:top w:val="single" w:sz="4" w:space="0" w:color="000000" w:themeColor="text1"/>
              <w:left w:val="nil"/>
            </w:tcBorders>
            <w:shd w:val="clear" w:color="auto" w:fill="FFFFFF" w:themeFill="background1"/>
            <w:noWrap/>
            <w:hideMark/>
          </w:tcPr>
          <w:p w14:paraId="5301E689"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Unit</w:t>
            </w:r>
          </w:p>
        </w:tc>
        <w:tc>
          <w:tcPr>
            <w:tcW w:w="0" w:type="pct"/>
            <w:gridSpan w:val="2"/>
            <w:vMerge w:val="restart"/>
            <w:tcBorders>
              <w:top w:val="single" w:sz="4" w:space="0" w:color="000000" w:themeColor="text1"/>
            </w:tcBorders>
            <w:shd w:val="clear" w:color="auto" w:fill="FFFFFF" w:themeFill="background1"/>
            <w:noWrap/>
            <w:hideMark/>
          </w:tcPr>
          <w:p w14:paraId="0AF5F6CE" w14:textId="77777777" w:rsidR="007E3B13" w:rsidRPr="004E2161" w:rsidRDefault="007E3B13" w:rsidP="00993332">
            <w:pPr>
              <w:tabs>
                <w:tab w:val="clear" w:pos="1134"/>
              </w:tabs>
              <w:spacing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At treatment initiation</w:t>
            </w:r>
          </w:p>
        </w:tc>
        <w:tc>
          <w:tcPr>
            <w:tcW w:w="0" w:type="pct"/>
            <w:gridSpan w:val="6"/>
            <w:tcBorders>
              <w:top w:val="single" w:sz="4" w:space="0" w:color="000000" w:themeColor="text1"/>
              <w:right w:val="single" w:sz="4" w:space="0" w:color="auto"/>
            </w:tcBorders>
            <w:shd w:val="clear" w:color="auto" w:fill="FFFFFF" w:themeFill="background1"/>
            <w:noWrap/>
            <w:hideMark/>
          </w:tcPr>
          <w:p w14:paraId="1909F8EE" w14:textId="77777777" w:rsidR="007E3B13" w:rsidRPr="004E2161" w:rsidRDefault="007E3B13" w:rsidP="00993332">
            <w:pPr>
              <w:tabs>
                <w:tab w:val="clear" w:pos="1134"/>
              </w:tabs>
              <w:spacing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Progression-free state</w:t>
            </w:r>
          </w:p>
        </w:tc>
        <w:tc>
          <w:tcPr>
            <w:tcW w:w="0" w:type="pct"/>
            <w:gridSpan w:val="4"/>
            <w:tcBorders>
              <w:top w:val="single" w:sz="4" w:space="0" w:color="000000" w:themeColor="text1"/>
              <w:left w:val="single" w:sz="4" w:space="0" w:color="auto"/>
              <w:right w:val="nil"/>
            </w:tcBorders>
            <w:shd w:val="clear" w:color="auto" w:fill="FFFFFF" w:themeFill="background1"/>
            <w:noWrap/>
            <w:hideMark/>
          </w:tcPr>
          <w:p w14:paraId="2E9F8FDD" w14:textId="77777777" w:rsidR="007E3B13" w:rsidRPr="004E2161" w:rsidRDefault="007E3B13" w:rsidP="00993332">
            <w:pPr>
              <w:tabs>
                <w:tab w:val="clear" w:pos="1134"/>
              </w:tabs>
              <w:spacing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Progressive disease state</w:t>
            </w:r>
          </w:p>
        </w:tc>
      </w:tr>
      <w:tr w:rsidR="005A5AD0" w:rsidRPr="004E2161" w14:paraId="0C63C75C" w14:textId="77777777" w:rsidTr="005147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tcBorders>
              <w:left w:val="nil"/>
            </w:tcBorders>
            <w:noWrap/>
            <w:hideMark/>
          </w:tcPr>
          <w:p w14:paraId="6455747B"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Outpatient visits</w:t>
            </w:r>
          </w:p>
        </w:tc>
        <w:tc>
          <w:tcPr>
            <w:tcW w:w="0" w:type="pct"/>
            <w:gridSpan w:val="2"/>
            <w:vMerge/>
            <w:shd w:val="clear" w:color="auto" w:fill="FFFFFF" w:themeFill="background1"/>
            <w:hideMark/>
          </w:tcPr>
          <w:p w14:paraId="3D626F72"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eastAsia="en-GB"/>
              </w:rPr>
            </w:pPr>
          </w:p>
        </w:tc>
        <w:tc>
          <w:tcPr>
            <w:tcW w:w="0" w:type="pct"/>
            <w:gridSpan w:val="2"/>
            <w:shd w:val="clear" w:color="auto" w:fill="FFFFFF" w:themeFill="background1"/>
            <w:noWrap/>
            <w:vAlign w:val="center"/>
            <w:hideMark/>
          </w:tcPr>
          <w:p w14:paraId="045A3D50"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NIVO+IPI</w:t>
            </w:r>
          </w:p>
        </w:tc>
        <w:tc>
          <w:tcPr>
            <w:tcW w:w="0" w:type="pct"/>
            <w:gridSpan w:val="2"/>
            <w:shd w:val="clear" w:color="auto" w:fill="FFFFFF" w:themeFill="background1"/>
            <w:noWrap/>
            <w:vAlign w:val="center"/>
            <w:hideMark/>
          </w:tcPr>
          <w:p w14:paraId="14EED1D3"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SUN</w:t>
            </w:r>
          </w:p>
        </w:tc>
        <w:tc>
          <w:tcPr>
            <w:tcW w:w="0" w:type="pct"/>
            <w:gridSpan w:val="2"/>
            <w:tcBorders>
              <w:right w:val="single" w:sz="4" w:space="0" w:color="auto"/>
            </w:tcBorders>
            <w:shd w:val="clear" w:color="auto" w:fill="FFFFFF" w:themeFill="background1"/>
            <w:noWrap/>
            <w:vAlign w:val="center"/>
            <w:hideMark/>
          </w:tcPr>
          <w:p w14:paraId="28F44220"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PAZ</w:t>
            </w:r>
          </w:p>
        </w:tc>
        <w:tc>
          <w:tcPr>
            <w:tcW w:w="0" w:type="pct"/>
            <w:gridSpan w:val="2"/>
            <w:tcBorders>
              <w:left w:val="single" w:sz="4" w:space="0" w:color="auto"/>
            </w:tcBorders>
            <w:shd w:val="clear" w:color="auto" w:fill="FFFFFF" w:themeFill="background1"/>
            <w:noWrap/>
            <w:vAlign w:val="center"/>
            <w:hideMark/>
          </w:tcPr>
          <w:p w14:paraId="3D99A17D"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Active treatment</w:t>
            </w:r>
          </w:p>
        </w:tc>
        <w:tc>
          <w:tcPr>
            <w:tcW w:w="0" w:type="pct"/>
            <w:gridSpan w:val="2"/>
            <w:tcBorders>
              <w:right w:val="nil"/>
            </w:tcBorders>
            <w:shd w:val="clear" w:color="auto" w:fill="FFFFFF" w:themeFill="background1"/>
            <w:noWrap/>
            <w:vAlign w:val="center"/>
            <w:hideMark/>
          </w:tcPr>
          <w:p w14:paraId="49D50669"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BSC</w:t>
            </w:r>
          </w:p>
        </w:tc>
      </w:tr>
      <w:tr w:rsidR="007E3B13" w:rsidRPr="004E2161" w14:paraId="6BF3D566" w14:textId="77777777" w:rsidTr="006967DA">
        <w:trPr>
          <w:trHeight w:val="1016"/>
        </w:trPr>
        <w:tc>
          <w:tcPr>
            <w:cnfStyle w:val="001000000000" w:firstRow="0" w:lastRow="0" w:firstColumn="1" w:lastColumn="0" w:oddVBand="0" w:evenVBand="0" w:oddHBand="0" w:evenHBand="0" w:firstRowFirstColumn="0" w:firstRowLastColumn="0" w:lastRowFirstColumn="0" w:lastRowLastColumn="0"/>
            <w:tcW w:w="0" w:type="pct"/>
            <w:tcBorders>
              <w:left w:val="nil"/>
            </w:tcBorders>
            <w:noWrap/>
            <w:hideMark/>
          </w:tcPr>
          <w:p w14:paraId="6AE3C666"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 </w:t>
            </w:r>
          </w:p>
        </w:tc>
        <w:tc>
          <w:tcPr>
            <w:tcW w:w="0" w:type="pct"/>
            <w:noWrap/>
            <w:hideMark/>
          </w:tcPr>
          <w:p w14:paraId="3F3F16D0"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 patient</w:t>
            </w:r>
          </w:p>
        </w:tc>
        <w:tc>
          <w:tcPr>
            <w:tcW w:w="0" w:type="pct"/>
            <w:noWrap/>
            <w:hideMark/>
          </w:tcPr>
          <w:p w14:paraId="725B08CB"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Resource use</w:t>
            </w:r>
          </w:p>
        </w:tc>
        <w:tc>
          <w:tcPr>
            <w:tcW w:w="0" w:type="pct"/>
            <w:noWrap/>
            <w:hideMark/>
          </w:tcPr>
          <w:p w14:paraId="296D4EC8"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 patient</w:t>
            </w:r>
          </w:p>
        </w:tc>
        <w:tc>
          <w:tcPr>
            <w:tcW w:w="0" w:type="pct"/>
            <w:hideMark/>
          </w:tcPr>
          <w:p w14:paraId="61740C05"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Resource use frequency per 4 weeks</w:t>
            </w:r>
          </w:p>
        </w:tc>
        <w:tc>
          <w:tcPr>
            <w:tcW w:w="0" w:type="pct"/>
            <w:noWrap/>
            <w:hideMark/>
          </w:tcPr>
          <w:p w14:paraId="3BFE12F4"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 patient</w:t>
            </w:r>
          </w:p>
        </w:tc>
        <w:tc>
          <w:tcPr>
            <w:tcW w:w="0" w:type="pct"/>
            <w:hideMark/>
          </w:tcPr>
          <w:p w14:paraId="1D29ED24"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Resource use frequency per 4 weeks</w:t>
            </w:r>
          </w:p>
        </w:tc>
        <w:tc>
          <w:tcPr>
            <w:tcW w:w="0" w:type="pct"/>
            <w:noWrap/>
            <w:hideMark/>
          </w:tcPr>
          <w:p w14:paraId="6C7B3107"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 patient</w:t>
            </w:r>
          </w:p>
        </w:tc>
        <w:tc>
          <w:tcPr>
            <w:tcW w:w="0" w:type="pct"/>
            <w:tcBorders>
              <w:right w:val="single" w:sz="4" w:space="0" w:color="auto"/>
            </w:tcBorders>
            <w:hideMark/>
          </w:tcPr>
          <w:p w14:paraId="4D14C72A"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Resource use frequency per 4 weeks</w:t>
            </w:r>
          </w:p>
        </w:tc>
        <w:tc>
          <w:tcPr>
            <w:tcW w:w="0" w:type="pct"/>
            <w:tcBorders>
              <w:top w:val="nil"/>
              <w:left w:val="single" w:sz="4" w:space="0" w:color="auto"/>
              <w:bottom w:val="single" w:sz="4" w:space="0" w:color="000000" w:themeColor="text1"/>
            </w:tcBorders>
            <w:noWrap/>
            <w:hideMark/>
          </w:tcPr>
          <w:p w14:paraId="31296635"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 patient</w:t>
            </w:r>
          </w:p>
        </w:tc>
        <w:tc>
          <w:tcPr>
            <w:tcW w:w="0" w:type="pct"/>
            <w:hideMark/>
          </w:tcPr>
          <w:p w14:paraId="1C42D1D4"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Resource use frequency per 4 weeks</w:t>
            </w:r>
          </w:p>
        </w:tc>
        <w:tc>
          <w:tcPr>
            <w:tcW w:w="0" w:type="pct"/>
            <w:noWrap/>
            <w:hideMark/>
          </w:tcPr>
          <w:p w14:paraId="4A786BEF"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 patient</w:t>
            </w:r>
          </w:p>
        </w:tc>
        <w:tc>
          <w:tcPr>
            <w:tcW w:w="0" w:type="pct"/>
            <w:tcBorders>
              <w:right w:val="nil"/>
            </w:tcBorders>
            <w:hideMark/>
          </w:tcPr>
          <w:p w14:paraId="08D19954"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bCs w:val="0"/>
                <w:color w:val="000000" w:themeColor="text1"/>
                <w:sz w:val="20"/>
                <w:szCs w:val="20"/>
                <w:lang w:val="en-GB" w:eastAsia="en-GB"/>
              </w:rPr>
              <w:t>Resource use frequency per 4 weeks</w:t>
            </w:r>
          </w:p>
        </w:tc>
      </w:tr>
      <w:tr w:rsidR="007E3B13" w:rsidRPr="004E2161" w14:paraId="0A2D936A" w14:textId="77777777" w:rsidTr="006967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tcBorders>
              <w:left w:val="nil"/>
            </w:tcBorders>
            <w:noWrap/>
            <w:hideMark/>
          </w:tcPr>
          <w:p w14:paraId="044E9881"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General practitioner, visits per 4 weeks</w:t>
            </w:r>
          </w:p>
        </w:tc>
        <w:tc>
          <w:tcPr>
            <w:tcW w:w="0" w:type="pct"/>
            <w:noWrap/>
            <w:hideMark/>
          </w:tcPr>
          <w:p w14:paraId="563D3673"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28%</w:t>
            </w:r>
          </w:p>
        </w:tc>
        <w:tc>
          <w:tcPr>
            <w:tcW w:w="0" w:type="pct"/>
            <w:noWrap/>
            <w:hideMark/>
          </w:tcPr>
          <w:p w14:paraId="055EAC5A"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w:t>
            </w:r>
          </w:p>
        </w:tc>
        <w:tc>
          <w:tcPr>
            <w:tcW w:w="0" w:type="pct"/>
            <w:noWrap/>
            <w:hideMark/>
          </w:tcPr>
          <w:p w14:paraId="1C06B29E"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28%</w:t>
            </w:r>
          </w:p>
        </w:tc>
        <w:tc>
          <w:tcPr>
            <w:tcW w:w="0" w:type="pct"/>
            <w:noWrap/>
            <w:hideMark/>
          </w:tcPr>
          <w:p w14:paraId="47FF1A89"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0.5</w:t>
            </w:r>
          </w:p>
        </w:tc>
        <w:tc>
          <w:tcPr>
            <w:tcW w:w="0" w:type="pct"/>
            <w:noWrap/>
            <w:hideMark/>
          </w:tcPr>
          <w:p w14:paraId="20A9CA05"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53%</w:t>
            </w:r>
          </w:p>
        </w:tc>
        <w:tc>
          <w:tcPr>
            <w:tcW w:w="0" w:type="pct"/>
            <w:noWrap/>
            <w:hideMark/>
          </w:tcPr>
          <w:p w14:paraId="2CB7E9E6"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w:t>
            </w:r>
          </w:p>
        </w:tc>
        <w:tc>
          <w:tcPr>
            <w:tcW w:w="0" w:type="pct"/>
            <w:noWrap/>
            <w:hideMark/>
          </w:tcPr>
          <w:p w14:paraId="2694EC5B"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53%</w:t>
            </w:r>
          </w:p>
        </w:tc>
        <w:tc>
          <w:tcPr>
            <w:tcW w:w="0" w:type="pct"/>
            <w:tcBorders>
              <w:right w:val="single" w:sz="4" w:space="0" w:color="auto"/>
            </w:tcBorders>
            <w:noWrap/>
            <w:hideMark/>
          </w:tcPr>
          <w:p w14:paraId="3A3C23B2"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w:t>
            </w:r>
          </w:p>
        </w:tc>
        <w:tc>
          <w:tcPr>
            <w:tcW w:w="0" w:type="pct"/>
            <w:tcBorders>
              <w:left w:val="single" w:sz="4" w:space="0" w:color="auto"/>
            </w:tcBorders>
            <w:noWrap/>
            <w:hideMark/>
          </w:tcPr>
          <w:p w14:paraId="303225D4"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53%</w:t>
            </w:r>
          </w:p>
        </w:tc>
        <w:tc>
          <w:tcPr>
            <w:tcW w:w="0" w:type="pct"/>
            <w:noWrap/>
            <w:hideMark/>
          </w:tcPr>
          <w:p w14:paraId="0EE1F868"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1.5</w:t>
            </w:r>
          </w:p>
        </w:tc>
        <w:tc>
          <w:tcPr>
            <w:tcW w:w="0" w:type="pct"/>
            <w:noWrap/>
            <w:hideMark/>
          </w:tcPr>
          <w:p w14:paraId="0E035EB6"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63%</w:t>
            </w:r>
          </w:p>
        </w:tc>
        <w:tc>
          <w:tcPr>
            <w:tcW w:w="0" w:type="pct"/>
            <w:tcBorders>
              <w:right w:val="nil"/>
            </w:tcBorders>
            <w:noWrap/>
            <w:hideMark/>
          </w:tcPr>
          <w:p w14:paraId="3255370C"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r>
      <w:tr w:rsidR="007E3B13" w:rsidRPr="004E2161" w14:paraId="414F9BAD" w14:textId="77777777" w:rsidTr="006967DA">
        <w:trPr>
          <w:trHeight w:val="300"/>
        </w:trPr>
        <w:tc>
          <w:tcPr>
            <w:cnfStyle w:val="001000000000" w:firstRow="0" w:lastRow="0" w:firstColumn="1" w:lastColumn="0" w:oddVBand="0" w:evenVBand="0" w:oddHBand="0" w:evenHBand="0" w:firstRowFirstColumn="0" w:firstRowLastColumn="0" w:lastRowFirstColumn="0" w:lastRowLastColumn="0"/>
            <w:tcW w:w="0" w:type="pct"/>
            <w:tcBorders>
              <w:left w:val="nil"/>
            </w:tcBorders>
            <w:noWrap/>
            <w:hideMark/>
          </w:tcPr>
          <w:p w14:paraId="117D0B00"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Oncologist,</w:t>
            </w:r>
          </w:p>
          <w:p w14:paraId="051BA90A"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sz w:val="20"/>
                <w:szCs w:val="20"/>
                <w:lang w:val="en-GB" w:eastAsia="en-GB"/>
              </w:rPr>
            </w:pPr>
            <w:r w:rsidRPr="004E2161">
              <w:rPr>
                <w:rFonts w:ascii="Times New Roman" w:hAnsi="Times New Roman" w:cs="Times New Roman"/>
                <w:color w:val="000000" w:themeColor="text1"/>
                <w:sz w:val="20"/>
                <w:szCs w:val="20"/>
                <w:lang w:val="en-GB" w:eastAsia="en-GB"/>
              </w:rPr>
              <w:t>visits per 4 weeks</w:t>
            </w:r>
          </w:p>
        </w:tc>
        <w:tc>
          <w:tcPr>
            <w:tcW w:w="0" w:type="pct"/>
            <w:noWrap/>
            <w:hideMark/>
          </w:tcPr>
          <w:p w14:paraId="1130944A"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0FB5A271"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2.5</w:t>
            </w:r>
          </w:p>
        </w:tc>
        <w:tc>
          <w:tcPr>
            <w:tcW w:w="0" w:type="pct"/>
            <w:noWrap/>
            <w:hideMark/>
          </w:tcPr>
          <w:p w14:paraId="46258E6F"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29D619CF"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c>
          <w:tcPr>
            <w:tcW w:w="0" w:type="pct"/>
            <w:noWrap/>
            <w:hideMark/>
          </w:tcPr>
          <w:p w14:paraId="15A8D9BE"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09B602B4"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c>
          <w:tcPr>
            <w:tcW w:w="0" w:type="pct"/>
            <w:noWrap/>
            <w:hideMark/>
          </w:tcPr>
          <w:p w14:paraId="26925B1B"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right w:val="single" w:sz="4" w:space="0" w:color="auto"/>
            </w:tcBorders>
            <w:noWrap/>
            <w:hideMark/>
          </w:tcPr>
          <w:p w14:paraId="57BDD8A0"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c>
          <w:tcPr>
            <w:tcW w:w="0" w:type="pct"/>
            <w:tcBorders>
              <w:top w:val="single" w:sz="4" w:space="0" w:color="000000" w:themeColor="text1"/>
              <w:left w:val="single" w:sz="4" w:space="0" w:color="auto"/>
              <w:bottom w:val="single" w:sz="4" w:space="0" w:color="000000" w:themeColor="text1"/>
            </w:tcBorders>
            <w:noWrap/>
            <w:hideMark/>
          </w:tcPr>
          <w:p w14:paraId="292C4659"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22937E1B"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c>
          <w:tcPr>
            <w:tcW w:w="0" w:type="pct"/>
            <w:noWrap/>
            <w:hideMark/>
          </w:tcPr>
          <w:p w14:paraId="0F598703"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right w:val="nil"/>
            </w:tcBorders>
            <w:noWrap/>
            <w:hideMark/>
          </w:tcPr>
          <w:p w14:paraId="789D3037"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w:t>
            </w:r>
          </w:p>
        </w:tc>
      </w:tr>
      <w:tr w:rsidR="007E3B13" w:rsidRPr="004E2161" w14:paraId="3F9B44DD" w14:textId="77777777" w:rsidTr="006967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tcBorders>
              <w:left w:val="nil"/>
            </w:tcBorders>
            <w:noWrap/>
            <w:hideMark/>
          </w:tcPr>
          <w:p w14:paraId="261412B1"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Kidney specialist,</w:t>
            </w:r>
          </w:p>
          <w:p w14:paraId="6B1DD7C8"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visits per 4 weeks</w:t>
            </w:r>
          </w:p>
        </w:tc>
        <w:tc>
          <w:tcPr>
            <w:tcW w:w="0" w:type="pct"/>
            <w:noWrap/>
            <w:hideMark/>
          </w:tcPr>
          <w:p w14:paraId="72EBF86F"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8%</w:t>
            </w:r>
          </w:p>
        </w:tc>
        <w:tc>
          <w:tcPr>
            <w:tcW w:w="0" w:type="pct"/>
            <w:noWrap/>
            <w:hideMark/>
          </w:tcPr>
          <w:p w14:paraId="61A6A000"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0.5</w:t>
            </w:r>
          </w:p>
        </w:tc>
        <w:tc>
          <w:tcPr>
            <w:tcW w:w="0" w:type="pct"/>
            <w:noWrap/>
            <w:hideMark/>
          </w:tcPr>
          <w:p w14:paraId="50550C92"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3%</w:t>
            </w:r>
          </w:p>
        </w:tc>
        <w:tc>
          <w:tcPr>
            <w:tcW w:w="0" w:type="pct"/>
            <w:noWrap/>
            <w:hideMark/>
          </w:tcPr>
          <w:p w14:paraId="69D01E72"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0.5</w:t>
            </w:r>
          </w:p>
        </w:tc>
        <w:tc>
          <w:tcPr>
            <w:tcW w:w="0" w:type="pct"/>
            <w:noWrap/>
            <w:hideMark/>
          </w:tcPr>
          <w:p w14:paraId="702CDA58"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0</w:t>
            </w:r>
          </w:p>
        </w:tc>
        <w:tc>
          <w:tcPr>
            <w:tcW w:w="0" w:type="pct"/>
            <w:noWrap/>
            <w:hideMark/>
          </w:tcPr>
          <w:p w14:paraId="03C1677F"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NA</w:t>
            </w:r>
          </w:p>
        </w:tc>
        <w:tc>
          <w:tcPr>
            <w:tcW w:w="0" w:type="pct"/>
            <w:noWrap/>
            <w:hideMark/>
          </w:tcPr>
          <w:p w14:paraId="2DAC1AA0"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w:t>
            </w:r>
          </w:p>
        </w:tc>
        <w:tc>
          <w:tcPr>
            <w:tcW w:w="0" w:type="pct"/>
            <w:tcBorders>
              <w:right w:val="single" w:sz="4" w:space="0" w:color="auto"/>
            </w:tcBorders>
            <w:noWrap/>
            <w:hideMark/>
          </w:tcPr>
          <w:p w14:paraId="3E863B66"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NA</w:t>
            </w:r>
          </w:p>
        </w:tc>
        <w:tc>
          <w:tcPr>
            <w:tcW w:w="0" w:type="pct"/>
            <w:tcBorders>
              <w:left w:val="single" w:sz="4" w:space="0" w:color="auto"/>
            </w:tcBorders>
            <w:noWrap/>
            <w:hideMark/>
          </w:tcPr>
          <w:p w14:paraId="3EA198A3"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w:t>
            </w:r>
          </w:p>
        </w:tc>
        <w:tc>
          <w:tcPr>
            <w:tcW w:w="0" w:type="pct"/>
            <w:noWrap/>
            <w:hideMark/>
          </w:tcPr>
          <w:p w14:paraId="58698439"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NA</w:t>
            </w:r>
          </w:p>
        </w:tc>
        <w:tc>
          <w:tcPr>
            <w:tcW w:w="0" w:type="pct"/>
            <w:noWrap/>
            <w:hideMark/>
          </w:tcPr>
          <w:p w14:paraId="630264D5"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w:t>
            </w:r>
          </w:p>
        </w:tc>
        <w:tc>
          <w:tcPr>
            <w:tcW w:w="0" w:type="pct"/>
            <w:tcBorders>
              <w:right w:val="nil"/>
            </w:tcBorders>
            <w:noWrap/>
            <w:hideMark/>
          </w:tcPr>
          <w:p w14:paraId="6DE32F52"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NA</w:t>
            </w:r>
          </w:p>
        </w:tc>
      </w:tr>
      <w:tr w:rsidR="007E3B13" w:rsidRPr="004E2161" w14:paraId="36799A5C" w14:textId="77777777" w:rsidTr="006967DA">
        <w:trPr>
          <w:trHeight w:val="300"/>
        </w:trPr>
        <w:tc>
          <w:tcPr>
            <w:cnfStyle w:val="001000000000" w:firstRow="0" w:lastRow="0" w:firstColumn="1" w:lastColumn="0" w:oddVBand="0" w:evenVBand="0" w:oddHBand="0" w:evenHBand="0" w:firstRowFirstColumn="0" w:firstRowLastColumn="0" w:lastRowFirstColumn="0" w:lastRowLastColumn="0"/>
            <w:tcW w:w="0" w:type="pct"/>
            <w:tcBorders>
              <w:left w:val="nil"/>
            </w:tcBorders>
            <w:noWrap/>
            <w:hideMark/>
          </w:tcPr>
          <w:p w14:paraId="42ADB7AA"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 xml:space="preserve">Full blood test </w:t>
            </w:r>
          </w:p>
        </w:tc>
        <w:tc>
          <w:tcPr>
            <w:tcW w:w="0" w:type="pct"/>
            <w:noWrap/>
            <w:hideMark/>
          </w:tcPr>
          <w:p w14:paraId="1D6BC562"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4A800529"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1.5</w:t>
            </w:r>
          </w:p>
        </w:tc>
        <w:tc>
          <w:tcPr>
            <w:tcW w:w="0" w:type="pct"/>
            <w:noWrap/>
            <w:hideMark/>
          </w:tcPr>
          <w:p w14:paraId="2C52D774"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012043A7"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c>
          <w:tcPr>
            <w:tcW w:w="0" w:type="pct"/>
            <w:noWrap/>
            <w:hideMark/>
          </w:tcPr>
          <w:p w14:paraId="4DD00E39"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41BE6F29"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1.5</w:t>
            </w:r>
          </w:p>
        </w:tc>
        <w:tc>
          <w:tcPr>
            <w:tcW w:w="0" w:type="pct"/>
            <w:noWrap/>
            <w:hideMark/>
          </w:tcPr>
          <w:p w14:paraId="41BB3DA7"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right w:val="single" w:sz="4" w:space="0" w:color="auto"/>
            </w:tcBorders>
            <w:noWrap/>
            <w:hideMark/>
          </w:tcPr>
          <w:p w14:paraId="47390DA1"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c>
          <w:tcPr>
            <w:tcW w:w="0" w:type="pct"/>
            <w:tcBorders>
              <w:left w:val="single" w:sz="4" w:space="0" w:color="auto"/>
            </w:tcBorders>
            <w:noWrap/>
            <w:hideMark/>
          </w:tcPr>
          <w:p w14:paraId="72CCAAC8"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30C0BDEF"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c>
          <w:tcPr>
            <w:tcW w:w="0" w:type="pct"/>
            <w:noWrap/>
            <w:hideMark/>
          </w:tcPr>
          <w:p w14:paraId="6D43364A"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55%</w:t>
            </w:r>
          </w:p>
        </w:tc>
        <w:tc>
          <w:tcPr>
            <w:tcW w:w="0" w:type="pct"/>
            <w:tcBorders>
              <w:right w:val="nil"/>
            </w:tcBorders>
            <w:noWrap/>
            <w:hideMark/>
          </w:tcPr>
          <w:p w14:paraId="4686A520"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w:t>
            </w:r>
          </w:p>
        </w:tc>
      </w:tr>
      <w:tr w:rsidR="007E3B13" w:rsidRPr="004E2161" w14:paraId="70DAA13C" w14:textId="77777777" w:rsidTr="006967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tcBorders>
              <w:left w:val="nil"/>
            </w:tcBorders>
            <w:noWrap/>
            <w:hideMark/>
          </w:tcPr>
          <w:p w14:paraId="72239E2D"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CMP</w:t>
            </w:r>
          </w:p>
        </w:tc>
        <w:tc>
          <w:tcPr>
            <w:tcW w:w="0" w:type="pct"/>
            <w:noWrap/>
            <w:hideMark/>
          </w:tcPr>
          <w:p w14:paraId="5B780D9F"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27AF6E8C"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1.5</w:t>
            </w:r>
          </w:p>
        </w:tc>
        <w:tc>
          <w:tcPr>
            <w:tcW w:w="0" w:type="pct"/>
            <w:noWrap/>
            <w:hideMark/>
          </w:tcPr>
          <w:p w14:paraId="1030A5E9"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3559A633"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c>
          <w:tcPr>
            <w:tcW w:w="0" w:type="pct"/>
            <w:noWrap/>
            <w:hideMark/>
          </w:tcPr>
          <w:p w14:paraId="4B49C21A"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67A83589"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1.5</w:t>
            </w:r>
          </w:p>
        </w:tc>
        <w:tc>
          <w:tcPr>
            <w:tcW w:w="0" w:type="pct"/>
            <w:noWrap/>
            <w:hideMark/>
          </w:tcPr>
          <w:p w14:paraId="3B1ABDA9"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right w:val="single" w:sz="4" w:space="0" w:color="auto"/>
            </w:tcBorders>
            <w:noWrap/>
            <w:hideMark/>
          </w:tcPr>
          <w:p w14:paraId="0BEABDA9"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c>
          <w:tcPr>
            <w:tcW w:w="0" w:type="pct"/>
            <w:tcBorders>
              <w:left w:val="single" w:sz="4" w:space="0" w:color="auto"/>
            </w:tcBorders>
            <w:noWrap/>
            <w:hideMark/>
          </w:tcPr>
          <w:p w14:paraId="477AB7E3"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49ED61D8"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2</w:t>
            </w:r>
          </w:p>
        </w:tc>
        <w:tc>
          <w:tcPr>
            <w:tcW w:w="0" w:type="pct"/>
            <w:noWrap/>
            <w:hideMark/>
          </w:tcPr>
          <w:p w14:paraId="32CF8844"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50%</w:t>
            </w:r>
          </w:p>
        </w:tc>
        <w:tc>
          <w:tcPr>
            <w:tcW w:w="0" w:type="pct"/>
            <w:tcBorders>
              <w:right w:val="nil"/>
            </w:tcBorders>
            <w:noWrap/>
            <w:hideMark/>
          </w:tcPr>
          <w:p w14:paraId="5EAB68A6"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0.5</w:t>
            </w:r>
          </w:p>
        </w:tc>
      </w:tr>
      <w:tr w:rsidR="007E3B13" w:rsidRPr="004E2161" w14:paraId="70D1E8CA" w14:textId="77777777" w:rsidTr="006967DA">
        <w:trPr>
          <w:trHeight w:val="300"/>
        </w:trPr>
        <w:tc>
          <w:tcPr>
            <w:cnfStyle w:val="001000000000" w:firstRow="0" w:lastRow="0" w:firstColumn="1" w:lastColumn="0" w:oddVBand="0" w:evenVBand="0" w:oddHBand="0" w:evenHBand="0" w:firstRowFirstColumn="0" w:firstRowLastColumn="0" w:lastRowFirstColumn="0" w:lastRowLastColumn="0"/>
            <w:tcW w:w="0" w:type="pct"/>
            <w:tcBorders>
              <w:left w:val="nil"/>
            </w:tcBorders>
            <w:noWrap/>
            <w:hideMark/>
          </w:tcPr>
          <w:p w14:paraId="0E688172"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LDH</w:t>
            </w:r>
          </w:p>
        </w:tc>
        <w:tc>
          <w:tcPr>
            <w:tcW w:w="0" w:type="pct"/>
            <w:noWrap/>
            <w:hideMark/>
          </w:tcPr>
          <w:p w14:paraId="5A3AB5A0"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19569258"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1.5</w:t>
            </w:r>
          </w:p>
        </w:tc>
        <w:tc>
          <w:tcPr>
            <w:tcW w:w="0" w:type="pct"/>
            <w:noWrap/>
            <w:hideMark/>
          </w:tcPr>
          <w:p w14:paraId="2938FDEE"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0A7263A3"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0.5</w:t>
            </w:r>
          </w:p>
        </w:tc>
        <w:tc>
          <w:tcPr>
            <w:tcW w:w="0" w:type="pct"/>
            <w:noWrap/>
            <w:hideMark/>
          </w:tcPr>
          <w:p w14:paraId="61652553"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0055DB71"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0.5</w:t>
            </w:r>
          </w:p>
        </w:tc>
        <w:tc>
          <w:tcPr>
            <w:tcW w:w="0" w:type="pct"/>
            <w:noWrap/>
            <w:hideMark/>
          </w:tcPr>
          <w:p w14:paraId="78D01BF2"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right w:val="single" w:sz="4" w:space="0" w:color="auto"/>
            </w:tcBorders>
            <w:noWrap/>
            <w:hideMark/>
          </w:tcPr>
          <w:p w14:paraId="62CCFEF6"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0.5</w:t>
            </w:r>
          </w:p>
        </w:tc>
        <w:tc>
          <w:tcPr>
            <w:tcW w:w="0" w:type="pct"/>
            <w:tcBorders>
              <w:left w:val="single" w:sz="4" w:space="0" w:color="auto"/>
            </w:tcBorders>
            <w:noWrap/>
            <w:hideMark/>
          </w:tcPr>
          <w:p w14:paraId="6D5E08BE"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4B825802"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0.5</w:t>
            </w:r>
          </w:p>
        </w:tc>
        <w:tc>
          <w:tcPr>
            <w:tcW w:w="0" w:type="pct"/>
            <w:noWrap/>
            <w:hideMark/>
          </w:tcPr>
          <w:p w14:paraId="62772FA6"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w:t>
            </w:r>
          </w:p>
        </w:tc>
        <w:tc>
          <w:tcPr>
            <w:tcW w:w="0" w:type="pct"/>
            <w:tcBorders>
              <w:right w:val="nil"/>
            </w:tcBorders>
            <w:noWrap/>
            <w:hideMark/>
          </w:tcPr>
          <w:p w14:paraId="116BD4DD"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NA</w:t>
            </w:r>
          </w:p>
        </w:tc>
      </w:tr>
      <w:tr w:rsidR="007E3B13" w:rsidRPr="004E2161" w14:paraId="4FB92A99" w14:textId="77777777" w:rsidTr="006967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pct"/>
            <w:tcBorders>
              <w:left w:val="nil"/>
            </w:tcBorders>
            <w:noWrap/>
            <w:hideMark/>
          </w:tcPr>
          <w:p w14:paraId="3FDC8AAA"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CT scan abdomen</w:t>
            </w:r>
          </w:p>
        </w:tc>
        <w:tc>
          <w:tcPr>
            <w:tcW w:w="0" w:type="pct"/>
            <w:noWrap/>
            <w:hideMark/>
          </w:tcPr>
          <w:p w14:paraId="0AC06A36"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12B753EA"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w:t>
            </w:r>
          </w:p>
        </w:tc>
        <w:tc>
          <w:tcPr>
            <w:tcW w:w="0" w:type="pct"/>
            <w:noWrap/>
            <w:hideMark/>
          </w:tcPr>
          <w:p w14:paraId="1E1AF7A0"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0B9A70C5"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0.4</w:t>
            </w:r>
          </w:p>
        </w:tc>
        <w:tc>
          <w:tcPr>
            <w:tcW w:w="0" w:type="pct"/>
            <w:noWrap/>
            <w:hideMark/>
          </w:tcPr>
          <w:p w14:paraId="3EE4FF85"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722B75DE"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0.4</w:t>
            </w:r>
          </w:p>
        </w:tc>
        <w:tc>
          <w:tcPr>
            <w:tcW w:w="0" w:type="pct"/>
            <w:noWrap/>
            <w:hideMark/>
          </w:tcPr>
          <w:p w14:paraId="0855BCB7"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right w:val="single" w:sz="4" w:space="0" w:color="auto"/>
            </w:tcBorders>
            <w:noWrap/>
            <w:hideMark/>
          </w:tcPr>
          <w:p w14:paraId="5C355DB8"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0.4</w:t>
            </w:r>
          </w:p>
        </w:tc>
        <w:tc>
          <w:tcPr>
            <w:tcW w:w="0" w:type="pct"/>
            <w:tcBorders>
              <w:left w:val="single" w:sz="4" w:space="0" w:color="auto"/>
            </w:tcBorders>
            <w:noWrap/>
            <w:hideMark/>
          </w:tcPr>
          <w:p w14:paraId="06594040"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noWrap/>
            <w:hideMark/>
          </w:tcPr>
          <w:p w14:paraId="29029A03"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0.4</w:t>
            </w:r>
          </w:p>
        </w:tc>
        <w:tc>
          <w:tcPr>
            <w:tcW w:w="0" w:type="pct"/>
            <w:noWrap/>
            <w:hideMark/>
          </w:tcPr>
          <w:p w14:paraId="63DB38DC"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w:t>
            </w:r>
          </w:p>
        </w:tc>
        <w:tc>
          <w:tcPr>
            <w:tcW w:w="0" w:type="pct"/>
            <w:tcBorders>
              <w:right w:val="nil"/>
            </w:tcBorders>
            <w:noWrap/>
            <w:hideMark/>
          </w:tcPr>
          <w:p w14:paraId="6C212C9B" w14:textId="77777777" w:rsidR="007E3B13" w:rsidRPr="004E2161" w:rsidRDefault="007E3B13" w:rsidP="00993332">
            <w:pPr>
              <w:tabs>
                <w:tab w:val="clear" w:pos="1134"/>
              </w:tabs>
              <w:spacing w:after="0" w:line="240" w:lineRule="auto"/>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NA</w:t>
            </w:r>
          </w:p>
        </w:tc>
      </w:tr>
      <w:tr w:rsidR="007E3B13" w:rsidRPr="004E2161" w14:paraId="3C70AE80" w14:textId="77777777" w:rsidTr="006967DA">
        <w:trPr>
          <w:trHeight w:val="300"/>
        </w:trPr>
        <w:tc>
          <w:tcPr>
            <w:cnfStyle w:val="001000000000" w:firstRow="0" w:lastRow="0" w:firstColumn="1" w:lastColumn="0" w:oddVBand="0" w:evenVBand="0" w:oddHBand="0" w:evenHBand="0" w:firstRowFirstColumn="0" w:firstRowLastColumn="0" w:lastRowFirstColumn="0" w:lastRowLastColumn="0"/>
            <w:tcW w:w="0" w:type="pct"/>
            <w:tcBorders>
              <w:left w:val="nil"/>
              <w:bottom w:val="single" w:sz="4" w:space="0" w:color="000000" w:themeColor="text1"/>
            </w:tcBorders>
            <w:noWrap/>
            <w:hideMark/>
          </w:tcPr>
          <w:p w14:paraId="0DA405D4" w14:textId="77777777" w:rsidR="007E3B13" w:rsidRPr="004E2161" w:rsidRDefault="007E3B13" w:rsidP="00993332">
            <w:pPr>
              <w:tabs>
                <w:tab w:val="clear" w:pos="1134"/>
              </w:tabs>
              <w:spacing w:after="0" w:line="240" w:lineRule="auto"/>
              <w:contextualSpacing w:val="0"/>
              <w:jc w:val="left"/>
              <w:rPr>
                <w:rFonts w:ascii="Times New Roman" w:hAnsi="Times New Roman" w:cs="Times New Roman"/>
                <w:b w:val="0"/>
                <w:bCs/>
                <w:color w:val="000000" w:themeColor="text1"/>
                <w:sz w:val="20"/>
                <w:szCs w:val="20"/>
                <w:lang w:val="en-GB" w:eastAsia="en-GB"/>
              </w:rPr>
            </w:pPr>
            <w:r w:rsidRPr="004E2161">
              <w:rPr>
                <w:rFonts w:ascii="Times New Roman" w:hAnsi="Times New Roman" w:cs="Times New Roman"/>
                <w:color w:val="000000" w:themeColor="text1"/>
                <w:sz w:val="20"/>
                <w:szCs w:val="20"/>
                <w:lang w:val="en-GB" w:eastAsia="en-GB"/>
              </w:rPr>
              <w:t>CT scan thorax</w:t>
            </w:r>
          </w:p>
        </w:tc>
        <w:tc>
          <w:tcPr>
            <w:tcW w:w="0" w:type="pct"/>
            <w:tcBorders>
              <w:bottom w:val="single" w:sz="4" w:space="0" w:color="000000" w:themeColor="text1"/>
            </w:tcBorders>
            <w:noWrap/>
            <w:hideMark/>
          </w:tcPr>
          <w:p w14:paraId="68804C1D"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bottom w:val="single" w:sz="4" w:space="0" w:color="000000" w:themeColor="text1"/>
            </w:tcBorders>
            <w:noWrap/>
            <w:hideMark/>
          </w:tcPr>
          <w:p w14:paraId="1CF4D3EC"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w:t>
            </w:r>
          </w:p>
        </w:tc>
        <w:tc>
          <w:tcPr>
            <w:tcW w:w="0" w:type="pct"/>
            <w:tcBorders>
              <w:bottom w:val="single" w:sz="4" w:space="0" w:color="000000" w:themeColor="text1"/>
            </w:tcBorders>
            <w:noWrap/>
            <w:hideMark/>
          </w:tcPr>
          <w:p w14:paraId="7772C0F9"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bottom w:val="single" w:sz="4" w:space="0" w:color="000000" w:themeColor="text1"/>
            </w:tcBorders>
            <w:noWrap/>
            <w:hideMark/>
          </w:tcPr>
          <w:p w14:paraId="08621229"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0.4</w:t>
            </w:r>
          </w:p>
        </w:tc>
        <w:tc>
          <w:tcPr>
            <w:tcW w:w="0" w:type="pct"/>
            <w:tcBorders>
              <w:bottom w:val="single" w:sz="4" w:space="0" w:color="000000" w:themeColor="text1"/>
            </w:tcBorders>
            <w:noWrap/>
            <w:hideMark/>
          </w:tcPr>
          <w:p w14:paraId="355F728E"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bottom w:val="single" w:sz="4" w:space="0" w:color="000000" w:themeColor="text1"/>
            </w:tcBorders>
            <w:noWrap/>
            <w:hideMark/>
          </w:tcPr>
          <w:p w14:paraId="29BA8C40"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0.4</w:t>
            </w:r>
          </w:p>
        </w:tc>
        <w:tc>
          <w:tcPr>
            <w:tcW w:w="0" w:type="pct"/>
            <w:tcBorders>
              <w:bottom w:val="single" w:sz="4" w:space="0" w:color="000000" w:themeColor="text1"/>
            </w:tcBorders>
            <w:noWrap/>
            <w:hideMark/>
          </w:tcPr>
          <w:p w14:paraId="74A344D8"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bottom w:val="single" w:sz="4" w:space="0" w:color="000000" w:themeColor="text1"/>
              <w:right w:val="single" w:sz="4" w:space="0" w:color="auto"/>
            </w:tcBorders>
            <w:noWrap/>
            <w:hideMark/>
          </w:tcPr>
          <w:p w14:paraId="36950B41"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0.4</w:t>
            </w:r>
          </w:p>
        </w:tc>
        <w:tc>
          <w:tcPr>
            <w:tcW w:w="0" w:type="pct"/>
            <w:tcBorders>
              <w:left w:val="single" w:sz="4" w:space="0" w:color="auto"/>
              <w:bottom w:val="single" w:sz="4" w:space="0" w:color="000000" w:themeColor="text1"/>
            </w:tcBorders>
            <w:noWrap/>
            <w:hideMark/>
          </w:tcPr>
          <w:p w14:paraId="0EDD8EF6"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100%</w:t>
            </w:r>
          </w:p>
        </w:tc>
        <w:tc>
          <w:tcPr>
            <w:tcW w:w="0" w:type="pct"/>
            <w:tcBorders>
              <w:bottom w:val="single" w:sz="4" w:space="0" w:color="000000" w:themeColor="text1"/>
            </w:tcBorders>
            <w:noWrap/>
            <w:hideMark/>
          </w:tcPr>
          <w:p w14:paraId="64C23EBE"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0.4</w:t>
            </w:r>
          </w:p>
        </w:tc>
        <w:tc>
          <w:tcPr>
            <w:tcW w:w="0" w:type="pct"/>
            <w:tcBorders>
              <w:bottom w:val="single" w:sz="4" w:space="0" w:color="000000" w:themeColor="text1"/>
            </w:tcBorders>
            <w:noWrap/>
            <w:hideMark/>
          </w:tcPr>
          <w:p w14:paraId="0AEDF4E4"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0%</w:t>
            </w:r>
          </w:p>
        </w:tc>
        <w:tc>
          <w:tcPr>
            <w:tcW w:w="0" w:type="pct"/>
            <w:tcBorders>
              <w:bottom w:val="single" w:sz="4" w:space="0" w:color="000000" w:themeColor="text1"/>
              <w:right w:val="nil"/>
            </w:tcBorders>
            <w:noWrap/>
            <w:hideMark/>
          </w:tcPr>
          <w:p w14:paraId="65D87796" w14:textId="77777777" w:rsidR="007E3B13" w:rsidRPr="004E2161" w:rsidRDefault="007E3B13" w:rsidP="00993332">
            <w:pPr>
              <w:tabs>
                <w:tab w:val="clear" w:pos="1134"/>
              </w:tabs>
              <w:spacing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lang w:val="en-GB" w:eastAsia="en-GB"/>
              </w:rPr>
            </w:pPr>
            <w:r w:rsidRPr="004E2161">
              <w:rPr>
                <w:rFonts w:ascii="Times New Roman" w:hAnsi="Times New Roman" w:cs="Times New Roman"/>
                <w:color w:val="000000" w:themeColor="text1"/>
                <w:sz w:val="20"/>
                <w:szCs w:val="20"/>
                <w:lang w:val="en-GB"/>
              </w:rPr>
              <w:t>NA</w:t>
            </w:r>
          </w:p>
        </w:tc>
      </w:tr>
    </w:tbl>
    <w:p w14:paraId="2FDDEA21" w14:textId="722D5DAF" w:rsidR="007E3B13" w:rsidRPr="004E2161" w:rsidRDefault="007E3B13" w:rsidP="006967DA">
      <w:pPr>
        <w:pStyle w:val="Footer"/>
        <w:spacing w:before="12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bCs/>
          <w:i/>
          <w:iCs/>
          <w:color w:val="000000" w:themeColor="text1"/>
          <w:sz w:val="20"/>
          <w:szCs w:val="20"/>
          <w:lang w:val="en-GB"/>
        </w:rPr>
        <w:lastRenderedPageBreak/>
        <w:t>BSC</w:t>
      </w:r>
      <w:r w:rsidRPr="004E2161">
        <w:rPr>
          <w:rFonts w:ascii="Times New Roman" w:hAnsi="Times New Roman" w:cs="Times New Roman"/>
          <w:color w:val="000000" w:themeColor="text1"/>
          <w:sz w:val="20"/>
          <w:szCs w:val="20"/>
          <w:lang w:val="en-GB"/>
        </w:rPr>
        <w:t xml:space="preserve"> best supportive care</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bCs/>
          <w:i/>
          <w:iCs/>
          <w:color w:val="000000" w:themeColor="text1"/>
          <w:sz w:val="20"/>
          <w:szCs w:val="20"/>
          <w:lang w:val="en-GB"/>
        </w:rPr>
        <w:t>CMP</w:t>
      </w:r>
      <w:r w:rsidRPr="004E2161">
        <w:rPr>
          <w:rFonts w:ascii="Times New Roman" w:hAnsi="Times New Roman" w:cs="Times New Roman"/>
          <w:color w:val="000000" w:themeColor="text1"/>
          <w:sz w:val="20"/>
          <w:szCs w:val="20"/>
          <w:lang w:val="en-GB"/>
        </w:rPr>
        <w:t xml:space="preserve"> comprehensive metabolic panel</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bCs/>
          <w:i/>
          <w:iCs/>
          <w:color w:val="000000" w:themeColor="text1"/>
          <w:sz w:val="20"/>
          <w:szCs w:val="20"/>
          <w:lang w:val="en-GB"/>
        </w:rPr>
        <w:t>CT</w:t>
      </w:r>
      <w:r w:rsidRPr="004E2161">
        <w:rPr>
          <w:rFonts w:ascii="Times New Roman" w:hAnsi="Times New Roman" w:cs="Times New Roman"/>
          <w:color w:val="000000" w:themeColor="text1"/>
          <w:sz w:val="20"/>
          <w:szCs w:val="20"/>
          <w:lang w:val="en-GB"/>
        </w:rPr>
        <w:t xml:space="preserve"> computed tomography</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bCs/>
          <w:i/>
          <w:iCs/>
          <w:color w:val="000000" w:themeColor="text1"/>
          <w:sz w:val="20"/>
          <w:szCs w:val="20"/>
          <w:lang w:val="en-GB"/>
        </w:rPr>
        <w:t>LDH</w:t>
      </w:r>
      <w:r w:rsidRPr="004E2161">
        <w:rPr>
          <w:rFonts w:ascii="Times New Roman" w:hAnsi="Times New Roman" w:cs="Times New Roman"/>
          <w:color w:val="000000" w:themeColor="text1"/>
          <w:sz w:val="20"/>
          <w:szCs w:val="20"/>
          <w:lang w:val="en-GB"/>
        </w:rPr>
        <w:t xml:space="preserve"> lactate dehydrogenase</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bCs/>
          <w:i/>
          <w:iCs/>
          <w:color w:val="000000" w:themeColor="text1"/>
          <w:sz w:val="20"/>
          <w:szCs w:val="20"/>
          <w:lang w:val="en-GB"/>
        </w:rPr>
        <w:t>NA</w:t>
      </w:r>
      <w:r w:rsidRPr="004E2161">
        <w:rPr>
          <w:rFonts w:ascii="Times New Roman" w:hAnsi="Times New Roman" w:cs="Times New Roman"/>
          <w:color w:val="000000" w:themeColor="text1"/>
          <w:sz w:val="20"/>
          <w:szCs w:val="20"/>
          <w:lang w:val="en-GB"/>
        </w:rPr>
        <w:t xml:space="preserve"> not applicable</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bCs/>
          <w:i/>
          <w:iCs/>
          <w:color w:val="000000" w:themeColor="text1"/>
          <w:sz w:val="20"/>
          <w:szCs w:val="20"/>
          <w:lang w:val="en-GB"/>
        </w:rPr>
        <w:t>NIVO+IPI</w:t>
      </w:r>
      <w:r w:rsidRPr="004E2161">
        <w:rPr>
          <w:rFonts w:ascii="Times New Roman" w:hAnsi="Times New Roman" w:cs="Times New Roman"/>
          <w:color w:val="000000" w:themeColor="text1"/>
          <w:sz w:val="20"/>
          <w:szCs w:val="20"/>
          <w:lang w:val="en-GB"/>
        </w:rPr>
        <w:t xml:space="preserve"> nivolumab plus ipilimumab</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bCs/>
          <w:i/>
          <w:iCs/>
          <w:color w:val="000000" w:themeColor="text1"/>
          <w:sz w:val="20"/>
          <w:szCs w:val="20"/>
          <w:lang w:val="en-GB"/>
        </w:rPr>
        <w:t>PAZ</w:t>
      </w:r>
      <w:r w:rsidRPr="004E2161">
        <w:rPr>
          <w:rFonts w:ascii="Times New Roman" w:hAnsi="Times New Roman" w:cs="Times New Roman"/>
          <w:color w:val="000000" w:themeColor="text1"/>
          <w:sz w:val="20"/>
          <w:szCs w:val="20"/>
          <w:lang w:val="en-GB"/>
        </w:rPr>
        <w:t xml:space="preserve"> pazopanib</w:t>
      </w:r>
      <w:r w:rsidR="007A4B41" w:rsidRPr="004E2161">
        <w:rPr>
          <w:rFonts w:ascii="Times New Roman" w:hAnsi="Times New Roman" w:cs="Times New Roman"/>
          <w:color w:val="000000" w:themeColor="text1"/>
          <w:sz w:val="20"/>
          <w:szCs w:val="20"/>
          <w:lang w:val="en-GB"/>
        </w:rPr>
        <w:t>,</w:t>
      </w:r>
      <w:r w:rsidRPr="004E2161">
        <w:rPr>
          <w:rFonts w:ascii="Times New Roman" w:hAnsi="Times New Roman" w:cs="Times New Roman"/>
          <w:color w:val="000000" w:themeColor="text1"/>
          <w:sz w:val="20"/>
          <w:szCs w:val="20"/>
          <w:lang w:val="en-GB"/>
        </w:rPr>
        <w:t xml:space="preserve"> </w:t>
      </w:r>
      <w:r w:rsidRPr="004E2161">
        <w:rPr>
          <w:rFonts w:ascii="Times New Roman" w:hAnsi="Times New Roman" w:cs="Times New Roman"/>
          <w:bCs/>
          <w:i/>
          <w:iCs/>
          <w:color w:val="000000" w:themeColor="text1"/>
          <w:sz w:val="20"/>
          <w:szCs w:val="20"/>
          <w:lang w:val="en-GB"/>
        </w:rPr>
        <w:t>SUN</w:t>
      </w:r>
      <w:r w:rsidRPr="004E2161">
        <w:rPr>
          <w:rFonts w:ascii="Times New Roman" w:hAnsi="Times New Roman" w:cs="Times New Roman"/>
          <w:color w:val="000000" w:themeColor="text1"/>
          <w:sz w:val="20"/>
          <w:szCs w:val="20"/>
          <w:lang w:val="en-GB"/>
        </w:rPr>
        <w:t xml:space="preserve"> sunitinib</w:t>
      </w:r>
    </w:p>
    <w:p w14:paraId="34A3C643" w14:textId="77777777" w:rsidR="007E3B13" w:rsidRPr="004E2161" w:rsidRDefault="007E3B13" w:rsidP="007E3B13">
      <w:pPr>
        <w:pStyle w:val="Footer"/>
        <w:spacing w:before="120" w:line="240" w:lineRule="auto"/>
        <w:jc w:val="left"/>
        <w:rPr>
          <w:rFonts w:ascii="Times New Roman" w:hAnsi="Times New Roman" w:cs="Times New Roman"/>
          <w:color w:val="000000" w:themeColor="text1"/>
          <w:sz w:val="20"/>
          <w:szCs w:val="20"/>
          <w:lang w:val="en-GB"/>
        </w:rPr>
      </w:pPr>
    </w:p>
    <w:p w14:paraId="76FE02EB"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68F864B2"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2E96C337"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111012DF"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6914BB54"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4D8B284E"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7076E8E7"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6446D37A"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053C08A4"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1F27B564"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7F9A4CDB"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62E83997"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4DE4C56C"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3C5AFE00"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0D823E2B"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3F6EB658"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41916691"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12B8F396"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4D11CC4F"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715C19B5"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6DB4E7D4"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2AA94111"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1B0CA8B0" w14:textId="77777777" w:rsidR="00737FBE" w:rsidRPr="004E2161" w:rsidRDefault="00737FBE" w:rsidP="007E3B13">
      <w:pPr>
        <w:pStyle w:val="Footer"/>
        <w:spacing w:before="120" w:line="240" w:lineRule="auto"/>
        <w:jc w:val="left"/>
        <w:rPr>
          <w:rFonts w:ascii="Times New Roman" w:hAnsi="Times New Roman" w:cs="Times New Roman"/>
          <w:color w:val="000000" w:themeColor="text1"/>
          <w:sz w:val="20"/>
          <w:szCs w:val="20"/>
          <w:lang w:val="en-GB"/>
        </w:rPr>
      </w:pPr>
    </w:p>
    <w:p w14:paraId="36A09409" w14:textId="28FEBCFA" w:rsidR="00737FBE" w:rsidRPr="004E2161" w:rsidRDefault="00737FBE" w:rsidP="00737FBE">
      <w:pPr>
        <w:pStyle w:val="Caption"/>
        <w:keepNext/>
        <w:spacing w:line="240" w:lineRule="auto"/>
        <w:contextualSpacing w:val="0"/>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Table S6</w:t>
      </w:r>
      <w:r w:rsidRPr="004E2161">
        <w:rPr>
          <w:rFonts w:ascii="Times New Roman" w:hAnsi="Times New Roman" w:cs="Times New Roman"/>
          <w:b w:val="0"/>
          <w:bCs/>
          <w:color w:val="000000" w:themeColor="text1"/>
          <w:sz w:val="20"/>
          <w:szCs w:val="20"/>
          <w:lang w:val="en-GB"/>
        </w:rPr>
        <w:t xml:space="preserve"> Scenario analyses results overview</w:t>
      </w:r>
    </w:p>
    <w:tbl>
      <w:tblPr>
        <w:tblStyle w:val="PharmeritTable2018"/>
        <w:tblW w:w="4946" w:type="pct"/>
        <w:tblLayout w:type="fixed"/>
        <w:tblCellMar>
          <w:top w:w="0" w:type="dxa"/>
          <w:bottom w:w="0" w:type="dxa"/>
        </w:tblCellMar>
        <w:tblLook w:val="04A0" w:firstRow="1" w:lastRow="0" w:firstColumn="1" w:lastColumn="0" w:noHBand="0" w:noVBand="1"/>
      </w:tblPr>
      <w:tblGrid>
        <w:gridCol w:w="1685"/>
        <w:gridCol w:w="1685"/>
        <w:gridCol w:w="1685"/>
        <w:gridCol w:w="1685"/>
        <w:gridCol w:w="1685"/>
        <w:gridCol w:w="1685"/>
        <w:gridCol w:w="1685"/>
        <w:gridCol w:w="1684"/>
      </w:tblGrid>
      <w:tr w:rsidR="00737FBE" w:rsidRPr="004E2161" w14:paraId="710DA35B" w14:textId="77777777" w:rsidTr="00D41E32">
        <w:trPr>
          <w:cnfStyle w:val="100000000000" w:firstRow="1" w:lastRow="0" w:firstColumn="0" w:lastColumn="0" w:oddVBand="0" w:evenVBand="0" w:oddHBand="0" w:evenHBand="0" w:firstRowFirstColumn="0" w:firstRowLastColumn="0" w:lastRowFirstColumn="0" w:lastRowLastColumn="0"/>
          <w:trHeight w:val="13"/>
        </w:trPr>
        <w:tc>
          <w:tcPr>
            <w:tcW w:w="0" w:type="pct"/>
            <w:tcBorders>
              <w:top w:val="single" w:sz="8" w:space="0" w:color="auto"/>
              <w:left w:val="nil"/>
              <w:bottom w:val="single" w:sz="4" w:space="0" w:color="D5DCE4" w:themeColor="text2" w:themeTint="33"/>
            </w:tcBorders>
            <w:shd w:val="clear" w:color="auto" w:fill="FFFFFF" w:themeFill="background1"/>
          </w:tcPr>
          <w:p w14:paraId="495BEB58" w14:textId="77777777" w:rsidR="00737FBE" w:rsidRPr="004E2161" w:rsidRDefault="00737FBE" w:rsidP="00D41E32">
            <w:pPr>
              <w:spacing w:after="0" w:line="240" w:lineRule="auto"/>
              <w:jc w:val="center"/>
              <w:rPr>
                <w:rFonts w:ascii="Times New Roman" w:hAnsi="Times New Roman" w:cs="Times New Roman"/>
                <w:bCs w:val="0"/>
                <w:color w:val="000000" w:themeColor="text1"/>
                <w:sz w:val="20"/>
                <w:szCs w:val="20"/>
                <w:lang w:val="en-GB"/>
              </w:rPr>
            </w:pPr>
            <w:r w:rsidRPr="004E2161">
              <w:rPr>
                <w:rFonts w:ascii="Times New Roman" w:hAnsi="Times New Roman" w:cs="Times New Roman"/>
                <w:bCs w:val="0"/>
                <w:color w:val="000000" w:themeColor="text1"/>
                <w:kern w:val="24"/>
                <w:sz w:val="20"/>
                <w:szCs w:val="20"/>
                <w:lang w:val="en-GB" w:eastAsia="en-US"/>
              </w:rPr>
              <w:t>Assumption</w:t>
            </w:r>
          </w:p>
        </w:tc>
        <w:tc>
          <w:tcPr>
            <w:tcW w:w="0" w:type="pct"/>
            <w:tcBorders>
              <w:top w:val="single" w:sz="8" w:space="0" w:color="auto"/>
              <w:bottom w:val="single" w:sz="4" w:space="0" w:color="D5DCE4" w:themeColor="text2" w:themeTint="33"/>
            </w:tcBorders>
            <w:shd w:val="clear" w:color="auto" w:fill="FFFFFF" w:themeFill="background1"/>
          </w:tcPr>
          <w:p w14:paraId="66607325" w14:textId="77777777" w:rsidR="00737FBE" w:rsidRPr="004E2161" w:rsidRDefault="00737FBE" w:rsidP="00D41E32">
            <w:pPr>
              <w:spacing w:after="0" w:line="240" w:lineRule="auto"/>
              <w:jc w:val="center"/>
              <w:rPr>
                <w:rFonts w:ascii="Times New Roman" w:hAnsi="Times New Roman" w:cs="Times New Roman"/>
                <w:bCs w:val="0"/>
                <w:i/>
                <w:color w:val="000000" w:themeColor="text1"/>
                <w:sz w:val="20"/>
                <w:szCs w:val="20"/>
                <w:lang w:val="en-GB"/>
              </w:rPr>
            </w:pPr>
          </w:p>
        </w:tc>
        <w:tc>
          <w:tcPr>
            <w:tcW w:w="0" w:type="pct"/>
            <w:tcBorders>
              <w:top w:val="single" w:sz="8" w:space="0" w:color="auto"/>
              <w:bottom w:val="single" w:sz="4" w:space="0" w:color="D5DCE4" w:themeColor="text2" w:themeTint="33"/>
            </w:tcBorders>
            <w:shd w:val="clear" w:color="auto" w:fill="FFFFFF" w:themeFill="background1"/>
          </w:tcPr>
          <w:p w14:paraId="1D2E4D07" w14:textId="77777777" w:rsidR="00737FBE" w:rsidRPr="004E2161" w:rsidRDefault="00737FBE" w:rsidP="00D41E32">
            <w:pPr>
              <w:spacing w:after="0" w:line="240" w:lineRule="auto"/>
              <w:jc w:val="left"/>
              <w:rPr>
                <w:rFonts w:ascii="Times New Roman" w:hAnsi="Times New Roman" w:cs="Times New Roman"/>
                <w:bCs w:val="0"/>
                <w:i/>
                <w:color w:val="000000" w:themeColor="text1"/>
                <w:sz w:val="20"/>
                <w:szCs w:val="20"/>
                <w:lang w:val="en-GB"/>
              </w:rPr>
            </w:pPr>
            <w:r w:rsidRPr="004E2161">
              <w:rPr>
                <w:rFonts w:ascii="Times New Roman" w:hAnsi="Times New Roman" w:cs="Times New Roman"/>
                <w:bCs w:val="0"/>
                <w:color w:val="000000" w:themeColor="text1"/>
                <w:kern w:val="24"/>
                <w:sz w:val="20"/>
                <w:szCs w:val="20"/>
                <w:lang w:val="en-GB" w:eastAsia="en-US"/>
              </w:rPr>
              <w:t>Base-case value</w:t>
            </w:r>
          </w:p>
        </w:tc>
        <w:tc>
          <w:tcPr>
            <w:tcW w:w="0" w:type="pct"/>
            <w:tcBorders>
              <w:top w:val="single" w:sz="8" w:space="0" w:color="auto"/>
              <w:bottom w:val="single" w:sz="4" w:space="0" w:color="D5DCE4" w:themeColor="text2" w:themeTint="33"/>
            </w:tcBorders>
            <w:shd w:val="clear" w:color="auto" w:fill="FFFFFF" w:themeFill="background1"/>
          </w:tcPr>
          <w:p w14:paraId="144DBF51" w14:textId="77777777" w:rsidR="00737FBE" w:rsidRPr="004E2161" w:rsidRDefault="00737FBE" w:rsidP="00D41E32">
            <w:pPr>
              <w:spacing w:after="0" w:line="240" w:lineRule="auto"/>
              <w:jc w:val="left"/>
              <w:rPr>
                <w:rFonts w:ascii="Times New Roman" w:hAnsi="Times New Roman" w:cs="Times New Roman"/>
                <w:bCs w:val="0"/>
                <w:color w:val="000000" w:themeColor="text1"/>
                <w:kern w:val="24"/>
                <w:sz w:val="20"/>
                <w:szCs w:val="20"/>
                <w:lang w:val="en-GB" w:eastAsia="en-US"/>
              </w:rPr>
            </w:pPr>
            <w:r w:rsidRPr="004E2161">
              <w:rPr>
                <w:rFonts w:ascii="Times New Roman" w:hAnsi="Times New Roman" w:cs="Times New Roman"/>
                <w:bCs w:val="0"/>
                <w:color w:val="000000" w:themeColor="text1"/>
                <w:kern w:val="24"/>
                <w:sz w:val="20"/>
                <w:szCs w:val="20"/>
                <w:lang w:val="en-GB" w:eastAsia="en-US"/>
              </w:rPr>
              <w:t>Scenario analysis value</w:t>
            </w:r>
          </w:p>
        </w:tc>
        <w:tc>
          <w:tcPr>
            <w:tcW w:w="0" w:type="pct"/>
            <w:tcBorders>
              <w:top w:val="single" w:sz="8" w:space="0" w:color="auto"/>
              <w:bottom w:val="single" w:sz="4" w:space="0" w:color="D5DCE4" w:themeColor="text2" w:themeTint="33"/>
            </w:tcBorders>
            <w:shd w:val="clear" w:color="auto" w:fill="FFFFFF" w:themeFill="background1"/>
          </w:tcPr>
          <w:p w14:paraId="05B13BA1" w14:textId="77777777" w:rsidR="00737FBE" w:rsidRPr="004E2161" w:rsidRDefault="00737FBE" w:rsidP="00D41E32">
            <w:pPr>
              <w:spacing w:after="0" w:line="240" w:lineRule="auto"/>
              <w:jc w:val="center"/>
              <w:rPr>
                <w:rFonts w:ascii="Times New Roman" w:hAnsi="Times New Roman" w:cs="Times New Roman"/>
                <w:bCs w:val="0"/>
                <w:color w:val="000000" w:themeColor="text1"/>
                <w:kern w:val="24"/>
                <w:sz w:val="20"/>
                <w:szCs w:val="20"/>
                <w:lang w:val="en-GB" w:eastAsia="en-US"/>
              </w:rPr>
            </w:pPr>
            <w:r w:rsidRPr="004E2161">
              <w:rPr>
                <w:rFonts w:ascii="Times New Roman" w:hAnsi="Times New Roman" w:cs="Times New Roman"/>
                <w:bCs w:val="0"/>
                <w:color w:val="000000" w:themeColor="text1"/>
                <w:kern w:val="24"/>
                <w:sz w:val="20"/>
                <w:szCs w:val="20"/>
                <w:lang w:val="en-GB" w:eastAsia="en-US"/>
              </w:rPr>
              <w:t>ICUR vs SUN</w:t>
            </w:r>
          </w:p>
          <w:p w14:paraId="7B49419D" w14:textId="77777777" w:rsidR="00737FBE" w:rsidRPr="004E2161" w:rsidRDefault="00737FBE" w:rsidP="00D41E32">
            <w:pPr>
              <w:spacing w:after="0" w:line="240" w:lineRule="auto"/>
              <w:jc w:val="center"/>
              <w:rPr>
                <w:rFonts w:ascii="Times New Roman" w:hAnsi="Times New Roman" w:cs="Times New Roman"/>
                <w:bCs w:val="0"/>
                <w:color w:val="000000" w:themeColor="text1"/>
                <w:kern w:val="24"/>
                <w:sz w:val="20"/>
                <w:szCs w:val="20"/>
                <w:lang w:val="en-GB" w:eastAsia="en-US"/>
              </w:rPr>
            </w:pPr>
            <w:r w:rsidRPr="004E2161">
              <w:rPr>
                <w:rFonts w:ascii="Times New Roman" w:hAnsi="Times New Roman" w:cs="Times New Roman"/>
                <w:bCs w:val="0"/>
                <w:color w:val="000000" w:themeColor="text1"/>
                <w:kern w:val="24"/>
                <w:sz w:val="20"/>
                <w:szCs w:val="20"/>
                <w:lang w:val="en-GB" w:eastAsia="en-US"/>
              </w:rPr>
              <w:t>(CHF/QALY)</w:t>
            </w:r>
          </w:p>
        </w:tc>
        <w:tc>
          <w:tcPr>
            <w:tcW w:w="0" w:type="pct"/>
            <w:tcBorders>
              <w:top w:val="single" w:sz="8" w:space="0" w:color="auto"/>
              <w:bottom w:val="single" w:sz="4" w:space="0" w:color="D5DCE4" w:themeColor="text2" w:themeTint="33"/>
            </w:tcBorders>
            <w:shd w:val="clear" w:color="auto" w:fill="FFFFFF" w:themeFill="background1"/>
          </w:tcPr>
          <w:p w14:paraId="446711BB" w14:textId="77777777" w:rsidR="00737FBE" w:rsidRPr="004E2161" w:rsidRDefault="00737FBE" w:rsidP="00D41E32">
            <w:pPr>
              <w:spacing w:after="0" w:line="240" w:lineRule="auto"/>
              <w:jc w:val="center"/>
              <w:rPr>
                <w:rFonts w:ascii="Times New Roman" w:hAnsi="Times New Roman" w:cs="Times New Roman"/>
                <w:bCs w:val="0"/>
                <w:color w:val="000000" w:themeColor="text1"/>
                <w:kern w:val="24"/>
                <w:sz w:val="20"/>
                <w:szCs w:val="20"/>
                <w:lang w:val="en-GB" w:eastAsia="en-US"/>
              </w:rPr>
            </w:pPr>
            <w:r w:rsidRPr="004E2161">
              <w:rPr>
                <w:rFonts w:ascii="Times New Roman" w:hAnsi="Times New Roman" w:cs="Times New Roman"/>
                <w:bCs w:val="0"/>
                <w:color w:val="000000" w:themeColor="text1"/>
                <w:kern w:val="24"/>
                <w:sz w:val="20"/>
                <w:szCs w:val="20"/>
                <w:lang w:val="en-GB" w:eastAsia="en-US"/>
              </w:rPr>
              <w:t>Change from base case SUN (%)</w:t>
            </w:r>
          </w:p>
        </w:tc>
        <w:tc>
          <w:tcPr>
            <w:tcW w:w="0" w:type="pct"/>
            <w:tcBorders>
              <w:top w:val="single" w:sz="8" w:space="0" w:color="auto"/>
              <w:bottom w:val="single" w:sz="4" w:space="0" w:color="D5DCE4" w:themeColor="text2" w:themeTint="33"/>
            </w:tcBorders>
            <w:shd w:val="clear" w:color="auto" w:fill="FFFFFF" w:themeFill="background1"/>
          </w:tcPr>
          <w:p w14:paraId="412009C7" w14:textId="77777777" w:rsidR="00737FBE" w:rsidRPr="004E2161" w:rsidRDefault="00737FBE" w:rsidP="00D41E32">
            <w:pPr>
              <w:spacing w:after="0" w:line="240" w:lineRule="auto"/>
              <w:jc w:val="center"/>
              <w:rPr>
                <w:rFonts w:ascii="Times New Roman" w:hAnsi="Times New Roman" w:cs="Times New Roman"/>
                <w:bCs w:val="0"/>
                <w:color w:val="000000" w:themeColor="text1"/>
                <w:kern w:val="24"/>
                <w:sz w:val="20"/>
                <w:szCs w:val="20"/>
                <w:lang w:val="en-GB" w:eastAsia="en-US"/>
              </w:rPr>
            </w:pPr>
            <w:r w:rsidRPr="004E2161">
              <w:rPr>
                <w:rFonts w:ascii="Times New Roman" w:hAnsi="Times New Roman" w:cs="Times New Roman"/>
                <w:bCs w:val="0"/>
                <w:color w:val="000000" w:themeColor="text1"/>
                <w:kern w:val="24"/>
                <w:sz w:val="20"/>
                <w:szCs w:val="20"/>
                <w:lang w:val="en-GB" w:eastAsia="en-US"/>
              </w:rPr>
              <w:t>ICUR vs PAZ</w:t>
            </w:r>
          </w:p>
          <w:p w14:paraId="0523DEC7" w14:textId="77777777" w:rsidR="00737FBE" w:rsidRPr="004E2161" w:rsidRDefault="00737FBE" w:rsidP="00D41E32">
            <w:pPr>
              <w:spacing w:after="0" w:line="240" w:lineRule="auto"/>
              <w:jc w:val="center"/>
              <w:rPr>
                <w:rFonts w:ascii="Times New Roman" w:hAnsi="Times New Roman" w:cs="Times New Roman"/>
                <w:bCs w:val="0"/>
                <w:color w:val="000000" w:themeColor="text1"/>
                <w:kern w:val="24"/>
                <w:sz w:val="20"/>
                <w:szCs w:val="20"/>
                <w:lang w:val="en-GB" w:eastAsia="en-US"/>
              </w:rPr>
            </w:pPr>
            <w:r w:rsidRPr="004E2161">
              <w:rPr>
                <w:rFonts w:ascii="Times New Roman" w:hAnsi="Times New Roman" w:cs="Times New Roman"/>
                <w:bCs w:val="0"/>
                <w:color w:val="000000" w:themeColor="text1"/>
                <w:kern w:val="24"/>
                <w:sz w:val="20"/>
                <w:szCs w:val="20"/>
                <w:lang w:val="en-GB" w:eastAsia="en-US"/>
              </w:rPr>
              <w:t>(CHF/QALY)</w:t>
            </w:r>
          </w:p>
        </w:tc>
        <w:tc>
          <w:tcPr>
            <w:tcW w:w="0" w:type="pct"/>
            <w:tcBorders>
              <w:top w:val="single" w:sz="8" w:space="0" w:color="auto"/>
              <w:bottom w:val="single" w:sz="4" w:space="0" w:color="D5DCE4" w:themeColor="text2" w:themeTint="33"/>
              <w:right w:val="nil"/>
            </w:tcBorders>
            <w:shd w:val="clear" w:color="auto" w:fill="FFFFFF" w:themeFill="background1"/>
          </w:tcPr>
          <w:p w14:paraId="4C2636B5" w14:textId="77777777" w:rsidR="00737FBE" w:rsidRPr="004E2161" w:rsidRDefault="00737FBE" w:rsidP="00D41E32">
            <w:pPr>
              <w:spacing w:after="0" w:line="240" w:lineRule="auto"/>
              <w:jc w:val="center"/>
              <w:rPr>
                <w:rFonts w:ascii="Times New Roman" w:hAnsi="Times New Roman" w:cs="Times New Roman"/>
                <w:bCs w:val="0"/>
                <w:color w:val="000000" w:themeColor="text1"/>
                <w:kern w:val="24"/>
                <w:sz w:val="20"/>
                <w:szCs w:val="20"/>
                <w:lang w:val="en-GB" w:eastAsia="en-US"/>
              </w:rPr>
            </w:pPr>
            <w:r w:rsidRPr="004E2161">
              <w:rPr>
                <w:rFonts w:ascii="Times New Roman" w:hAnsi="Times New Roman" w:cs="Times New Roman"/>
                <w:bCs w:val="0"/>
                <w:color w:val="000000" w:themeColor="text1"/>
                <w:kern w:val="24"/>
                <w:sz w:val="20"/>
                <w:szCs w:val="20"/>
                <w:lang w:val="en-GB" w:eastAsia="en-US"/>
              </w:rPr>
              <w:t>Change from base case PAZ (%)</w:t>
            </w:r>
          </w:p>
        </w:tc>
      </w:tr>
      <w:tr w:rsidR="00737FBE" w:rsidRPr="004E2161" w14:paraId="25A505B6" w14:textId="77777777" w:rsidTr="00D41E32">
        <w:trPr>
          <w:cnfStyle w:val="000000100000" w:firstRow="0" w:lastRow="0" w:firstColumn="0" w:lastColumn="0" w:oddVBand="0" w:evenVBand="0" w:oddHBand="1" w:evenHBand="0" w:firstRowFirstColumn="0" w:firstRowLastColumn="0" w:lastRowFirstColumn="0" w:lastRowLastColumn="0"/>
        </w:trPr>
        <w:tc>
          <w:tcPr>
            <w:tcW w:w="0" w:type="pct"/>
            <w:gridSpan w:val="4"/>
            <w:tcBorders>
              <w:top w:val="single" w:sz="4" w:space="0" w:color="D5DCE4" w:themeColor="text2" w:themeTint="33"/>
              <w:left w:val="nil"/>
              <w:bottom w:val="single" w:sz="4" w:space="0" w:color="auto"/>
            </w:tcBorders>
            <w:vAlign w:val="center"/>
          </w:tcPr>
          <w:p w14:paraId="3340BF96"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 xml:space="preserve">Base case </w:t>
            </w:r>
          </w:p>
        </w:tc>
        <w:tc>
          <w:tcPr>
            <w:tcW w:w="0" w:type="pct"/>
            <w:tcBorders>
              <w:top w:val="single" w:sz="4" w:space="0" w:color="D5DCE4" w:themeColor="text2" w:themeTint="33"/>
              <w:left w:val="single" w:sz="4" w:space="0" w:color="F2F2F2" w:themeColor="background1" w:themeShade="F2"/>
              <w:bottom w:val="single" w:sz="4" w:space="0" w:color="auto"/>
            </w:tcBorders>
          </w:tcPr>
          <w:p w14:paraId="5602BC20"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108,326</w:t>
            </w:r>
          </w:p>
        </w:tc>
        <w:tc>
          <w:tcPr>
            <w:tcW w:w="0" w:type="pct"/>
            <w:tcBorders>
              <w:top w:val="single" w:sz="4" w:space="0" w:color="D5DCE4" w:themeColor="text2" w:themeTint="33"/>
              <w:left w:val="single" w:sz="4" w:space="0" w:color="F2F2F2" w:themeColor="background1" w:themeShade="F2"/>
              <w:bottom w:val="single" w:sz="4" w:space="0" w:color="auto"/>
            </w:tcBorders>
          </w:tcPr>
          <w:p w14:paraId="41F80146"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p>
        </w:tc>
        <w:tc>
          <w:tcPr>
            <w:tcW w:w="0" w:type="pct"/>
            <w:tcBorders>
              <w:top w:val="single" w:sz="4" w:space="0" w:color="D5DCE4" w:themeColor="text2" w:themeTint="33"/>
              <w:left w:val="single" w:sz="4" w:space="0" w:color="F2F2F2" w:themeColor="background1" w:themeShade="F2"/>
              <w:bottom w:val="single" w:sz="4" w:space="0" w:color="auto"/>
            </w:tcBorders>
          </w:tcPr>
          <w:p w14:paraId="6255B89D"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106,996</w:t>
            </w:r>
          </w:p>
        </w:tc>
        <w:tc>
          <w:tcPr>
            <w:tcW w:w="0" w:type="pct"/>
            <w:tcBorders>
              <w:top w:val="single" w:sz="4" w:space="0" w:color="D5DCE4" w:themeColor="text2" w:themeTint="33"/>
              <w:left w:val="single" w:sz="4" w:space="0" w:color="F2F2F2" w:themeColor="background1" w:themeShade="F2"/>
              <w:bottom w:val="single" w:sz="4" w:space="0" w:color="auto"/>
              <w:right w:val="nil"/>
            </w:tcBorders>
          </w:tcPr>
          <w:p w14:paraId="0D98453E" w14:textId="77777777" w:rsidR="00737FBE" w:rsidRPr="004E2161" w:rsidRDefault="00737FBE" w:rsidP="00D41E32">
            <w:pPr>
              <w:spacing w:after="0" w:line="240" w:lineRule="auto"/>
              <w:jc w:val="center"/>
              <w:rPr>
                <w:rFonts w:ascii="Times New Roman" w:eastAsia="Calibri" w:hAnsi="Times New Roman" w:cs="Times New Roman"/>
                <w:b/>
                <w:color w:val="000000" w:themeColor="text1"/>
                <w:kern w:val="24"/>
                <w:sz w:val="20"/>
                <w:szCs w:val="20"/>
                <w:lang w:val="en-GB" w:eastAsia="en-US"/>
              </w:rPr>
            </w:pPr>
          </w:p>
        </w:tc>
      </w:tr>
      <w:tr w:rsidR="00737FBE" w:rsidRPr="004E2161" w14:paraId="260EB847" w14:textId="77777777" w:rsidTr="00D41E32">
        <w:tc>
          <w:tcPr>
            <w:tcW w:w="0" w:type="pct"/>
            <w:gridSpan w:val="2"/>
            <w:tcBorders>
              <w:top w:val="single" w:sz="4" w:space="0" w:color="auto"/>
              <w:left w:val="nil"/>
              <w:right w:val="single" w:sz="4" w:space="0" w:color="F2F2F2" w:themeColor="background1" w:themeShade="F2"/>
            </w:tcBorders>
            <w:vAlign w:val="center"/>
          </w:tcPr>
          <w:p w14:paraId="46D8D4B5" w14:textId="77777777" w:rsidR="00737FBE" w:rsidRPr="004E2161" w:rsidRDefault="00737FBE" w:rsidP="00D41E32">
            <w:pPr>
              <w:spacing w:after="0" w:line="240" w:lineRule="auto"/>
              <w:jc w:val="left"/>
              <w:rPr>
                <w:rFonts w:ascii="Times New Roman" w:hAnsi="Times New Roman" w:cs="Times New Roman"/>
                <w:bCs w:val="0"/>
                <w:color w:val="000000" w:themeColor="text1"/>
                <w:sz w:val="20"/>
                <w:szCs w:val="20"/>
                <w:lang w:val="en-GB"/>
              </w:rPr>
            </w:pPr>
            <w:r w:rsidRPr="004E2161">
              <w:rPr>
                <w:rFonts w:ascii="Times New Roman" w:eastAsia="Calibri" w:hAnsi="Times New Roman" w:cs="Times New Roman"/>
                <w:bCs w:val="0"/>
                <w:color w:val="000000" w:themeColor="text1"/>
                <w:kern w:val="24"/>
                <w:sz w:val="20"/>
                <w:szCs w:val="20"/>
                <w:lang w:val="en-GB" w:eastAsia="en-US"/>
              </w:rPr>
              <w:t>Dosing schedule</w:t>
            </w:r>
          </w:p>
        </w:tc>
        <w:tc>
          <w:tcPr>
            <w:tcW w:w="0" w:type="pct"/>
            <w:tcBorders>
              <w:top w:val="single" w:sz="4" w:space="0" w:color="auto"/>
              <w:left w:val="single" w:sz="4" w:space="0" w:color="F2F2F2" w:themeColor="background1" w:themeShade="F2"/>
            </w:tcBorders>
            <w:vAlign w:val="center"/>
          </w:tcPr>
          <w:p w14:paraId="0765096F" w14:textId="77777777" w:rsidR="00737FBE" w:rsidRPr="004E2161" w:rsidRDefault="00737FBE" w:rsidP="00D41E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Weight-based dosing of 3 mg/kg during maintenance phase</w:t>
            </w:r>
          </w:p>
        </w:tc>
        <w:tc>
          <w:tcPr>
            <w:tcW w:w="0" w:type="pct"/>
            <w:tcBorders>
              <w:top w:val="single" w:sz="4" w:space="0" w:color="auto"/>
              <w:left w:val="single" w:sz="4" w:space="0" w:color="F2F2F2" w:themeColor="background1" w:themeShade="F2"/>
            </w:tcBorders>
            <w:vAlign w:val="center"/>
          </w:tcPr>
          <w:p w14:paraId="4A27AD75"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240 mg (Q2W) flat dosing of NIVO during maintenance phase</w:t>
            </w:r>
          </w:p>
        </w:tc>
        <w:tc>
          <w:tcPr>
            <w:tcW w:w="0" w:type="pct"/>
            <w:tcBorders>
              <w:top w:val="single" w:sz="4" w:space="0" w:color="auto"/>
              <w:left w:val="single" w:sz="4" w:space="0" w:color="F2F2F2" w:themeColor="background1" w:themeShade="F2"/>
            </w:tcBorders>
          </w:tcPr>
          <w:p w14:paraId="6F363BF1"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126,127</w:t>
            </w:r>
          </w:p>
        </w:tc>
        <w:tc>
          <w:tcPr>
            <w:tcW w:w="0" w:type="pct"/>
            <w:tcBorders>
              <w:top w:val="single" w:sz="4" w:space="0" w:color="auto"/>
              <w:left w:val="single" w:sz="4" w:space="0" w:color="F2F2F2" w:themeColor="background1" w:themeShade="F2"/>
            </w:tcBorders>
          </w:tcPr>
          <w:p w14:paraId="0EA66F9C"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16.4</w:t>
            </w:r>
          </w:p>
        </w:tc>
        <w:tc>
          <w:tcPr>
            <w:tcW w:w="0" w:type="pct"/>
            <w:tcBorders>
              <w:top w:val="single" w:sz="4" w:space="0" w:color="auto"/>
              <w:left w:val="single" w:sz="4" w:space="0" w:color="F2F2F2" w:themeColor="background1" w:themeShade="F2"/>
            </w:tcBorders>
          </w:tcPr>
          <w:p w14:paraId="22146C3F"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124,797</w:t>
            </w:r>
          </w:p>
        </w:tc>
        <w:tc>
          <w:tcPr>
            <w:tcW w:w="0" w:type="pct"/>
            <w:tcBorders>
              <w:top w:val="single" w:sz="4" w:space="0" w:color="auto"/>
              <w:left w:val="single" w:sz="4" w:space="0" w:color="F2F2F2" w:themeColor="background1" w:themeShade="F2"/>
              <w:right w:val="nil"/>
            </w:tcBorders>
          </w:tcPr>
          <w:p w14:paraId="048965B0"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16.6</w:t>
            </w:r>
          </w:p>
        </w:tc>
      </w:tr>
      <w:tr w:rsidR="00737FBE" w:rsidRPr="004E2161" w14:paraId="41B64D3B" w14:textId="77777777" w:rsidTr="00D41E32">
        <w:trPr>
          <w:cnfStyle w:val="000000100000" w:firstRow="0" w:lastRow="0" w:firstColumn="0" w:lastColumn="0" w:oddVBand="0" w:evenVBand="0" w:oddHBand="1" w:evenHBand="0" w:firstRowFirstColumn="0" w:firstRowLastColumn="0" w:lastRowFirstColumn="0" w:lastRowLastColumn="0"/>
        </w:trPr>
        <w:tc>
          <w:tcPr>
            <w:tcW w:w="0" w:type="pct"/>
            <w:vMerge w:val="restart"/>
            <w:tcBorders>
              <w:left w:val="nil"/>
              <w:right w:val="single" w:sz="4" w:space="0" w:color="F2F2F2" w:themeColor="background1" w:themeShade="F2"/>
            </w:tcBorders>
            <w:vAlign w:val="center"/>
          </w:tcPr>
          <w:p w14:paraId="1DC03D22" w14:textId="77777777" w:rsidR="00737FBE" w:rsidRPr="004E2161" w:rsidRDefault="00737FBE" w:rsidP="00D41E32">
            <w:pPr>
              <w:spacing w:after="0" w:line="240" w:lineRule="auto"/>
              <w:jc w:val="left"/>
              <w:rPr>
                <w:rFonts w:ascii="Times New Roman" w:hAnsi="Times New Roman" w:cs="Times New Roman"/>
                <w:bCs w:val="0"/>
                <w:i/>
                <w:color w:val="000000" w:themeColor="text1"/>
                <w:sz w:val="20"/>
                <w:szCs w:val="20"/>
                <w:lang w:val="en-GB"/>
              </w:rPr>
            </w:pPr>
            <w:r w:rsidRPr="004E2161">
              <w:rPr>
                <w:rFonts w:ascii="Times New Roman" w:eastAsia="Calibri" w:hAnsi="Times New Roman" w:cs="Times New Roman"/>
                <w:bCs w:val="0"/>
                <w:color w:val="000000" w:themeColor="text1"/>
                <w:kern w:val="24"/>
                <w:sz w:val="20"/>
                <w:szCs w:val="20"/>
                <w:lang w:val="en-GB" w:eastAsia="en-US"/>
              </w:rPr>
              <w:t>Survival extrapolation</w:t>
            </w:r>
          </w:p>
        </w:tc>
        <w:tc>
          <w:tcPr>
            <w:tcW w:w="0" w:type="pct"/>
            <w:tcBorders>
              <w:left w:val="single" w:sz="4" w:space="0" w:color="F2F2F2" w:themeColor="background1" w:themeShade="F2"/>
              <w:right w:val="single" w:sz="4" w:space="0" w:color="F2F2F2" w:themeColor="background1" w:themeShade="F2"/>
            </w:tcBorders>
            <w:vAlign w:val="center"/>
          </w:tcPr>
          <w:p w14:paraId="72F603CF" w14:textId="77777777" w:rsidR="00737FBE" w:rsidRPr="004E2161" w:rsidRDefault="00737FBE" w:rsidP="00D41E32">
            <w:pPr>
              <w:spacing w:after="0" w:line="240" w:lineRule="auto"/>
              <w:jc w:val="center"/>
              <w:rPr>
                <w:rFonts w:ascii="Times New Roman" w:hAnsi="Times New Roman" w:cs="Times New Roman"/>
                <w:bCs w:val="0"/>
                <w:color w:val="000000" w:themeColor="text1"/>
                <w:sz w:val="20"/>
                <w:szCs w:val="20"/>
                <w:lang w:val="en-GB"/>
              </w:rPr>
            </w:pPr>
            <w:r w:rsidRPr="004E2161">
              <w:rPr>
                <w:rFonts w:ascii="Times New Roman" w:eastAsia="Calibri" w:hAnsi="Times New Roman" w:cs="Times New Roman"/>
                <w:bCs w:val="0"/>
                <w:color w:val="000000" w:themeColor="text1"/>
                <w:kern w:val="24"/>
                <w:sz w:val="20"/>
                <w:szCs w:val="20"/>
                <w:lang w:val="en-GB" w:eastAsia="en-US"/>
              </w:rPr>
              <w:t>PFS</w:t>
            </w:r>
          </w:p>
        </w:tc>
        <w:tc>
          <w:tcPr>
            <w:tcW w:w="0" w:type="pct"/>
            <w:tcBorders>
              <w:left w:val="single" w:sz="4" w:space="0" w:color="F2F2F2" w:themeColor="background1" w:themeShade="F2"/>
            </w:tcBorders>
            <w:vAlign w:val="center"/>
          </w:tcPr>
          <w:p w14:paraId="62FD20D2" w14:textId="77777777" w:rsidR="00737FBE" w:rsidRPr="004E2161" w:rsidRDefault="00737FBE" w:rsidP="00D41E32">
            <w:pPr>
              <w:spacing w:after="0" w:line="240" w:lineRule="auto"/>
              <w:jc w:val="left"/>
              <w:rPr>
                <w:rFonts w:ascii="Times New Roman" w:hAnsi="Times New Roman" w:cs="Times New Roman"/>
                <w:color w:val="000000" w:themeColor="text1"/>
                <w:sz w:val="20"/>
                <w:szCs w:val="20"/>
                <w:lang w:val="en-GB"/>
              </w:rPr>
            </w:pPr>
            <w:r w:rsidRPr="004E2161">
              <w:rPr>
                <w:rFonts w:ascii="Times New Roman" w:eastAsia="Calibri" w:hAnsi="Times New Roman" w:cs="Times New Roman"/>
                <w:bCs w:val="0"/>
                <w:color w:val="000000" w:themeColor="text1"/>
                <w:kern w:val="24"/>
                <w:sz w:val="20"/>
                <w:szCs w:val="20"/>
                <w:lang w:val="en-GB" w:eastAsia="en-US"/>
              </w:rPr>
              <w:t>Independent odds spline one-knot</w:t>
            </w:r>
          </w:p>
        </w:tc>
        <w:tc>
          <w:tcPr>
            <w:tcW w:w="0" w:type="pct"/>
            <w:tcBorders>
              <w:left w:val="single" w:sz="4" w:space="0" w:color="F2F2F2" w:themeColor="background1" w:themeShade="F2"/>
            </w:tcBorders>
            <w:vAlign w:val="center"/>
          </w:tcPr>
          <w:p w14:paraId="23E1059D"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Independent generalized gamma</w:t>
            </w:r>
          </w:p>
        </w:tc>
        <w:tc>
          <w:tcPr>
            <w:tcW w:w="0" w:type="pct"/>
            <w:tcBorders>
              <w:left w:val="single" w:sz="4" w:space="0" w:color="F2F2F2" w:themeColor="background1" w:themeShade="F2"/>
            </w:tcBorders>
          </w:tcPr>
          <w:p w14:paraId="0AA10C0A"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110,325</w:t>
            </w:r>
          </w:p>
        </w:tc>
        <w:tc>
          <w:tcPr>
            <w:tcW w:w="0" w:type="pct"/>
            <w:tcBorders>
              <w:left w:val="single" w:sz="4" w:space="0" w:color="F2F2F2" w:themeColor="background1" w:themeShade="F2"/>
            </w:tcBorders>
          </w:tcPr>
          <w:p w14:paraId="5F57915B"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1.8</w:t>
            </w:r>
          </w:p>
        </w:tc>
        <w:tc>
          <w:tcPr>
            <w:tcW w:w="0" w:type="pct"/>
            <w:tcBorders>
              <w:left w:val="single" w:sz="4" w:space="0" w:color="F2F2F2" w:themeColor="background1" w:themeShade="F2"/>
            </w:tcBorders>
          </w:tcPr>
          <w:p w14:paraId="3D7032F7"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109,160</w:t>
            </w:r>
          </w:p>
        </w:tc>
        <w:tc>
          <w:tcPr>
            <w:tcW w:w="0" w:type="pct"/>
            <w:tcBorders>
              <w:left w:val="single" w:sz="4" w:space="0" w:color="F2F2F2" w:themeColor="background1" w:themeShade="F2"/>
              <w:right w:val="nil"/>
            </w:tcBorders>
          </w:tcPr>
          <w:p w14:paraId="145FFE95"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2.0</w:t>
            </w:r>
          </w:p>
        </w:tc>
      </w:tr>
      <w:tr w:rsidR="00737FBE" w:rsidRPr="004E2161" w14:paraId="5BD442FB" w14:textId="77777777" w:rsidTr="00D41E32">
        <w:tc>
          <w:tcPr>
            <w:tcW w:w="0" w:type="pct"/>
            <w:vMerge/>
            <w:tcBorders>
              <w:left w:val="nil"/>
              <w:right w:val="single" w:sz="4" w:space="0" w:color="F2F2F2" w:themeColor="background1" w:themeShade="F2"/>
            </w:tcBorders>
            <w:vAlign w:val="center"/>
          </w:tcPr>
          <w:p w14:paraId="09BDA5A1"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p>
        </w:tc>
        <w:tc>
          <w:tcPr>
            <w:tcW w:w="0" w:type="pct"/>
            <w:tcBorders>
              <w:left w:val="single" w:sz="4" w:space="0" w:color="F2F2F2" w:themeColor="background1" w:themeShade="F2"/>
              <w:right w:val="single" w:sz="4" w:space="0" w:color="F2F2F2" w:themeColor="background1" w:themeShade="F2"/>
            </w:tcBorders>
            <w:vAlign w:val="center"/>
          </w:tcPr>
          <w:p w14:paraId="4B87D91F" w14:textId="77777777" w:rsidR="00737FBE" w:rsidRPr="004E2161" w:rsidRDefault="00737FBE" w:rsidP="00D41E32">
            <w:pPr>
              <w:spacing w:after="0" w:line="240" w:lineRule="auto"/>
              <w:jc w:val="center"/>
              <w:rPr>
                <w:rFonts w:ascii="Times New Roman" w:hAnsi="Times New Roman" w:cs="Times New Roman"/>
                <w:bCs w:val="0"/>
                <w:color w:val="000000" w:themeColor="text1"/>
                <w:sz w:val="20"/>
                <w:szCs w:val="20"/>
                <w:lang w:val="en-GB"/>
              </w:rPr>
            </w:pPr>
            <w:r w:rsidRPr="004E2161">
              <w:rPr>
                <w:rFonts w:ascii="Times New Roman" w:eastAsia="Calibri" w:hAnsi="Times New Roman" w:cs="Times New Roman"/>
                <w:bCs w:val="0"/>
                <w:color w:val="000000" w:themeColor="text1"/>
                <w:kern w:val="24"/>
                <w:sz w:val="20"/>
                <w:szCs w:val="20"/>
                <w:lang w:val="en-GB" w:eastAsia="en-US"/>
              </w:rPr>
              <w:t>TTD</w:t>
            </w:r>
          </w:p>
        </w:tc>
        <w:tc>
          <w:tcPr>
            <w:tcW w:w="0" w:type="pct"/>
            <w:tcBorders>
              <w:left w:val="single" w:sz="4" w:space="0" w:color="F2F2F2" w:themeColor="background1" w:themeShade="F2"/>
            </w:tcBorders>
            <w:vAlign w:val="center"/>
          </w:tcPr>
          <w:p w14:paraId="35A1469D" w14:textId="77777777" w:rsidR="00737FBE" w:rsidRPr="004E2161" w:rsidRDefault="00737FBE" w:rsidP="00D41E32">
            <w:pPr>
              <w:spacing w:after="0" w:line="240" w:lineRule="auto"/>
              <w:jc w:val="left"/>
              <w:rPr>
                <w:rFonts w:ascii="Times New Roman" w:hAnsi="Times New Roman" w:cs="Times New Roman"/>
                <w:color w:val="000000" w:themeColor="text1"/>
                <w:sz w:val="20"/>
                <w:szCs w:val="20"/>
                <w:lang w:val="en-GB"/>
              </w:rPr>
            </w:pPr>
            <w:r w:rsidRPr="004E2161">
              <w:rPr>
                <w:rFonts w:ascii="Times New Roman" w:eastAsia="Calibri" w:hAnsi="Times New Roman" w:cs="Times New Roman"/>
                <w:bCs w:val="0"/>
                <w:color w:val="000000" w:themeColor="text1"/>
                <w:kern w:val="24"/>
                <w:sz w:val="20"/>
                <w:szCs w:val="20"/>
                <w:lang w:val="en-GB" w:eastAsia="en-US"/>
              </w:rPr>
              <w:t>Independent log-logistic</w:t>
            </w:r>
          </w:p>
        </w:tc>
        <w:tc>
          <w:tcPr>
            <w:tcW w:w="0" w:type="pct"/>
            <w:tcBorders>
              <w:left w:val="single" w:sz="4" w:space="0" w:color="F2F2F2" w:themeColor="background1" w:themeShade="F2"/>
            </w:tcBorders>
            <w:vAlign w:val="center"/>
          </w:tcPr>
          <w:p w14:paraId="071ED266"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Independent odds spline</w:t>
            </w:r>
            <w:r w:rsidRPr="004E2161">
              <w:rPr>
                <w:rFonts w:ascii="Times New Roman" w:eastAsia="Calibri" w:hAnsi="Times New Roman" w:cs="Times New Roman"/>
                <w:bCs w:val="0"/>
                <w:color w:val="000000" w:themeColor="text1"/>
                <w:kern w:val="24"/>
                <w:sz w:val="20"/>
                <w:szCs w:val="20"/>
                <w:lang w:val="en-GB" w:eastAsia="en-US"/>
              </w:rPr>
              <w:br/>
              <w:t>one-knot</w:t>
            </w:r>
          </w:p>
        </w:tc>
        <w:tc>
          <w:tcPr>
            <w:tcW w:w="0" w:type="pct"/>
            <w:tcBorders>
              <w:left w:val="single" w:sz="4" w:space="0" w:color="F2F2F2" w:themeColor="background1" w:themeShade="F2"/>
            </w:tcBorders>
          </w:tcPr>
          <w:p w14:paraId="447A52F8"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105,782</w:t>
            </w:r>
          </w:p>
        </w:tc>
        <w:tc>
          <w:tcPr>
            <w:tcW w:w="0" w:type="pct"/>
            <w:tcBorders>
              <w:left w:val="single" w:sz="4" w:space="0" w:color="F2F2F2" w:themeColor="background1" w:themeShade="F2"/>
            </w:tcBorders>
          </w:tcPr>
          <w:p w14:paraId="23CDCB9D"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–2.3</w:t>
            </w:r>
          </w:p>
        </w:tc>
        <w:tc>
          <w:tcPr>
            <w:tcW w:w="0" w:type="pct"/>
            <w:tcBorders>
              <w:left w:val="single" w:sz="4" w:space="0" w:color="F2F2F2" w:themeColor="background1" w:themeShade="F2"/>
            </w:tcBorders>
          </w:tcPr>
          <w:p w14:paraId="2908FF82"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104,554</w:t>
            </w:r>
          </w:p>
        </w:tc>
        <w:tc>
          <w:tcPr>
            <w:tcW w:w="0" w:type="pct"/>
            <w:tcBorders>
              <w:left w:val="single" w:sz="4" w:space="0" w:color="F2F2F2" w:themeColor="background1" w:themeShade="F2"/>
              <w:right w:val="nil"/>
            </w:tcBorders>
          </w:tcPr>
          <w:p w14:paraId="593EDDEA"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–2.3</w:t>
            </w:r>
          </w:p>
        </w:tc>
      </w:tr>
      <w:tr w:rsidR="00737FBE" w:rsidRPr="004E2161" w14:paraId="48A994C3" w14:textId="77777777" w:rsidTr="00D41E32">
        <w:trPr>
          <w:cnfStyle w:val="000000100000" w:firstRow="0" w:lastRow="0" w:firstColumn="0" w:lastColumn="0" w:oddVBand="0" w:evenVBand="0" w:oddHBand="1" w:evenHBand="0" w:firstRowFirstColumn="0" w:firstRowLastColumn="0" w:lastRowFirstColumn="0" w:lastRowLastColumn="0"/>
        </w:trPr>
        <w:tc>
          <w:tcPr>
            <w:tcW w:w="0" w:type="pct"/>
            <w:vMerge/>
            <w:tcBorders>
              <w:left w:val="nil"/>
              <w:right w:val="single" w:sz="4" w:space="0" w:color="F2F2F2" w:themeColor="background1" w:themeShade="F2"/>
            </w:tcBorders>
            <w:vAlign w:val="center"/>
          </w:tcPr>
          <w:p w14:paraId="791A8360" w14:textId="77777777" w:rsidR="00737FBE" w:rsidRPr="004E2161" w:rsidRDefault="00737FBE" w:rsidP="00D41E32">
            <w:pPr>
              <w:spacing w:after="0" w:line="240" w:lineRule="auto"/>
              <w:jc w:val="center"/>
              <w:rPr>
                <w:rFonts w:ascii="Times New Roman" w:hAnsi="Times New Roman" w:cs="Times New Roman"/>
                <w:bCs w:val="0"/>
                <w:i/>
                <w:color w:val="000000" w:themeColor="text1"/>
                <w:sz w:val="20"/>
                <w:szCs w:val="20"/>
                <w:lang w:val="en-GB"/>
              </w:rPr>
            </w:pPr>
          </w:p>
        </w:tc>
        <w:tc>
          <w:tcPr>
            <w:tcW w:w="0" w:type="pct"/>
            <w:vMerge w:val="restart"/>
            <w:tcBorders>
              <w:left w:val="single" w:sz="4" w:space="0" w:color="F2F2F2" w:themeColor="background1" w:themeShade="F2"/>
              <w:right w:val="single" w:sz="4" w:space="0" w:color="F2F2F2" w:themeColor="background1" w:themeShade="F2"/>
            </w:tcBorders>
            <w:vAlign w:val="center"/>
          </w:tcPr>
          <w:p w14:paraId="092F052C" w14:textId="77777777" w:rsidR="00737FBE" w:rsidRPr="004E2161" w:rsidRDefault="00737FBE" w:rsidP="00D41E32">
            <w:pPr>
              <w:spacing w:after="0" w:line="240" w:lineRule="auto"/>
              <w:jc w:val="center"/>
              <w:rPr>
                <w:rFonts w:ascii="Times New Roman" w:hAnsi="Times New Roman" w:cs="Times New Roman"/>
                <w:bCs w:val="0"/>
                <w:color w:val="000000" w:themeColor="text1"/>
                <w:sz w:val="20"/>
                <w:szCs w:val="20"/>
                <w:lang w:val="en-GB"/>
              </w:rPr>
            </w:pPr>
            <w:r w:rsidRPr="004E2161">
              <w:rPr>
                <w:rFonts w:ascii="Times New Roman" w:eastAsia="Calibri" w:hAnsi="Times New Roman" w:cs="Times New Roman"/>
                <w:bCs w:val="0"/>
                <w:color w:val="000000" w:themeColor="text1"/>
                <w:kern w:val="24"/>
                <w:sz w:val="20"/>
                <w:szCs w:val="20"/>
                <w:lang w:val="en-GB" w:eastAsia="en-US"/>
              </w:rPr>
              <w:t>OS</w:t>
            </w:r>
          </w:p>
        </w:tc>
        <w:tc>
          <w:tcPr>
            <w:tcW w:w="0" w:type="pct"/>
            <w:vMerge w:val="restart"/>
            <w:tcBorders>
              <w:left w:val="single" w:sz="4" w:space="0" w:color="F2F2F2" w:themeColor="background1" w:themeShade="F2"/>
            </w:tcBorders>
            <w:vAlign w:val="center"/>
          </w:tcPr>
          <w:p w14:paraId="6BE60FDF" w14:textId="77777777" w:rsidR="00737FBE" w:rsidRPr="004E2161" w:rsidRDefault="00737FBE" w:rsidP="00D41E32">
            <w:pPr>
              <w:spacing w:after="0" w:line="240" w:lineRule="auto"/>
              <w:jc w:val="left"/>
              <w:rPr>
                <w:rFonts w:ascii="Times New Roman" w:hAnsi="Times New Roman" w:cs="Times New Roman"/>
                <w:color w:val="000000" w:themeColor="text1"/>
                <w:sz w:val="20"/>
                <w:szCs w:val="20"/>
                <w:lang w:val="en-GB"/>
              </w:rPr>
            </w:pPr>
            <w:r w:rsidRPr="004E2161">
              <w:rPr>
                <w:rFonts w:ascii="Times New Roman" w:eastAsia="Calibri" w:hAnsi="Times New Roman" w:cs="Times New Roman"/>
                <w:bCs w:val="0"/>
                <w:color w:val="000000" w:themeColor="text1"/>
                <w:kern w:val="24"/>
                <w:sz w:val="20"/>
                <w:szCs w:val="20"/>
                <w:lang w:val="en-GB" w:eastAsia="en-US"/>
              </w:rPr>
              <w:t>Dependent log-normal</w:t>
            </w:r>
          </w:p>
        </w:tc>
        <w:tc>
          <w:tcPr>
            <w:tcW w:w="0" w:type="pct"/>
            <w:tcBorders>
              <w:left w:val="single" w:sz="4" w:space="0" w:color="F2F2F2" w:themeColor="background1" w:themeShade="F2"/>
            </w:tcBorders>
            <w:vAlign w:val="center"/>
          </w:tcPr>
          <w:p w14:paraId="73FBC243"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Dependent hazard spline</w:t>
            </w:r>
            <w:r w:rsidRPr="004E2161">
              <w:rPr>
                <w:rFonts w:ascii="Times New Roman" w:eastAsia="Calibri" w:hAnsi="Times New Roman" w:cs="Times New Roman"/>
                <w:bCs w:val="0"/>
                <w:color w:val="000000" w:themeColor="text1"/>
                <w:kern w:val="24"/>
                <w:sz w:val="20"/>
                <w:szCs w:val="20"/>
                <w:lang w:val="en-GB" w:eastAsia="en-US"/>
              </w:rPr>
              <w:br/>
              <w:t>one-knot</w:t>
            </w:r>
          </w:p>
        </w:tc>
        <w:tc>
          <w:tcPr>
            <w:tcW w:w="0" w:type="pct"/>
            <w:tcBorders>
              <w:left w:val="single" w:sz="4" w:space="0" w:color="F2F2F2" w:themeColor="background1" w:themeShade="F2"/>
            </w:tcBorders>
          </w:tcPr>
          <w:p w14:paraId="1C58860B"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84,312</w:t>
            </w:r>
          </w:p>
        </w:tc>
        <w:tc>
          <w:tcPr>
            <w:tcW w:w="0" w:type="pct"/>
            <w:tcBorders>
              <w:left w:val="single" w:sz="4" w:space="0" w:color="F2F2F2" w:themeColor="background1" w:themeShade="F2"/>
            </w:tcBorders>
          </w:tcPr>
          <w:p w14:paraId="0B1B17A9"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–22.2</w:t>
            </w:r>
          </w:p>
        </w:tc>
        <w:tc>
          <w:tcPr>
            <w:tcW w:w="0" w:type="pct"/>
            <w:tcBorders>
              <w:left w:val="single" w:sz="4" w:space="0" w:color="F2F2F2" w:themeColor="background1" w:themeShade="F2"/>
            </w:tcBorders>
          </w:tcPr>
          <w:p w14:paraId="296762B2"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83,296</w:t>
            </w:r>
          </w:p>
        </w:tc>
        <w:tc>
          <w:tcPr>
            <w:tcW w:w="0" w:type="pct"/>
            <w:tcBorders>
              <w:left w:val="single" w:sz="4" w:space="0" w:color="F2F2F2" w:themeColor="background1" w:themeShade="F2"/>
              <w:right w:val="nil"/>
            </w:tcBorders>
          </w:tcPr>
          <w:p w14:paraId="7E421842"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–22.2</w:t>
            </w:r>
          </w:p>
        </w:tc>
      </w:tr>
      <w:tr w:rsidR="00737FBE" w:rsidRPr="004E2161" w14:paraId="1624D413" w14:textId="77777777" w:rsidTr="00D41E32">
        <w:tc>
          <w:tcPr>
            <w:tcW w:w="0" w:type="pct"/>
            <w:vMerge/>
            <w:tcBorders>
              <w:left w:val="nil"/>
              <w:right w:val="single" w:sz="4" w:space="0" w:color="F2F2F2" w:themeColor="background1" w:themeShade="F2"/>
            </w:tcBorders>
            <w:vAlign w:val="center"/>
          </w:tcPr>
          <w:p w14:paraId="2CBCCF30" w14:textId="77777777" w:rsidR="00737FBE" w:rsidRPr="004E2161" w:rsidRDefault="00737FBE" w:rsidP="00D41E32">
            <w:pPr>
              <w:spacing w:after="0" w:line="240" w:lineRule="auto"/>
              <w:jc w:val="center"/>
              <w:rPr>
                <w:rFonts w:ascii="Times New Roman" w:hAnsi="Times New Roman" w:cs="Times New Roman"/>
                <w:bCs w:val="0"/>
                <w:i/>
                <w:color w:val="000000" w:themeColor="text1"/>
                <w:sz w:val="20"/>
                <w:szCs w:val="20"/>
                <w:lang w:val="en-GB"/>
              </w:rPr>
            </w:pPr>
          </w:p>
        </w:tc>
        <w:tc>
          <w:tcPr>
            <w:tcW w:w="0" w:type="pct"/>
            <w:vMerge/>
            <w:tcBorders>
              <w:left w:val="single" w:sz="4" w:space="0" w:color="F2F2F2" w:themeColor="background1" w:themeShade="F2"/>
              <w:right w:val="single" w:sz="4" w:space="0" w:color="F2F2F2" w:themeColor="background1" w:themeShade="F2"/>
            </w:tcBorders>
            <w:vAlign w:val="center"/>
          </w:tcPr>
          <w:p w14:paraId="62652FD0"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p>
        </w:tc>
        <w:tc>
          <w:tcPr>
            <w:tcW w:w="0" w:type="pct"/>
            <w:vMerge/>
            <w:tcBorders>
              <w:left w:val="single" w:sz="4" w:space="0" w:color="F2F2F2" w:themeColor="background1" w:themeShade="F2"/>
            </w:tcBorders>
            <w:vAlign w:val="center"/>
          </w:tcPr>
          <w:p w14:paraId="5EE8346C"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p>
        </w:tc>
        <w:tc>
          <w:tcPr>
            <w:tcW w:w="0" w:type="pct"/>
            <w:tcBorders>
              <w:left w:val="single" w:sz="4" w:space="0" w:color="F2F2F2" w:themeColor="background1" w:themeShade="F2"/>
            </w:tcBorders>
            <w:vAlign w:val="center"/>
          </w:tcPr>
          <w:p w14:paraId="0D3008BA"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Independent log-normal</w:t>
            </w:r>
          </w:p>
        </w:tc>
        <w:tc>
          <w:tcPr>
            <w:tcW w:w="0" w:type="pct"/>
            <w:tcBorders>
              <w:left w:val="single" w:sz="4" w:space="0" w:color="F2F2F2" w:themeColor="background1" w:themeShade="F2"/>
            </w:tcBorders>
          </w:tcPr>
          <w:p w14:paraId="06CB73DB"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78,864</w:t>
            </w:r>
          </w:p>
        </w:tc>
        <w:tc>
          <w:tcPr>
            <w:tcW w:w="0" w:type="pct"/>
            <w:tcBorders>
              <w:left w:val="single" w:sz="4" w:space="0" w:color="F2F2F2" w:themeColor="background1" w:themeShade="F2"/>
            </w:tcBorders>
          </w:tcPr>
          <w:p w14:paraId="46285972"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–27.2</w:t>
            </w:r>
          </w:p>
        </w:tc>
        <w:tc>
          <w:tcPr>
            <w:tcW w:w="0" w:type="pct"/>
            <w:tcBorders>
              <w:left w:val="single" w:sz="4" w:space="0" w:color="F2F2F2" w:themeColor="background1" w:themeShade="F2"/>
            </w:tcBorders>
          </w:tcPr>
          <w:p w14:paraId="14FC4FCC"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77,914</w:t>
            </w:r>
          </w:p>
        </w:tc>
        <w:tc>
          <w:tcPr>
            <w:tcW w:w="0" w:type="pct"/>
            <w:tcBorders>
              <w:left w:val="single" w:sz="4" w:space="0" w:color="F2F2F2" w:themeColor="background1" w:themeShade="F2"/>
              <w:right w:val="nil"/>
            </w:tcBorders>
          </w:tcPr>
          <w:p w14:paraId="2E8DEF5F"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–27.2</w:t>
            </w:r>
          </w:p>
        </w:tc>
      </w:tr>
      <w:tr w:rsidR="00737FBE" w:rsidRPr="004E2161" w14:paraId="70F34189" w14:textId="77777777" w:rsidTr="00D41E32">
        <w:trPr>
          <w:cnfStyle w:val="000000100000" w:firstRow="0" w:lastRow="0" w:firstColumn="0" w:lastColumn="0" w:oddVBand="0" w:evenVBand="0" w:oddHBand="1" w:evenHBand="0" w:firstRowFirstColumn="0" w:firstRowLastColumn="0" w:lastRowFirstColumn="0" w:lastRowLastColumn="0"/>
        </w:trPr>
        <w:tc>
          <w:tcPr>
            <w:tcW w:w="0" w:type="pct"/>
            <w:gridSpan w:val="2"/>
            <w:vMerge w:val="restart"/>
            <w:tcBorders>
              <w:left w:val="nil"/>
              <w:right w:val="single" w:sz="4" w:space="0" w:color="F2F2F2" w:themeColor="background1" w:themeShade="F2"/>
            </w:tcBorders>
            <w:vAlign w:val="center"/>
          </w:tcPr>
          <w:p w14:paraId="1DE89819"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Utilities from CheckMate 214</w:t>
            </w:r>
          </w:p>
        </w:tc>
        <w:tc>
          <w:tcPr>
            <w:tcW w:w="0" w:type="pct"/>
            <w:vMerge w:val="restart"/>
            <w:tcBorders>
              <w:left w:val="single" w:sz="4" w:space="0" w:color="F2F2F2" w:themeColor="background1" w:themeShade="F2"/>
            </w:tcBorders>
            <w:vAlign w:val="center"/>
          </w:tcPr>
          <w:p w14:paraId="7F1FBD96"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Using treatment-specific utilities in PF, non-treatment specific utilities in PD</w:t>
            </w:r>
          </w:p>
        </w:tc>
        <w:tc>
          <w:tcPr>
            <w:tcW w:w="0" w:type="pct"/>
            <w:tcBorders>
              <w:left w:val="single" w:sz="4" w:space="0" w:color="F2F2F2" w:themeColor="background1" w:themeShade="F2"/>
            </w:tcBorders>
            <w:vAlign w:val="center"/>
          </w:tcPr>
          <w:p w14:paraId="7FB920C5"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Using treatment-specific utilities in both PF and PD</w:t>
            </w:r>
          </w:p>
        </w:tc>
        <w:tc>
          <w:tcPr>
            <w:tcW w:w="0" w:type="pct"/>
            <w:tcBorders>
              <w:left w:val="single" w:sz="4" w:space="0" w:color="F2F2F2" w:themeColor="background1" w:themeShade="F2"/>
            </w:tcBorders>
          </w:tcPr>
          <w:p w14:paraId="7C2B1A60"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102,595</w:t>
            </w:r>
          </w:p>
        </w:tc>
        <w:tc>
          <w:tcPr>
            <w:tcW w:w="0" w:type="pct"/>
            <w:tcBorders>
              <w:left w:val="single" w:sz="4" w:space="0" w:color="F2F2F2" w:themeColor="background1" w:themeShade="F2"/>
            </w:tcBorders>
          </w:tcPr>
          <w:p w14:paraId="1C9FDBF9"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–5.3</w:t>
            </w:r>
          </w:p>
        </w:tc>
        <w:tc>
          <w:tcPr>
            <w:tcW w:w="0" w:type="pct"/>
            <w:tcBorders>
              <w:left w:val="single" w:sz="4" w:space="0" w:color="F2F2F2" w:themeColor="background1" w:themeShade="F2"/>
            </w:tcBorders>
          </w:tcPr>
          <w:p w14:paraId="3BC6A61D"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101,336</w:t>
            </w:r>
          </w:p>
        </w:tc>
        <w:tc>
          <w:tcPr>
            <w:tcW w:w="0" w:type="pct"/>
            <w:tcBorders>
              <w:left w:val="single" w:sz="4" w:space="0" w:color="F2F2F2" w:themeColor="background1" w:themeShade="F2"/>
              <w:right w:val="nil"/>
            </w:tcBorders>
          </w:tcPr>
          <w:p w14:paraId="4EDF8B63"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–5.3</w:t>
            </w:r>
          </w:p>
        </w:tc>
      </w:tr>
      <w:tr w:rsidR="00737FBE" w:rsidRPr="004E2161" w14:paraId="2C1BBDB7" w14:textId="77777777" w:rsidTr="00D41E32">
        <w:tc>
          <w:tcPr>
            <w:tcW w:w="0" w:type="pct"/>
            <w:gridSpan w:val="2"/>
            <w:vMerge/>
            <w:tcBorders>
              <w:left w:val="nil"/>
              <w:right w:val="single" w:sz="4" w:space="0" w:color="F2F2F2" w:themeColor="background1" w:themeShade="F2"/>
            </w:tcBorders>
            <w:vAlign w:val="center"/>
          </w:tcPr>
          <w:p w14:paraId="3F26062D"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p>
        </w:tc>
        <w:tc>
          <w:tcPr>
            <w:tcW w:w="0" w:type="pct"/>
            <w:vMerge/>
            <w:tcBorders>
              <w:left w:val="single" w:sz="4" w:space="0" w:color="F2F2F2" w:themeColor="background1" w:themeShade="F2"/>
            </w:tcBorders>
            <w:vAlign w:val="center"/>
          </w:tcPr>
          <w:p w14:paraId="30C7CB48"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p>
        </w:tc>
        <w:tc>
          <w:tcPr>
            <w:tcW w:w="0" w:type="pct"/>
            <w:tcBorders>
              <w:left w:val="single" w:sz="4" w:space="0" w:color="F2F2F2" w:themeColor="background1" w:themeShade="F2"/>
            </w:tcBorders>
            <w:vAlign w:val="center"/>
          </w:tcPr>
          <w:p w14:paraId="7BCE6850" w14:textId="77777777" w:rsidR="00737FBE" w:rsidRPr="004E2161" w:rsidRDefault="00737FBE" w:rsidP="00D41E32">
            <w:pPr>
              <w:spacing w:after="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 xml:space="preserve">Using </w:t>
            </w:r>
            <w:r w:rsidRPr="004E2161">
              <w:rPr>
                <w:rFonts w:ascii="Times New Roman" w:eastAsia="Calibri" w:hAnsi="Times New Roman" w:cs="Times New Roman"/>
                <w:bCs w:val="0"/>
                <w:color w:val="000000" w:themeColor="text1"/>
                <w:kern w:val="24"/>
                <w:sz w:val="20"/>
                <w:szCs w:val="20"/>
                <w:lang w:val="en-GB" w:eastAsia="en-US"/>
              </w:rPr>
              <w:t>non-treatment specific</w:t>
            </w:r>
            <w:r w:rsidRPr="004E2161">
              <w:rPr>
                <w:rFonts w:ascii="Times New Roman" w:hAnsi="Times New Roman" w:cs="Times New Roman"/>
                <w:color w:val="000000" w:themeColor="text1"/>
                <w:sz w:val="20"/>
                <w:szCs w:val="20"/>
                <w:lang w:val="en-GB"/>
              </w:rPr>
              <w:t xml:space="preserve"> utilities in both PF (0.798) and PD (0.772)</w:t>
            </w:r>
          </w:p>
        </w:tc>
        <w:tc>
          <w:tcPr>
            <w:tcW w:w="0" w:type="pct"/>
            <w:tcBorders>
              <w:left w:val="single" w:sz="4" w:space="0" w:color="F2F2F2" w:themeColor="background1" w:themeShade="F2"/>
            </w:tcBorders>
          </w:tcPr>
          <w:p w14:paraId="3884B921"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126,216</w:t>
            </w:r>
          </w:p>
        </w:tc>
        <w:tc>
          <w:tcPr>
            <w:tcW w:w="0" w:type="pct"/>
            <w:tcBorders>
              <w:left w:val="single" w:sz="4" w:space="0" w:color="F2F2F2" w:themeColor="background1" w:themeShade="F2"/>
            </w:tcBorders>
          </w:tcPr>
          <w:p w14:paraId="56BEE866"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16.5</w:t>
            </w:r>
          </w:p>
        </w:tc>
        <w:tc>
          <w:tcPr>
            <w:tcW w:w="0" w:type="pct"/>
            <w:tcBorders>
              <w:left w:val="single" w:sz="4" w:space="0" w:color="F2F2F2" w:themeColor="background1" w:themeShade="F2"/>
            </w:tcBorders>
          </w:tcPr>
          <w:p w14:paraId="74E680D8"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124,667</w:t>
            </w:r>
          </w:p>
        </w:tc>
        <w:tc>
          <w:tcPr>
            <w:tcW w:w="0" w:type="pct"/>
            <w:tcBorders>
              <w:left w:val="single" w:sz="4" w:space="0" w:color="F2F2F2" w:themeColor="background1" w:themeShade="F2"/>
              <w:right w:val="nil"/>
            </w:tcBorders>
          </w:tcPr>
          <w:p w14:paraId="49E9DEF8"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16.5</w:t>
            </w:r>
          </w:p>
        </w:tc>
      </w:tr>
      <w:tr w:rsidR="00737FBE" w:rsidRPr="004E2161" w14:paraId="2B029690" w14:textId="77777777" w:rsidTr="00D41E32">
        <w:trPr>
          <w:cnfStyle w:val="000000100000" w:firstRow="0" w:lastRow="0" w:firstColumn="0" w:lastColumn="0" w:oddVBand="0" w:evenVBand="0" w:oddHBand="1" w:evenHBand="0" w:firstRowFirstColumn="0" w:firstRowLastColumn="0" w:lastRowFirstColumn="0" w:lastRowLastColumn="0"/>
        </w:trPr>
        <w:tc>
          <w:tcPr>
            <w:tcW w:w="0" w:type="pct"/>
            <w:gridSpan w:val="2"/>
            <w:vMerge/>
            <w:tcBorders>
              <w:left w:val="nil"/>
              <w:right w:val="single" w:sz="4" w:space="0" w:color="F2F2F2" w:themeColor="background1" w:themeShade="F2"/>
            </w:tcBorders>
            <w:vAlign w:val="center"/>
          </w:tcPr>
          <w:p w14:paraId="3F49E55B"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p>
        </w:tc>
        <w:tc>
          <w:tcPr>
            <w:tcW w:w="0" w:type="pct"/>
            <w:tcBorders>
              <w:left w:val="single" w:sz="4" w:space="0" w:color="F2F2F2" w:themeColor="background1" w:themeShade="F2"/>
            </w:tcBorders>
            <w:vAlign w:val="center"/>
          </w:tcPr>
          <w:p w14:paraId="10F09FAA"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Using a French tariff</w:t>
            </w:r>
          </w:p>
        </w:tc>
        <w:tc>
          <w:tcPr>
            <w:tcW w:w="0" w:type="pct"/>
            <w:tcBorders>
              <w:left w:val="single" w:sz="4" w:space="0" w:color="F2F2F2" w:themeColor="background1" w:themeShade="F2"/>
            </w:tcBorders>
            <w:vAlign w:val="center"/>
          </w:tcPr>
          <w:p w14:paraId="7A29FACC"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 xml:space="preserve">Using a German tariff (0.905 and 0.874 for NIVO+IPI and </w:t>
            </w:r>
            <w:r w:rsidRPr="004E2161">
              <w:rPr>
                <w:rFonts w:ascii="Times New Roman" w:hAnsi="Times New Roman" w:cs="Times New Roman"/>
                <w:color w:val="000000" w:themeColor="text1"/>
                <w:sz w:val="20"/>
                <w:szCs w:val="20"/>
                <w:lang w:val="en-GB"/>
              </w:rPr>
              <w:lastRenderedPageBreak/>
              <w:t>SUN respectively in PF, 0.875 for both arms in PD)</w:t>
            </w:r>
          </w:p>
        </w:tc>
        <w:tc>
          <w:tcPr>
            <w:tcW w:w="0" w:type="pct"/>
            <w:tcBorders>
              <w:left w:val="single" w:sz="4" w:space="0" w:color="F2F2F2" w:themeColor="background1" w:themeShade="F2"/>
            </w:tcBorders>
          </w:tcPr>
          <w:p w14:paraId="37874D3C"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lastRenderedPageBreak/>
              <w:t>105,408</w:t>
            </w:r>
          </w:p>
        </w:tc>
        <w:tc>
          <w:tcPr>
            <w:tcW w:w="0" w:type="pct"/>
            <w:tcBorders>
              <w:left w:val="single" w:sz="4" w:space="0" w:color="F2F2F2" w:themeColor="background1" w:themeShade="F2"/>
            </w:tcBorders>
          </w:tcPr>
          <w:p w14:paraId="5CAACAA4"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–2.7</w:t>
            </w:r>
          </w:p>
        </w:tc>
        <w:tc>
          <w:tcPr>
            <w:tcW w:w="0" w:type="pct"/>
            <w:tcBorders>
              <w:left w:val="single" w:sz="4" w:space="0" w:color="F2F2F2" w:themeColor="background1" w:themeShade="F2"/>
            </w:tcBorders>
          </w:tcPr>
          <w:p w14:paraId="1F2CD93C"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104,114</w:t>
            </w:r>
          </w:p>
        </w:tc>
        <w:tc>
          <w:tcPr>
            <w:tcW w:w="0" w:type="pct"/>
            <w:tcBorders>
              <w:left w:val="single" w:sz="4" w:space="0" w:color="F2F2F2" w:themeColor="background1" w:themeShade="F2"/>
              <w:right w:val="nil"/>
            </w:tcBorders>
          </w:tcPr>
          <w:p w14:paraId="16969C9B"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–2.7</w:t>
            </w:r>
          </w:p>
        </w:tc>
      </w:tr>
      <w:tr w:rsidR="00737FBE" w:rsidRPr="004E2161" w14:paraId="62BB3A44" w14:textId="77777777" w:rsidTr="00D41E32">
        <w:trPr>
          <w:trHeight w:val="737"/>
        </w:trPr>
        <w:tc>
          <w:tcPr>
            <w:tcW w:w="0" w:type="pct"/>
            <w:gridSpan w:val="2"/>
            <w:tcBorders>
              <w:left w:val="nil"/>
              <w:right w:val="single" w:sz="4" w:space="0" w:color="F2F2F2" w:themeColor="background1" w:themeShade="F2"/>
            </w:tcBorders>
            <w:vAlign w:val="center"/>
          </w:tcPr>
          <w:p w14:paraId="1D56EB41" w14:textId="77777777" w:rsidR="00737FBE" w:rsidRPr="004E2161" w:rsidRDefault="00737FBE" w:rsidP="00D41E32">
            <w:pPr>
              <w:spacing w:after="0" w:line="240" w:lineRule="auto"/>
              <w:jc w:val="left"/>
              <w:rPr>
                <w:rFonts w:ascii="Times New Roman" w:hAnsi="Times New Roman" w:cs="Times New Roman"/>
                <w:bCs w:val="0"/>
                <w:color w:val="000000" w:themeColor="text1"/>
                <w:sz w:val="20"/>
                <w:szCs w:val="20"/>
                <w:lang w:val="en-GB"/>
              </w:rPr>
            </w:pPr>
            <w:r w:rsidRPr="004E2161">
              <w:rPr>
                <w:rFonts w:ascii="Times New Roman" w:eastAsia="Calibri" w:hAnsi="Times New Roman" w:cs="Times New Roman"/>
                <w:bCs w:val="0"/>
                <w:color w:val="000000" w:themeColor="text1"/>
                <w:kern w:val="24"/>
                <w:sz w:val="20"/>
                <w:szCs w:val="20"/>
                <w:lang w:val="en-GB" w:eastAsia="en-US"/>
              </w:rPr>
              <w:t>Subsequent treatment</w:t>
            </w:r>
          </w:p>
        </w:tc>
        <w:tc>
          <w:tcPr>
            <w:tcW w:w="0" w:type="pct"/>
            <w:tcBorders>
              <w:left w:val="single" w:sz="4" w:space="0" w:color="F2F2F2" w:themeColor="background1" w:themeShade="F2"/>
            </w:tcBorders>
            <w:vAlign w:val="center"/>
          </w:tcPr>
          <w:p w14:paraId="2A8BE765"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Treatment distribution informed by the CheckMate 214 RCT</w:t>
            </w:r>
          </w:p>
        </w:tc>
        <w:tc>
          <w:tcPr>
            <w:tcW w:w="0" w:type="pct"/>
            <w:tcBorders>
              <w:left w:val="single" w:sz="4" w:space="0" w:color="F2F2F2" w:themeColor="background1" w:themeShade="F2"/>
            </w:tcBorders>
            <w:vAlign w:val="center"/>
          </w:tcPr>
          <w:p w14:paraId="5438CBCE"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Treatment distribution informed by Swiss clinical expert opinion (See Table S1)</w:t>
            </w:r>
          </w:p>
        </w:tc>
        <w:tc>
          <w:tcPr>
            <w:tcW w:w="0" w:type="pct"/>
            <w:tcBorders>
              <w:left w:val="single" w:sz="4" w:space="0" w:color="F2F2F2" w:themeColor="background1" w:themeShade="F2"/>
            </w:tcBorders>
          </w:tcPr>
          <w:p w14:paraId="21EF8DEE"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99,515</w:t>
            </w:r>
          </w:p>
        </w:tc>
        <w:tc>
          <w:tcPr>
            <w:tcW w:w="0" w:type="pct"/>
            <w:tcBorders>
              <w:left w:val="single" w:sz="4" w:space="0" w:color="F2F2F2" w:themeColor="background1" w:themeShade="F2"/>
            </w:tcBorders>
          </w:tcPr>
          <w:p w14:paraId="7E24B31B"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–8.1</w:t>
            </w:r>
          </w:p>
        </w:tc>
        <w:tc>
          <w:tcPr>
            <w:tcW w:w="0" w:type="pct"/>
            <w:tcBorders>
              <w:left w:val="single" w:sz="4" w:space="0" w:color="F2F2F2" w:themeColor="background1" w:themeShade="F2"/>
            </w:tcBorders>
          </w:tcPr>
          <w:p w14:paraId="60F8163B"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98,185</w:t>
            </w:r>
          </w:p>
        </w:tc>
        <w:tc>
          <w:tcPr>
            <w:tcW w:w="0" w:type="pct"/>
            <w:tcBorders>
              <w:left w:val="single" w:sz="4" w:space="0" w:color="F2F2F2" w:themeColor="background1" w:themeShade="F2"/>
              <w:right w:val="nil"/>
            </w:tcBorders>
          </w:tcPr>
          <w:p w14:paraId="2879C65A" w14:textId="77777777" w:rsidR="00737FBE" w:rsidRPr="004E2161" w:rsidRDefault="00737FBE" w:rsidP="00D41E32">
            <w:pPr>
              <w:spacing w:after="0" w:line="240" w:lineRule="auto"/>
              <w:jc w:val="center"/>
              <w:rPr>
                <w:rFonts w:ascii="Times New Roman" w:eastAsia="Calibri" w:hAnsi="Times New Roman" w:cs="Times New Roman"/>
                <w:bCs w:val="0"/>
                <w:color w:val="000000" w:themeColor="text1"/>
                <w:kern w:val="24"/>
                <w:sz w:val="20"/>
                <w:szCs w:val="20"/>
                <w:lang w:val="en-GB" w:eastAsia="en-US"/>
              </w:rPr>
            </w:pPr>
            <w:r w:rsidRPr="004E2161">
              <w:rPr>
                <w:rFonts w:ascii="Times New Roman" w:hAnsi="Times New Roman" w:cs="Times New Roman"/>
                <w:color w:val="000000" w:themeColor="text1"/>
                <w:sz w:val="20"/>
                <w:szCs w:val="20"/>
                <w:lang w:val="en-GB"/>
              </w:rPr>
              <w:t>–8.2</w:t>
            </w:r>
          </w:p>
        </w:tc>
      </w:tr>
      <w:tr w:rsidR="00737FBE" w:rsidRPr="004E2161" w14:paraId="688E7C48" w14:textId="77777777" w:rsidTr="00D41E32">
        <w:trPr>
          <w:cnfStyle w:val="000000100000" w:firstRow="0" w:lastRow="0" w:firstColumn="0" w:lastColumn="0" w:oddVBand="0" w:evenVBand="0" w:oddHBand="1" w:evenHBand="0" w:firstRowFirstColumn="0" w:firstRowLastColumn="0" w:lastRowFirstColumn="0" w:lastRowLastColumn="0"/>
          <w:trHeight w:val="791"/>
        </w:trPr>
        <w:tc>
          <w:tcPr>
            <w:tcW w:w="0" w:type="pct"/>
            <w:gridSpan w:val="2"/>
            <w:tcBorders>
              <w:left w:val="nil"/>
              <w:bottom w:val="single" w:sz="8" w:space="0" w:color="auto"/>
              <w:right w:val="single" w:sz="4" w:space="0" w:color="F2F2F2" w:themeColor="background1" w:themeShade="F2"/>
            </w:tcBorders>
            <w:vAlign w:val="center"/>
          </w:tcPr>
          <w:p w14:paraId="43B73F29"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Maximum treatment duration</w:t>
            </w:r>
          </w:p>
        </w:tc>
        <w:tc>
          <w:tcPr>
            <w:tcW w:w="0" w:type="pct"/>
            <w:tcBorders>
              <w:left w:val="single" w:sz="4" w:space="0" w:color="F2F2F2" w:themeColor="background1" w:themeShade="F2"/>
              <w:bottom w:val="single" w:sz="8" w:space="0" w:color="auto"/>
            </w:tcBorders>
            <w:vAlign w:val="center"/>
          </w:tcPr>
          <w:p w14:paraId="67FED66B"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Patients on NIVO stop treatment within</w:t>
            </w:r>
            <w:r w:rsidRPr="004E2161">
              <w:rPr>
                <w:rFonts w:ascii="Times New Roman" w:eastAsia="Calibri" w:hAnsi="Times New Roman" w:cs="Times New Roman"/>
                <w:bCs w:val="0"/>
                <w:color w:val="000000" w:themeColor="text1"/>
                <w:kern w:val="24"/>
                <w:sz w:val="20"/>
                <w:szCs w:val="20"/>
                <w:lang w:val="en-GB" w:eastAsia="en-US"/>
              </w:rPr>
              <w:br/>
              <w:t>3 months after a CR</w:t>
            </w:r>
          </w:p>
        </w:tc>
        <w:tc>
          <w:tcPr>
            <w:tcW w:w="0" w:type="pct"/>
            <w:tcBorders>
              <w:left w:val="single" w:sz="4" w:space="0" w:color="F2F2F2" w:themeColor="background1" w:themeShade="F2"/>
              <w:bottom w:val="single" w:sz="8" w:space="0" w:color="auto"/>
            </w:tcBorders>
            <w:vAlign w:val="center"/>
          </w:tcPr>
          <w:p w14:paraId="3674AE7F" w14:textId="77777777" w:rsidR="00737FBE" w:rsidRPr="004E2161" w:rsidRDefault="00737FBE" w:rsidP="00D41E32">
            <w:pPr>
              <w:spacing w:after="0" w:line="240" w:lineRule="auto"/>
              <w:jc w:val="left"/>
              <w:rPr>
                <w:rFonts w:ascii="Times New Roman" w:eastAsia="Calibri" w:hAnsi="Times New Roman" w:cs="Times New Roman"/>
                <w:bCs w:val="0"/>
                <w:color w:val="000000" w:themeColor="text1"/>
                <w:kern w:val="24"/>
                <w:sz w:val="20"/>
                <w:szCs w:val="20"/>
                <w:lang w:val="en-GB" w:eastAsia="en-US"/>
              </w:rPr>
            </w:pPr>
            <w:r w:rsidRPr="004E2161">
              <w:rPr>
                <w:rFonts w:ascii="Times New Roman" w:eastAsia="Calibri" w:hAnsi="Times New Roman" w:cs="Times New Roman"/>
                <w:bCs w:val="0"/>
                <w:color w:val="000000" w:themeColor="text1"/>
                <w:kern w:val="24"/>
                <w:sz w:val="20"/>
                <w:szCs w:val="20"/>
                <w:lang w:val="en-GB" w:eastAsia="en-US"/>
              </w:rPr>
              <w:t>Patients on NIV stop treatment within 24 months after a CR</w:t>
            </w:r>
          </w:p>
        </w:tc>
        <w:tc>
          <w:tcPr>
            <w:tcW w:w="0" w:type="pct"/>
            <w:tcBorders>
              <w:left w:val="single" w:sz="4" w:space="0" w:color="F2F2F2" w:themeColor="background1" w:themeShade="F2"/>
              <w:bottom w:val="single" w:sz="8" w:space="0" w:color="auto"/>
            </w:tcBorders>
          </w:tcPr>
          <w:p w14:paraId="35571FFE"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112,442</w:t>
            </w:r>
          </w:p>
        </w:tc>
        <w:tc>
          <w:tcPr>
            <w:tcW w:w="0" w:type="pct"/>
            <w:tcBorders>
              <w:left w:val="single" w:sz="4" w:space="0" w:color="F2F2F2" w:themeColor="background1" w:themeShade="F2"/>
              <w:bottom w:val="single" w:sz="8" w:space="0" w:color="auto"/>
            </w:tcBorders>
          </w:tcPr>
          <w:p w14:paraId="6A7335A7"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3.8</w:t>
            </w:r>
          </w:p>
        </w:tc>
        <w:tc>
          <w:tcPr>
            <w:tcW w:w="0" w:type="pct"/>
            <w:tcBorders>
              <w:left w:val="single" w:sz="4" w:space="0" w:color="F2F2F2" w:themeColor="background1" w:themeShade="F2"/>
              <w:bottom w:val="single" w:sz="8" w:space="0" w:color="auto"/>
            </w:tcBorders>
          </w:tcPr>
          <w:p w14:paraId="60DE3476"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111,111</w:t>
            </w:r>
          </w:p>
        </w:tc>
        <w:tc>
          <w:tcPr>
            <w:tcW w:w="0" w:type="pct"/>
            <w:tcBorders>
              <w:left w:val="single" w:sz="4" w:space="0" w:color="F2F2F2" w:themeColor="background1" w:themeShade="F2"/>
              <w:bottom w:val="single" w:sz="8" w:space="0" w:color="auto"/>
              <w:right w:val="nil"/>
            </w:tcBorders>
          </w:tcPr>
          <w:p w14:paraId="478F892E" w14:textId="77777777" w:rsidR="00737FBE" w:rsidRPr="004E2161" w:rsidRDefault="00737FBE" w:rsidP="00D41E32">
            <w:pPr>
              <w:spacing w:after="0" w:line="240" w:lineRule="auto"/>
              <w:jc w:val="center"/>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3.8</w:t>
            </w:r>
          </w:p>
        </w:tc>
      </w:tr>
    </w:tbl>
    <w:p w14:paraId="3D42B671" w14:textId="5B33BF20" w:rsidR="00737FBE" w:rsidRPr="004E2161" w:rsidRDefault="00737FBE" w:rsidP="00737FBE">
      <w:pPr>
        <w:pStyle w:val="Footer"/>
        <w:spacing w:before="120" w:line="240" w:lineRule="auto"/>
        <w:jc w:val="left"/>
        <w:rPr>
          <w:rFonts w:ascii="Times New Roman" w:hAnsi="Times New Roman" w:cs="Times New Roman"/>
          <w:color w:val="000000" w:themeColor="text1"/>
          <w:sz w:val="20"/>
          <w:szCs w:val="20"/>
          <w:lang w:val="en-GB"/>
        </w:rPr>
        <w:sectPr w:rsidR="00737FBE" w:rsidRPr="004E2161" w:rsidSect="004E2161">
          <w:type w:val="continuous"/>
          <w:pgSz w:w="16840" w:h="11900" w:orient="landscape" w:code="1"/>
          <w:pgMar w:top="1584" w:right="1630" w:bottom="1584" w:left="1584" w:header="562" w:footer="562" w:gutter="0"/>
          <w:cols w:space="708"/>
          <w:formProt w:val="0"/>
          <w:docGrid w:linePitch="360"/>
        </w:sectPr>
      </w:pPr>
      <w:r w:rsidRPr="004E2161">
        <w:rPr>
          <w:rFonts w:ascii="Times New Roman" w:hAnsi="Times New Roman" w:cs="Times New Roman"/>
          <w:i/>
          <w:iCs/>
          <w:color w:val="000000" w:themeColor="text1"/>
          <w:sz w:val="20"/>
          <w:szCs w:val="20"/>
          <w:lang w:val="en-GB"/>
        </w:rPr>
        <w:t>CR</w:t>
      </w:r>
      <w:r w:rsidRPr="004E2161">
        <w:rPr>
          <w:rFonts w:ascii="Times New Roman" w:hAnsi="Times New Roman" w:cs="Times New Roman"/>
          <w:color w:val="000000" w:themeColor="text1"/>
          <w:sz w:val="20"/>
          <w:szCs w:val="20"/>
          <w:lang w:val="en-GB"/>
        </w:rPr>
        <w:t xml:space="preserve"> complete response, </w:t>
      </w:r>
      <w:r w:rsidRPr="004E2161">
        <w:rPr>
          <w:rFonts w:ascii="Times New Roman" w:hAnsi="Times New Roman" w:cs="Times New Roman"/>
          <w:i/>
          <w:iCs/>
          <w:color w:val="000000" w:themeColor="text1"/>
          <w:sz w:val="20"/>
          <w:szCs w:val="20"/>
          <w:lang w:val="en-GB"/>
        </w:rPr>
        <w:t>ICUR</w:t>
      </w:r>
      <w:r w:rsidRPr="004E2161">
        <w:rPr>
          <w:rFonts w:ascii="Times New Roman" w:hAnsi="Times New Roman" w:cs="Times New Roman"/>
          <w:color w:val="000000" w:themeColor="text1"/>
          <w:sz w:val="20"/>
          <w:szCs w:val="20"/>
          <w:lang w:val="en-GB"/>
        </w:rPr>
        <w:t xml:space="preserve"> incremental cost-utility ratio, </w:t>
      </w:r>
      <w:r w:rsidRPr="004E2161">
        <w:rPr>
          <w:rFonts w:ascii="Times New Roman" w:hAnsi="Times New Roman" w:cs="Times New Roman"/>
          <w:i/>
          <w:iCs/>
          <w:color w:val="000000" w:themeColor="text1"/>
          <w:sz w:val="20"/>
          <w:szCs w:val="20"/>
          <w:lang w:val="en-GB"/>
        </w:rPr>
        <w:t>NIVO+IPI</w:t>
      </w:r>
      <w:r w:rsidRPr="004E2161">
        <w:rPr>
          <w:rFonts w:ascii="Times New Roman" w:hAnsi="Times New Roman" w:cs="Times New Roman"/>
          <w:color w:val="000000" w:themeColor="text1"/>
          <w:sz w:val="20"/>
          <w:szCs w:val="20"/>
          <w:lang w:val="en-GB"/>
        </w:rPr>
        <w:t xml:space="preserve"> nivolumab plus ipilimumab, </w:t>
      </w:r>
      <w:r w:rsidRPr="004E2161">
        <w:rPr>
          <w:rFonts w:ascii="Times New Roman" w:hAnsi="Times New Roman" w:cs="Times New Roman"/>
          <w:i/>
          <w:iCs/>
          <w:color w:val="000000" w:themeColor="text1"/>
          <w:sz w:val="20"/>
          <w:szCs w:val="20"/>
          <w:lang w:val="en-GB"/>
        </w:rPr>
        <w:t>OS</w:t>
      </w:r>
      <w:r w:rsidRPr="004E2161">
        <w:rPr>
          <w:rFonts w:ascii="Times New Roman" w:hAnsi="Times New Roman" w:cs="Times New Roman"/>
          <w:color w:val="000000" w:themeColor="text1"/>
          <w:sz w:val="20"/>
          <w:szCs w:val="20"/>
          <w:lang w:val="en-GB"/>
        </w:rPr>
        <w:t xml:space="preserve"> overall survival, </w:t>
      </w:r>
      <w:r w:rsidRPr="004E2161">
        <w:rPr>
          <w:rFonts w:ascii="Times New Roman" w:hAnsi="Times New Roman" w:cs="Times New Roman"/>
          <w:i/>
          <w:iCs/>
          <w:color w:val="000000" w:themeColor="text1"/>
          <w:sz w:val="20"/>
          <w:szCs w:val="20"/>
          <w:lang w:val="en-GB"/>
        </w:rPr>
        <w:t>PAZ</w:t>
      </w:r>
      <w:r w:rsidRPr="004E2161">
        <w:rPr>
          <w:rFonts w:ascii="Times New Roman" w:hAnsi="Times New Roman" w:cs="Times New Roman"/>
          <w:color w:val="000000" w:themeColor="text1"/>
          <w:sz w:val="20"/>
          <w:szCs w:val="20"/>
          <w:lang w:val="en-GB"/>
        </w:rPr>
        <w:t xml:space="preserve"> pazopanib, </w:t>
      </w:r>
      <w:r w:rsidRPr="004E2161">
        <w:rPr>
          <w:rFonts w:ascii="Times New Roman" w:hAnsi="Times New Roman" w:cs="Times New Roman"/>
          <w:i/>
          <w:iCs/>
          <w:color w:val="000000" w:themeColor="text1"/>
          <w:sz w:val="20"/>
          <w:szCs w:val="20"/>
          <w:lang w:val="en-GB"/>
        </w:rPr>
        <w:t>PD</w:t>
      </w:r>
      <w:r w:rsidRPr="004E2161">
        <w:rPr>
          <w:rFonts w:ascii="Times New Roman" w:hAnsi="Times New Roman" w:cs="Times New Roman"/>
          <w:color w:val="000000" w:themeColor="text1"/>
          <w:sz w:val="20"/>
          <w:szCs w:val="20"/>
          <w:lang w:val="en-GB"/>
        </w:rPr>
        <w:t xml:space="preserve"> progressed disease, </w:t>
      </w:r>
      <w:r w:rsidRPr="004E2161">
        <w:rPr>
          <w:rFonts w:ascii="Times New Roman" w:hAnsi="Times New Roman" w:cs="Times New Roman"/>
          <w:i/>
          <w:iCs/>
          <w:color w:val="000000" w:themeColor="text1"/>
          <w:sz w:val="20"/>
          <w:szCs w:val="20"/>
          <w:lang w:val="en-GB"/>
        </w:rPr>
        <w:t>PF</w:t>
      </w:r>
      <w:r w:rsidRPr="004E2161">
        <w:rPr>
          <w:rFonts w:ascii="Times New Roman" w:hAnsi="Times New Roman" w:cs="Times New Roman"/>
          <w:color w:val="000000" w:themeColor="text1"/>
          <w:sz w:val="20"/>
          <w:szCs w:val="20"/>
          <w:lang w:val="en-GB"/>
        </w:rPr>
        <w:t xml:space="preserve"> progression-free, </w:t>
      </w:r>
      <w:r w:rsidRPr="004E2161">
        <w:rPr>
          <w:rFonts w:ascii="Times New Roman" w:hAnsi="Times New Roman" w:cs="Times New Roman"/>
          <w:i/>
          <w:iCs/>
          <w:color w:val="000000" w:themeColor="text1"/>
          <w:sz w:val="20"/>
          <w:szCs w:val="20"/>
          <w:lang w:val="en-GB"/>
        </w:rPr>
        <w:t>PFS</w:t>
      </w:r>
      <w:r w:rsidRPr="004E2161">
        <w:rPr>
          <w:rFonts w:ascii="Times New Roman" w:hAnsi="Times New Roman" w:cs="Times New Roman"/>
          <w:color w:val="000000" w:themeColor="text1"/>
          <w:sz w:val="20"/>
          <w:szCs w:val="20"/>
          <w:lang w:val="en-GB"/>
        </w:rPr>
        <w:t xml:space="preserve"> progression-free survival, </w:t>
      </w:r>
      <w:r w:rsidRPr="004E2161">
        <w:rPr>
          <w:rFonts w:ascii="Times New Roman" w:hAnsi="Times New Roman" w:cs="Times New Roman"/>
          <w:i/>
          <w:iCs/>
          <w:color w:val="000000" w:themeColor="text1"/>
          <w:sz w:val="20"/>
          <w:szCs w:val="20"/>
          <w:lang w:val="en-GB"/>
        </w:rPr>
        <w:t>QALY</w:t>
      </w:r>
      <w:r w:rsidRPr="004E2161">
        <w:rPr>
          <w:rFonts w:ascii="Times New Roman" w:hAnsi="Times New Roman" w:cs="Times New Roman"/>
          <w:color w:val="000000" w:themeColor="text1"/>
          <w:sz w:val="20"/>
          <w:szCs w:val="20"/>
          <w:lang w:val="en-GB"/>
        </w:rPr>
        <w:t xml:space="preserve"> quality-adjusted life-year, </w:t>
      </w:r>
      <w:r w:rsidRPr="004E2161">
        <w:rPr>
          <w:rFonts w:ascii="Times New Roman" w:hAnsi="Times New Roman" w:cs="Times New Roman"/>
          <w:i/>
          <w:iCs/>
          <w:color w:val="000000" w:themeColor="text1"/>
          <w:sz w:val="20"/>
          <w:szCs w:val="20"/>
          <w:lang w:val="en-GB"/>
        </w:rPr>
        <w:t>Q2W</w:t>
      </w:r>
      <w:r w:rsidRPr="004E2161">
        <w:rPr>
          <w:rFonts w:ascii="Times New Roman" w:hAnsi="Times New Roman" w:cs="Times New Roman"/>
          <w:color w:val="000000" w:themeColor="text1"/>
          <w:sz w:val="20"/>
          <w:szCs w:val="20"/>
          <w:lang w:val="en-GB"/>
        </w:rPr>
        <w:t xml:space="preserve"> every 2 weeks, </w:t>
      </w:r>
      <w:r w:rsidRPr="004E2161">
        <w:rPr>
          <w:rFonts w:ascii="Times New Roman" w:hAnsi="Times New Roman" w:cs="Times New Roman"/>
          <w:i/>
          <w:iCs/>
          <w:color w:val="000000" w:themeColor="text1"/>
          <w:sz w:val="20"/>
          <w:szCs w:val="20"/>
          <w:lang w:val="en-GB"/>
        </w:rPr>
        <w:t>RCT</w:t>
      </w:r>
      <w:r w:rsidRPr="004E2161">
        <w:rPr>
          <w:rFonts w:ascii="Times New Roman" w:hAnsi="Times New Roman" w:cs="Times New Roman"/>
          <w:color w:val="000000" w:themeColor="text1"/>
          <w:sz w:val="20"/>
          <w:szCs w:val="20"/>
          <w:lang w:val="en-GB"/>
        </w:rPr>
        <w:t xml:space="preserve"> randomized controlled trial, </w:t>
      </w:r>
      <w:r w:rsidRPr="004E2161">
        <w:rPr>
          <w:rFonts w:ascii="Times New Roman" w:hAnsi="Times New Roman" w:cs="Times New Roman"/>
          <w:i/>
          <w:iCs/>
          <w:color w:val="000000" w:themeColor="text1"/>
          <w:sz w:val="20"/>
          <w:szCs w:val="20"/>
          <w:lang w:val="en-GB"/>
        </w:rPr>
        <w:t>SUN</w:t>
      </w:r>
      <w:r w:rsidRPr="004E2161">
        <w:rPr>
          <w:rFonts w:ascii="Times New Roman" w:hAnsi="Times New Roman" w:cs="Times New Roman"/>
          <w:color w:val="000000" w:themeColor="text1"/>
          <w:sz w:val="20"/>
          <w:szCs w:val="20"/>
          <w:lang w:val="en-GB"/>
        </w:rPr>
        <w:t xml:space="preserve"> sunitinib, </w:t>
      </w:r>
      <w:r w:rsidRPr="004E2161">
        <w:rPr>
          <w:rFonts w:ascii="Times New Roman" w:hAnsi="Times New Roman" w:cs="Times New Roman"/>
          <w:i/>
          <w:iCs/>
          <w:color w:val="000000" w:themeColor="text1"/>
          <w:sz w:val="20"/>
          <w:szCs w:val="20"/>
          <w:lang w:val="en-GB"/>
        </w:rPr>
        <w:t>TTD</w:t>
      </w:r>
      <w:r w:rsidRPr="004E2161">
        <w:rPr>
          <w:rFonts w:ascii="Times New Roman" w:hAnsi="Times New Roman" w:cs="Times New Roman"/>
          <w:color w:val="000000" w:themeColor="text1"/>
          <w:sz w:val="20"/>
          <w:szCs w:val="20"/>
          <w:lang w:val="en-GB"/>
        </w:rPr>
        <w:t xml:space="preserve"> time to treatment discontinuatio</w:t>
      </w:r>
      <w:r w:rsidR="0024502F" w:rsidRPr="004E2161">
        <w:rPr>
          <w:rFonts w:ascii="Times New Roman" w:hAnsi="Times New Roman" w:cs="Times New Roman"/>
          <w:color w:val="000000" w:themeColor="text1"/>
          <w:sz w:val="20"/>
          <w:szCs w:val="20"/>
          <w:lang w:val="en-GB"/>
        </w:rPr>
        <w:t>n</w:t>
      </w:r>
    </w:p>
    <w:p w14:paraId="7D3E12A2" w14:textId="77777777" w:rsidR="00737FBE" w:rsidRPr="004E2161" w:rsidRDefault="00737FBE" w:rsidP="00737FBE">
      <w:pPr>
        <w:rPr>
          <w:rFonts w:ascii="Times New Roman" w:hAnsi="Times New Roman" w:cs="Times New Roman"/>
          <w:bCs w:val="0"/>
          <w:color w:val="000000" w:themeColor="text1"/>
          <w:sz w:val="20"/>
          <w:szCs w:val="20"/>
          <w:lang w:val="en-GB" w:eastAsia="en-US"/>
        </w:rPr>
      </w:pPr>
    </w:p>
    <w:p w14:paraId="14627F99" w14:textId="517009E5" w:rsidR="007E3B13" w:rsidRPr="004E2161" w:rsidRDefault="007E3B13" w:rsidP="007E3B13">
      <w:pPr>
        <w:pStyle w:val="Footer"/>
        <w:spacing w:before="120" w:line="240" w:lineRule="auto"/>
        <w:jc w:val="left"/>
        <w:rPr>
          <w:rFonts w:ascii="Times New Roman" w:hAnsi="Times New Roman" w:cs="Times New Roman"/>
          <w:b/>
          <w:bCs/>
          <w:color w:val="000000" w:themeColor="text1"/>
          <w:sz w:val="20"/>
          <w:szCs w:val="20"/>
          <w:lang w:val="en-GB"/>
        </w:rPr>
      </w:pPr>
      <w:r w:rsidRPr="004E2161">
        <w:rPr>
          <w:rFonts w:ascii="Times New Roman" w:hAnsi="Times New Roman" w:cs="Times New Roman"/>
          <w:b/>
          <w:bCs/>
          <w:color w:val="000000" w:themeColor="text1"/>
          <w:sz w:val="20"/>
          <w:szCs w:val="20"/>
          <w:lang w:val="en-GB"/>
        </w:rPr>
        <w:t>R</w:t>
      </w:r>
      <w:r w:rsidR="00DF44B8" w:rsidRPr="004E2161">
        <w:rPr>
          <w:rFonts w:ascii="Times New Roman" w:hAnsi="Times New Roman" w:cs="Times New Roman"/>
          <w:b/>
          <w:bCs/>
          <w:color w:val="000000" w:themeColor="text1"/>
          <w:sz w:val="20"/>
          <w:szCs w:val="20"/>
          <w:lang w:val="en-GB"/>
        </w:rPr>
        <w:t>eferences</w:t>
      </w:r>
    </w:p>
    <w:p w14:paraId="21C5CBDA" w14:textId="523871D4" w:rsidR="007E3B13" w:rsidRPr="004E2161" w:rsidRDefault="007E3B13" w:rsidP="007E3B13">
      <w:pPr>
        <w:pStyle w:val="Footer"/>
        <w:spacing w:before="12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 xml:space="preserve">1. Motzer RJ, Tannir NM, McDermott DF, et al. Nivolumab plus ipilimumab versus sunitinib in advanced renal-cell carcinoma. N </w:t>
      </w:r>
      <w:proofErr w:type="spellStart"/>
      <w:r w:rsidRPr="004E2161">
        <w:rPr>
          <w:rFonts w:ascii="Times New Roman" w:hAnsi="Times New Roman" w:cs="Times New Roman"/>
          <w:color w:val="000000" w:themeColor="text1"/>
          <w:sz w:val="20"/>
          <w:szCs w:val="20"/>
          <w:lang w:val="en-GB"/>
        </w:rPr>
        <w:t>Engl</w:t>
      </w:r>
      <w:proofErr w:type="spellEnd"/>
      <w:r w:rsidRPr="004E2161">
        <w:rPr>
          <w:rFonts w:ascii="Times New Roman" w:hAnsi="Times New Roman" w:cs="Times New Roman"/>
          <w:color w:val="000000" w:themeColor="text1"/>
          <w:sz w:val="20"/>
          <w:szCs w:val="20"/>
          <w:lang w:val="en-GB"/>
        </w:rPr>
        <w:t xml:space="preserve"> J Med. 2018;378(14):1277-90. </w:t>
      </w:r>
    </w:p>
    <w:p w14:paraId="3C2A37AC" w14:textId="5A73B179" w:rsidR="007E3B13" w:rsidRPr="003B2368" w:rsidRDefault="007E3B13" w:rsidP="007E3B13">
      <w:pPr>
        <w:pStyle w:val="Footer"/>
        <w:spacing w:before="120" w:line="240" w:lineRule="auto"/>
        <w:jc w:val="left"/>
        <w:rPr>
          <w:rFonts w:ascii="Times New Roman" w:hAnsi="Times New Roman" w:cs="Times New Roman"/>
          <w:color w:val="000000" w:themeColor="text1"/>
          <w:sz w:val="20"/>
          <w:szCs w:val="20"/>
          <w:lang w:val="en-GB"/>
        </w:rPr>
      </w:pPr>
      <w:r w:rsidRPr="004E2161">
        <w:rPr>
          <w:rFonts w:ascii="Times New Roman" w:hAnsi="Times New Roman" w:cs="Times New Roman"/>
          <w:color w:val="000000" w:themeColor="text1"/>
          <w:sz w:val="20"/>
          <w:szCs w:val="20"/>
          <w:lang w:val="en-GB"/>
        </w:rPr>
        <w:t xml:space="preserve">2. </w:t>
      </w:r>
      <w:proofErr w:type="spellStart"/>
      <w:r w:rsidRPr="004E2161">
        <w:rPr>
          <w:rFonts w:ascii="Times New Roman" w:hAnsi="Times New Roman" w:cs="Times New Roman"/>
          <w:color w:val="000000" w:themeColor="text1"/>
          <w:sz w:val="20"/>
          <w:szCs w:val="20"/>
          <w:lang w:val="en-GB"/>
        </w:rPr>
        <w:t>Sandmeier</w:t>
      </w:r>
      <w:proofErr w:type="spellEnd"/>
      <w:r w:rsidRPr="004E2161">
        <w:rPr>
          <w:rFonts w:ascii="Times New Roman" w:hAnsi="Times New Roman" w:cs="Times New Roman"/>
          <w:color w:val="000000" w:themeColor="text1"/>
          <w:sz w:val="20"/>
          <w:szCs w:val="20"/>
          <w:lang w:val="en-GB"/>
        </w:rPr>
        <w:t xml:space="preserve"> N, Rothschild SI, Rothermundt C, et al. Pattern of care study in metastatic renal-cell carcinoma in the </w:t>
      </w:r>
      <w:proofErr w:type="spellStart"/>
      <w:r w:rsidRPr="004E2161">
        <w:rPr>
          <w:rFonts w:ascii="Times New Roman" w:hAnsi="Times New Roman" w:cs="Times New Roman"/>
          <w:color w:val="000000" w:themeColor="text1"/>
          <w:sz w:val="20"/>
          <w:szCs w:val="20"/>
          <w:lang w:val="en-GB"/>
        </w:rPr>
        <w:t>preimmunotherapy</w:t>
      </w:r>
      <w:proofErr w:type="spellEnd"/>
      <w:r w:rsidRPr="004E2161">
        <w:rPr>
          <w:rFonts w:ascii="Times New Roman" w:hAnsi="Times New Roman" w:cs="Times New Roman"/>
          <w:color w:val="000000" w:themeColor="text1"/>
          <w:sz w:val="20"/>
          <w:szCs w:val="20"/>
          <w:lang w:val="en-GB"/>
        </w:rPr>
        <w:t xml:space="preserve"> era in Switzerland. </w:t>
      </w:r>
      <w:proofErr w:type="spellStart"/>
      <w:r w:rsidRPr="004E2161">
        <w:rPr>
          <w:rFonts w:ascii="Times New Roman" w:hAnsi="Times New Roman" w:cs="Times New Roman"/>
          <w:color w:val="000000" w:themeColor="text1"/>
          <w:sz w:val="20"/>
          <w:szCs w:val="20"/>
          <w:lang w:val="en-GB"/>
        </w:rPr>
        <w:t>Clin</w:t>
      </w:r>
      <w:proofErr w:type="spellEnd"/>
      <w:r w:rsidRPr="004E2161">
        <w:rPr>
          <w:rFonts w:ascii="Times New Roman" w:hAnsi="Times New Roman" w:cs="Times New Roman"/>
          <w:color w:val="000000" w:themeColor="text1"/>
          <w:sz w:val="20"/>
          <w:szCs w:val="20"/>
          <w:lang w:val="en-GB"/>
        </w:rPr>
        <w:t xml:space="preserve"> </w:t>
      </w:r>
      <w:proofErr w:type="spellStart"/>
      <w:r w:rsidRPr="004E2161">
        <w:rPr>
          <w:rFonts w:ascii="Times New Roman" w:hAnsi="Times New Roman" w:cs="Times New Roman"/>
          <w:color w:val="000000" w:themeColor="text1"/>
          <w:sz w:val="20"/>
          <w:szCs w:val="20"/>
          <w:lang w:val="en-GB"/>
        </w:rPr>
        <w:t>Genitourin</w:t>
      </w:r>
      <w:proofErr w:type="spellEnd"/>
      <w:r w:rsidRPr="004E2161">
        <w:rPr>
          <w:rFonts w:ascii="Times New Roman" w:hAnsi="Times New Roman" w:cs="Times New Roman"/>
          <w:color w:val="000000" w:themeColor="text1"/>
          <w:sz w:val="20"/>
          <w:szCs w:val="20"/>
          <w:lang w:val="en-GB"/>
        </w:rPr>
        <w:t xml:space="preserve"> Cancer. 2018;16(4):E711-8.</w:t>
      </w:r>
    </w:p>
    <w:sectPr w:rsidR="007E3B13" w:rsidRPr="003B2368" w:rsidSect="004E2161">
      <w:type w:val="continuous"/>
      <w:pgSz w:w="11900" w:h="16840" w:code="1"/>
      <w:pgMar w:top="1584" w:right="1584" w:bottom="1584" w:left="1584" w:header="562" w:footer="562"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7E1E6" w14:textId="77777777" w:rsidR="00196D01" w:rsidRDefault="00196D01">
      <w:pPr>
        <w:spacing w:after="0" w:line="240" w:lineRule="auto"/>
      </w:pPr>
      <w:r>
        <w:separator/>
      </w:r>
    </w:p>
  </w:endnote>
  <w:endnote w:type="continuationSeparator" w:id="0">
    <w:p w14:paraId="2B73C0CB" w14:textId="77777777" w:rsidR="00196D01" w:rsidRDefault="00196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Elephant">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Eras Medium ITC">
    <w:charset w:val="00"/>
    <w:family w:val="swiss"/>
    <w:pitch w:val="variable"/>
    <w:sig w:usb0="00000003" w:usb1="00000000" w:usb2="00000000" w:usb3="00000000" w:csb0="00000001" w:csb1="00000000"/>
  </w:font>
  <w:font w:name="Arial (Body)">
    <w:altName w:val="Arial"/>
    <w:panose1 w:val="00000000000000000000"/>
    <w:charset w:val="00"/>
    <w:family w:val="roman"/>
    <w:notTrueType/>
    <w:pitch w:val="default"/>
  </w:font>
  <w:font w:name="Gill Sans MT">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0000" w:themeColor="text1"/>
        <w:sz w:val="20"/>
        <w:szCs w:val="20"/>
      </w:rPr>
      <w:id w:val="815538944"/>
      <w:docPartObj>
        <w:docPartGallery w:val="Page Numbers (Bottom of Page)"/>
        <w:docPartUnique/>
      </w:docPartObj>
    </w:sdtPr>
    <w:sdtEndPr>
      <w:rPr>
        <w:noProof/>
      </w:rPr>
    </w:sdtEndPr>
    <w:sdtContent>
      <w:p w14:paraId="1A3BC2D8" w14:textId="77777777" w:rsidR="00DB273E" w:rsidRPr="00E86F73" w:rsidRDefault="007E3B13">
        <w:pPr>
          <w:pStyle w:val="Footer"/>
          <w:jc w:val="right"/>
          <w:rPr>
            <w:color w:val="000000" w:themeColor="text1"/>
            <w:sz w:val="20"/>
            <w:szCs w:val="20"/>
          </w:rPr>
        </w:pPr>
        <w:r w:rsidRPr="00E86F73">
          <w:rPr>
            <w:color w:val="000000" w:themeColor="text1"/>
            <w:sz w:val="20"/>
            <w:szCs w:val="20"/>
          </w:rPr>
          <w:fldChar w:fldCharType="begin"/>
        </w:r>
        <w:r w:rsidRPr="00E86F73">
          <w:rPr>
            <w:color w:val="000000" w:themeColor="text1"/>
            <w:sz w:val="20"/>
            <w:szCs w:val="20"/>
          </w:rPr>
          <w:instrText xml:space="preserve"> PAGE   \* MERGEFORMAT </w:instrText>
        </w:r>
        <w:r w:rsidRPr="00E86F73">
          <w:rPr>
            <w:color w:val="000000" w:themeColor="text1"/>
            <w:sz w:val="20"/>
            <w:szCs w:val="20"/>
          </w:rPr>
          <w:fldChar w:fldCharType="separate"/>
        </w:r>
        <w:r w:rsidR="004E2161">
          <w:rPr>
            <w:noProof/>
            <w:color w:val="000000" w:themeColor="text1"/>
            <w:sz w:val="20"/>
            <w:szCs w:val="20"/>
          </w:rPr>
          <w:t>7</w:t>
        </w:r>
        <w:r w:rsidRPr="00E86F73">
          <w:rPr>
            <w:noProof/>
            <w:color w:val="000000" w:themeColor="text1"/>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76269" w14:textId="77777777" w:rsidR="00196D01" w:rsidRDefault="00196D01">
      <w:pPr>
        <w:spacing w:after="0" w:line="240" w:lineRule="auto"/>
      </w:pPr>
      <w:r>
        <w:separator/>
      </w:r>
    </w:p>
  </w:footnote>
  <w:footnote w:type="continuationSeparator" w:id="0">
    <w:p w14:paraId="654E4299" w14:textId="77777777" w:rsidR="00196D01" w:rsidRDefault="00196D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1A8EB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AFE952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A2C62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B6CF5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8B4B7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25C99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48C36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38002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BEA7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1600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E2F93"/>
    <w:multiLevelType w:val="hybridMultilevel"/>
    <w:tmpl w:val="9D60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197DC9"/>
    <w:multiLevelType w:val="multilevel"/>
    <w:tmpl w:val="4C305E76"/>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hint="default"/>
        <w:b/>
        <w:i w:val="0"/>
        <w:caps w:val="0"/>
        <w:strike w:val="0"/>
        <w:dstrike w:val="0"/>
        <w:vanish w:val="0"/>
        <w:color w:val="333333"/>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ascii="Arial" w:hAnsi="Arial" w:hint="default"/>
        <w:b w:val="0"/>
        <w:i w:val="0"/>
        <w:caps w:val="0"/>
        <w:strike w:val="0"/>
        <w:dstrike w:val="0"/>
        <w:vanish w:val="0"/>
        <w:color w:val="333333"/>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ascii="Arial" w:hAnsi="Arial" w:hint="default"/>
        <w:b w:val="0"/>
        <w:i w:val="0"/>
        <w:color w:val="333333"/>
        <w:sz w:val="22"/>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12" w15:restartNumberingAfterBreak="0">
    <w:nsid w:val="088034C1"/>
    <w:multiLevelType w:val="hybridMultilevel"/>
    <w:tmpl w:val="21064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676D9F"/>
    <w:multiLevelType w:val="hybridMultilevel"/>
    <w:tmpl w:val="099E5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97E6684"/>
    <w:multiLevelType w:val="multilevel"/>
    <w:tmpl w:val="80BC540A"/>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hint="default"/>
        <w:b/>
        <w:i w:val="0"/>
        <w:caps w:val="0"/>
        <w:strike w:val="0"/>
        <w:dstrike w:val="0"/>
        <w:vanish w:val="0"/>
        <w:color w:val="333333"/>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15" w15:restartNumberingAfterBreak="0">
    <w:nsid w:val="0BEB799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D314319"/>
    <w:multiLevelType w:val="multilevel"/>
    <w:tmpl w:val="978C39C8"/>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0" w:firstLine="0"/>
      </w:pPr>
      <w:rPr>
        <w:rFonts w:ascii="Arial" w:hAnsi="Arial" w:hint="default"/>
        <w:b/>
        <w:i w:val="0"/>
        <w:caps w:val="0"/>
        <w:strike w:val="0"/>
        <w:dstrike w:val="0"/>
        <w:vanish w:val="0"/>
        <w:color w:val="333333"/>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17" w15:restartNumberingAfterBreak="0">
    <w:nsid w:val="0D693114"/>
    <w:multiLevelType w:val="hybridMultilevel"/>
    <w:tmpl w:val="25605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C73265"/>
    <w:multiLevelType w:val="hybridMultilevel"/>
    <w:tmpl w:val="3104D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053880"/>
    <w:multiLevelType w:val="hybridMultilevel"/>
    <w:tmpl w:val="E646C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1B5119"/>
    <w:multiLevelType w:val="hybridMultilevel"/>
    <w:tmpl w:val="F0A6D86E"/>
    <w:lvl w:ilvl="0" w:tplc="6D921AD4">
      <w:start w:val="5"/>
      <w:numFmt w:val="bullet"/>
      <w:pStyle w:val="StyleBullet1"/>
      <w:lvlText w:val=""/>
      <w:lvlJc w:val="left"/>
      <w:pPr>
        <w:tabs>
          <w:tab w:val="num" w:pos="454"/>
        </w:tabs>
        <w:ind w:left="454" w:hanging="256"/>
      </w:pPr>
      <w:rPr>
        <w:rFonts w:ascii="Symbol" w:hAnsi="Symbol" w:cs="Elephant" w:hint="default"/>
        <w:b w:val="0"/>
        <w:i w:val="0"/>
        <w:color w:val="333333"/>
        <w:sz w:val="21"/>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795C02"/>
    <w:multiLevelType w:val="multilevel"/>
    <w:tmpl w:val="686C610C"/>
    <w:lvl w:ilvl="0">
      <w:start w:val="1"/>
      <w:numFmt w:val="decimal"/>
      <w:pStyle w:val="Heading1"/>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810" w:hanging="720"/>
      </w:pPr>
      <w:rPr>
        <w:rFonts w:ascii="Trebuchet MS" w:hAnsi="Trebuchet MS" w:hint="default"/>
        <w:b w:val="0"/>
        <w:i w:val="0"/>
        <w:caps w:val="0"/>
        <w:strike w:val="0"/>
        <w:dstrike w:val="0"/>
        <w:vanish w:val="0"/>
        <w:color w:val="333333"/>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1080" w:hanging="1080"/>
      </w:pPr>
      <w:rPr>
        <w:rFonts w:ascii="Trebuchet MS" w:hAnsi="Trebuchet MS" w:hint="default"/>
        <w:b w:val="0"/>
        <w:i w:val="0"/>
        <w:color w:val="333333"/>
        <w:sz w:val="22"/>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22" w15:restartNumberingAfterBreak="0">
    <w:nsid w:val="2AF6616C"/>
    <w:multiLevelType w:val="multilevel"/>
    <w:tmpl w:val="758C1CE6"/>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hint="default"/>
        <w:b/>
        <w:i w:val="0"/>
        <w:caps w:val="0"/>
        <w:strike w:val="0"/>
        <w:dstrike w:val="0"/>
        <w:vanish w:val="0"/>
        <w:color w:val="333333"/>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23" w15:restartNumberingAfterBreak="0">
    <w:nsid w:val="2E162C71"/>
    <w:multiLevelType w:val="multilevel"/>
    <w:tmpl w:val="59A476B8"/>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hint="default"/>
        <w:b/>
        <w:i w:val="0"/>
        <w:caps w:val="0"/>
        <w:strike w:val="0"/>
        <w:dstrike w:val="0"/>
        <w:vanish w:val="0"/>
        <w:color w:val="333333"/>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ascii="Arial" w:hAnsi="Arial" w:hint="default"/>
        <w:b w:val="0"/>
        <w:i w:val="0"/>
        <w:caps w:val="0"/>
        <w:strike w:val="0"/>
        <w:dstrike w:val="0"/>
        <w:vanish w:val="0"/>
        <w:color w:val="333333"/>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24" w15:restartNumberingAfterBreak="0">
    <w:nsid w:val="2F0C283C"/>
    <w:multiLevelType w:val="hybridMultilevel"/>
    <w:tmpl w:val="8542D0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6" w15:restartNumberingAfterBreak="0">
    <w:nsid w:val="49883633"/>
    <w:multiLevelType w:val="hybridMultilevel"/>
    <w:tmpl w:val="EB5AA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DB6A7E"/>
    <w:multiLevelType w:val="multilevel"/>
    <w:tmpl w:val="DD34BFC4"/>
    <w:numStyleLink w:val="PharmeritBulletList"/>
  </w:abstractNum>
  <w:abstractNum w:abstractNumId="28" w15:restartNumberingAfterBreak="0">
    <w:nsid w:val="54EB10FA"/>
    <w:multiLevelType w:val="hybridMultilevel"/>
    <w:tmpl w:val="154A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44469A"/>
    <w:multiLevelType w:val="multilevel"/>
    <w:tmpl w:val="45C4BBB2"/>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hint="default"/>
        <w:b/>
        <w:i w:val="0"/>
        <w:caps w:val="0"/>
        <w:strike w:val="0"/>
        <w:dstrike w:val="0"/>
        <w:vanish w:val="0"/>
        <w:color w:val="333333"/>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30" w15:restartNumberingAfterBreak="0">
    <w:nsid w:val="55B2587F"/>
    <w:multiLevelType w:val="hybridMultilevel"/>
    <w:tmpl w:val="A470E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1A84452">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3C081F"/>
    <w:multiLevelType w:val="hybridMultilevel"/>
    <w:tmpl w:val="927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947248"/>
    <w:multiLevelType w:val="hybridMultilevel"/>
    <w:tmpl w:val="2386257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A081FB0"/>
    <w:multiLevelType w:val="multilevel"/>
    <w:tmpl w:val="DD34BFC4"/>
    <w:styleLink w:val="PharmeritBulletList"/>
    <w:lvl w:ilvl="0">
      <w:start w:val="1"/>
      <w:numFmt w:val="bullet"/>
      <w:pStyle w:val="ListParagraph"/>
      <w:lvlText w:val=""/>
      <w:lvlJc w:val="left"/>
      <w:pPr>
        <w:ind w:left="360" w:hanging="360"/>
      </w:pPr>
      <w:rPr>
        <w:rFonts w:ascii="Symbol" w:hAnsi="Symbol" w:hint="default"/>
        <w:color w:val="auto"/>
      </w:rPr>
    </w:lvl>
    <w:lvl w:ilvl="1">
      <w:start w:val="1"/>
      <w:numFmt w:val="bullet"/>
      <w:lvlText w:val="o"/>
      <w:lvlJc w:val="left"/>
      <w:pPr>
        <w:ind w:left="1066" w:hanging="360"/>
      </w:pPr>
      <w:rPr>
        <w:rFonts w:asciiTheme="minorHAnsi" w:hAnsiTheme="minorHAnsi" w:hint="default"/>
        <w:color w:val="auto"/>
      </w:rPr>
    </w:lvl>
    <w:lvl w:ilvl="2">
      <w:start w:val="1"/>
      <w:numFmt w:val="bullet"/>
      <w:lvlText w:val=""/>
      <w:lvlJc w:val="left"/>
      <w:pPr>
        <w:ind w:left="1772" w:hanging="360"/>
      </w:pPr>
      <w:rPr>
        <w:rFonts w:ascii="Wingdings" w:hAnsi="Wingdings" w:hint="default"/>
        <w:color w:val="auto"/>
      </w:rPr>
    </w:lvl>
    <w:lvl w:ilvl="3">
      <w:start w:val="1"/>
      <w:numFmt w:val="bullet"/>
      <w:lvlText w:val=""/>
      <w:lvlJc w:val="left"/>
      <w:pPr>
        <w:ind w:left="2478" w:hanging="360"/>
      </w:pPr>
      <w:rPr>
        <w:rFonts w:ascii="Wingdings" w:hAnsi="Wingdings" w:hint="default"/>
        <w:color w:val="auto"/>
      </w:rPr>
    </w:lvl>
    <w:lvl w:ilvl="4">
      <w:start w:val="1"/>
      <w:numFmt w:val="bullet"/>
      <w:lvlText w:val="o"/>
      <w:lvlJc w:val="left"/>
      <w:pPr>
        <w:ind w:left="3184" w:hanging="360"/>
      </w:pPr>
      <w:rPr>
        <w:rFonts w:ascii="Courier New" w:hAnsi="Courier New" w:cs="Courier New" w:hint="default"/>
        <w:color w:val="auto"/>
      </w:rPr>
    </w:lvl>
    <w:lvl w:ilvl="5">
      <w:start w:val="1"/>
      <w:numFmt w:val="bullet"/>
      <w:lvlText w:val=""/>
      <w:lvlJc w:val="left"/>
      <w:pPr>
        <w:ind w:left="3890" w:hanging="360"/>
      </w:pPr>
      <w:rPr>
        <w:rFonts w:ascii="Wingdings" w:hAnsi="Wingdings" w:hint="default"/>
        <w:color w:val="auto"/>
      </w:rPr>
    </w:lvl>
    <w:lvl w:ilvl="6">
      <w:start w:val="1"/>
      <w:numFmt w:val="bullet"/>
      <w:lvlText w:val=""/>
      <w:lvlJc w:val="left"/>
      <w:pPr>
        <w:ind w:left="4596" w:hanging="360"/>
      </w:pPr>
      <w:rPr>
        <w:rFonts w:ascii="Symbol" w:hAnsi="Symbol" w:hint="default"/>
        <w:color w:val="auto"/>
      </w:rPr>
    </w:lvl>
    <w:lvl w:ilvl="7">
      <w:start w:val="1"/>
      <w:numFmt w:val="bullet"/>
      <w:lvlText w:val="o"/>
      <w:lvlJc w:val="left"/>
      <w:pPr>
        <w:ind w:left="5302" w:hanging="360"/>
      </w:pPr>
      <w:rPr>
        <w:rFonts w:ascii="Courier New" w:hAnsi="Courier New" w:cs="Courier New" w:hint="default"/>
        <w:color w:val="auto"/>
      </w:rPr>
    </w:lvl>
    <w:lvl w:ilvl="8">
      <w:start w:val="1"/>
      <w:numFmt w:val="bullet"/>
      <w:lvlText w:val=""/>
      <w:lvlJc w:val="left"/>
      <w:pPr>
        <w:ind w:left="6008" w:hanging="360"/>
      </w:pPr>
      <w:rPr>
        <w:rFonts w:ascii="Wingdings" w:hAnsi="Wingdings" w:hint="default"/>
        <w:color w:val="auto"/>
      </w:rPr>
    </w:lvl>
  </w:abstractNum>
  <w:abstractNum w:abstractNumId="34" w15:restartNumberingAfterBreak="0">
    <w:nsid w:val="5A246AE2"/>
    <w:multiLevelType w:val="hybridMultilevel"/>
    <w:tmpl w:val="71462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E11364"/>
    <w:multiLevelType w:val="hybridMultilevel"/>
    <w:tmpl w:val="71462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4E480C"/>
    <w:multiLevelType w:val="multilevel"/>
    <w:tmpl w:val="A2E851DA"/>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0"/>
        </w:tabs>
        <w:ind w:left="0" w:firstLine="0"/>
      </w:pPr>
      <w:rPr>
        <w:rFonts w:ascii="Arial" w:hAnsi="Arial" w:hint="default"/>
        <w:b/>
        <w:i w:val="0"/>
        <w:caps w:val="0"/>
        <w:strike w:val="0"/>
        <w:dstrike w:val="0"/>
        <w:vanish w:val="0"/>
        <w:color w:val="333333"/>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37" w15:restartNumberingAfterBreak="0">
    <w:nsid w:val="68654490"/>
    <w:multiLevelType w:val="hybridMultilevel"/>
    <w:tmpl w:val="0E006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C8575B8"/>
    <w:multiLevelType w:val="hybridMultilevel"/>
    <w:tmpl w:val="BB261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D32A48"/>
    <w:multiLevelType w:val="hybridMultilevel"/>
    <w:tmpl w:val="FB54722C"/>
    <w:lvl w:ilvl="0" w:tplc="CE181FEC">
      <w:start w:val="1"/>
      <w:numFmt w:val="decimal"/>
      <w:pStyle w:val="Bijlage"/>
      <w:lvlText w:val="Bijlage %1"/>
      <w:lvlJc w:val="left"/>
      <w:pPr>
        <w:tabs>
          <w:tab w:val="num" w:pos="1800"/>
        </w:tabs>
        <w:ind w:left="720" w:hanging="720"/>
      </w:pPr>
      <w:rPr>
        <w:rFonts w:ascii="Eras Medium ITC" w:hAnsi="Eras Medium ITC" w:hint="default"/>
        <w:b w:val="0"/>
        <w:i w:val="0"/>
        <w:color w:val="006487"/>
        <w:szCs w:val="36"/>
      </w:r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2A57449"/>
    <w:multiLevelType w:val="hybridMultilevel"/>
    <w:tmpl w:val="79DA4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34270B7"/>
    <w:multiLevelType w:val="hybridMultilevel"/>
    <w:tmpl w:val="E2C08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0A0722"/>
    <w:multiLevelType w:val="hybridMultilevel"/>
    <w:tmpl w:val="7944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047D30"/>
    <w:multiLevelType w:val="hybridMultilevel"/>
    <w:tmpl w:val="CDF83B9A"/>
    <w:lvl w:ilvl="0" w:tplc="B1B6426E">
      <w:start w:val="1"/>
      <w:numFmt w:val="bullet"/>
      <w:lvlRestart w:val="0"/>
      <w:pStyle w:val="StyleBullet2"/>
      <w:lvlText w:val="-"/>
      <w:lvlJc w:val="left"/>
      <w:pPr>
        <w:tabs>
          <w:tab w:val="num" w:pos="737"/>
        </w:tabs>
        <w:ind w:left="737" w:hanging="283"/>
      </w:pPr>
      <w:rPr>
        <w:rFonts w:ascii="Arial" w:hAnsi="Arial" w:hint="default"/>
        <w:b w:val="0"/>
        <w:i w:val="0"/>
        <w:color w:val="333333"/>
        <w:sz w:val="21"/>
        <w:u w:val="no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2F55E2"/>
    <w:multiLevelType w:val="hybridMultilevel"/>
    <w:tmpl w:val="76E82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A963270"/>
    <w:multiLevelType w:val="multilevel"/>
    <w:tmpl w:val="8D80E758"/>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27"/>
        </w:tabs>
        <w:ind w:left="927" w:hanging="851"/>
      </w:pPr>
      <w:rPr>
        <w:rFonts w:ascii="Arial" w:hAnsi="Arial" w:hint="default"/>
        <w:b/>
        <w:i w:val="0"/>
        <w:caps w:val="0"/>
        <w:strike w:val="0"/>
        <w:dstrike w:val="0"/>
        <w:vanish w:val="0"/>
        <w:color w:val="333333"/>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46" w15:restartNumberingAfterBreak="0">
    <w:nsid w:val="7AEA3AF2"/>
    <w:multiLevelType w:val="hybridMultilevel"/>
    <w:tmpl w:val="118EF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572103"/>
    <w:multiLevelType w:val="multilevel"/>
    <w:tmpl w:val="978C39C8"/>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0" w:firstLine="0"/>
      </w:pPr>
      <w:rPr>
        <w:rFonts w:ascii="Arial" w:hAnsi="Arial" w:hint="default"/>
        <w:b/>
        <w:i w:val="0"/>
        <w:caps w:val="0"/>
        <w:strike w:val="0"/>
        <w:dstrike w:val="0"/>
        <w:vanish w:val="0"/>
        <w:color w:val="333333"/>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num w:numId="1">
    <w:abstractNumId w:val="39"/>
  </w:num>
  <w:num w:numId="2">
    <w:abstractNumId w:val="20"/>
  </w:num>
  <w:num w:numId="3">
    <w:abstractNumId w:val="43"/>
  </w:num>
  <w:num w:numId="4">
    <w:abstractNumId w:val="21"/>
  </w:num>
  <w:num w:numId="5">
    <w:abstractNumId w:val="33"/>
  </w:num>
  <w:num w:numId="6">
    <w:abstractNumId w:val="27"/>
  </w:num>
  <w:num w:numId="7">
    <w:abstractNumId w:val="42"/>
  </w:num>
  <w:num w:numId="8">
    <w:abstractNumId w:val="10"/>
  </w:num>
  <w:num w:numId="9">
    <w:abstractNumId w:val="12"/>
  </w:num>
  <w:num w:numId="10">
    <w:abstractNumId w:val="28"/>
  </w:num>
  <w:num w:numId="11">
    <w:abstractNumId w:val="13"/>
  </w:num>
  <w:num w:numId="12">
    <w:abstractNumId w:val="40"/>
  </w:num>
  <w:num w:numId="13">
    <w:abstractNumId w:val="15"/>
  </w:num>
  <w:num w:numId="14">
    <w:abstractNumId w:val="24"/>
  </w:num>
  <w:num w:numId="15">
    <w:abstractNumId w:val="45"/>
  </w:num>
  <w:num w:numId="16">
    <w:abstractNumId w:val="29"/>
  </w:num>
  <w:num w:numId="17">
    <w:abstractNumId w:val="47"/>
  </w:num>
  <w:num w:numId="18">
    <w:abstractNumId w:val="16"/>
  </w:num>
  <w:num w:numId="19">
    <w:abstractNumId w:val="36"/>
  </w:num>
  <w:num w:numId="20">
    <w:abstractNumId w:val="22"/>
  </w:num>
  <w:num w:numId="21">
    <w:abstractNumId w:val="14"/>
  </w:num>
  <w:num w:numId="22">
    <w:abstractNumId w:val="0"/>
  </w:num>
  <w:num w:numId="23">
    <w:abstractNumId w:val="1"/>
  </w:num>
  <w:num w:numId="24">
    <w:abstractNumId w:val="2"/>
  </w:num>
  <w:num w:numId="25">
    <w:abstractNumId w:val="3"/>
  </w:num>
  <w:num w:numId="26">
    <w:abstractNumId w:val="8"/>
  </w:num>
  <w:num w:numId="27">
    <w:abstractNumId w:val="4"/>
  </w:num>
  <w:num w:numId="28">
    <w:abstractNumId w:val="5"/>
  </w:num>
  <w:num w:numId="29">
    <w:abstractNumId w:val="6"/>
  </w:num>
  <w:num w:numId="30">
    <w:abstractNumId w:val="7"/>
  </w:num>
  <w:num w:numId="31">
    <w:abstractNumId w:val="9"/>
  </w:num>
  <w:num w:numId="32">
    <w:abstractNumId w:val="23"/>
  </w:num>
  <w:num w:numId="33">
    <w:abstractNumId w:val="11"/>
  </w:num>
  <w:num w:numId="34">
    <w:abstractNumId w:val="26"/>
  </w:num>
  <w:num w:numId="35">
    <w:abstractNumId w:val="41"/>
  </w:num>
  <w:num w:numId="36">
    <w:abstractNumId w:val="19"/>
  </w:num>
  <w:num w:numId="37">
    <w:abstractNumId w:val="37"/>
  </w:num>
  <w:num w:numId="38">
    <w:abstractNumId w:val="44"/>
  </w:num>
  <w:num w:numId="39">
    <w:abstractNumId w:val="32"/>
  </w:num>
  <w:num w:numId="40">
    <w:abstractNumId w:val="17"/>
  </w:num>
  <w:num w:numId="41">
    <w:abstractNumId w:val="30"/>
  </w:num>
  <w:num w:numId="42">
    <w:abstractNumId w:val="34"/>
  </w:num>
  <w:num w:numId="43">
    <w:abstractNumId w:val="35"/>
  </w:num>
  <w:num w:numId="44">
    <w:abstractNumId w:val="38"/>
  </w:num>
  <w:num w:numId="45">
    <w:abstractNumId w:val="46"/>
  </w:num>
  <w:num w:numId="46">
    <w:abstractNumId w:val="18"/>
  </w:num>
  <w:num w:numId="47">
    <w:abstractNumId w:val="31"/>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B13"/>
    <w:rsid w:val="00152014"/>
    <w:rsid w:val="00153264"/>
    <w:rsid w:val="001778D5"/>
    <w:rsid w:val="00196D01"/>
    <w:rsid w:val="00201FD5"/>
    <w:rsid w:val="0024502F"/>
    <w:rsid w:val="002D3444"/>
    <w:rsid w:val="00354250"/>
    <w:rsid w:val="003B2368"/>
    <w:rsid w:val="00435808"/>
    <w:rsid w:val="00464419"/>
    <w:rsid w:val="004E2161"/>
    <w:rsid w:val="00514766"/>
    <w:rsid w:val="005A5AD0"/>
    <w:rsid w:val="006967DA"/>
    <w:rsid w:val="006E6EB4"/>
    <w:rsid w:val="006E75E4"/>
    <w:rsid w:val="0070689B"/>
    <w:rsid w:val="00721FEA"/>
    <w:rsid w:val="00737FBE"/>
    <w:rsid w:val="00740D8A"/>
    <w:rsid w:val="007A4B41"/>
    <w:rsid w:val="007E3B13"/>
    <w:rsid w:val="00886AA0"/>
    <w:rsid w:val="00942745"/>
    <w:rsid w:val="00966480"/>
    <w:rsid w:val="009A4D6F"/>
    <w:rsid w:val="00A72528"/>
    <w:rsid w:val="00B5329A"/>
    <w:rsid w:val="00BC2C4E"/>
    <w:rsid w:val="00C03CD0"/>
    <w:rsid w:val="00C131C0"/>
    <w:rsid w:val="00D54B11"/>
    <w:rsid w:val="00D60A41"/>
    <w:rsid w:val="00DC0F85"/>
    <w:rsid w:val="00DF44B8"/>
    <w:rsid w:val="00F82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5D8A9"/>
  <w15:chartTrackingRefBased/>
  <w15:docId w15:val="{2EC6B868-C40C-4E42-A841-36AA3228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B13"/>
    <w:pPr>
      <w:tabs>
        <w:tab w:val="left" w:pos="1134"/>
      </w:tabs>
      <w:spacing w:after="120" w:line="276" w:lineRule="auto"/>
      <w:contextualSpacing/>
      <w:jc w:val="both"/>
    </w:pPr>
    <w:rPr>
      <w:rFonts w:ascii="Trebuchet MS" w:eastAsia="Times New Roman" w:hAnsi="Trebuchet MS" w:cs="Arial"/>
      <w:bCs/>
      <w:color w:val="0D213A"/>
      <w:sz w:val="21"/>
      <w:szCs w:val="21"/>
      <w:lang w:eastAsia="nl-NL"/>
    </w:rPr>
  </w:style>
  <w:style w:type="paragraph" w:styleId="Heading1">
    <w:name w:val="heading 1"/>
    <w:next w:val="Normal"/>
    <w:link w:val="Heading1Char"/>
    <w:uiPriority w:val="9"/>
    <w:qFormat/>
    <w:rsid w:val="007E3B13"/>
    <w:pPr>
      <w:keepNext/>
      <w:pageBreakBefore/>
      <w:numPr>
        <w:numId w:val="4"/>
      </w:numPr>
      <w:spacing w:before="480" w:after="360" w:line="600" w:lineRule="exact"/>
      <w:outlineLvl w:val="0"/>
    </w:pPr>
    <w:rPr>
      <w:rFonts w:ascii="Trebuchet MS" w:eastAsia="Times New Roman" w:hAnsi="Trebuchet MS" w:cs="Arial"/>
      <w:b/>
      <w:bCs/>
      <w:color w:val="0D213A"/>
      <w:sz w:val="36"/>
      <w:szCs w:val="32"/>
      <w:lang w:eastAsia="nl-NL"/>
    </w:rPr>
  </w:style>
  <w:style w:type="paragraph" w:styleId="Heading2">
    <w:name w:val="heading 2"/>
    <w:next w:val="Normal"/>
    <w:link w:val="Heading2Char"/>
    <w:qFormat/>
    <w:rsid w:val="007E3B13"/>
    <w:pPr>
      <w:keepNext/>
      <w:numPr>
        <w:ilvl w:val="1"/>
        <w:numId w:val="4"/>
      </w:numPr>
      <w:spacing w:before="480" w:after="360" w:line="240" w:lineRule="auto"/>
      <w:outlineLvl w:val="1"/>
    </w:pPr>
    <w:rPr>
      <w:rFonts w:ascii="Trebuchet MS" w:eastAsia="Times New Roman" w:hAnsi="Trebuchet MS" w:cs="Arial"/>
      <w:bCs/>
      <w:iCs/>
      <w:color w:val="EC008C"/>
      <w:sz w:val="28"/>
      <w:szCs w:val="28"/>
      <w:u w:color="CC0000"/>
      <w:lang w:eastAsia="nl-NL"/>
    </w:rPr>
  </w:style>
  <w:style w:type="paragraph" w:styleId="Heading3">
    <w:name w:val="heading 3"/>
    <w:next w:val="Normal"/>
    <w:link w:val="Heading3Char"/>
    <w:qFormat/>
    <w:rsid w:val="007E3B13"/>
    <w:pPr>
      <w:keepNext/>
      <w:numPr>
        <w:ilvl w:val="2"/>
        <w:numId w:val="4"/>
      </w:numPr>
      <w:spacing w:before="360" w:after="240" w:line="300" w:lineRule="atLeast"/>
      <w:outlineLvl w:val="2"/>
    </w:pPr>
    <w:rPr>
      <w:rFonts w:ascii="Trebuchet MS" w:eastAsia="Times New Roman" w:hAnsi="Trebuchet MS" w:cs="Arial"/>
      <w:bCs/>
      <w:color w:val="333333"/>
      <w:sz w:val="24"/>
      <w:szCs w:val="26"/>
      <w:u w:color="CC0000"/>
      <w:lang w:eastAsia="nl-NL"/>
    </w:rPr>
  </w:style>
  <w:style w:type="paragraph" w:styleId="Heading4">
    <w:name w:val="heading 4"/>
    <w:next w:val="Normal"/>
    <w:link w:val="Heading4Char"/>
    <w:qFormat/>
    <w:rsid w:val="007E3B13"/>
    <w:pPr>
      <w:keepNext/>
      <w:numPr>
        <w:ilvl w:val="3"/>
        <w:numId w:val="4"/>
      </w:numPr>
      <w:spacing w:before="360" w:after="240" w:line="300" w:lineRule="atLeast"/>
      <w:outlineLvl w:val="3"/>
    </w:pPr>
    <w:rPr>
      <w:rFonts w:ascii="Trebuchet MS" w:eastAsia="Times New Roman" w:hAnsi="Trebuchet MS" w:cs="Arial"/>
      <w:color w:val="333333"/>
      <w:szCs w:val="28"/>
      <w:lang w:eastAsia="nl-NL"/>
    </w:rPr>
  </w:style>
  <w:style w:type="paragraph" w:styleId="Heading5">
    <w:name w:val="heading 5"/>
    <w:basedOn w:val="Normal"/>
    <w:next w:val="Normal"/>
    <w:link w:val="Heading5Char"/>
    <w:rsid w:val="007E3B13"/>
    <w:pPr>
      <w:keepNext/>
      <w:spacing w:before="120" w:line="300" w:lineRule="atLeast"/>
      <w:outlineLvl w:val="4"/>
    </w:pPr>
    <w:rPr>
      <w:bCs w:val="0"/>
      <w:i/>
      <w:iCs/>
      <w:smallCaps/>
      <w:color w:val="333333"/>
      <w:szCs w:val="26"/>
    </w:rPr>
  </w:style>
  <w:style w:type="paragraph" w:styleId="Heading6">
    <w:name w:val="heading 6"/>
    <w:basedOn w:val="Normal"/>
    <w:next w:val="Normal"/>
    <w:link w:val="Heading6Char"/>
    <w:rsid w:val="007E3B13"/>
    <w:pPr>
      <w:keepNext/>
      <w:spacing w:before="120" w:line="300" w:lineRule="atLeast"/>
      <w:outlineLvl w:val="5"/>
    </w:pPr>
    <w:rPr>
      <w:i/>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B13"/>
    <w:rPr>
      <w:rFonts w:ascii="Trebuchet MS" w:eastAsia="Times New Roman" w:hAnsi="Trebuchet MS" w:cs="Arial"/>
      <w:b/>
      <w:bCs/>
      <w:color w:val="0D213A"/>
      <w:sz w:val="36"/>
      <w:szCs w:val="32"/>
      <w:lang w:eastAsia="nl-NL"/>
    </w:rPr>
  </w:style>
  <w:style w:type="character" w:customStyle="1" w:styleId="Heading2Char">
    <w:name w:val="Heading 2 Char"/>
    <w:basedOn w:val="DefaultParagraphFont"/>
    <w:link w:val="Heading2"/>
    <w:rsid w:val="007E3B13"/>
    <w:rPr>
      <w:rFonts w:ascii="Trebuchet MS" w:eastAsia="Times New Roman" w:hAnsi="Trebuchet MS" w:cs="Arial"/>
      <w:bCs/>
      <w:iCs/>
      <w:color w:val="EC008C"/>
      <w:sz w:val="28"/>
      <w:szCs w:val="28"/>
      <w:u w:color="CC0000"/>
      <w:lang w:eastAsia="nl-NL"/>
    </w:rPr>
  </w:style>
  <w:style w:type="character" w:customStyle="1" w:styleId="Heading3Char">
    <w:name w:val="Heading 3 Char"/>
    <w:basedOn w:val="DefaultParagraphFont"/>
    <w:link w:val="Heading3"/>
    <w:rsid w:val="007E3B13"/>
    <w:rPr>
      <w:rFonts w:ascii="Trebuchet MS" w:eastAsia="Times New Roman" w:hAnsi="Trebuchet MS" w:cs="Arial"/>
      <w:bCs/>
      <w:color w:val="333333"/>
      <w:sz w:val="24"/>
      <w:szCs w:val="26"/>
      <w:u w:color="CC0000"/>
      <w:lang w:eastAsia="nl-NL"/>
    </w:rPr>
  </w:style>
  <w:style w:type="character" w:customStyle="1" w:styleId="Heading4Char">
    <w:name w:val="Heading 4 Char"/>
    <w:basedOn w:val="DefaultParagraphFont"/>
    <w:link w:val="Heading4"/>
    <w:rsid w:val="007E3B13"/>
    <w:rPr>
      <w:rFonts w:ascii="Trebuchet MS" w:eastAsia="Times New Roman" w:hAnsi="Trebuchet MS" w:cs="Arial"/>
      <w:color w:val="333333"/>
      <w:szCs w:val="28"/>
      <w:lang w:eastAsia="nl-NL"/>
    </w:rPr>
  </w:style>
  <w:style w:type="character" w:customStyle="1" w:styleId="Heading5Char">
    <w:name w:val="Heading 5 Char"/>
    <w:basedOn w:val="DefaultParagraphFont"/>
    <w:link w:val="Heading5"/>
    <w:rsid w:val="007E3B13"/>
    <w:rPr>
      <w:rFonts w:ascii="Trebuchet MS" w:eastAsia="Times New Roman" w:hAnsi="Trebuchet MS" w:cs="Arial"/>
      <w:i/>
      <w:iCs/>
      <w:smallCaps/>
      <w:color w:val="333333"/>
      <w:sz w:val="21"/>
      <w:szCs w:val="26"/>
      <w:lang w:eastAsia="nl-NL"/>
    </w:rPr>
  </w:style>
  <w:style w:type="character" w:customStyle="1" w:styleId="Heading6Char">
    <w:name w:val="Heading 6 Char"/>
    <w:basedOn w:val="DefaultParagraphFont"/>
    <w:link w:val="Heading6"/>
    <w:rsid w:val="007E3B13"/>
    <w:rPr>
      <w:rFonts w:ascii="Trebuchet MS" w:eastAsia="Times New Roman" w:hAnsi="Trebuchet MS" w:cs="Arial"/>
      <w:bCs/>
      <w:i/>
      <w:color w:val="333333"/>
      <w:sz w:val="21"/>
      <w:szCs w:val="21"/>
      <w:lang w:eastAsia="nl-NL"/>
    </w:rPr>
  </w:style>
  <w:style w:type="paragraph" w:customStyle="1" w:styleId="Bijlage">
    <w:name w:val="Bijlage"/>
    <w:basedOn w:val="Normal"/>
    <w:next w:val="Normal"/>
    <w:semiHidden/>
    <w:rsid w:val="007E3B13"/>
    <w:pPr>
      <w:pageBreakBefore/>
      <w:numPr>
        <w:numId w:val="1"/>
      </w:numPr>
      <w:tabs>
        <w:tab w:val="clear" w:pos="1800"/>
        <w:tab w:val="num" w:pos="360"/>
      </w:tabs>
      <w:spacing w:after="240" w:line="360" w:lineRule="auto"/>
      <w:ind w:left="0" w:firstLine="0"/>
      <w:outlineLvl w:val="3"/>
    </w:pPr>
    <w:rPr>
      <w:rFonts w:ascii="Eras Medium ITC" w:hAnsi="Eras Medium ITC"/>
      <w:i/>
      <w:color w:val="CC0000"/>
      <w:sz w:val="40"/>
    </w:rPr>
  </w:style>
  <w:style w:type="character" w:customStyle="1" w:styleId="TOCHeadingChar">
    <w:name w:val="TOC Heading Char"/>
    <w:basedOn w:val="DefaultParagraphFont"/>
    <w:link w:val="TOCHeading"/>
    <w:uiPriority w:val="39"/>
    <w:rsid w:val="007E3B13"/>
    <w:rPr>
      <w:rFonts w:ascii="Trebuchet MS" w:eastAsiaTheme="majorEastAsia" w:hAnsi="Trebuchet MS" w:cstheme="minorHAnsi"/>
      <w:b/>
      <w:bCs/>
      <w:caps/>
      <w:color w:val="404040" w:themeColor="text1" w:themeTint="BF"/>
      <w:spacing w:val="60"/>
      <w:sz w:val="28"/>
      <w:szCs w:val="28"/>
      <w:lang w:eastAsia="ja-JP"/>
    </w:rPr>
  </w:style>
  <w:style w:type="paragraph" w:customStyle="1" w:styleId="StyleBullet2">
    <w:name w:val="StyleBullet2"/>
    <w:basedOn w:val="Normal"/>
    <w:link w:val="StyleBullet2Char"/>
    <w:rsid w:val="007E3B13"/>
    <w:pPr>
      <w:numPr>
        <w:numId w:val="3"/>
      </w:numPr>
      <w:tabs>
        <w:tab w:val="left" w:pos="454"/>
      </w:tabs>
      <w:spacing w:line="360" w:lineRule="atLeast"/>
      <w:ind w:left="738" w:hanging="284"/>
    </w:pPr>
    <w:rPr>
      <w:color w:val="333333"/>
    </w:rPr>
  </w:style>
  <w:style w:type="paragraph" w:customStyle="1" w:styleId="StyleBullet1">
    <w:name w:val="StyleBullet1"/>
    <w:basedOn w:val="Normal"/>
    <w:link w:val="StyleBullet1Char"/>
    <w:rsid w:val="007E3B13"/>
    <w:pPr>
      <w:numPr>
        <w:numId w:val="2"/>
      </w:numPr>
      <w:tabs>
        <w:tab w:val="left" w:pos="198"/>
      </w:tabs>
      <w:spacing w:line="360" w:lineRule="atLeast"/>
      <w:ind w:left="453" w:hanging="255"/>
    </w:pPr>
    <w:rPr>
      <w:color w:val="333333"/>
    </w:rPr>
  </w:style>
  <w:style w:type="character" w:customStyle="1" w:styleId="StyleBullet2Char">
    <w:name w:val="StyleBullet2 Char"/>
    <w:basedOn w:val="DefaultParagraphFont"/>
    <w:link w:val="StyleBullet2"/>
    <w:rsid w:val="007E3B13"/>
    <w:rPr>
      <w:rFonts w:ascii="Trebuchet MS" w:eastAsia="Times New Roman" w:hAnsi="Trebuchet MS" w:cs="Arial"/>
      <w:bCs/>
      <w:color w:val="333333"/>
      <w:sz w:val="21"/>
      <w:szCs w:val="21"/>
      <w:lang w:eastAsia="nl-NL"/>
    </w:rPr>
  </w:style>
  <w:style w:type="paragraph" w:styleId="TOC1">
    <w:name w:val="toc 1"/>
    <w:link w:val="TOC1Char"/>
    <w:uiPriority w:val="39"/>
    <w:rsid w:val="007E3B13"/>
    <w:pPr>
      <w:spacing w:before="120" w:after="0" w:line="240" w:lineRule="auto"/>
    </w:pPr>
    <w:rPr>
      <w:rFonts w:ascii="Trebuchet MS" w:eastAsia="Times New Roman" w:hAnsi="Trebuchet MS" w:cs="Arial (Body)"/>
      <w:bCs/>
      <w:color w:val="000000"/>
      <w:sz w:val="21"/>
      <w:szCs w:val="20"/>
      <w:lang w:eastAsia="nl-NL"/>
    </w:rPr>
  </w:style>
  <w:style w:type="paragraph" w:styleId="TOC2">
    <w:name w:val="toc 2"/>
    <w:link w:val="TOC2Char"/>
    <w:uiPriority w:val="39"/>
    <w:rsid w:val="007E3B13"/>
    <w:pPr>
      <w:spacing w:after="0" w:line="240" w:lineRule="auto"/>
      <w:ind w:left="210"/>
    </w:pPr>
    <w:rPr>
      <w:rFonts w:ascii="Trebuchet MS" w:eastAsia="Times New Roman" w:hAnsi="Trebuchet MS" w:cs="Arial (Body)"/>
      <w:color w:val="000000"/>
      <w:sz w:val="21"/>
      <w:szCs w:val="20"/>
      <w:lang w:eastAsia="nl-NL"/>
    </w:rPr>
  </w:style>
  <w:style w:type="paragraph" w:styleId="TOC3">
    <w:name w:val="toc 3"/>
    <w:link w:val="TOC3Char"/>
    <w:uiPriority w:val="39"/>
    <w:rsid w:val="007E3B13"/>
    <w:pPr>
      <w:spacing w:after="0" w:line="240" w:lineRule="auto"/>
      <w:ind w:left="420"/>
    </w:pPr>
    <w:rPr>
      <w:rFonts w:ascii="Trebuchet MS" w:eastAsia="Times New Roman" w:hAnsi="Trebuchet MS" w:cs="Arial (Body)"/>
      <w:iCs/>
      <w:color w:val="000000"/>
      <w:sz w:val="21"/>
      <w:szCs w:val="20"/>
      <w:lang w:eastAsia="nl-NL"/>
    </w:rPr>
  </w:style>
  <w:style w:type="paragraph" w:styleId="TOC4">
    <w:name w:val="toc 4"/>
    <w:next w:val="Normal"/>
    <w:link w:val="TOC4Char"/>
    <w:rsid w:val="007E3B13"/>
    <w:pPr>
      <w:spacing w:after="0" w:line="240" w:lineRule="auto"/>
      <w:ind w:left="630"/>
    </w:pPr>
    <w:rPr>
      <w:rFonts w:ascii="Trebuchet MS" w:eastAsia="Times New Roman" w:hAnsi="Trebuchet MS" w:cs="Arial (Body)"/>
      <w:color w:val="000000"/>
      <w:sz w:val="21"/>
      <w:szCs w:val="18"/>
      <w:lang w:eastAsia="nl-NL"/>
    </w:rPr>
  </w:style>
  <w:style w:type="paragraph" w:styleId="BodyText2">
    <w:name w:val="Body Text 2"/>
    <w:basedOn w:val="Normal"/>
    <w:link w:val="BodyText2Char"/>
    <w:semiHidden/>
    <w:rsid w:val="007E3B13"/>
    <w:pPr>
      <w:overflowPunct w:val="0"/>
      <w:autoSpaceDE w:val="0"/>
      <w:autoSpaceDN w:val="0"/>
      <w:adjustRightInd w:val="0"/>
      <w:ind w:left="340" w:hanging="340"/>
      <w:textAlignment w:val="baseline"/>
    </w:pPr>
    <w:rPr>
      <w:rFonts w:ascii="Gill Sans MT" w:hAnsi="Gill Sans MT"/>
      <w:color w:val="006487"/>
      <w:sz w:val="14"/>
    </w:rPr>
  </w:style>
  <w:style w:type="character" w:customStyle="1" w:styleId="BodyText2Char">
    <w:name w:val="Body Text 2 Char"/>
    <w:basedOn w:val="DefaultParagraphFont"/>
    <w:link w:val="BodyText2"/>
    <w:semiHidden/>
    <w:rsid w:val="007E3B13"/>
    <w:rPr>
      <w:rFonts w:ascii="Gill Sans MT" w:eastAsia="Times New Roman" w:hAnsi="Gill Sans MT" w:cs="Arial"/>
      <w:bCs/>
      <w:color w:val="006487"/>
      <w:sz w:val="14"/>
      <w:szCs w:val="21"/>
      <w:lang w:eastAsia="nl-NL"/>
    </w:rPr>
  </w:style>
  <w:style w:type="character" w:customStyle="1" w:styleId="StyleBullet1Char">
    <w:name w:val="StyleBullet1 Char"/>
    <w:basedOn w:val="DefaultParagraphFont"/>
    <w:link w:val="StyleBullet1"/>
    <w:rsid w:val="007E3B13"/>
    <w:rPr>
      <w:rFonts w:ascii="Trebuchet MS" w:eastAsia="Times New Roman" w:hAnsi="Trebuchet MS" w:cs="Arial"/>
      <w:bCs/>
      <w:color w:val="333333"/>
      <w:sz w:val="21"/>
      <w:szCs w:val="21"/>
      <w:lang w:eastAsia="nl-NL"/>
    </w:rPr>
  </w:style>
  <w:style w:type="paragraph" w:styleId="Footer">
    <w:name w:val="footer"/>
    <w:link w:val="FooterChar"/>
    <w:uiPriority w:val="99"/>
    <w:qFormat/>
    <w:rsid w:val="007E3B13"/>
    <w:pPr>
      <w:tabs>
        <w:tab w:val="right" w:pos="9000"/>
      </w:tabs>
      <w:spacing w:after="0" w:line="240" w:lineRule="exact"/>
      <w:jc w:val="both"/>
    </w:pPr>
    <w:rPr>
      <w:rFonts w:ascii="Trebuchet MS" w:eastAsia="Times New Roman" w:hAnsi="Trebuchet MS" w:cs="Arial"/>
      <w:color w:val="EC008C"/>
      <w:sz w:val="14"/>
      <w:szCs w:val="14"/>
    </w:rPr>
  </w:style>
  <w:style w:type="character" w:customStyle="1" w:styleId="FooterChar">
    <w:name w:val="Footer Char"/>
    <w:basedOn w:val="DefaultParagraphFont"/>
    <w:link w:val="Footer"/>
    <w:uiPriority w:val="99"/>
    <w:rsid w:val="007E3B13"/>
    <w:rPr>
      <w:rFonts w:ascii="Trebuchet MS" w:eastAsia="Times New Roman" w:hAnsi="Trebuchet MS" w:cs="Arial"/>
      <w:color w:val="EC008C"/>
      <w:sz w:val="14"/>
      <w:szCs w:val="14"/>
    </w:rPr>
  </w:style>
  <w:style w:type="character" w:styleId="Hyperlink">
    <w:name w:val="Hyperlink"/>
    <w:basedOn w:val="DefaultParagraphFont"/>
    <w:uiPriority w:val="99"/>
    <w:rsid w:val="007E3B13"/>
    <w:rPr>
      <w:rFonts w:asciiTheme="minorHAnsi" w:hAnsiTheme="minorHAnsi"/>
      <w:noProof w:val="0"/>
      <w:color w:val="E7E6E6" w:themeColor="background2"/>
      <w:u w:val="single"/>
      <w:lang w:val="en-US"/>
    </w:rPr>
  </w:style>
  <w:style w:type="character" w:styleId="PageNumber">
    <w:name w:val="page number"/>
    <w:basedOn w:val="DefaultParagraphFont"/>
    <w:rsid w:val="007E3B13"/>
    <w:rPr>
      <w:rFonts w:ascii="Arial" w:hAnsi="Arial"/>
      <w:noProof w:val="0"/>
      <w:sz w:val="16"/>
      <w:lang w:val="en-US"/>
    </w:rPr>
  </w:style>
  <w:style w:type="paragraph" w:styleId="TOC7">
    <w:name w:val="toc 7"/>
    <w:basedOn w:val="Normal"/>
    <w:next w:val="Normal"/>
    <w:autoRedefine/>
    <w:semiHidden/>
    <w:rsid w:val="007E3B13"/>
    <w:pPr>
      <w:tabs>
        <w:tab w:val="clear" w:pos="1134"/>
      </w:tabs>
      <w:spacing w:after="0"/>
      <w:ind w:left="1260"/>
      <w:jc w:val="left"/>
    </w:pPr>
    <w:rPr>
      <w:rFonts w:cstheme="minorHAnsi"/>
      <w:bCs w:val="0"/>
      <w:sz w:val="18"/>
      <w:szCs w:val="18"/>
    </w:rPr>
  </w:style>
  <w:style w:type="paragraph" w:styleId="TOC8">
    <w:name w:val="toc 8"/>
    <w:basedOn w:val="Normal"/>
    <w:next w:val="Normal"/>
    <w:autoRedefine/>
    <w:semiHidden/>
    <w:rsid w:val="007E3B13"/>
    <w:pPr>
      <w:tabs>
        <w:tab w:val="clear" w:pos="1134"/>
      </w:tabs>
      <w:spacing w:after="0"/>
      <w:ind w:left="1470"/>
      <w:jc w:val="left"/>
    </w:pPr>
    <w:rPr>
      <w:rFonts w:cstheme="minorHAnsi"/>
      <w:bCs w:val="0"/>
      <w:sz w:val="18"/>
      <w:szCs w:val="18"/>
    </w:rPr>
  </w:style>
  <w:style w:type="paragraph" w:styleId="TOC9">
    <w:name w:val="toc 9"/>
    <w:basedOn w:val="Normal"/>
    <w:next w:val="Normal"/>
    <w:autoRedefine/>
    <w:semiHidden/>
    <w:rsid w:val="007E3B13"/>
    <w:pPr>
      <w:tabs>
        <w:tab w:val="clear" w:pos="1134"/>
      </w:tabs>
      <w:spacing w:after="0"/>
      <w:ind w:left="1680"/>
      <w:jc w:val="left"/>
    </w:pPr>
    <w:rPr>
      <w:rFonts w:cstheme="minorHAnsi"/>
      <w:bCs w:val="0"/>
      <w:sz w:val="18"/>
      <w:szCs w:val="18"/>
    </w:rPr>
  </w:style>
  <w:style w:type="paragraph" w:styleId="Caption">
    <w:name w:val="caption"/>
    <w:aliases w:val="NICE Caption,Caption Char + After:  6 pt,Bayer Caption,IB Caption,Medical Caption,Caption2,Char Char2 Char Char,- H17,! Q,B Caption,Caption Char1,Caption Char Char,Caption Char1 Char Char,Caption Char Char Char Char,Caption Char1 Char"/>
    <w:basedOn w:val="Normal"/>
    <w:next w:val="Normal"/>
    <w:link w:val="CaptionChar"/>
    <w:qFormat/>
    <w:rsid w:val="007E3B13"/>
    <w:rPr>
      <w:b/>
      <w:bCs w:val="0"/>
    </w:rPr>
  </w:style>
  <w:style w:type="paragraph" w:styleId="TOCHeading">
    <w:name w:val="TOC Heading"/>
    <w:link w:val="TOCHeadingChar"/>
    <w:uiPriority w:val="39"/>
    <w:unhideWhenUsed/>
    <w:rsid w:val="007E3B13"/>
    <w:pPr>
      <w:keepLines/>
      <w:tabs>
        <w:tab w:val="num" w:pos="1210"/>
      </w:tabs>
      <w:spacing w:before="480" w:after="720" w:line="276" w:lineRule="auto"/>
    </w:pPr>
    <w:rPr>
      <w:rFonts w:ascii="Trebuchet MS" w:eastAsiaTheme="majorEastAsia" w:hAnsi="Trebuchet MS" w:cstheme="minorHAnsi"/>
      <w:b/>
      <w:bCs/>
      <w:caps/>
      <w:color w:val="404040" w:themeColor="text1" w:themeTint="BF"/>
      <w:spacing w:val="60"/>
      <w:sz w:val="28"/>
      <w:szCs w:val="28"/>
      <w:lang w:eastAsia="ja-JP"/>
    </w:rPr>
  </w:style>
  <w:style w:type="table" w:customStyle="1" w:styleId="PlainTable51">
    <w:name w:val="Plain Table 51"/>
    <w:basedOn w:val="TableNormal"/>
    <w:uiPriority w:val="45"/>
    <w:rsid w:val="007E3B13"/>
    <w:pPr>
      <w:spacing w:after="0" w:line="240" w:lineRule="auto"/>
    </w:pPr>
    <w:rPr>
      <w:rFonts w:ascii="Arial" w:eastAsia="Batang" w:hAnsi="Arial" w:cs="Arial"/>
      <w:color w:val="000000"/>
      <w:sz w:val="21"/>
      <w:lang w:val="nl-NL" w:eastAsia="nl-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aliases w:val="Normal: Bullets,Table Legend,Bullet1,Bullet 1,Bullet List,Section 5,List Table"/>
    <w:basedOn w:val="Normal"/>
    <w:link w:val="ListParagraphChar"/>
    <w:qFormat/>
    <w:rsid w:val="007E3B13"/>
    <w:pPr>
      <w:numPr>
        <w:numId w:val="6"/>
      </w:numPr>
    </w:pPr>
  </w:style>
  <w:style w:type="character" w:customStyle="1" w:styleId="UnresolvedMention1">
    <w:name w:val="Unresolved Mention1"/>
    <w:basedOn w:val="DefaultParagraphFont"/>
    <w:uiPriority w:val="99"/>
    <w:semiHidden/>
    <w:unhideWhenUsed/>
    <w:rsid w:val="007E3B13"/>
    <w:rPr>
      <w:noProof w:val="0"/>
      <w:color w:val="808080"/>
      <w:shd w:val="clear" w:color="auto" w:fill="E6E6E6"/>
      <w:lang w:val="en-US"/>
    </w:rPr>
  </w:style>
  <w:style w:type="table" w:styleId="TableGrid">
    <w:name w:val="Table Grid"/>
    <w:basedOn w:val="TableNormal"/>
    <w:uiPriority w:val="39"/>
    <w:rsid w:val="007E3B13"/>
    <w:pPr>
      <w:spacing w:after="0" w:line="240" w:lineRule="auto"/>
    </w:pPr>
    <w:rPr>
      <w:rFonts w:ascii="Arial" w:eastAsia="Times New Roman" w:hAnsi="Arial" w:cs="Arial"/>
      <w:color w:val="000000"/>
      <w:sz w:val="21"/>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7E3B13"/>
    <w:pPr>
      <w:spacing w:after="0" w:line="600" w:lineRule="exact"/>
      <w:contextualSpacing/>
    </w:pPr>
    <w:rPr>
      <w:rFonts w:ascii="Trebuchet MS" w:eastAsiaTheme="majorEastAsia" w:hAnsi="Trebuchet MS" w:cstheme="majorBidi"/>
      <w:b/>
      <w:color w:val="0D213A"/>
      <w:spacing w:val="-10"/>
      <w:kern w:val="28"/>
      <w:sz w:val="60"/>
      <w:szCs w:val="72"/>
      <w:lang w:eastAsia="nl-NL"/>
    </w:rPr>
  </w:style>
  <w:style w:type="character" w:customStyle="1" w:styleId="TitleChar">
    <w:name w:val="Title Char"/>
    <w:basedOn w:val="DefaultParagraphFont"/>
    <w:link w:val="Title"/>
    <w:rsid w:val="007E3B13"/>
    <w:rPr>
      <w:rFonts w:ascii="Trebuchet MS" w:eastAsiaTheme="majorEastAsia" w:hAnsi="Trebuchet MS" w:cstheme="majorBidi"/>
      <w:b/>
      <w:color w:val="0D213A"/>
      <w:spacing w:val="-10"/>
      <w:kern w:val="28"/>
      <w:sz w:val="60"/>
      <w:szCs w:val="72"/>
      <w:lang w:eastAsia="nl-NL"/>
    </w:rPr>
  </w:style>
  <w:style w:type="character" w:styleId="Strong">
    <w:name w:val="Strong"/>
    <w:uiPriority w:val="22"/>
    <w:rsid w:val="007E3B13"/>
    <w:rPr>
      <w:rFonts w:ascii="Arial Black" w:hAnsi="Arial Black"/>
      <w:b/>
      <w:noProof w:val="0"/>
      <w:color w:val="44546A" w:themeColor="text2"/>
      <w:spacing w:val="40"/>
      <w:sz w:val="16"/>
      <w:szCs w:val="18"/>
      <w:lang w:val="en-US"/>
    </w:rPr>
  </w:style>
  <w:style w:type="table" w:styleId="TableContemporary">
    <w:name w:val="Table Contemporary"/>
    <w:basedOn w:val="TableNormal"/>
    <w:semiHidden/>
    <w:unhideWhenUsed/>
    <w:rsid w:val="007E3B13"/>
    <w:pPr>
      <w:spacing w:after="0" w:line="240" w:lineRule="auto"/>
      <w:jc w:val="both"/>
    </w:pPr>
    <w:rPr>
      <w:rFonts w:ascii="Arial" w:eastAsia="Times New Roman" w:hAnsi="Arial" w:cs="Arial"/>
      <w:color w:val="000000"/>
      <w:sz w:val="21"/>
      <w:lang w:val="nl-NL"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FootnoteReference">
    <w:name w:val="footnote reference"/>
    <w:basedOn w:val="DefaultParagraphFont"/>
    <w:semiHidden/>
    <w:unhideWhenUsed/>
    <w:rsid w:val="007E3B13"/>
    <w:rPr>
      <w:vertAlign w:val="superscript"/>
    </w:rPr>
  </w:style>
  <w:style w:type="paragraph" w:styleId="Revision">
    <w:name w:val="Revision"/>
    <w:hidden/>
    <w:uiPriority w:val="99"/>
    <w:semiHidden/>
    <w:rsid w:val="007E3B13"/>
    <w:pPr>
      <w:spacing w:after="0" w:line="240" w:lineRule="auto"/>
    </w:pPr>
    <w:rPr>
      <w:rFonts w:ascii="Arial" w:eastAsia="Times New Roman" w:hAnsi="Arial" w:cs="Arial"/>
      <w:color w:val="000000"/>
      <w:sz w:val="21"/>
      <w:lang w:val="nl-NL" w:eastAsia="nl-NL"/>
    </w:rPr>
  </w:style>
  <w:style w:type="numbering" w:customStyle="1" w:styleId="PharmeritBulletList">
    <w:name w:val="Pharmerit: Bullet List"/>
    <w:uiPriority w:val="99"/>
    <w:rsid w:val="007E3B13"/>
    <w:pPr>
      <w:numPr>
        <w:numId w:val="5"/>
      </w:numPr>
    </w:pPr>
  </w:style>
  <w:style w:type="character" w:customStyle="1" w:styleId="ListParagraphChar">
    <w:name w:val="List Paragraph Char"/>
    <w:aliases w:val="Normal: Bullets Char,Table Legend Char,Bullet1 Char,Bullet 1 Char,Bullet List Char,Section 5 Char,List Table Char"/>
    <w:basedOn w:val="DefaultParagraphFont"/>
    <w:link w:val="ListParagraph"/>
    <w:rsid w:val="007E3B13"/>
    <w:rPr>
      <w:rFonts w:ascii="Trebuchet MS" w:eastAsia="Times New Roman" w:hAnsi="Trebuchet MS" w:cs="Arial"/>
      <w:bCs/>
      <w:color w:val="0D213A"/>
      <w:sz w:val="21"/>
      <w:szCs w:val="21"/>
      <w:lang w:eastAsia="nl-NL"/>
    </w:rPr>
  </w:style>
  <w:style w:type="table" w:customStyle="1" w:styleId="PharmeritTable2018">
    <w:name w:val="Pharmerit Table: 2018"/>
    <w:basedOn w:val="TableNormal"/>
    <w:uiPriority w:val="99"/>
    <w:rsid w:val="007E3B13"/>
    <w:pPr>
      <w:spacing w:after="0" w:line="240" w:lineRule="auto"/>
    </w:pPr>
    <w:rPr>
      <w:rFonts w:ascii="Arial" w:eastAsia="Times New Roman" w:hAnsi="Arial" w:cs="Arial"/>
      <w:sz w:val="21"/>
      <w:lang w:val="nl-NL" w:eastAsia="nl-NL"/>
    </w:rPr>
    <w:tblPr>
      <w:tblStyleRowBandSize w:val="1"/>
      <w:tblBorders>
        <w:bottom w:val="single" w:sz="4" w:space="0" w:color="D5DCE4" w:themeColor="text2" w:themeTint="33"/>
        <w:insideH w:val="single" w:sz="4" w:space="0" w:color="D5DCE4" w:themeColor="text2" w:themeTint="33"/>
      </w:tblBorders>
      <w:tblCellMar>
        <w:top w:w="43" w:type="dxa"/>
        <w:left w:w="144" w:type="dxa"/>
        <w:bottom w:w="43" w:type="dxa"/>
        <w:right w:w="144" w:type="dxa"/>
      </w:tblCellMar>
    </w:tblPr>
    <w:tcPr>
      <w:shd w:val="clear" w:color="auto" w:fill="auto"/>
    </w:tcPr>
    <w:tblStylePr w:type="firstRow">
      <w:pPr>
        <w:jc w:val="left"/>
      </w:pPr>
      <w:rPr>
        <w:rFonts w:asciiTheme="minorHAnsi" w:hAnsiTheme="minorHAnsi"/>
        <w:b w:val="0"/>
        <w:color w:val="FFFFFF" w:themeColor="background1"/>
        <w:sz w:val="21"/>
      </w:rPr>
      <w:tblPr/>
      <w:tcPr>
        <w:shd w:val="clear" w:color="auto" w:fill="44546A" w:themeFill="text2"/>
        <w:vAlign w:val="center"/>
      </w:tcPr>
    </w:tblStylePr>
    <w:tblStylePr w:type="band1Horz">
      <w:rPr>
        <w:rFonts w:asciiTheme="minorHAnsi" w:hAnsiTheme="minorHAnsi"/>
        <w:color w:val="auto"/>
        <w:sz w:val="21"/>
      </w:rPr>
    </w:tblStylePr>
  </w:style>
  <w:style w:type="character" w:styleId="CommentReference">
    <w:name w:val="annotation reference"/>
    <w:basedOn w:val="DefaultParagraphFont"/>
    <w:semiHidden/>
    <w:unhideWhenUsed/>
    <w:rsid w:val="007E3B13"/>
    <w:rPr>
      <w:sz w:val="16"/>
      <w:szCs w:val="16"/>
    </w:rPr>
  </w:style>
  <w:style w:type="paragraph" w:styleId="CommentText">
    <w:name w:val="annotation text"/>
    <w:basedOn w:val="Normal"/>
    <w:link w:val="CommentTextChar"/>
    <w:unhideWhenUsed/>
    <w:rsid w:val="007E3B13"/>
    <w:pPr>
      <w:spacing w:line="240" w:lineRule="auto"/>
    </w:pPr>
    <w:rPr>
      <w:sz w:val="20"/>
      <w:szCs w:val="20"/>
    </w:rPr>
  </w:style>
  <w:style w:type="character" w:customStyle="1" w:styleId="CommentTextChar">
    <w:name w:val="Comment Text Char"/>
    <w:basedOn w:val="DefaultParagraphFont"/>
    <w:link w:val="CommentText"/>
    <w:rsid w:val="007E3B13"/>
    <w:rPr>
      <w:rFonts w:ascii="Trebuchet MS" w:eastAsia="Times New Roman" w:hAnsi="Trebuchet MS" w:cs="Arial"/>
      <w:bCs/>
      <w:color w:val="0D213A"/>
      <w:sz w:val="20"/>
      <w:szCs w:val="20"/>
      <w:lang w:eastAsia="nl-NL"/>
    </w:rPr>
  </w:style>
  <w:style w:type="paragraph" w:styleId="CommentSubject">
    <w:name w:val="annotation subject"/>
    <w:basedOn w:val="CommentText"/>
    <w:next w:val="CommentText"/>
    <w:link w:val="CommentSubjectChar"/>
    <w:semiHidden/>
    <w:unhideWhenUsed/>
    <w:rsid w:val="007E3B13"/>
    <w:rPr>
      <w:b/>
    </w:rPr>
  </w:style>
  <w:style w:type="character" w:customStyle="1" w:styleId="CommentSubjectChar">
    <w:name w:val="Comment Subject Char"/>
    <w:basedOn w:val="CommentTextChar"/>
    <w:link w:val="CommentSubject"/>
    <w:semiHidden/>
    <w:rsid w:val="007E3B13"/>
    <w:rPr>
      <w:rFonts w:ascii="Trebuchet MS" w:eastAsia="Times New Roman" w:hAnsi="Trebuchet MS" w:cs="Arial"/>
      <w:b/>
      <w:bCs/>
      <w:color w:val="0D213A"/>
      <w:sz w:val="20"/>
      <w:szCs w:val="20"/>
      <w:lang w:eastAsia="nl-NL"/>
    </w:rPr>
  </w:style>
  <w:style w:type="table" w:styleId="GridTable4-Accent4">
    <w:name w:val="Grid Table 4 Accent 4"/>
    <w:basedOn w:val="TableNormal"/>
    <w:uiPriority w:val="49"/>
    <w:rsid w:val="007E3B13"/>
    <w:pPr>
      <w:spacing w:after="0" w:line="240" w:lineRule="auto"/>
    </w:pPr>
    <w:rPr>
      <w:rFonts w:ascii="Arial" w:eastAsia="Times New Roman" w:hAnsi="Arial" w:cs="Arial"/>
      <w:color w:val="000000"/>
      <w:sz w:val="21"/>
      <w:lang w:val="nl-NL" w:eastAsia="nl-N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CaptionChar">
    <w:name w:val="Caption Char"/>
    <w:aliases w:val="NICE Caption Char,Caption Char + After:  6 pt Char,Bayer Caption Char,IB Caption Char,Medical Caption Char,Caption2 Char,Char Char2 Char Char Char,- H17 Char,! Q Char,B Caption Char,Caption Char1 Char1,Caption Char Char Char"/>
    <w:basedOn w:val="DefaultParagraphFont"/>
    <w:link w:val="Caption"/>
    <w:rsid w:val="007E3B13"/>
    <w:rPr>
      <w:rFonts w:ascii="Trebuchet MS" w:eastAsia="Times New Roman" w:hAnsi="Trebuchet MS" w:cs="Arial"/>
      <w:b/>
      <w:color w:val="0D213A"/>
      <w:sz w:val="21"/>
      <w:szCs w:val="21"/>
      <w:lang w:eastAsia="nl-NL"/>
    </w:rPr>
  </w:style>
  <w:style w:type="character" w:styleId="FollowedHyperlink">
    <w:name w:val="FollowedHyperlink"/>
    <w:basedOn w:val="DefaultParagraphFont"/>
    <w:semiHidden/>
    <w:unhideWhenUsed/>
    <w:rsid w:val="007E3B13"/>
    <w:rPr>
      <w:color w:val="954F72" w:themeColor="followedHyperlink"/>
      <w:u w:val="single"/>
    </w:rPr>
  </w:style>
  <w:style w:type="character" w:customStyle="1" w:styleId="TOC1Char">
    <w:name w:val="TOC 1 Char"/>
    <w:basedOn w:val="DefaultParagraphFont"/>
    <w:link w:val="TOC1"/>
    <w:uiPriority w:val="39"/>
    <w:rsid w:val="007E3B13"/>
    <w:rPr>
      <w:rFonts w:ascii="Trebuchet MS" w:eastAsia="Times New Roman" w:hAnsi="Trebuchet MS" w:cs="Arial (Body)"/>
      <w:bCs/>
      <w:color w:val="000000"/>
      <w:sz w:val="21"/>
      <w:szCs w:val="20"/>
      <w:lang w:eastAsia="nl-NL"/>
    </w:rPr>
  </w:style>
  <w:style w:type="character" w:customStyle="1" w:styleId="TOC2Char">
    <w:name w:val="TOC 2 Char"/>
    <w:basedOn w:val="DefaultParagraphFont"/>
    <w:link w:val="TOC2"/>
    <w:uiPriority w:val="39"/>
    <w:rsid w:val="007E3B13"/>
    <w:rPr>
      <w:rFonts w:ascii="Trebuchet MS" w:eastAsia="Times New Roman" w:hAnsi="Trebuchet MS" w:cs="Arial (Body)"/>
      <w:color w:val="000000"/>
      <w:sz w:val="21"/>
      <w:szCs w:val="20"/>
      <w:lang w:eastAsia="nl-NL"/>
    </w:rPr>
  </w:style>
  <w:style w:type="character" w:customStyle="1" w:styleId="TOC3Char">
    <w:name w:val="TOC 3 Char"/>
    <w:basedOn w:val="DefaultParagraphFont"/>
    <w:link w:val="TOC3"/>
    <w:uiPriority w:val="39"/>
    <w:rsid w:val="007E3B13"/>
    <w:rPr>
      <w:rFonts w:ascii="Trebuchet MS" w:eastAsia="Times New Roman" w:hAnsi="Trebuchet MS" w:cs="Arial (Body)"/>
      <w:iCs/>
      <w:color w:val="000000"/>
      <w:sz w:val="21"/>
      <w:szCs w:val="20"/>
      <w:lang w:eastAsia="nl-NL"/>
    </w:rPr>
  </w:style>
  <w:style w:type="character" w:customStyle="1" w:styleId="TOC4Char">
    <w:name w:val="TOC 4 Char"/>
    <w:basedOn w:val="DefaultParagraphFont"/>
    <w:link w:val="TOC4"/>
    <w:rsid w:val="007E3B13"/>
    <w:rPr>
      <w:rFonts w:ascii="Trebuchet MS" w:eastAsia="Times New Roman" w:hAnsi="Trebuchet MS" w:cs="Arial (Body)"/>
      <w:color w:val="000000"/>
      <w:sz w:val="21"/>
      <w:szCs w:val="18"/>
      <w:lang w:eastAsia="nl-NL"/>
    </w:rPr>
  </w:style>
  <w:style w:type="paragraph" w:customStyle="1" w:styleId="AllCaps">
    <w:name w:val="All Caps"/>
    <w:link w:val="AllCapsChar"/>
    <w:rsid w:val="007E3B13"/>
    <w:pPr>
      <w:spacing w:before="480" w:after="360" w:line="240" w:lineRule="auto"/>
    </w:pPr>
    <w:rPr>
      <w:rFonts w:ascii="Arial" w:eastAsia="Times New Roman" w:hAnsi="Arial" w:cs="Arial"/>
      <w:b/>
      <w:bCs/>
      <w:caps/>
      <w:color w:val="E7E6E6" w:themeColor="background2"/>
      <w:spacing w:val="20"/>
      <w:sz w:val="28"/>
      <w:szCs w:val="28"/>
      <w:lang w:eastAsia="nl-NL"/>
    </w:rPr>
  </w:style>
  <w:style w:type="character" w:customStyle="1" w:styleId="AllCapsChar">
    <w:name w:val="All Caps Char"/>
    <w:basedOn w:val="DefaultParagraphFont"/>
    <w:link w:val="AllCaps"/>
    <w:rsid w:val="007E3B13"/>
    <w:rPr>
      <w:rFonts w:ascii="Arial" w:eastAsia="Times New Roman" w:hAnsi="Arial" w:cs="Arial"/>
      <w:b/>
      <w:bCs/>
      <w:caps/>
      <w:color w:val="E7E6E6" w:themeColor="background2"/>
      <w:spacing w:val="20"/>
      <w:sz w:val="28"/>
      <w:szCs w:val="28"/>
      <w:lang w:eastAsia="nl-NL"/>
    </w:rPr>
  </w:style>
  <w:style w:type="paragraph" w:customStyle="1" w:styleId="NOTE">
    <w:name w:val="NOTE"/>
    <w:basedOn w:val="Normal"/>
    <w:link w:val="NOTEChar"/>
    <w:rsid w:val="007E3B13"/>
    <w:rPr>
      <w:color w:val="EC008C"/>
    </w:rPr>
  </w:style>
  <w:style w:type="character" w:customStyle="1" w:styleId="NOTEChar">
    <w:name w:val="NOTE Char"/>
    <w:basedOn w:val="DefaultParagraphFont"/>
    <w:link w:val="NOTE"/>
    <w:rsid w:val="007E3B13"/>
    <w:rPr>
      <w:rFonts w:ascii="Trebuchet MS" w:eastAsia="Times New Roman" w:hAnsi="Trebuchet MS" w:cs="Arial"/>
      <w:bCs/>
      <w:color w:val="EC008C"/>
      <w:sz w:val="21"/>
      <w:szCs w:val="21"/>
      <w:lang w:eastAsia="nl-NL"/>
    </w:rPr>
  </w:style>
  <w:style w:type="paragraph" w:customStyle="1" w:styleId="Sub-rowLevel1">
    <w:name w:val="Sub-row Level 1"/>
    <w:basedOn w:val="Normal"/>
    <w:link w:val="Sub-rowLevel1Char"/>
    <w:qFormat/>
    <w:rsid w:val="007E3B13"/>
    <w:pPr>
      <w:spacing w:after="0"/>
      <w:ind w:left="288"/>
    </w:pPr>
    <w:rPr>
      <w:bCs w:val="0"/>
      <w:color w:val="auto"/>
    </w:rPr>
  </w:style>
  <w:style w:type="paragraph" w:customStyle="1" w:styleId="Sub-rowLevel2">
    <w:name w:val="Sub-row Level 2"/>
    <w:basedOn w:val="Normal"/>
    <w:link w:val="Sub-rowLevel2Char"/>
    <w:qFormat/>
    <w:rsid w:val="007E3B13"/>
    <w:pPr>
      <w:spacing w:after="0"/>
      <w:ind w:left="576"/>
    </w:pPr>
    <w:rPr>
      <w:bCs w:val="0"/>
      <w:color w:val="auto"/>
    </w:rPr>
  </w:style>
  <w:style w:type="character" w:customStyle="1" w:styleId="Sub-rowLevel1Char">
    <w:name w:val="Sub-row Level 1 Char"/>
    <w:basedOn w:val="DefaultParagraphFont"/>
    <w:link w:val="Sub-rowLevel1"/>
    <w:rsid w:val="007E3B13"/>
    <w:rPr>
      <w:rFonts w:ascii="Trebuchet MS" w:eastAsia="Times New Roman" w:hAnsi="Trebuchet MS" w:cs="Arial"/>
      <w:sz w:val="21"/>
      <w:szCs w:val="21"/>
      <w:lang w:eastAsia="nl-NL"/>
    </w:rPr>
  </w:style>
  <w:style w:type="character" w:customStyle="1" w:styleId="Sub-rowLevel2Char">
    <w:name w:val="Sub-row Level 2 Char"/>
    <w:basedOn w:val="DefaultParagraphFont"/>
    <w:link w:val="Sub-rowLevel2"/>
    <w:rsid w:val="007E3B13"/>
    <w:rPr>
      <w:rFonts w:ascii="Trebuchet MS" w:eastAsia="Times New Roman" w:hAnsi="Trebuchet MS" w:cs="Arial"/>
      <w:sz w:val="21"/>
      <w:szCs w:val="21"/>
      <w:lang w:eastAsia="nl-NL"/>
    </w:rPr>
  </w:style>
  <w:style w:type="paragraph" w:styleId="Header">
    <w:name w:val="header"/>
    <w:basedOn w:val="Normal"/>
    <w:link w:val="HeaderChar"/>
    <w:uiPriority w:val="99"/>
    <w:unhideWhenUsed/>
    <w:rsid w:val="007E3B13"/>
    <w:pPr>
      <w:tabs>
        <w:tab w:val="clear" w:pos="1134"/>
        <w:tab w:val="center" w:pos="4680"/>
        <w:tab w:val="right" w:pos="9360"/>
      </w:tabs>
      <w:spacing w:after="0" w:line="240" w:lineRule="auto"/>
    </w:pPr>
  </w:style>
  <w:style w:type="character" w:customStyle="1" w:styleId="HeaderChar">
    <w:name w:val="Header Char"/>
    <w:basedOn w:val="DefaultParagraphFont"/>
    <w:link w:val="Header"/>
    <w:uiPriority w:val="99"/>
    <w:rsid w:val="007E3B13"/>
    <w:rPr>
      <w:rFonts w:ascii="Trebuchet MS" w:eastAsia="Times New Roman" w:hAnsi="Trebuchet MS" w:cs="Arial"/>
      <w:bCs/>
      <w:color w:val="0D213A"/>
      <w:sz w:val="21"/>
      <w:szCs w:val="21"/>
      <w:lang w:eastAsia="nl-NL"/>
    </w:rPr>
  </w:style>
  <w:style w:type="paragraph" w:styleId="FootnoteText">
    <w:name w:val="footnote text"/>
    <w:basedOn w:val="Normal"/>
    <w:link w:val="FootnoteTextChar"/>
    <w:semiHidden/>
    <w:unhideWhenUsed/>
    <w:rsid w:val="007E3B13"/>
    <w:pPr>
      <w:spacing w:after="0" w:line="240" w:lineRule="auto"/>
    </w:pPr>
    <w:rPr>
      <w:sz w:val="20"/>
      <w:szCs w:val="20"/>
    </w:rPr>
  </w:style>
  <w:style w:type="character" w:customStyle="1" w:styleId="FootnoteTextChar">
    <w:name w:val="Footnote Text Char"/>
    <w:basedOn w:val="DefaultParagraphFont"/>
    <w:link w:val="FootnoteText"/>
    <w:semiHidden/>
    <w:rsid w:val="007E3B13"/>
    <w:rPr>
      <w:rFonts w:ascii="Trebuchet MS" w:eastAsia="Times New Roman" w:hAnsi="Trebuchet MS" w:cs="Arial"/>
      <w:bCs/>
      <w:color w:val="0D213A"/>
      <w:sz w:val="20"/>
      <w:szCs w:val="20"/>
      <w:lang w:eastAsia="nl-NL"/>
    </w:rPr>
  </w:style>
  <w:style w:type="paragraph" w:styleId="BalloonText">
    <w:name w:val="Balloon Text"/>
    <w:basedOn w:val="Normal"/>
    <w:link w:val="BalloonTextChar"/>
    <w:semiHidden/>
    <w:unhideWhenUsed/>
    <w:rsid w:val="007E3B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E3B13"/>
    <w:rPr>
      <w:rFonts w:ascii="Segoe UI" w:eastAsia="Times New Roman" w:hAnsi="Segoe UI" w:cs="Segoe UI"/>
      <w:bCs/>
      <w:color w:val="0D213A"/>
      <w:sz w:val="18"/>
      <w:szCs w:val="18"/>
      <w:lang w:eastAsia="nl-NL"/>
    </w:rPr>
  </w:style>
  <w:style w:type="paragraph" w:styleId="BodyText">
    <w:name w:val="Body Text"/>
    <w:basedOn w:val="Normal"/>
    <w:link w:val="BodyTextChar"/>
    <w:semiHidden/>
    <w:unhideWhenUsed/>
    <w:rsid w:val="007E3B13"/>
  </w:style>
  <w:style w:type="character" w:customStyle="1" w:styleId="BodyTextChar">
    <w:name w:val="Body Text Char"/>
    <w:basedOn w:val="DefaultParagraphFont"/>
    <w:link w:val="BodyText"/>
    <w:semiHidden/>
    <w:rsid w:val="007E3B13"/>
    <w:rPr>
      <w:rFonts w:ascii="Trebuchet MS" w:eastAsia="Times New Roman" w:hAnsi="Trebuchet MS" w:cs="Arial"/>
      <w:bCs/>
      <w:color w:val="0D213A"/>
      <w:sz w:val="21"/>
      <w:szCs w:val="21"/>
      <w:lang w:eastAsia="nl-NL"/>
    </w:rPr>
  </w:style>
  <w:style w:type="paragraph" w:customStyle="1" w:styleId="EndNoteBibliographyTitle">
    <w:name w:val="EndNote Bibliography Title"/>
    <w:basedOn w:val="Normal"/>
    <w:link w:val="EndNoteBibliographyTitleChar"/>
    <w:rsid w:val="007E3B13"/>
    <w:pPr>
      <w:spacing w:after="0"/>
      <w:jc w:val="center"/>
    </w:pPr>
    <w:rPr>
      <w:rFonts w:ascii="Arial" w:hAnsi="Arial"/>
      <w:noProof/>
      <w:sz w:val="20"/>
      <w:lang w:val="nl-NL"/>
    </w:rPr>
  </w:style>
  <w:style w:type="character" w:customStyle="1" w:styleId="EndNoteBibliographyTitleChar">
    <w:name w:val="EndNote Bibliography Title Char"/>
    <w:basedOn w:val="DefaultParagraphFont"/>
    <w:link w:val="EndNoteBibliographyTitle"/>
    <w:rsid w:val="007E3B13"/>
    <w:rPr>
      <w:rFonts w:ascii="Arial" w:eastAsia="Times New Roman" w:hAnsi="Arial" w:cs="Arial"/>
      <w:bCs/>
      <w:noProof/>
      <w:color w:val="0D213A"/>
      <w:sz w:val="20"/>
      <w:szCs w:val="21"/>
      <w:lang w:val="nl-NL" w:eastAsia="nl-NL"/>
    </w:rPr>
  </w:style>
  <w:style w:type="paragraph" w:customStyle="1" w:styleId="EndNoteBibliography">
    <w:name w:val="EndNote Bibliography"/>
    <w:basedOn w:val="Normal"/>
    <w:link w:val="EndNoteBibliographyChar"/>
    <w:rsid w:val="007E3B13"/>
    <w:pPr>
      <w:spacing w:line="240" w:lineRule="auto"/>
    </w:pPr>
    <w:rPr>
      <w:rFonts w:ascii="Arial" w:hAnsi="Arial"/>
      <w:noProof/>
      <w:sz w:val="20"/>
      <w:lang w:val="nl-NL"/>
    </w:rPr>
  </w:style>
  <w:style w:type="character" w:customStyle="1" w:styleId="EndNoteBibliographyChar">
    <w:name w:val="EndNote Bibliography Char"/>
    <w:basedOn w:val="DefaultParagraphFont"/>
    <w:link w:val="EndNoteBibliography"/>
    <w:rsid w:val="007E3B13"/>
    <w:rPr>
      <w:rFonts w:ascii="Arial" w:eastAsia="Times New Roman" w:hAnsi="Arial" w:cs="Arial"/>
      <w:bCs/>
      <w:noProof/>
      <w:color w:val="0D213A"/>
      <w:sz w:val="20"/>
      <w:szCs w:val="21"/>
      <w:lang w:val="nl-NL" w:eastAsia="nl-NL"/>
    </w:rPr>
  </w:style>
  <w:style w:type="character" w:customStyle="1" w:styleId="UnresolvedMention2">
    <w:name w:val="Unresolved Mention2"/>
    <w:basedOn w:val="DefaultParagraphFont"/>
    <w:rsid w:val="007E3B13"/>
    <w:rPr>
      <w:color w:val="605E5C"/>
      <w:shd w:val="clear" w:color="auto" w:fill="E1DFDD"/>
    </w:rPr>
  </w:style>
  <w:style w:type="table" w:styleId="ListTable3">
    <w:name w:val="List Table 3"/>
    <w:basedOn w:val="TableNormal"/>
    <w:uiPriority w:val="48"/>
    <w:rsid w:val="007E3B13"/>
    <w:pPr>
      <w:spacing w:after="0" w:line="240" w:lineRule="auto"/>
    </w:pPr>
    <w:rPr>
      <w:rFonts w:ascii="Arial" w:eastAsia="Times New Roman" w:hAnsi="Arial" w:cs="Arial"/>
      <w:color w:val="000000"/>
      <w:sz w:val="21"/>
      <w:lang w:val="nl-NL"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NormalWeb">
    <w:name w:val="Normal (Web)"/>
    <w:basedOn w:val="Normal"/>
    <w:uiPriority w:val="99"/>
    <w:semiHidden/>
    <w:unhideWhenUsed/>
    <w:rsid w:val="007E3B13"/>
    <w:pPr>
      <w:tabs>
        <w:tab w:val="clear" w:pos="1134"/>
      </w:tabs>
      <w:spacing w:before="100" w:beforeAutospacing="1" w:after="100" w:afterAutospacing="1" w:line="240" w:lineRule="auto"/>
      <w:contextualSpacing w:val="0"/>
      <w:jc w:val="left"/>
    </w:pPr>
    <w:rPr>
      <w:rFonts w:ascii="Times New Roman" w:hAnsi="Times New Roman" w:cs="Times New Roman"/>
      <w:bCs w:val="0"/>
      <w:color w:val="auto"/>
      <w:sz w:val="24"/>
      <w:szCs w:val="24"/>
      <w:lang w:val="en-GB" w:eastAsia="en-GB"/>
    </w:rPr>
  </w:style>
  <w:style w:type="character" w:customStyle="1" w:styleId="UnresolvedMention3">
    <w:name w:val="Unresolved Mention3"/>
    <w:basedOn w:val="DefaultParagraphFont"/>
    <w:uiPriority w:val="99"/>
    <w:semiHidden/>
    <w:unhideWhenUsed/>
    <w:rsid w:val="007E3B13"/>
    <w:rPr>
      <w:color w:val="605E5C"/>
      <w:shd w:val="clear" w:color="auto" w:fill="E1DFDD"/>
    </w:rPr>
  </w:style>
  <w:style w:type="character" w:customStyle="1" w:styleId="UnresolvedMention4">
    <w:name w:val="Unresolved Mention4"/>
    <w:basedOn w:val="DefaultParagraphFont"/>
    <w:uiPriority w:val="99"/>
    <w:semiHidden/>
    <w:unhideWhenUsed/>
    <w:rsid w:val="007E3B13"/>
    <w:rPr>
      <w:color w:val="605E5C"/>
      <w:shd w:val="clear" w:color="auto" w:fill="E1DFDD"/>
    </w:rPr>
  </w:style>
  <w:style w:type="character" w:customStyle="1" w:styleId="UnresolvedMention">
    <w:name w:val="Unresolved Mention"/>
    <w:basedOn w:val="DefaultParagraphFont"/>
    <w:uiPriority w:val="99"/>
    <w:semiHidden/>
    <w:unhideWhenUsed/>
    <w:rsid w:val="007E3B13"/>
    <w:rPr>
      <w:color w:val="605E5C"/>
      <w:shd w:val="clear" w:color="auto" w:fill="E1DFDD"/>
    </w:rPr>
  </w:style>
  <w:style w:type="paragraph" w:customStyle="1" w:styleId="Note0">
    <w:name w:val="Note"/>
    <w:basedOn w:val="Normal"/>
    <w:link w:val="NoteChar0"/>
    <w:qFormat/>
    <w:rsid w:val="007E3B13"/>
    <w:pPr>
      <w:tabs>
        <w:tab w:val="clear" w:pos="1134"/>
      </w:tabs>
      <w:spacing w:line="259" w:lineRule="auto"/>
      <w:contextualSpacing w:val="0"/>
    </w:pPr>
    <w:rPr>
      <w:rFonts w:ascii="Arial" w:eastAsiaTheme="minorHAnsi" w:hAnsi="Arial"/>
      <w:bCs w:val="0"/>
      <w:color w:val="auto"/>
      <w:sz w:val="18"/>
      <w:szCs w:val="22"/>
      <w:lang w:val="en-GB"/>
    </w:rPr>
  </w:style>
  <w:style w:type="character" w:customStyle="1" w:styleId="NoteChar0">
    <w:name w:val="Note Char"/>
    <w:basedOn w:val="DefaultParagraphFont"/>
    <w:link w:val="Note0"/>
    <w:rsid w:val="007E3B13"/>
    <w:rPr>
      <w:rFonts w:ascii="Arial" w:hAnsi="Arial" w:cs="Arial"/>
      <w:sz w:val="18"/>
      <w:lang w:val="en-GB" w:eastAsia="nl-NL"/>
    </w:rPr>
  </w:style>
  <w:style w:type="table" w:customStyle="1" w:styleId="Style2">
    <w:name w:val="Style2"/>
    <w:basedOn w:val="TableNormal"/>
    <w:uiPriority w:val="99"/>
    <w:qFormat/>
    <w:rsid w:val="007E3B13"/>
    <w:pPr>
      <w:spacing w:after="0" w:line="240" w:lineRule="auto"/>
      <w:jc w:val="center"/>
    </w:pPr>
    <w:rPr>
      <w:rFonts w:ascii="Segoe UI" w:eastAsiaTheme="minorEastAsia" w:hAnsi="Segoe UI"/>
      <w:sz w:val="20"/>
      <w:lang w:val="en-GB" w:eastAsia="zh-CN"/>
    </w:rPr>
    <w:tblPr>
      <w:tblStyleRowBandSize w:val="1"/>
      <w:tblBorders>
        <w:top w:val="single" w:sz="4" w:space="0" w:color="F7941E"/>
        <w:bottom w:val="single" w:sz="4" w:space="0" w:color="F7941E"/>
      </w:tblBorders>
    </w:tblPr>
    <w:tcPr>
      <w:shd w:val="clear" w:color="auto" w:fill="auto"/>
      <w:vAlign w:val="center"/>
    </w:tcPr>
    <w:tblStylePr w:type="firstRow">
      <w:tblPr/>
      <w:tcPr>
        <w:tcBorders>
          <w:top w:val="single" w:sz="4" w:space="0" w:color="F7941E"/>
          <w:bottom w:val="single" w:sz="4" w:space="0" w:color="F7941E"/>
        </w:tcBorders>
        <w:shd w:val="clear" w:color="auto" w:fill="auto"/>
      </w:tcPr>
    </w:tblStylePr>
    <w:tblStylePr w:type="lastRow">
      <w:tblPr/>
      <w:tcPr>
        <w:tcBorders>
          <w:top w:val="single" w:sz="4" w:space="0" w:color="F7941E"/>
          <w:bottom w:val="single" w:sz="4" w:space="0" w:color="F7941E"/>
        </w:tcBorders>
        <w:shd w:val="clear" w:color="auto" w:fill="auto"/>
      </w:tcPr>
    </w:tblStylePr>
    <w:tblStylePr w:type="firstCol">
      <w:rPr>
        <w:b/>
      </w:rPr>
    </w:tblStylePr>
    <w:tblStylePr w:type="band1Horz">
      <w:pPr>
        <w:wordWrap/>
        <w:spacing w:beforeLines="0" w:beforeAutospacing="0" w:afterLines="0" w:afterAutospacing="0"/>
      </w:pPr>
      <w:tblPr/>
      <w:tcPr>
        <w:shd w:val="clear" w:color="auto" w:fill="FDE6CB"/>
      </w:tcPr>
    </w:tblStylePr>
  </w:style>
  <w:style w:type="paragraph" w:styleId="NoSpacing">
    <w:name w:val="No Spacing"/>
    <w:uiPriority w:val="1"/>
    <w:qFormat/>
    <w:rsid w:val="007E3B13"/>
    <w:pPr>
      <w:spacing w:after="0" w:line="240" w:lineRule="auto"/>
      <w:jc w:val="both"/>
    </w:pPr>
    <w:rPr>
      <w:rFonts w:ascii="Arial" w:eastAsia="Times New Roman" w:hAnsi="Arial" w:cs="Arial"/>
      <w:color w:val="000000"/>
      <w:sz w:val="21"/>
      <w:lang w:val="en-GB" w:eastAsia="nl-NL"/>
    </w:rPr>
  </w:style>
  <w:style w:type="paragraph" w:customStyle="1" w:styleId="FHCSalutation">
    <w:name w:val="FHC Salutation"/>
    <w:basedOn w:val="Normal"/>
    <w:rsid w:val="007E3B13"/>
    <w:pPr>
      <w:tabs>
        <w:tab w:val="clear" w:pos="1134"/>
      </w:tabs>
      <w:spacing w:after="260" w:line="240" w:lineRule="auto"/>
      <w:contextualSpacing w:val="0"/>
      <w:jc w:val="left"/>
    </w:pPr>
    <w:rPr>
      <w:rFonts w:ascii="Verdana" w:hAnsi="Verdana" w:cs="Times New Roman"/>
      <w:bCs w:val="0"/>
      <w:color w:val="auto"/>
      <w:sz w:val="18"/>
      <w:szCs w:val="20"/>
      <w:lang w:val="en-GB" w:eastAsia="en-US"/>
    </w:rPr>
  </w:style>
  <w:style w:type="paragraph" w:customStyle="1" w:styleId="StyleEndNoteBibliographyAfter0pt">
    <w:name w:val="Style EndNote Bibliography + After:  0 pt"/>
    <w:basedOn w:val="EndNoteBibliography"/>
    <w:rsid w:val="007E3B13"/>
    <w:pPr>
      <w:spacing w:after="0"/>
      <w:jc w:val="left"/>
    </w:pPr>
    <w:rPr>
      <w:rFonts w:cs="Times New Roman"/>
      <w:bCs w:val="0"/>
      <w:color w:val="000000" w:themeColor="text1"/>
      <w:sz w:val="22"/>
      <w:szCs w:val="20"/>
    </w:rPr>
  </w:style>
  <w:style w:type="paragraph" w:customStyle="1" w:styleId="StyleEndNoteBibliographyAfter0pt1">
    <w:name w:val="Style EndNote Bibliography + After:  0 pt1"/>
    <w:basedOn w:val="EndNoteBibliography"/>
    <w:autoRedefine/>
    <w:rsid w:val="007E3B13"/>
    <w:pPr>
      <w:spacing w:after="0"/>
      <w:jc w:val="left"/>
    </w:pPr>
    <w:rPr>
      <w:rFonts w:cs="Times New Roman"/>
      <w:bCs w:val="0"/>
      <w:color w:val="000000" w:themeColor="tex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2185</Words>
  <Characters>12458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PAREXEL</dc:creator>
  <cp:keywords/>
  <dc:description/>
  <cp:lastModifiedBy>Aswini Vijayakumar</cp:lastModifiedBy>
  <cp:revision>6</cp:revision>
  <dcterms:created xsi:type="dcterms:W3CDTF">2022-12-20T13:53:00Z</dcterms:created>
  <dcterms:modified xsi:type="dcterms:W3CDTF">2023-02-02T05:38:00Z</dcterms:modified>
</cp:coreProperties>
</file>