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1C2" w:rsidRPr="000A4BBB" w:rsidRDefault="005351C2" w:rsidP="005351C2">
      <w:pPr>
        <w:autoSpaceDE w:val="0"/>
        <w:autoSpaceDN w:val="0"/>
        <w:adjustRightInd w:val="0"/>
        <w:spacing w:after="0" w:line="240" w:lineRule="auto"/>
        <w:rPr>
          <w:rFonts w:ascii="Times New Roman" w:hAnsi="Times New Roman" w:cs="Times New Roman"/>
          <w:i/>
          <w:color w:val="000000"/>
          <w:sz w:val="24"/>
          <w:szCs w:val="24"/>
          <w:lang w:val="en-GB"/>
        </w:rPr>
      </w:pPr>
      <w:bookmarkStart w:id="0" w:name="_GoBack"/>
      <w:proofErr w:type="spellStart"/>
      <w:r w:rsidRPr="000A4BBB">
        <w:rPr>
          <w:rFonts w:ascii="Times New Roman" w:hAnsi="Times New Roman" w:cs="Times New Roman"/>
          <w:i/>
          <w:color w:val="000000"/>
          <w:sz w:val="24"/>
          <w:szCs w:val="24"/>
          <w:lang w:val="en-GB"/>
        </w:rPr>
        <w:t>PharmacoEconomics</w:t>
      </w:r>
      <w:proofErr w:type="spellEnd"/>
      <w:r w:rsidRPr="000A4BBB">
        <w:rPr>
          <w:rFonts w:ascii="Times New Roman" w:hAnsi="Times New Roman" w:cs="Times New Roman"/>
          <w:i/>
          <w:color w:val="000000"/>
          <w:sz w:val="24"/>
          <w:szCs w:val="24"/>
          <w:lang w:val="en-GB"/>
        </w:rPr>
        <w:t xml:space="preserve"> Open</w:t>
      </w:r>
    </w:p>
    <w:p w:rsidR="005351C2" w:rsidRPr="000A4BBB" w:rsidRDefault="005351C2" w:rsidP="005351C2">
      <w:pPr>
        <w:autoSpaceDE w:val="0"/>
        <w:autoSpaceDN w:val="0"/>
        <w:adjustRightInd w:val="0"/>
        <w:spacing w:after="0" w:line="240" w:lineRule="auto"/>
        <w:rPr>
          <w:rFonts w:ascii="Times New Roman" w:hAnsi="Times New Roman" w:cs="Times New Roman"/>
          <w:b/>
          <w:color w:val="000000"/>
          <w:sz w:val="24"/>
          <w:szCs w:val="24"/>
          <w:lang w:val="en-GB"/>
        </w:rPr>
      </w:pPr>
      <w:r w:rsidRPr="000A4BBB">
        <w:rPr>
          <w:rFonts w:ascii="Times New Roman" w:hAnsi="Times New Roman" w:cs="Times New Roman"/>
          <w:b/>
          <w:color w:val="000000"/>
          <w:sz w:val="24"/>
          <w:szCs w:val="24"/>
          <w:lang w:val="en-GB"/>
        </w:rPr>
        <w:t xml:space="preserve">A cross-indication budget impact model of </w:t>
      </w:r>
      <w:proofErr w:type="spellStart"/>
      <w:r w:rsidRPr="000A4BBB">
        <w:rPr>
          <w:rFonts w:ascii="Times New Roman" w:hAnsi="Times New Roman" w:cs="Times New Roman"/>
          <w:b/>
          <w:color w:val="000000"/>
          <w:sz w:val="24"/>
          <w:szCs w:val="24"/>
          <w:lang w:val="en-GB"/>
        </w:rPr>
        <w:t>secukinumab</w:t>
      </w:r>
      <w:proofErr w:type="spellEnd"/>
      <w:r w:rsidRPr="000A4BBB">
        <w:rPr>
          <w:rFonts w:ascii="Times New Roman" w:hAnsi="Times New Roman" w:cs="Times New Roman"/>
          <w:b/>
          <w:color w:val="000000"/>
          <w:sz w:val="24"/>
          <w:szCs w:val="24"/>
          <w:lang w:val="en-GB"/>
        </w:rPr>
        <w:t xml:space="preserve"> for the treatment of psoriasis, psoriatic arthritis, ankylosing spondylitis, and non-radiographic axial </w:t>
      </w:r>
      <w:proofErr w:type="spellStart"/>
      <w:r w:rsidRPr="000A4BBB">
        <w:rPr>
          <w:rFonts w:ascii="Times New Roman" w:hAnsi="Times New Roman" w:cs="Times New Roman"/>
          <w:b/>
          <w:color w:val="000000"/>
          <w:sz w:val="24"/>
          <w:szCs w:val="24"/>
          <w:lang w:val="en-GB"/>
        </w:rPr>
        <w:t>spondyloarthritis</w:t>
      </w:r>
      <w:proofErr w:type="spellEnd"/>
      <w:r w:rsidRPr="000A4BBB">
        <w:rPr>
          <w:rFonts w:ascii="Times New Roman" w:hAnsi="Times New Roman" w:cs="Times New Roman"/>
          <w:b/>
          <w:color w:val="000000"/>
          <w:sz w:val="24"/>
          <w:szCs w:val="24"/>
          <w:lang w:val="en-GB"/>
        </w:rPr>
        <w:t xml:space="preserve"> in Italy.</w:t>
      </w:r>
    </w:p>
    <w:p w:rsidR="005351C2" w:rsidRPr="000A4BBB" w:rsidRDefault="005351C2" w:rsidP="005351C2">
      <w:pPr>
        <w:autoSpaceDE w:val="0"/>
        <w:autoSpaceDN w:val="0"/>
        <w:adjustRightInd w:val="0"/>
        <w:spacing w:after="0" w:line="240" w:lineRule="auto"/>
        <w:rPr>
          <w:rFonts w:ascii="Times New Roman" w:hAnsi="Times New Roman" w:cs="Times New Roman"/>
          <w:color w:val="000000"/>
          <w:sz w:val="24"/>
          <w:szCs w:val="24"/>
        </w:rPr>
      </w:pPr>
      <w:r w:rsidRPr="000A4BBB">
        <w:rPr>
          <w:rFonts w:ascii="Times New Roman" w:hAnsi="Times New Roman" w:cs="Times New Roman"/>
          <w:color w:val="000000"/>
          <w:sz w:val="24"/>
          <w:szCs w:val="24"/>
        </w:rPr>
        <w:t>Paolo Angelo Cortesi, Carla Fornari*, Paolo Gisondi, Florenzo Iannone, Ippazio Cosimo Antonazzo, Elisabetta Aloisi, Martina Fiocchi, Daniela Ritrovato, Lorenzo Giovanni Mantovani</w:t>
      </w:r>
    </w:p>
    <w:p w:rsidR="005351C2" w:rsidRPr="000A4BBB" w:rsidRDefault="005351C2" w:rsidP="005351C2">
      <w:pPr>
        <w:autoSpaceDE w:val="0"/>
        <w:autoSpaceDN w:val="0"/>
        <w:adjustRightInd w:val="0"/>
        <w:spacing w:after="0" w:line="240" w:lineRule="auto"/>
        <w:rPr>
          <w:rFonts w:ascii="Times New Roman" w:hAnsi="Times New Roman" w:cs="Times New Roman"/>
          <w:i/>
          <w:color w:val="000000"/>
          <w:sz w:val="24"/>
          <w:szCs w:val="24"/>
        </w:rPr>
      </w:pPr>
    </w:p>
    <w:p w:rsidR="005351C2" w:rsidRPr="000A4BBB" w:rsidRDefault="005351C2" w:rsidP="005351C2">
      <w:pPr>
        <w:autoSpaceDE w:val="0"/>
        <w:autoSpaceDN w:val="0"/>
        <w:adjustRightInd w:val="0"/>
        <w:spacing w:after="0" w:line="240" w:lineRule="auto"/>
        <w:rPr>
          <w:rFonts w:ascii="Times New Roman" w:hAnsi="Times New Roman" w:cs="Times New Roman"/>
          <w:i/>
          <w:color w:val="000000"/>
          <w:sz w:val="24"/>
          <w:szCs w:val="24"/>
          <w:lang w:val="en-GB"/>
        </w:rPr>
      </w:pPr>
      <w:r w:rsidRPr="000A4BBB">
        <w:rPr>
          <w:rFonts w:ascii="Times New Roman" w:hAnsi="Times New Roman" w:cs="Times New Roman"/>
          <w:i/>
          <w:color w:val="000000"/>
          <w:sz w:val="24"/>
          <w:szCs w:val="24"/>
          <w:lang w:val="en-GB"/>
        </w:rPr>
        <w:t>Corresponding author</w:t>
      </w:r>
    </w:p>
    <w:p w:rsidR="005351C2" w:rsidRPr="000A4BBB" w:rsidRDefault="005351C2" w:rsidP="005351C2">
      <w:pPr>
        <w:autoSpaceDE w:val="0"/>
        <w:autoSpaceDN w:val="0"/>
        <w:adjustRightInd w:val="0"/>
        <w:spacing w:after="0" w:line="240" w:lineRule="auto"/>
        <w:rPr>
          <w:rFonts w:ascii="Times New Roman" w:hAnsi="Times New Roman" w:cs="Times New Roman"/>
          <w:color w:val="000000"/>
          <w:sz w:val="24"/>
          <w:szCs w:val="24"/>
          <w:lang w:val="en-GB"/>
        </w:rPr>
      </w:pPr>
      <w:r w:rsidRPr="000A4BBB">
        <w:rPr>
          <w:rFonts w:ascii="Times New Roman" w:hAnsi="Times New Roman" w:cs="Times New Roman"/>
          <w:color w:val="000000"/>
          <w:sz w:val="24"/>
          <w:szCs w:val="24"/>
          <w:lang w:val="en-GB"/>
        </w:rPr>
        <w:t>Carla Fornari,</w:t>
      </w:r>
    </w:p>
    <w:p w:rsidR="005351C2" w:rsidRPr="000A4BBB" w:rsidRDefault="005351C2" w:rsidP="005351C2">
      <w:pPr>
        <w:autoSpaceDE w:val="0"/>
        <w:autoSpaceDN w:val="0"/>
        <w:adjustRightInd w:val="0"/>
        <w:spacing w:after="0" w:line="240" w:lineRule="auto"/>
        <w:rPr>
          <w:rFonts w:ascii="Times New Roman" w:hAnsi="Times New Roman" w:cs="Times New Roman"/>
          <w:color w:val="000000"/>
          <w:sz w:val="24"/>
          <w:szCs w:val="24"/>
          <w:lang w:val="en-GB"/>
        </w:rPr>
      </w:pPr>
      <w:r w:rsidRPr="000A4BBB">
        <w:rPr>
          <w:rFonts w:ascii="Times New Roman" w:hAnsi="Times New Roman" w:cs="Times New Roman"/>
          <w:color w:val="000000"/>
          <w:sz w:val="24"/>
          <w:szCs w:val="24"/>
          <w:lang w:val="en-GB"/>
        </w:rPr>
        <w:t xml:space="preserve">Research </w:t>
      </w:r>
      <w:proofErr w:type="spellStart"/>
      <w:r w:rsidRPr="000A4BBB">
        <w:rPr>
          <w:rFonts w:ascii="Times New Roman" w:hAnsi="Times New Roman" w:cs="Times New Roman"/>
          <w:color w:val="000000"/>
          <w:sz w:val="24"/>
          <w:szCs w:val="24"/>
          <w:lang w:val="en-GB"/>
        </w:rPr>
        <w:t>Center</w:t>
      </w:r>
      <w:proofErr w:type="spellEnd"/>
      <w:r w:rsidRPr="000A4BBB">
        <w:rPr>
          <w:rFonts w:ascii="Times New Roman" w:hAnsi="Times New Roman" w:cs="Times New Roman"/>
          <w:color w:val="000000"/>
          <w:sz w:val="24"/>
          <w:szCs w:val="24"/>
          <w:lang w:val="en-GB"/>
        </w:rPr>
        <w:t xml:space="preserve"> on Public Health (CESP)</w:t>
      </w:r>
      <w:proofErr w:type="gramStart"/>
      <w:r w:rsidRPr="000A4BBB">
        <w:rPr>
          <w:rFonts w:ascii="Times New Roman" w:hAnsi="Times New Roman" w:cs="Times New Roman"/>
          <w:color w:val="000000"/>
          <w:sz w:val="24"/>
          <w:szCs w:val="24"/>
          <w:lang w:val="en-GB"/>
        </w:rPr>
        <w:t>,  University</w:t>
      </w:r>
      <w:proofErr w:type="gramEnd"/>
      <w:r w:rsidRPr="000A4BBB">
        <w:rPr>
          <w:rFonts w:ascii="Times New Roman" w:hAnsi="Times New Roman" w:cs="Times New Roman"/>
          <w:color w:val="000000"/>
          <w:sz w:val="24"/>
          <w:szCs w:val="24"/>
          <w:lang w:val="en-GB"/>
        </w:rPr>
        <w:t xml:space="preserve"> of Milano-Bicocca, Monza, Italy</w:t>
      </w:r>
    </w:p>
    <w:p w:rsidR="005351C2" w:rsidRPr="000A4BBB" w:rsidRDefault="005351C2" w:rsidP="005351C2">
      <w:pPr>
        <w:autoSpaceDE w:val="0"/>
        <w:autoSpaceDN w:val="0"/>
        <w:adjustRightInd w:val="0"/>
        <w:spacing w:after="0" w:line="240" w:lineRule="auto"/>
        <w:rPr>
          <w:rFonts w:ascii="Times New Roman" w:hAnsi="Times New Roman" w:cs="Times New Roman"/>
          <w:color w:val="000000"/>
          <w:sz w:val="24"/>
          <w:szCs w:val="24"/>
          <w:lang w:val="en-GB"/>
        </w:rPr>
      </w:pPr>
      <w:r w:rsidRPr="000A4BBB">
        <w:rPr>
          <w:rFonts w:ascii="Times New Roman" w:hAnsi="Times New Roman" w:cs="Times New Roman"/>
          <w:color w:val="000000"/>
          <w:sz w:val="24"/>
          <w:szCs w:val="24"/>
          <w:lang w:val="en-GB"/>
        </w:rPr>
        <w:t xml:space="preserve">Email: </w:t>
      </w:r>
      <w:hyperlink r:id="rId5" w:history="1">
        <w:r w:rsidRPr="000A4BBB">
          <w:rPr>
            <w:rStyle w:val="Hyperlink"/>
            <w:rFonts w:ascii="Times New Roman" w:hAnsi="Times New Roman" w:cs="Times New Roman"/>
            <w:sz w:val="24"/>
            <w:szCs w:val="24"/>
            <w:lang w:val="en-GB"/>
          </w:rPr>
          <w:t>carla.fornari@unimib.it</w:t>
        </w:r>
      </w:hyperlink>
    </w:p>
    <w:p w:rsidR="005351C2" w:rsidRPr="000A4BBB" w:rsidRDefault="005351C2" w:rsidP="005351C2">
      <w:pPr>
        <w:rPr>
          <w:rFonts w:ascii="Times New Roman" w:eastAsia="Times New Roman" w:hAnsi="Times New Roman" w:cs="Times New Roman"/>
          <w:b/>
          <w:sz w:val="24"/>
          <w:szCs w:val="24"/>
          <w:lang w:val="en-GB"/>
        </w:rPr>
      </w:pPr>
    </w:p>
    <w:p w:rsidR="005351C2" w:rsidRPr="000A4BBB" w:rsidRDefault="005351C2" w:rsidP="005351C2">
      <w:pPr>
        <w:rPr>
          <w:rFonts w:ascii="Times New Roman" w:eastAsia="Times New Roman" w:hAnsi="Times New Roman" w:cs="Times New Roman"/>
          <w:b/>
          <w:sz w:val="24"/>
          <w:szCs w:val="24"/>
          <w:lang w:val="en-GB"/>
        </w:rPr>
      </w:pPr>
      <w:r w:rsidRPr="000A4BBB">
        <w:rPr>
          <w:rFonts w:ascii="Times New Roman" w:eastAsia="Times New Roman" w:hAnsi="Times New Roman" w:cs="Times New Roman"/>
          <w:b/>
          <w:sz w:val="24"/>
          <w:szCs w:val="24"/>
          <w:lang w:val="en-GB"/>
        </w:rPr>
        <w:t>Declarations</w:t>
      </w:r>
    </w:p>
    <w:p w:rsidR="005351C2" w:rsidRPr="000A4BBB" w:rsidRDefault="005351C2" w:rsidP="005351C2">
      <w:pPr>
        <w:rPr>
          <w:rFonts w:ascii="Times New Roman" w:eastAsia="Times New Roman" w:hAnsi="Times New Roman" w:cs="Times New Roman"/>
          <w:b/>
          <w:sz w:val="24"/>
          <w:szCs w:val="24"/>
          <w:lang w:val="en-GB"/>
        </w:rPr>
      </w:pPr>
      <w:r w:rsidRPr="000A4BBB">
        <w:rPr>
          <w:rFonts w:ascii="Times New Roman" w:eastAsia="Times New Roman" w:hAnsi="Times New Roman" w:cs="Times New Roman"/>
          <w:b/>
          <w:sz w:val="24"/>
          <w:szCs w:val="24"/>
          <w:lang w:val="en-GB"/>
        </w:rPr>
        <w:t>Funding</w:t>
      </w:r>
    </w:p>
    <w:p w:rsidR="005351C2" w:rsidRPr="000A4BBB" w:rsidRDefault="005351C2" w:rsidP="005351C2">
      <w:pPr>
        <w:rPr>
          <w:rFonts w:ascii="Times New Roman" w:eastAsia="Times New Roman" w:hAnsi="Times New Roman" w:cs="Times New Roman"/>
          <w:sz w:val="24"/>
          <w:szCs w:val="24"/>
          <w:lang w:val="en-GB"/>
        </w:rPr>
      </w:pPr>
      <w:r w:rsidRPr="000A4BBB">
        <w:rPr>
          <w:rFonts w:ascii="Times New Roman" w:eastAsia="Times New Roman" w:hAnsi="Times New Roman" w:cs="Times New Roman"/>
          <w:sz w:val="24"/>
          <w:szCs w:val="24"/>
          <w:lang w:val="en-GB"/>
        </w:rPr>
        <w:t xml:space="preserve">The study was supported by Novartis </w:t>
      </w:r>
      <w:proofErr w:type="spellStart"/>
      <w:r w:rsidRPr="000A4BBB">
        <w:rPr>
          <w:rFonts w:ascii="Times New Roman" w:eastAsia="Times New Roman" w:hAnsi="Times New Roman" w:cs="Times New Roman"/>
          <w:sz w:val="24"/>
          <w:szCs w:val="24"/>
          <w:lang w:val="en-GB"/>
        </w:rPr>
        <w:t>SpA</w:t>
      </w:r>
      <w:proofErr w:type="spellEnd"/>
      <w:r w:rsidRPr="000A4BBB">
        <w:rPr>
          <w:rFonts w:ascii="Times New Roman" w:eastAsia="Times New Roman" w:hAnsi="Times New Roman" w:cs="Times New Roman"/>
          <w:sz w:val="24"/>
          <w:szCs w:val="24"/>
          <w:lang w:val="en-GB"/>
        </w:rPr>
        <w:t xml:space="preserve"> as a grant. There are no grant numbers to declare. Novartis also provided support as salaries for Elisabetta Aloisi, Martina </w:t>
      </w:r>
      <w:proofErr w:type="spellStart"/>
      <w:r w:rsidRPr="000A4BBB">
        <w:rPr>
          <w:rFonts w:ascii="Times New Roman" w:eastAsia="Times New Roman" w:hAnsi="Times New Roman" w:cs="Times New Roman"/>
          <w:sz w:val="24"/>
          <w:szCs w:val="24"/>
          <w:lang w:val="en-GB"/>
        </w:rPr>
        <w:t>Fiocchi</w:t>
      </w:r>
      <w:proofErr w:type="spellEnd"/>
      <w:r w:rsidRPr="000A4BBB">
        <w:rPr>
          <w:rFonts w:ascii="Times New Roman" w:eastAsia="Times New Roman" w:hAnsi="Times New Roman" w:cs="Times New Roman"/>
          <w:sz w:val="24"/>
          <w:szCs w:val="24"/>
          <w:lang w:val="en-GB"/>
        </w:rPr>
        <w:t xml:space="preserve"> and Daniela </w:t>
      </w:r>
      <w:proofErr w:type="spellStart"/>
      <w:r w:rsidRPr="000A4BBB">
        <w:rPr>
          <w:rFonts w:ascii="Times New Roman" w:eastAsia="Times New Roman" w:hAnsi="Times New Roman" w:cs="Times New Roman"/>
          <w:sz w:val="24"/>
          <w:szCs w:val="24"/>
          <w:lang w:val="en-GB"/>
        </w:rPr>
        <w:t>Ritrovato</w:t>
      </w:r>
      <w:proofErr w:type="spellEnd"/>
      <w:r w:rsidRPr="000A4BBB">
        <w:rPr>
          <w:rFonts w:ascii="Times New Roman" w:eastAsia="Times New Roman" w:hAnsi="Times New Roman" w:cs="Times New Roman"/>
          <w:sz w:val="24"/>
          <w:szCs w:val="24"/>
          <w:lang w:val="en-GB"/>
        </w:rPr>
        <w:t xml:space="preserve">. The specific roles of these authors are articulated in the ‘author contributions’ section. The funders had no role in study design, data collection and analysis, decision to publish, or preparation of the manuscript. Novartis </w:t>
      </w:r>
      <w:proofErr w:type="spellStart"/>
      <w:r w:rsidRPr="000A4BBB">
        <w:rPr>
          <w:rFonts w:ascii="Times New Roman" w:eastAsia="Times New Roman" w:hAnsi="Times New Roman" w:cs="Times New Roman"/>
          <w:sz w:val="24"/>
          <w:szCs w:val="24"/>
          <w:lang w:val="en-GB"/>
        </w:rPr>
        <w:t>SpA</w:t>
      </w:r>
      <w:proofErr w:type="spellEnd"/>
      <w:r w:rsidRPr="000A4BBB">
        <w:rPr>
          <w:rFonts w:ascii="Times New Roman" w:eastAsia="Times New Roman" w:hAnsi="Times New Roman" w:cs="Times New Roman"/>
          <w:sz w:val="24"/>
          <w:szCs w:val="24"/>
          <w:lang w:val="en-GB"/>
        </w:rPr>
        <w:t xml:space="preserve"> also provided the open access fee.</w:t>
      </w:r>
    </w:p>
    <w:p w:rsidR="005351C2" w:rsidRPr="000A4BBB" w:rsidRDefault="005351C2" w:rsidP="005351C2">
      <w:pPr>
        <w:rPr>
          <w:rFonts w:ascii="Times New Roman" w:eastAsia="Times New Roman" w:hAnsi="Times New Roman" w:cs="Times New Roman"/>
          <w:b/>
          <w:sz w:val="24"/>
          <w:szCs w:val="24"/>
          <w:lang w:val="en-GB"/>
        </w:rPr>
      </w:pPr>
      <w:r w:rsidRPr="000A4BBB">
        <w:rPr>
          <w:rFonts w:ascii="Times New Roman" w:eastAsia="Times New Roman" w:hAnsi="Times New Roman" w:cs="Times New Roman"/>
          <w:b/>
          <w:sz w:val="24"/>
          <w:szCs w:val="24"/>
          <w:lang w:val="en-GB"/>
        </w:rPr>
        <w:t>Conflict of interest</w:t>
      </w:r>
    </w:p>
    <w:p w:rsidR="005351C2" w:rsidRPr="000A4BBB" w:rsidRDefault="005351C2" w:rsidP="005351C2">
      <w:pPr>
        <w:rPr>
          <w:rFonts w:ascii="Times New Roman" w:eastAsia="Times New Roman" w:hAnsi="Times New Roman" w:cs="Times New Roman"/>
          <w:sz w:val="24"/>
          <w:szCs w:val="24"/>
          <w:lang w:val="en-GB"/>
        </w:rPr>
      </w:pPr>
      <w:r w:rsidRPr="000A4BBB">
        <w:rPr>
          <w:rFonts w:ascii="Times New Roman" w:eastAsia="Times New Roman" w:hAnsi="Times New Roman" w:cs="Times New Roman"/>
          <w:sz w:val="24"/>
          <w:szCs w:val="24"/>
          <w:lang w:val="en-GB"/>
        </w:rPr>
        <w:t xml:space="preserve">Paolo Angelo Cortesi has received a research grant from Baxalta now part of Shire, and speaking honoraria from Pfizer and Roche. Lorenzo Giovanni Mantovani has received grants and personal fees from Bayer AG, Boehringer Ingelheim, Pfizer and Daiichi-Sankyo. </w:t>
      </w:r>
      <w:r w:rsidRPr="000A4BBB">
        <w:rPr>
          <w:rFonts w:ascii="Times New Roman" w:eastAsia="Times New Roman" w:hAnsi="Times New Roman" w:cs="Times New Roman"/>
          <w:sz w:val="24"/>
          <w:szCs w:val="24"/>
        </w:rPr>
        <w:t xml:space="preserve">Carla Fornari, Ippazio Cosimo Antonazzo have no conflicts of interest to disclose. </w:t>
      </w:r>
      <w:r w:rsidRPr="000A4BBB">
        <w:rPr>
          <w:rFonts w:ascii="Times New Roman" w:eastAsia="Times New Roman" w:hAnsi="Times New Roman" w:cs="Times New Roman"/>
          <w:sz w:val="24"/>
          <w:szCs w:val="24"/>
          <w:lang w:val="en-GB"/>
        </w:rPr>
        <w:t xml:space="preserve">Paolo Gisondi has served as a speaker for </w:t>
      </w:r>
      <w:proofErr w:type="spellStart"/>
      <w:r w:rsidRPr="000A4BBB">
        <w:rPr>
          <w:rFonts w:ascii="Times New Roman" w:eastAsia="Times New Roman" w:hAnsi="Times New Roman" w:cs="Times New Roman"/>
          <w:sz w:val="24"/>
          <w:szCs w:val="24"/>
          <w:lang w:val="en-GB"/>
        </w:rPr>
        <w:t>Abbvie</w:t>
      </w:r>
      <w:proofErr w:type="spellEnd"/>
      <w:r w:rsidRPr="000A4BBB">
        <w:rPr>
          <w:rFonts w:ascii="Times New Roman" w:eastAsia="Times New Roman" w:hAnsi="Times New Roman" w:cs="Times New Roman"/>
          <w:sz w:val="24"/>
          <w:szCs w:val="24"/>
          <w:lang w:val="en-GB"/>
        </w:rPr>
        <w:t xml:space="preserve">, </w:t>
      </w:r>
      <w:proofErr w:type="spellStart"/>
      <w:r w:rsidRPr="000A4BBB">
        <w:rPr>
          <w:rFonts w:ascii="Times New Roman" w:eastAsia="Times New Roman" w:hAnsi="Times New Roman" w:cs="Times New Roman"/>
          <w:sz w:val="24"/>
          <w:szCs w:val="24"/>
          <w:lang w:val="en-GB"/>
        </w:rPr>
        <w:t>Almirall</w:t>
      </w:r>
      <w:proofErr w:type="spellEnd"/>
      <w:r w:rsidRPr="000A4BBB">
        <w:rPr>
          <w:rFonts w:ascii="Times New Roman" w:eastAsia="Times New Roman" w:hAnsi="Times New Roman" w:cs="Times New Roman"/>
          <w:sz w:val="24"/>
          <w:szCs w:val="24"/>
          <w:lang w:val="en-GB"/>
        </w:rPr>
        <w:t xml:space="preserve">, Eli Lilly, Novartis, </w:t>
      </w:r>
      <w:proofErr w:type="spellStart"/>
      <w:r w:rsidRPr="000A4BBB">
        <w:rPr>
          <w:rFonts w:ascii="Times New Roman" w:eastAsia="Times New Roman" w:hAnsi="Times New Roman" w:cs="Times New Roman"/>
          <w:sz w:val="24"/>
          <w:szCs w:val="24"/>
          <w:lang w:val="en-GB"/>
        </w:rPr>
        <w:t>Jannsen</w:t>
      </w:r>
      <w:proofErr w:type="spellEnd"/>
      <w:r w:rsidRPr="000A4BBB">
        <w:rPr>
          <w:rFonts w:ascii="Times New Roman" w:eastAsia="Times New Roman" w:hAnsi="Times New Roman" w:cs="Times New Roman"/>
          <w:sz w:val="24"/>
          <w:szCs w:val="24"/>
          <w:lang w:val="en-GB"/>
        </w:rPr>
        <w:t>, Pfizer, UCB, Sanofi, Pierre Fabre.</w:t>
      </w:r>
    </w:p>
    <w:p w:rsidR="005351C2" w:rsidRPr="000A4BBB" w:rsidRDefault="005351C2" w:rsidP="005351C2">
      <w:pPr>
        <w:rPr>
          <w:rFonts w:ascii="Times New Roman" w:eastAsia="Times New Roman" w:hAnsi="Times New Roman" w:cs="Times New Roman"/>
          <w:sz w:val="24"/>
          <w:szCs w:val="24"/>
          <w:lang w:val="en-GB"/>
        </w:rPr>
      </w:pPr>
      <w:proofErr w:type="spellStart"/>
      <w:r w:rsidRPr="000A4BBB">
        <w:rPr>
          <w:rFonts w:ascii="Times New Roman" w:eastAsia="Times New Roman" w:hAnsi="Times New Roman" w:cs="Times New Roman"/>
          <w:sz w:val="24"/>
          <w:szCs w:val="24"/>
          <w:lang w:val="en-GB"/>
        </w:rPr>
        <w:t>Fiorenzo</w:t>
      </w:r>
      <w:proofErr w:type="spellEnd"/>
      <w:r w:rsidRPr="000A4BBB">
        <w:rPr>
          <w:rFonts w:ascii="Times New Roman" w:eastAsia="Times New Roman" w:hAnsi="Times New Roman" w:cs="Times New Roman"/>
          <w:sz w:val="24"/>
          <w:szCs w:val="24"/>
          <w:lang w:val="en-GB"/>
        </w:rPr>
        <w:t xml:space="preserve"> </w:t>
      </w:r>
      <w:proofErr w:type="spellStart"/>
      <w:r w:rsidRPr="000A4BBB">
        <w:rPr>
          <w:rFonts w:ascii="Times New Roman" w:eastAsia="Times New Roman" w:hAnsi="Times New Roman" w:cs="Times New Roman"/>
          <w:sz w:val="24"/>
          <w:szCs w:val="24"/>
          <w:lang w:val="en-GB"/>
        </w:rPr>
        <w:t>Iannone</w:t>
      </w:r>
      <w:proofErr w:type="spellEnd"/>
      <w:r w:rsidRPr="000A4BBB">
        <w:rPr>
          <w:rFonts w:ascii="Times New Roman" w:eastAsia="Times New Roman" w:hAnsi="Times New Roman" w:cs="Times New Roman"/>
          <w:sz w:val="24"/>
          <w:szCs w:val="24"/>
          <w:lang w:val="en-GB"/>
        </w:rPr>
        <w:t xml:space="preserve"> received speaker’s fee and consultation grant from AbbVie, Actelion, BMS, Biogen, Lilly, MSD, Pfizer, Roche, Sanofi and UCB outside the submitted work. </w:t>
      </w:r>
      <w:r w:rsidRPr="000A4BBB">
        <w:rPr>
          <w:rFonts w:ascii="Times New Roman" w:eastAsia="Times New Roman" w:hAnsi="Times New Roman" w:cs="Times New Roman"/>
          <w:sz w:val="24"/>
          <w:szCs w:val="24"/>
        </w:rPr>
        <w:t xml:space="preserve">Elisabetta Aloisi, Martina Fiocchi and Daniela Ritrovato are employees of Novartis Pharma SpA Italy. </w:t>
      </w:r>
      <w:r w:rsidRPr="000A4BBB">
        <w:rPr>
          <w:rFonts w:ascii="Times New Roman" w:eastAsia="Times New Roman" w:hAnsi="Times New Roman" w:cs="Times New Roman"/>
          <w:sz w:val="24"/>
          <w:szCs w:val="24"/>
          <w:lang w:val="en-GB"/>
        </w:rPr>
        <w:t xml:space="preserve">This does not alter our adherence to Journal policies on sharing data and materials. The marketed product </w:t>
      </w:r>
      <w:proofErr w:type="spellStart"/>
      <w:r w:rsidRPr="000A4BBB">
        <w:rPr>
          <w:rFonts w:ascii="Times New Roman" w:eastAsia="Times New Roman" w:hAnsi="Times New Roman" w:cs="Times New Roman"/>
          <w:sz w:val="24"/>
          <w:szCs w:val="24"/>
          <w:lang w:val="en-GB"/>
        </w:rPr>
        <w:t>secukinumab</w:t>
      </w:r>
      <w:proofErr w:type="spellEnd"/>
      <w:r w:rsidRPr="000A4BBB">
        <w:rPr>
          <w:rFonts w:ascii="Times New Roman" w:eastAsia="Times New Roman" w:hAnsi="Times New Roman" w:cs="Times New Roman"/>
          <w:sz w:val="24"/>
          <w:szCs w:val="24"/>
          <w:lang w:val="en-GB"/>
        </w:rPr>
        <w:t xml:space="preserve"> is associated with this research.</w:t>
      </w:r>
    </w:p>
    <w:p w:rsidR="005351C2" w:rsidRPr="000A4BBB" w:rsidRDefault="005351C2" w:rsidP="005351C2">
      <w:pPr>
        <w:rPr>
          <w:rFonts w:ascii="Times New Roman" w:eastAsia="Times New Roman" w:hAnsi="Times New Roman" w:cs="Times New Roman"/>
          <w:b/>
          <w:sz w:val="24"/>
          <w:szCs w:val="24"/>
          <w:lang w:val="en-GB"/>
        </w:rPr>
      </w:pPr>
      <w:r w:rsidRPr="000A4BBB">
        <w:rPr>
          <w:rFonts w:ascii="Times New Roman" w:eastAsia="Times New Roman" w:hAnsi="Times New Roman" w:cs="Times New Roman"/>
          <w:b/>
          <w:sz w:val="24"/>
          <w:szCs w:val="24"/>
          <w:lang w:val="en-GB"/>
        </w:rPr>
        <w:br w:type="page"/>
      </w:r>
    </w:p>
    <w:p w:rsidR="00535CE4" w:rsidRPr="000A4BBB" w:rsidRDefault="00F333BB">
      <w:pPr>
        <w:rPr>
          <w:rFonts w:ascii="Times New Roman" w:eastAsia="Times New Roman" w:hAnsi="Times New Roman" w:cs="Times New Roman"/>
          <w:b/>
          <w:sz w:val="24"/>
          <w:szCs w:val="24"/>
          <w:lang w:val="en-GB"/>
        </w:rPr>
      </w:pPr>
      <w:r w:rsidRPr="000A4BBB">
        <w:rPr>
          <w:rFonts w:ascii="Times New Roman" w:eastAsia="Times New Roman" w:hAnsi="Times New Roman" w:cs="Times New Roman"/>
          <w:b/>
          <w:sz w:val="24"/>
          <w:szCs w:val="24"/>
          <w:lang w:val="en-GB"/>
        </w:rPr>
        <w:lastRenderedPageBreak/>
        <w:t>SUPPLEMENTARY INFORMATION</w:t>
      </w:r>
    </w:p>
    <w:p w:rsidR="00535CE4" w:rsidRPr="000A4BBB" w:rsidRDefault="00535CE4">
      <w:pPr>
        <w:rPr>
          <w:rFonts w:ascii="Times New Roman" w:eastAsia="Times New Roman" w:hAnsi="Times New Roman" w:cs="Times New Roman"/>
          <w:b/>
          <w:sz w:val="24"/>
          <w:szCs w:val="24"/>
          <w:lang w:val="en-GB"/>
        </w:rPr>
      </w:pPr>
    </w:p>
    <w:p w:rsidR="00535CE4" w:rsidRPr="000A4BBB" w:rsidRDefault="00F333BB">
      <w:pPr>
        <w:rPr>
          <w:rFonts w:ascii="Times New Roman" w:eastAsia="Times New Roman" w:hAnsi="Times New Roman" w:cs="Times New Roman"/>
          <w:sz w:val="24"/>
          <w:szCs w:val="24"/>
          <w:lang w:val="en-GB"/>
        </w:rPr>
      </w:pPr>
      <w:r w:rsidRPr="000A4BBB">
        <w:rPr>
          <w:rFonts w:ascii="Times New Roman" w:eastAsia="Times New Roman" w:hAnsi="Times New Roman" w:cs="Times New Roman"/>
          <w:b/>
          <w:sz w:val="24"/>
          <w:szCs w:val="24"/>
          <w:lang w:val="en-GB"/>
        </w:rPr>
        <w:t xml:space="preserve">Table 1. </w:t>
      </w:r>
      <w:proofErr w:type="spellStart"/>
      <w:r w:rsidRPr="000A4BBB">
        <w:rPr>
          <w:rFonts w:ascii="Times New Roman" w:eastAsia="Times New Roman" w:hAnsi="Times New Roman" w:cs="Times New Roman"/>
          <w:sz w:val="24"/>
          <w:szCs w:val="24"/>
          <w:lang w:val="en-GB"/>
        </w:rPr>
        <w:t>PsO</w:t>
      </w:r>
      <w:proofErr w:type="spellEnd"/>
      <w:r w:rsidRPr="000A4BBB">
        <w:rPr>
          <w:rFonts w:ascii="Times New Roman" w:eastAsia="Times New Roman" w:hAnsi="Times New Roman" w:cs="Times New Roman"/>
          <w:sz w:val="24"/>
          <w:szCs w:val="24"/>
          <w:lang w:val="en-GB"/>
        </w:rPr>
        <w:t xml:space="preserve"> Market share data over three years in the two scenarios.</w:t>
      </w:r>
    </w:p>
    <w:tbl>
      <w:tblPr>
        <w:tblStyle w:val="a"/>
        <w:tblW w:w="10081" w:type="dxa"/>
        <w:tblInd w:w="0" w:type="dxa"/>
        <w:tblLayout w:type="fixed"/>
        <w:tblLook w:val="0400" w:firstRow="0" w:lastRow="0" w:firstColumn="0" w:lastColumn="0" w:noHBand="0" w:noVBand="1"/>
      </w:tblPr>
      <w:tblGrid>
        <w:gridCol w:w="3180"/>
        <w:gridCol w:w="1155"/>
        <w:gridCol w:w="1343"/>
        <w:gridCol w:w="1343"/>
        <w:gridCol w:w="1020"/>
        <w:gridCol w:w="1020"/>
        <w:gridCol w:w="1020"/>
      </w:tblGrid>
      <w:tr w:rsidR="00535CE4" w:rsidRPr="000A4BBB">
        <w:trPr>
          <w:trHeight w:val="293"/>
        </w:trPr>
        <w:tc>
          <w:tcPr>
            <w:tcW w:w="3180" w:type="dxa"/>
            <w:vMerge w:val="restart"/>
            <w:tcBorders>
              <w:top w:val="single" w:sz="8" w:space="0" w:color="000000"/>
              <w:left w:val="nil"/>
              <w:bottom w:val="single" w:sz="8" w:space="0" w:color="000000"/>
              <w:right w:val="nil"/>
            </w:tcBorders>
            <w:shd w:val="clear" w:color="auto" w:fill="F2F2F2"/>
            <w:vAlign w:val="center"/>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 xml:space="preserve">Treatment option </w:t>
            </w:r>
          </w:p>
        </w:tc>
        <w:tc>
          <w:tcPr>
            <w:tcW w:w="3841" w:type="dxa"/>
            <w:gridSpan w:val="3"/>
            <w:tcBorders>
              <w:top w:val="single" w:sz="8" w:space="0" w:color="000000"/>
              <w:left w:val="nil"/>
              <w:bottom w:val="nil"/>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Scenario without  secukinumab</w:t>
            </w:r>
          </w:p>
        </w:tc>
        <w:tc>
          <w:tcPr>
            <w:tcW w:w="3060" w:type="dxa"/>
            <w:gridSpan w:val="3"/>
            <w:tcBorders>
              <w:top w:val="single" w:sz="8" w:space="0" w:color="000000"/>
              <w:left w:val="nil"/>
              <w:bottom w:val="nil"/>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Scenario with  secukinumab</w:t>
            </w:r>
          </w:p>
        </w:tc>
      </w:tr>
      <w:tr w:rsidR="00535CE4" w:rsidRPr="000A4BBB">
        <w:trPr>
          <w:trHeight w:val="293"/>
        </w:trPr>
        <w:tc>
          <w:tcPr>
            <w:tcW w:w="3180" w:type="dxa"/>
            <w:vMerge/>
            <w:tcBorders>
              <w:top w:val="single" w:sz="8" w:space="0" w:color="000000"/>
              <w:left w:val="nil"/>
              <w:bottom w:val="single" w:sz="8" w:space="0" w:color="000000"/>
              <w:right w:val="nil"/>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1155"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2021</w:t>
            </w:r>
          </w:p>
        </w:tc>
        <w:tc>
          <w:tcPr>
            <w:tcW w:w="1343"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2022</w:t>
            </w:r>
          </w:p>
        </w:tc>
        <w:tc>
          <w:tcPr>
            <w:tcW w:w="1343"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2023</w:t>
            </w:r>
          </w:p>
        </w:tc>
        <w:tc>
          <w:tcPr>
            <w:tcW w:w="102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2021</w:t>
            </w:r>
          </w:p>
        </w:tc>
        <w:tc>
          <w:tcPr>
            <w:tcW w:w="102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2022</w:t>
            </w:r>
          </w:p>
        </w:tc>
        <w:tc>
          <w:tcPr>
            <w:tcW w:w="102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2023</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Secukinumab 300 mg</w:t>
            </w:r>
          </w:p>
        </w:tc>
        <w:tc>
          <w:tcPr>
            <w:tcW w:w="1155"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0.00%</w:t>
            </w:r>
          </w:p>
        </w:tc>
        <w:tc>
          <w:tcPr>
            <w:tcW w:w="1343"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0.00%</w:t>
            </w:r>
          </w:p>
        </w:tc>
        <w:tc>
          <w:tcPr>
            <w:tcW w:w="1343"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0.00%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26.00%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23.80%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22.53%</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Adalimumab 40mg</w:t>
            </w:r>
          </w:p>
        </w:tc>
        <w:tc>
          <w:tcPr>
            <w:tcW w:w="1155"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8.24%</w:t>
            </w:r>
          </w:p>
        </w:tc>
        <w:tc>
          <w:tcPr>
            <w:tcW w:w="1343"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7.22%</w:t>
            </w:r>
          </w:p>
        </w:tc>
        <w:tc>
          <w:tcPr>
            <w:tcW w:w="1343"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5.59%</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6.10%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5.50%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4.33%</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Adalimumab biosimilar 40mg</w:t>
            </w:r>
          </w:p>
        </w:tc>
        <w:tc>
          <w:tcPr>
            <w:tcW w:w="1155"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14.86%</w:t>
            </w:r>
          </w:p>
        </w:tc>
        <w:tc>
          <w:tcPr>
            <w:tcW w:w="1343"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21.92%</w:t>
            </w:r>
          </w:p>
        </w:tc>
        <w:tc>
          <w:tcPr>
            <w:tcW w:w="1343"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22.76%</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11.00%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16.70%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17.63%</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Apremilast 30mg</w:t>
            </w:r>
          </w:p>
        </w:tc>
        <w:tc>
          <w:tcPr>
            <w:tcW w:w="1155"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6.62%</w:t>
            </w:r>
          </w:p>
        </w:tc>
        <w:tc>
          <w:tcPr>
            <w:tcW w:w="1343"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5.91%</w:t>
            </w:r>
          </w:p>
        </w:tc>
        <w:tc>
          <w:tcPr>
            <w:tcW w:w="1343"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5.29%</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4.90%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4.50%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4.10%</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Brodalumab</w:t>
            </w:r>
          </w:p>
        </w:tc>
        <w:tc>
          <w:tcPr>
            <w:tcW w:w="1155"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6.08%</w:t>
            </w:r>
          </w:p>
        </w:tc>
        <w:tc>
          <w:tcPr>
            <w:tcW w:w="1343"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5.38%</w:t>
            </w:r>
          </w:p>
        </w:tc>
        <w:tc>
          <w:tcPr>
            <w:tcW w:w="1343"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6.97%</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4.50%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4.10%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5.40%</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Etanercept 50mg</w:t>
            </w:r>
          </w:p>
        </w:tc>
        <w:tc>
          <w:tcPr>
            <w:tcW w:w="1155"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3.51%</w:t>
            </w:r>
          </w:p>
        </w:tc>
        <w:tc>
          <w:tcPr>
            <w:tcW w:w="1343"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2.89%</w:t>
            </w:r>
          </w:p>
        </w:tc>
        <w:tc>
          <w:tcPr>
            <w:tcW w:w="1343"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2.11%</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2.60%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2.20%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1.63%</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Etanercept biosimilar 50mg</w:t>
            </w:r>
          </w:p>
        </w:tc>
        <w:tc>
          <w:tcPr>
            <w:tcW w:w="1155"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0.54%</w:t>
            </w:r>
          </w:p>
        </w:tc>
        <w:tc>
          <w:tcPr>
            <w:tcW w:w="1343"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0.92%</w:t>
            </w:r>
          </w:p>
        </w:tc>
        <w:tc>
          <w:tcPr>
            <w:tcW w:w="1343"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1.42%</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0.40%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0.70%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1.10%</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Guselkumab</w:t>
            </w:r>
          </w:p>
        </w:tc>
        <w:tc>
          <w:tcPr>
            <w:tcW w:w="1155"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13.51%</w:t>
            </w:r>
          </w:p>
        </w:tc>
        <w:tc>
          <w:tcPr>
            <w:tcW w:w="1343"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12.20%</w:t>
            </w:r>
          </w:p>
        </w:tc>
        <w:tc>
          <w:tcPr>
            <w:tcW w:w="1343"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11.70%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10.00%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9.30%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9.07%</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Infliximab biosimilar</w:t>
            </w:r>
          </w:p>
        </w:tc>
        <w:tc>
          <w:tcPr>
            <w:tcW w:w="1155"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2.03%</w:t>
            </w:r>
          </w:p>
        </w:tc>
        <w:tc>
          <w:tcPr>
            <w:tcW w:w="1343"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2.10%</w:t>
            </w:r>
          </w:p>
        </w:tc>
        <w:tc>
          <w:tcPr>
            <w:tcW w:w="1343"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1.85%</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1.50%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1.60%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1.43%</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 xml:space="preserve">Ixekizumab </w:t>
            </w:r>
          </w:p>
        </w:tc>
        <w:tc>
          <w:tcPr>
            <w:tcW w:w="1155"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18.24%</w:t>
            </w:r>
          </w:p>
        </w:tc>
        <w:tc>
          <w:tcPr>
            <w:tcW w:w="1343"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17.19%</w:t>
            </w:r>
          </w:p>
        </w:tc>
        <w:tc>
          <w:tcPr>
            <w:tcW w:w="1343"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15.58%</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13.50%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13.10%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12.07%</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Ustekinumab 45mg</w:t>
            </w:r>
          </w:p>
        </w:tc>
        <w:tc>
          <w:tcPr>
            <w:tcW w:w="1155"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15.14%</w:t>
            </w:r>
          </w:p>
        </w:tc>
        <w:tc>
          <w:tcPr>
            <w:tcW w:w="1343"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13.52%</w:t>
            </w:r>
          </w:p>
        </w:tc>
        <w:tc>
          <w:tcPr>
            <w:tcW w:w="1343"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10.80%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11.20%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10.30%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8.37%</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Risankizumab</w:t>
            </w:r>
          </w:p>
        </w:tc>
        <w:tc>
          <w:tcPr>
            <w:tcW w:w="1155"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7.16%</w:t>
            </w:r>
          </w:p>
        </w:tc>
        <w:tc>
          <w:tcPr>
            <w:tcW w:w="1343"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6.96%</w:t>
            </w:r>
          </w:p>
        </w:tc>
        <w:tc>
          <w:tcPr>
            <w:tcW w:w="1343"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9.29%</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5.30%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5.30%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7.20%</w:t>
            </w:r>
          </w:p>
        </w:tc>
      </w:tr>
      <w:tr w:rsidR="00535CE4" w:rsidRPr="000A4BBB">
        <w:trPr>
          <w:trHeight w:val="293"/>
        </w:trPr>
        <w:tc>
          <w:tcPr>
            <w:tcW w:w="3180"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Tildrakizumab</w:t>
            </w:r>
          </w:p>
        </w:tc>
        <w:tc>
          <w:tcPr>
            <w:tcW w:w="1155"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4.05%</w:t>
            </w:r>
          </w:p>
        </w:tc>
        <w:tc>
          <w:tcPr>
            <w:tcW w:w="1343"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3.81%</w:t>
            </w:r>
          </w:p>
        </w:tc>
        <w:tc>
          <w:tcPr>
            <w:tcW w:w="1343"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6.63%</w:t>
            </w:r>
          </w:p>
        </w:tc>
        <w:tc>
          <w:tcPr>
            <w:tcW w:w="1020" w:type="dxa"/>
            <w:tcBorders>
              <w:top w:val="nil"/>
              <w:left w:val="nil"/>
              <w:bottom w:val="single" w:sz="8" w:space="0" w:color="000000"/>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3.00%</w:t>
            </w:r>
          </w:p>
        </w:tc>
        <w:tc>
          <w:tcPr>
            <w:tcW w:w="1020" w:type="dxa"/>
            <w:tcBorders>
              <w:top w:val="nil"/>
              <w:left w:val="nil"/>
              <w:bottom w:val="single" w:sz="8" w:space="0" w:color="000000"/>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2.90%</w:t>
            </w:r>
          </w:p>
        </w:tc>
        <w:tc>
          <w:tcPr>
            <w:tcW w:w="1020" w:type="dxa"/>
            <w:tcBorders>
              <w:top w:val="nil"/>
              <w:left w:val="nil"/>
              <w:bottom w:val="single" w:sz="8" w:space="0" w:color="000000"/>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5.13%</w:t>
            </w:r>
          </w:p>
        </w:tc>
      </w:tr>
    </w:tbl>
    <w:p w:rsidR="00535CE4" w:rsidRPr="000A4BBB" w:rsidRDefault="00F333BB">
      <w:pPr>
        <w:rPr>
          <w:rFonts w:ascii="Times New Roman" w:eastAsia="Times New Roman" w:hAnsi="Times New Roman" w:cs="Times New Roman"/>
          <w:b/>
          <w:sz w:val="24"/>
          <w:szCs w:val="24"/>
        </w:rPr>
      </w:pPr>
      <w:r w:rsidRPr="000A4BBB">
        <w:rPr>
          <w:rFonts w:ascii="Times New Roman" w:eastAsia="Times New Roman" w:hAnsi="Times New Roman" w:cs="Times New Roman"/>
          <w:color w:val="000000"/>
          <w:sz w:val="18"/>
          <w:szCs w:val="18"/>
        </w:rPr>
        <w:t>PsO - Psoriasis.</w:t>
      </w:r>
    </w:p>
    <w:p w:rsidR="00535CE4" w:rsidRPr="000A4BBB" w:rsidRDefault="00F333BB">
      <w:pPr>
        <w:rPr>
          <w:rFonts w:ascii="Times New Roman" w:eastAsia="Times New Roman" w:hAnsi="Times New Roman" w:cs="Times New Roman"/>
          <w:b/>
          <w:sz w:val="24"/>
          <w:szCs w:val="24"/>
        </w:rPr>
      </w:pPr>
      <w:r w:rsidRPr="000A4BBB">
        <w:br w:type="page"/>
      </w:r>
    </w:p>
    <w:p w:rsidR="00535CE4" w:rsidRPr="000A4BBB" w:rsidRDefault="00F333BB">
      <w:pPr>
        <w:rPr>
          <w:rFonts w:ascii="Times New Roman" w:eastAsia="Times New Roman" w:hAnsi="Times New Roman" w:cs="Times New Roman"/>
          <w:b/>
          <w:sz w:val="24"/>
          <w:szCs w:val="24"/>
          <w:lang w:val="en-GB"/>
        </w:rPr>
      </w:pPr>
      <w:r w:rsidRPr="000A4BBB">
        <w:rPr>
          <w:rFonts w:ascii="Times New Roman" w:eastAsia="Times New Roman" w:hAnsi="Times New Roman" w:cs="Times New Roman"/>
          <w:b/>
          <w:sz w:val="24"/>
          <w:szCs w:val="24"/>
          <w:lang w:val="en-GB"/>
        </w:rPr>
        <w:lastRenderedPageBreak/>
        <w:t xml:space="preserve">Table 2. </w:t>
      </w:r>
      <w:proofErr w:type="spellStart"/>
      <w:r w:rsidRPr="000A4BBB">
        <w:rPr>
          <w:rFonts w:ascii="Times New Roman" w:eastAsia="Times New Roman" w:hAnsi="Times New Roman" w:cs="Times New Roman"/>
          <w:sz w:val="24"/>
          <w:szCs w:val="24"/>
          <w:lang w:val="en-GB"/>
        </w:rPr>
        <w:t>PsA</w:t>
      </w:r>
      <w:proofErr w:type="spellEnd"/>
      <w:r w:rsidRPr="000A4BBB">
        <w:rPr>
          <w:rFonts w:ascii="Times New Roman" w:eastAsia="Times New Roman" w:hAnsi="Times New Roman" w:cs="Times New Roman"/>
          <w:sz w:val="24"/>
          <w:szCs w:val="24"/>
          <w:lang w:val="en-GB"/>
        </w:rPr>
        <w:t xml:space="preserve"> Market share data over three years in the two scenarios.</w:t>
      </w:r>
    </w:p>
    <w:tbl>
      <w:tblPr>
        <w:tblStyle w:val="a0"/>
        <w:tblW w:w="10080" w:type="dxa"/>
        <w:tblInd w:w="0" w:type="dxa"/>
        <w:tblLayout w:type="fixed"/>
        <w:tblLook w:val="0400" w:firstRow="0" w:lastRow="0" w:firstColumn="0" w:lastColumn="0" w:noHBand="0" w:noVBand="1"/>
      </w:tblPr>
      <w:tblGrid>
        <w:gridCol w:w="3180"/>
        <w:gridCol w:w="1280"/>
        <w:gridCol w:w="1280"/>
        <w:gridCol w:w="1280"/>
        <w:gridCol w:w="1020"/>
        <w:gridCol w:w="1020"/>
        <w:gridCol w:w="1020"/>
      </w:tblGrid>
      <w:tr w:rsidR="00535CE4" w:rsidRPr="000A4BBB">
        <w:trPr>
          <w:trHeight w:val="293"/>
        </w:trPr>
        <w:tc>
          <w:tcPr>
            <w:tcW w:w="3180" w:type="dxa"/>
            <w:vMerge w:val="restart"/>
            <w:tcBorders>
              <w:top w:val="single" w:sz="8" w:space="0" w:color="000000"/>
              <w:left w:val="nil"/>
              <w:bottom w:val="single" w:sz="8" w:space="0" w:color="000000"/>
              <w:right w:val="nil"/>
            </w:tcBorders>
            <w:shd w:val="clear" w:color="auto" w:fill="F2F2F2"/>
            <w:vAlign w:val="center"/>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 xml:space="preserve">Treatment option </w:t>
            </w:r>
          </w:p>
        </w:tc>
        <w:tc>
          <w:tcPr>
            <w:tcW w:w="3840" w:type="dxa"/>
            <w:gridSpan w:val="3"/>
            <w:tcBorders>
              <w:top w:val="single" w:sz="8" w:space="0" w:color="000000"/>
              <w:left w:val="nil"/>
              <w:bottom w:val="nil"/>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Scenario without  secukinumab</w:t>
            </w:r>
          </w:p>
        </w:tc>
        <w:tc>
          <w:tcPr>
            <w:tcW w:w="3060" w:type="dxa"/>
            <w:gridSpan w:val="3"/>
            <w:tcBorders>
              <w:top w:val="single" w:sz="8" w:space="0" w:color="000000"/>
              <w:left w:val="nil"/>
              <w:bottom w:val="nil"/>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Scenario with  secukinumab</w:t>
            </w:r>
          </w:p>
        </w:tc>
      </w:tr>
      <w:tr w:rsidR="00535CE4" w:rsidRPr="000A4BBB">
        <w:trPr>
          <w:trHeight w:val="293"/>
        </w:trPr>
        <w:tc>
          <w:tcPr>
            <w:tcW w:w="3180" w:type="dxa"/>
            <w:vMerge/>
            <w:tcBorders>
              <w:top w:val="single" w:sz="8" w:space="0" w:color="000000"/>
              <w:left w:val="nil"/>
              <w:bottom w:val="single" w:sz="8" w:space="0" w:color="000000"/>
              <w:right w:val="nil"/>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128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2021</w:t>
            </w:r>
          </w:p>
        </w:tc>
        <w:tc>
          <w:tcPr>
            <w:tcW w:w="128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2022</w:t>
            </w:r>
          </w:p>
        </w:tc>
        <w:tc>
          <w:tcPr>
            <w:tcW w:w="128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2023</w:t>
            </w:r>
          </w:p>
        </w:tc>
        <w:tc>
          <w:tcPr>
            <w:tcW w:w="102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2021</w:t>
            </w:r>
          </w:p>
        </w:tc>
        <w:tc>
          <w:tcPr>
            <w:tcW w:w="102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2022</w:t>
            </w:r>
          </w:p>
        </w:tc>
        <w:tc>
          <w:tcPr>
            <w:tcW w:w="102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2023</w:t>
            </w:r>
          </w:p>
        </w:tc>
      </w:tr>
      <w:tr w:rsidR="00535CE4" w:rsidRPr="000A4BBB">
        <w:trPr>
          <w:trHeight w:val="285"/>
        </w:trPr>
        <w:tc>
          <w:tcPr>
            <w:tcW w:w="3180" w:type="dxa"/>
            <w:tcBorders>
              <w:top w:val="nil"/>
              <w:left w:val="nil"/>
              <w:bottom w:val="nil"/>
              <w:right w:val="nil"/>
            </w:tcBorders>
            <w:shd w:val="clear" w:color="auto" w:fill="auto"/>
            <w:vAlign w:val="center"/>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Secukinumab 150 mg</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0.00%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0.00%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0.00%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9.10%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8.90%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9.60%</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Secukinumab 300 mg</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0.00%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0.00%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0.00%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16.40%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16.10%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17.07%</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Adalimumab 40mg</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6.31%</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6.80%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5.55%</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4.70%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5.10%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4.07%</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Adalimumab biosimilar 40mg</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19.60%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20.53%</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22.64%</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14.60%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15.40%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16.60%</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Apremilast 30mg</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14.63%</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14.13%</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15.55%</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10.90%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10.60%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11.40%</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Certolizumab 200mg</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10.20%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9.87%</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9.45%</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7.60%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7.40%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6.93%</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Etanercept 50mg</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4.83%</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5.20%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4.00%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3.60%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3.90%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2.93%</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Etanercept biosimilar 50mg</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13.83%</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13.60%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12.45%</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10.30%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10.20%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9.13%</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Golimumab 50mg</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8.19%</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8.13%</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7.82%</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6.10%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6.10%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5.73%</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Infliximab</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0.13%</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0.13%</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0.09%</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0.10%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0.10%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0.07%</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Infliximab biosimilar</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2.82%</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2.80%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2.36%</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2.10%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2.10%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1.73%</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Ixekizumab</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8.99%</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8.53%</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9.45%</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6.70%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6.40%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6.93%</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Ustekinumab 45mg</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10.47%</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10.00%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9.09%</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7.80%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7.50%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6.67%</w:t>
            </w:r>
          </w:p>
        </w:tc>
      </w:tr>
      <w:tr w:rsidR="00535CE4" w:rsidRPr="000A4BBB">
        <w:trPr>
          <w:trHeight w:val="293"/>
        </w:trPr>
        <w:tc>
          <w:tcPr>
            <w:tcW w:w="3180"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Tofacitinib</w:t>
            </w:r>
          </w:p>
        </w:tc>
        <w:tc>
          <w:tcPr>
            <w:tcW w:w="1280"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0.00%</w:t>
            </w:r>
          </w:p>
        </w:tc>
        <w:tc>
          <w:tcPr>
            <w:tcW w:w="1280"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0.27%</w:t>
            </w:r>
          </w:p>
        </w:tc>
        <w:tc>
          <w:tcPr>
            <w:tcW w:w="1280"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1.55%</w:t>
            </w:r>
          </w:p>
        </w:tc>
        <w:tc>
          <w:tcPr>
            <w:tcW w:w="1020" w:type="dxa"/>
            <w:tcBorders>
              <w:top w:val="nil"/>
              <w:left w:val="nil"/>
              <w:bottom w:val="single" w:sz="8" w:space="0" w:color="000000"/>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0.00%</w:t>
            </w:r>
          </w:p>
        </w:tc>
        <w:tc>
          <w:tcPr>
            <w:tcW w:w="1020" w:type="dxa"/>
            <w:tcBorders>
              <w:top w:val="nil"/>
              <w:left w:val="nil"/>
              <w:bottom w:val="single" w:sz="8" w:space="0" w:color="000000"/>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0.20%</w:t>
            </w:r>
          </w:p>
        </w:tc>
        <w:tc>
          <w:tcPr>
            <w:tcW w:w="1020" w:type="dxa"/>
            <w:tcBorders>
              <w:top w:val="nil"/>
              <w:left w:val="nil"/>
              <w:bottom w:val="single" w:sz="8" w:space="0" w:color="000000"/>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1.13%</w:t>
            </w:r>
          </w:p>
        </w:tc>
      </w:tr>
    </w:tbl>
    <w:p w:rsidR="00535CE4" w:rsidRPr="000A4BBB" w:rsidRDefault="00F333BB">
      <w:pPr>
        <w:rPr>
          <w:rFonts w:ascii="Times New Roman" w:eastAsia="Times New Roman" w:hAnsi="Times New Roman" w:cs="Times New Roman"/>
          <w:b/>
          <w:sz w:val="24"/>
          <w:szCs w:val="24"/>
        </w:rPr>
      </w:pPr>
      <w:r w:rsidRPr="000A4BBB">
        <w:rPr>
          <w:rFonts w:ascii="Times New Roman" w:eastAsia="Times New Roman" w:hAnsi="Times New Roman" w:cs="Times New Roman"/>
          <w:color w:val="000000"/>
          <w:sz w:val="18"/>
          <w:szCs w:val="18"/>
        </w:rPr>
        <w:t>PsA - Psoriatic Arthritis.</w:t>
      </w:r>
    </w:p>
    <w:p w:rsidR="005351C2" w:rsidRPr="000A4BBB" w:rsidRDefault="00F333BB">
      <w:pPr>
        <w:rPr>
          <w:rFonts w:ascii="Times New Roman" w:eastAsia="Times New Roman" w:hAnsi="Times New Roman" w:cs="Times New Roman"/>
          <w:b/>
          <w:sz w:val="24"/>
          <w:szCs w:val="24"/>
          <w:lang w:val="en-GB"/>
        </w:rPr>
      </w:pPr>
      <w:r w:rsidRPr="000A4BBB">
        <w:br w:type="page"/>
      </w:r>
    </w:p>
    <w:p w:rsidR="00535CE4" w:rsidRPr="000A4BBB" w:rsidRDefault="00F333BB">
      <w:pPr>
        <w:rPr>
          <w:rFonts w:ascii="Times New Roman" w:eastAsia="Times New Roman" w:hAnsi="Times New Roman" w:cs="Times New Roman"/>
          <w:b/>
          <w:sz w:val="24"/>
          <w:szCs w:val="24"/>
          <w:lang w:val="en-GB"/>
        </w:rPr>
      </w:pPr>
      <w:r w:rsidRPr="000A4BBB">
        <w:rPr>
          <w:rFonts w:ascii="Times New Roman" w:eastAsia="Times New Roman" w:hAnsi="Times New Roman" w:cs="Times New Roman"/>
          <w:b/>
          <w:sz w:val="24"/>
          <w:szCs w:val="24"/>
          <w:lang w:val="en-GB"/>
        </w:rPr>
        <w:lastRenderedPageBreak/>
        <w:t xml:space="preserve">Table 3. </w:t>
      </w:r>
      <w:r w:rsidRPr="000A4BBB">
        <w:rPr>
          <w:rFonts w:ascii="Times New Roman" w:eastAsia="Times New Roman" w:hAnsi="Times New Roman" w:cs="Times New Roman"/>
          <w:sz w:val="24"/>
          <w:szCs w:val="24"/>
          <w:lang w:val="en-GB"/>
        </w:rPr>
        <w:t>AS Market share data over three years in the two scenarios.</w:t>
      </w:r>
    </w:p>
    <w:tbl>
      <w:tblPr>
        <w:tblStyle w:val="a1"/>
        <w:tblW w:w="10080" w:type="dxa"/>
        <w:tblInd w:w="0" w:type="dxa"/>
        <w:tblLayout w:type="fixed"/>
        <w:tblLook w:val="0400" w:firstRow="0" w:lastRow="0" w:firstColumn="0" w:lastColumn="0" w:noHBand="0" w:noVBand="1"/>
      </w:tblPr>
      <w:tblGrid>
        <w:gridCol w:w="3180"/>
        <w:gridCol w:w="1280"/>
        <w:gridCol w:w="1280"/>
        <w:gridCol w:w="1280"/>
        <w:gridCol w:w="1020"/>
        <w:gridCol w:w="1020"/>
        <w:gridCol w:w="1020"/>
      </w:tblGrid>
      <w:tr w:rsidR="00535CE4" w:rsidRPr="000A4BBB">
        <w:trPr>
          <w:trHeight w:val="293"/>
        </w:trPr>
        <w:tc>
          <w:tcPr>
            <w:tcW w:w="3180" w:type="dxa"/>
            <w:vMerge w:val="restart"/>
            <w:tcBorders>
              <w:top w:val="single" w:sz="8" w:space="0" w:color="000000"/>
              <w:left w:val="nil"/>
              <w:bottom w:val="single" w:sz="8" w:space="0" w:color="000000"/>
              <w:right w:val="nil"/>
            </w:tcBorders>
            <w:shd w:val="clear" w:color="auto" w:fill="F2F2F2"/>
            <w:vAlign w:val="center"/>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 xml:space="preserve">Treatment option </w:t>
            </w:r>
          </w:p>
        </w:tc>
        <w:tc>
          <w:tcPr>
            <w:tcW w:w="3840" w:type="dxa"/>
            <w:gridSpan w:val="3"/>
            <w:tcBorders>
              <w:top w:val="single" w:sz="8" w:space="0" w:color="000000"/>
              <w:left w:val="nil"/>
              <w:bottom w:val="nil"/>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Scenario without  secukinumab</w:t>
            </w:r>
          </w:p>
        </w:tc>
        <w:tc>
          <w:tcPr>
            <w:tcW w:w="3060" w:type="dxa"/>
            <w:gridSpan w:val="3"/>
            <w:tcBorders>
              <w:top w:val="single" w:sz="8" w:space="0" w:color="000000"/>
              <w:left w:val="nil"/>
              <w:bottom w:val="nil"/>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Scenario with  secukinumab</w:t>
            </w:r>
          </w:p>
        </w:tc>
      </w:tr>
      <w:tr w:rsidR="00535CE4" w:rsidRPr="000A4BBB">
        <w:trPr>
          <w:trHeight w:val="293"/>
        </w:trPr>
        <w:tc>
          <w:tcPr>
            <w:tcW w:w="3180" w:type="dxa"/>
            <w:vMerge/>
            <w:tcBorders>
              <w:top w:val="single" w:sz="8" w:space="0" w:color="000000"/>
              <w:left w:val="nil"/>
              <w:bottom w:val="single" w:sz="8" w:space="0" w:color="000000"/>
              <w:right w:val="nil"/>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128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2021</w:t>
            </w:r>
          </w:p>
        </w:tc>
        <w:tc>
          <w:tcPr>
            <w:tcW w:w="128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2022</w:t>
            </w:r>
          </w:p>
        </w:tc>
        <w:tc>
          <w:tcPr>
            <w:tcW w:w="128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2023</w:t>
            </w:r>
          </w:p>
        </w:tc>
        <w:tc>
          <w:tcPr>
            <w:tcW w:w="102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2021</w:t>
            </w:r>
          </w:p>
        </w:tc>
        <w:tc>
          <w:tcPr>
            <w:tcW w:w="102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2022</w:t>
            </w:r>
          </w:p>
        </w:tc>
        <w:tc>
          <w:tcPr>
            <w:tcW w:w="102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2023</w:t>
            </w:r>
          </w:p>
        </w:tc>
      </w:tr>
      <w:tr w:rsidR="00535CE4" w:rsidRPr="000A4BBB">
        <w:trPr>
          <w:trHeight w:val="285"/>
        </w:trPr>
        <w:tc>
          <w:tcPr>
            <w:tcW w:w="3180" w:type="dxa"/>
            <w:tcBorders>
              <w:top w:val="nil"/>
              <w:left w:val="nil"/>
              <w:bottom w:val="nil"/>
              <w:right w:val="nil"/>
            </w:tcBorders>
            <w:shd w:val="clear" w:color="auto" w:fill="auto"/>
            <w:vAlign w:val="center"/>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Secukinumab 150 mg</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0.00%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0.00%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0.00%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21.80%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21.50%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22.20%</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Secukinumab 300 mg</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0.00%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0.00%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0.00%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5.11%</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5.00%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6.00%</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Adalimumab 40mg</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16.80%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15.90%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13.60%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12.30%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11.70%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9.70%</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Adalimumab biosimilar 40mg</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30.80%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34.00%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35.40%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22.70%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25.10%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25.50%</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rPr>
            </w:pPr>
            <w:r w:rsidRPr="000A4BBB">
              <w:rPr>
                <w:rFonts w:ascii="Times New Roman" w:eastAsia="Times New Roman" w:hAnsi="Times New Roman" w:cs="Times New Roman"/>
              </w:rPr>
              <w:t>Certolizumab 200mg</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5.60%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5.60%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6.20%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4.00%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4.10%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4.50%</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rPr>
            </w:pPr>
            <w:r w:rsidRPr="000A4BBB">
              <w:rPr>
                <w:rFonts w:ascii="Times New Roman" w:eastAsia="Times New Roman" w:hAnsi="Times New Roman" w:cs="Times New Roman"/>
              </w:rPr>
              <w:t>Etanercept 50mg</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9.40%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8.03%</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6.50%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6.80%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5.90%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4.50%</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rPr>
            </w:pPr>
            <w:r w:rsidRPr="000A4BBB">
              <w:rPr>
                <w:rFonts w:ascii="Times New Roman" w:eastAsia="Times New Roman" w:hAnsi="Times New Roman" w:cs="Times New Roman"/>
              </w:rPr>
              <w:t>Etanercept biosimilar 50mg</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15.60%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15.60%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15.60%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11.30%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12.00%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12.20%</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rPr>
            </w:pPr>
            <w:r w:rsidRPr="000A4BBB">
              <w:rPr>
                <w:rFonts w:ascii="Times New Roman" w:eastAsia="Times New Roman" w:hAnsi="Times New Roman" w:cs="Times New Roman"/>
              </w:rPr>
              <w:t>Golimumab 50mg</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16.40%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14.60%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15.60%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11.90%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10.70%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11.10%</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rPr>
            </w:pPr>
            <w:r w:rsidRPr="000A4BBB">
              <w:rPr>
                <w:rFonts w:ascii="Times New Roman" w:eastAsia="Times New Roman" w:hAnsi="Times New Roman" w:cs="Times New Roman"/>
              </w:rPr>
              <w:t>Infliximab</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0.50%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0.60%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0.46%</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0.60%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0.50%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0.40%</w:t>
            </w:r>
          </w:p>
        </w:tc>
      </w:tr>
      <w:tr w:rsidR="00535CE4" w:rsidRPr="000A4BBB">
        <w:trPr>
          <w:trHeight w:val="293"/>
        </w:trPr>
        <w:tc>
          <w:tcPr>
            <w:tcW w:w="3180"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Infliximab biosimilar</w:t>
            </w:r>
          </w:p>
        </w:tc>
        <w:tc>
          <w:tcPr>
            <w:tcW w:w="1280"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4.90%</w:t>
            </w:r>
          </w:p>
        </w:tc>
        <w:tc>
          <w:tcPr>
            <w:tcW w:w="1280"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5.10%</w:t>
            </w:r>
          </w:p>
        </w:tc>
        <w:tc>
          <w:tcPr>
            <w:tcW w:w="1280"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5.60%</w:t>
            </w:r>
          </w:p>
        </w:tc>
        <w:tc>
          <w:tcPr>
            <w:tcW w:w="1020" w:type="dxa"/>
            <w:tcBorders>
              <w:top w:val="nil"/>
              <w:left w:val="nil"/>
              <w:bottom w:val="single" w:sz="8" w:space="0" w:color="000000"/>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3.50%</w:t>
            </w:r>
          </w:p>
        </w:tc>
        <w:tc>
          <w:tcPr>
            <w:tcW w:w="1020" w:type="dxa"/>
            <w:tcBorders>
              <w:top w:val="nil"/>
              <w:left w:val="nil"/>
              <w:bottom w:val="single" w:sz="8" w:space="0" w:color="000000"/>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3.50%</w:t>
            </w:r>
          </w:p>
        </w:tc>
        <w:tc>
          <w:tcPr>
            <w:tcW w:w="1020" w:type="dxa"/>
            <w:tcBorders>
              <w:top w:val="nil"/>
              <w:left w:val="nil"/>
              <w:bottom w:val="single" w:sz="8" w:space="0" w:color="000000"/>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3.90%</w:t>
            </w:r>
          </w:p>
        </w:tc>
      </w:tr>
    </w:tbl>
    <w:p w:rsidR="00535CE4" w:rsidRPr="000A4BBB" w:rsidRDefault="00F333BB">
      <w:pPr>
        <w:rPr>
          <w:rFonts w:ascii="Times New Roman" w:eastAsia="Times New Roman" w:hAnsi="Times New Roman" w:cs="Times New Roman"/>
          <w:b/>
          <w:sz w:val="24"/>
          <w:szCs w:val="24"/>
        </w:rPr>
      </w:pPr>
      <w:r w:rsidRPr="000A4BBB">
        <w:rPr>
          <w:rFonts w:ascii="Times New Roman" w:eastAsia="Times New Roman" w:hAnsi="Times New Roman" w:cs="Times New Roman"/>
          <w:color w:val="000000"/>
          <w:sz w:val="18"/>
          <w:szCs w:val="18"/>
        </w:rPr>
        <w:t xml:space="preserve">AS - Ankylosing Spondylitis. </w:t>
      </w:r>
    </w:p>
    <w:p w:rsidR="00535CE4" w:rsidRPr="000A4BBB" w:rsidRDefault="00F333BB">
      <w:pPr>
        <w:rPr>
          <w:rFonts w:ascii="Times New Roman" w:eastAsia="Times New Roman" w:hAnsi="Times New Roman" w:cs="Times New Roman"/>
          <w:b/>
          <w:sz w:val="24"/>
          <w:szCs w:val="24"/>
          <w:lang w:val="en-GB"/>
        </w:rPr>
      </w:pPr>
      <w:r w:rsidRPr="000A4BBB">
        <w:rPr>
          <w:lang w:val="en-GB"/>
        </w:rPr>
        <w:br w:type="page"/>
      </w:r>
    </w:p>
    <w:p w:rsidR="00535CE4" w:rsidRPr="000A4BBB" w:rsidRDefault="00F333BB">
      <w:pPr>
        <w:rPr>
          <w:rFonts w:ascii="Times New Roman" w:eastAsia="Times New Roman" w:hAnsi="Times New Roman" w:cs="Times New Roman"/>
          <w:b/>
          <w:sz w:val="24"/>
          <w:szCs w:val="24"/>
          <w:lang w:val="en-GB"/>
        </w:rPr>
      </w:pPr>
      <w:r w:rsidRPr="000A4BBB">
        <w:rPr>
          <w:rFonts w:ascii="Times New Roman" w:eastAsia="Times New Roman" w:hAnsi="Times New Roman" w:cs="Times New Roman"/>
          <w:b/>
          <w:sz w:val="24"/>
          <w:szCs w:val="24"/>
          <w:lang w:val="en-GB"/>
        </w:rPr>
        <w:lastRenderedPageBreak/>
        <w:t xml:space="preserve">Table 4. </w:t>
      </w:r>
      <w:proofErr w:type="spellStart"/>
      <w:r w:rsidRPr="000A4BBB">
        <w:rPr>
          <w:rFonts w:ascii="Times New Roman" w:eastAsia="Times New Roman" w:hAnsi="Times New Roman" w:cs="Times New Roman"/>
          <w:sz w:val="24"/>
          <w:szCs w:val="24"/>
          <w:lang w:val="en-GB"/>
        </w:rPr>
        <w:t>Nr-axSpA</w:t>
      </w:r>
      <w:proofErr w:type="spellEnd"/>
      <w:r w:rsidRPr="000A4BBB">
        <w:rPr>
          <w:rFonts w:ascii="Times New Roman" w:eastAsia="Times New Roman" w:hAnsi="Times New Roman" w:cs="Times New Roman"/>
          <w:sz w:val="24"/>
          <w:szCs w:val="24"/>
          <w:lang w:val="en-GB"/>
        </w:rPr>
        <w:t xml:space="preserve"> Market share data over three years in the two scenarios.</w:t>
      </w:r>
    </w:p>
    <w:tbl>
      <w:tblPr>
        <w:tblStyle w:val="a2"/>
        <w:tblW w:w="10080" w:type="dxa"/>
        <w:tblInd w:w="0" w:type="dxa"/>
        <w:tblLayout w:type="fixed"/>
        <w:tblLook w:val="0400" w:firstRow="0" w:lastRow="0" w:firstColumn="0" w:lastColumn="0" w:noHBand="0" w:noVBand="1"/>
      </w:tblPr>
      <w:tblGrid>
        <w:gridCol w:w="3180"/>
        <w:gridCol w:w="1280"/>
        <w:gridCol w:w="1280"/>
        <w:gridCol w:w="1280"/>
        <w:gridCol w:w="1020"/>
        <w:gridCol w:w="1020"/>
        <w:gridCol w:w="1020"/>
      </w:tblGrid>
      <w:tr w:rsidR="00535CE4" w:rsidRPr="000A4BBB">
        <w:trPr>
          <w:trHeight w:val="293"/>
        </w:trPr>
        <w:tc>
          <w:tcPr>
            <w:tcW w:w="3180" w:type="dxa"/>
            <w:vMerge w:val="restart"/>
            <w:tcBorders>
              <w:top w:val="single" w:sz="8" w:space="0" w:color="000000"/>
              <w:left w:val="nil"/>
              <w:bottom w:val="single" w:sz="8" w:space="0" w:color="000000"/>
              <w:right w:val="nil"/>
            </w:tcBorders>
            <w:shd w:val="clear" w:color="auto" w:fill="F2F2F2"/>
            <w:vAlign w:val="center"/>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 xml:space="preserve">Treatment option </w:t>
            </w:r>
          </w:p>
        </w:tc>
        <w:tc>
          <w:tcPr>
            <w:tcW w:w="3840" w:type="dxa"/>
            <w:gridSpan w:val="3"/>
            <w:tcBorders>
              <w:top w:val="single" w:sz="8" w:space="0" w:color="000000"/>
              <w:left w:val="nil"/>
              <w:bottom w:val="nil"/>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Scenario without  secukinumab</w:t>
            </w:r>
          </w:p>
        </w:tc>
        <w:tc>
          <w:tcPr>
            <w:tcW w:w="3060" w:type="dxa"/>
            <w:gridSpan w:val="3"/>
            <w:tcBorders>
              <w:top w:val="single" w:sz="8" w:space="0" w:color="000000"/>
              <w:left w:val="nil"/>
              <w:bottom w:val="nil"/>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Scenario with  secukinumab</w:t>
            </w:r>
          </w:p>
        </w:tc>
      </w:tr>
      <w:tr w:rsidR="00535CE4" w:rsidRPr="000A4BBB">
        <w:trPr>
          <w:trHeight w:val="293"/>
        </w:trPr>
        <w:tc>
          <w:tcPr>
            <w:tcW w:w="3180" w:type="dxa"/>
            <w:vMerge/>
            <w:tcBorders>
              <w:top w:val="single" w:sz="8" w:space="0" w:color="000000"/>
              <w:left w:val="nil"/>
              <w:bottom w:val="single" w:sz="8" w:space="0" w:color="000000"/>
              <w:right w:val="nil"/>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128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2021</w:t>
            </w:r>
          </w:p>
        </w:tc>
        <w:tc>
          <w:tcPr>
            <w:tcW w:w="128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2022</w:t>
            </w:r>
          </w:p>
        </w:tc>
        <w:tc>
          <w:tcPr>
            <w:tcW w:w="128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2023</w:t>
            </w:r>
          </w:p>
        </w:tc>
        <w:tc>
          <w:tcPr>
            <w:tcW w:w="102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2021</w:t>
            </w:r>
          </w:p>
        </w:tc>
        <w:tc>
          <w:tcPr>
            <w:tcW w:w="102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2022</w:t>
            </w:r>
          </w:p>
        </w:tc>
        <w:tc>
          <w:tcPr>
            <w:tcW w:w="102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2023</w:t>
            </w:r>
          </w:p>
        </w:tc>
      </w:tr>
      <w:tr w:rsidR="00535CE4" w:rsidRPr="000A4BBB">
        <w:trPr>
          <w:trHeight w:val="285"/>
        </w:trPr>
        <w:tc>
          <w:tcPr>
            <w:tcW w:w="3180" w:type="dxa"/>
            <w:tcBorders>
              <w:top w:val="nil"/>
              <w:left w:val="nil"/>
              <w:bottom w:val="nil"/>
              <w:right w:val="nil"/>
            </w:tcBorders>
            <w:shd w:val="clear" w:color="auto" w:fill="auto"/>
            <w:vAlign w:val="center"/>
          </w:tcPr>
          <w:p w:rsidR="00535CE4" w:rsidRPr="000A4BBB" w:rsidRDefault="00F333BB">
            <w:pPr>
              <w:spacing w:after="0" w:line="240" w:lineRule="auto"/>
              <w:rPr>
                <w:rFonts w:ascii="Times New Roman" w:eastAsia="Times New Roman" w:hAnsi="Times New Roman" w:cs="Times New Roman"/>
              </w:rPr>
            </w:pPr>
            <w:r w:rsidRPr="000A4BBB">
              <w:rPr>
                <w:rFonts w:ascii="Times New Roman" w:eastAsia="Times New Roman" w:hAnsi="Times New Roman" w:cs="Times New Roman"/>
              </w:rPr>
              <w:t>Secukinumab 150 mg</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0.00%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0.00%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0.00%</w:t>
            </w:r>
          </w:p>
        </w:tc>
        <w:tc>
          <w:tcPr>
            <w:tcW w:w="102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1.20%</w:t>
            </w:r>
          </w:p>
        </w:tc>
        <w:tc>
          <w:tcPr>
            <w:tcW w:w="102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0.00%</w:t>
            </w:r>
          </w:p>
        </w:tc>
        <w:tc>
          <w:tcPr>
            <w:tcW w:w="102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0.00%</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rPr>
            </w:pPr>
            <w:r w:rsidRPr="000A4BBB">
              <w:rPr>
                <w:rFonts w:ascii="Times New Roman" w:eastAsia="Times New Roman" w:hAnsi="Times New Roman" w:cs="Times New Roman"/>
              </w:rPr>
              <w:t>Adalimumab 40mg</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12.03%</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8.80%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7.60%</w:t>
            </w:r>
          </w:p>
        </w:tc>
        <w:tc>
          <w:tcPr>
            <w:tcW w:w="102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11.88%</w:t>
            </w:r>
          </w:p>
        </w:tc>
        <w:tc>
          <w:tcPr>
            <w:tcW w:w="102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7.00%</w:t>
            </w:r>
          </w:p>
        </w:tc>
        <w:tc>
          <w:tcPr>
            <w:tcW w:w="102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6.20%</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rPr>
            </w:pPr>
            <w:r w:rsidRPr="000A4BBB">
              <w:rPr>
                <w:rFonts w:ascii="Times New Roman" w:eastAsia="Times New Roman" w:hAnsi="Times New Roman" w:cs="Times New Roman"/>
              </w:rPr>
              <w:t>Adalimumab biosimilar 40mg</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14.70%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13.50%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15.20%</w:t>
            </w:r>
          </w:p>
        </w:tc>
        <w:tc>
          <w:tcPr>
            <w:tcW w:w="102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14.89%</w:t>
            </w:r>
          </w:p>
        </w:tc>
        <w:tc>
          <w:tcPr>
            <w:tcW w:w="102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14.30%</w:t>
            </w:r>
          </w:p>
        </w:tc>
        <w:tc>
          <w:tcPr>
            <w:tcW w:w="102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13.90%</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rPr>
            </w:pPr>
            <w:r w:rsidRPr="000A4BBB">
              <w:rPr>
                <w:rFonts w:ascii="Times New Roman" w:eastAsia="Times New Roman" w:hAnsi="Times New Roman" w:cs="Times New Roman"/>
              </w:rPr>
              <w:t>Certolizumab 200mg</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21.99%</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17.90%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16.40%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21.73%</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16.00%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13.90%</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rPr>
            </w:pPr>
            <w:r w:rsidRPr="000A4BBB">
              <w:rPr>
                <w:rFonts w:ascii="Times New Roman" w:eastAsia="Times New Roman" w:hAnsi="Times New Roman" w:cs="Times New Roman"/>
              </w:rPr>
              <w:t>Etanercept 50mg</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2.31%</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2.30%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2.10%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2.28%</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2.20%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1.90%</w:t>
            </w:r>
          </w:p>
        </w:tc>
      </w:tr>
      <w:tr w:rsidR="00535CE4" w:rsidRPr="000A4BBB">
        <w:trPr>
          <w:trHeight w:val="285"/>
        </w:trPr>
        <w:tc>
          <w:tcPr>
            <w:tcW w:w="318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rPr>
            </w:pPr>
            <w:r w:rsidRPr="000A4BBB">
              <w:rPr>
                <w:rFonts w:ascii="Times New Roman" w:eastAsia="Times New Roman" w:hAnsi="Times New Roman" w:cs="Times New Roman"/>
              </w:rPr>
              <w:t>Etanercept biosimilar 50mg</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14.70%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13.50%</w:t>
            </w:r>
          </w:p>
        </w:tc>
        <w:tc>
          <w:tcPr>
            <w:tcW w:w="128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15.20%</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14.53%</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14.53%</w:t>
            </w:r>
          </w:p>
        </w:tc>
        <w:tc>
          <w:tcPr>
            <w:tcW w:w="1020" w:type="dxa"/>
            <w:tcBorders>
              <w:top w:val="nil"/>
              <w:left w:val="nil"/>
              <w:bottom w:val="nil"/>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rPr>
            </w:pPr>
            <w:r w:rsidRPr="000A4BBB">
              <w:rPr>
                <w:rFonts w:ascii="Times New Roman" w:eastAsia="Times New Roman" w:hAnsi="Times New Roman" w:cs="Times New Roman"/>
              </w:rPr>
              <w:t>14.53%</w:t>
            </w:r>
          </w:p>
        </w:tc>
      </w:tr>
      <w:tr w:rsidR="00535CE4" w:rsidRPr="000A4BBB">
        <w:trPr>
          <w:trHeight w:val="293"/>
        </w:trPr>
        <w:tc>
          <w:tcPr>
            <w:tcW w:w="3180"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Golimumab 50mg</w:t>
            </w:r>
          </w:p>
        </w:tc>
        <w:tc>
          <w:tcPr>
            <w:tcW w:w="1280"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15.07%</w:t>
            </w:r>
          </w:p>
        </w:tc>
        <w:tc>
          <w:tcPr>
            <w:tcW w:w="1280"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15.73%</w:t>
            </w:r>
          </w:p>
        </w:tc>
        <w:tc>
          <w:tcPr>
            <w:tcW w:w="1280"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15.63%</w:t>
            </w:r>
          </w:p>
        </w:tc>
        <w:tc>
          <w:tcPr>
            <w:tcW w:w="1020" w:type="dxa"/>
            <w:tcBorders>
              <w:top w:val="nil"/>
              <w:left w:val="nil"/>
              <w:bottom w:val="single" w:sz="8" w:space="0" w:color="000000"/>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14.89%</w:t>
            </w:r>
          </w:p>
        </w:tc>
        <w:tc>
          <w:tcPr>
            <w:tcW w:w="1020" w:type="dxa"/>
            <w:tcBorders>
              <w:top w:val="nil"/>
              <w:left w:val="nil"/>
              <w:bottom w:val="single" w:sz="8" w:space="0" w:color="000000"/>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14.30%</w:t>
            </w:r>
          </w:p>
        </w:tc>
        <w:tc>
          <w:tcPr>
            <w:tcW w:w="1020" w:type="dxa"/>
            <w:tcBorders>
              <w:top w:val="nil"/>
              <w:left w:val="nil"/>
              <w:bottom w:val="single" w:sz="8" w:space="0" w:color="000000"/>
              <w:right w:val="nil"/>
            </w:tcBorders>
            <w:shd w:val="clear" w:color="auto" w:fill="auto"/>
            <w:vAlign w:val="center"/>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13.90%</w:t>
            </w:r>
          </w:p>
        </w:tc>
      </w:tr>
    </w:tbl>
    <w:p w:rsidR="00535CE4" w:rsidRPr="000A4BBB" w:rsidRDefault="00F333BB">
      <w:pPr>
        <w:rPr>
          <w:rFonts w:ascii="Times New Roman" w:eastAsia="Times New Roman" w:hAnsi="Times New Roman" w:cs="Times New Roman"/>
          <w:color w:val="000000"/>
          <w:sz w:val="18"/>
          <w:szCs w:val="18"/>
          <w:lang w:val="en-GB"/>
        </w:rPr>
      </w:pPr>
      <w:proofErr w:type="spellStart"/>
      <w:r w:rsidRPr="000A4BBB">
        <w:rPr>
          <w:rFonts w:ascii="Times New Roman" w:eastAsia="Times New Roman" w:hAnsi="Times New Roman" w:cs="Times New Roman"/>
          <w:color w:val="000000"/>
          <w:sz w:val="18"/>
          <w:szCs w:val="18"/>
          <w:lang w:val="en-GB"/>
        </w:rPr>
        <w:t>Nr-axSpA</w:t>
      </w:r>
      <w:proofErr w:type="spellEnd"/>
      <w:r w:rsidRPr="000A4BBB">
        <w:rPr>
          <w:rFonts w:ascii="Times New Roman" w:eastAsia="Times New Roman" w:hAnsi="Times New Roman" w:cs="Times New Roman"/>
          <w:color w:val="000000"/>
          <w:sz w:val="18"/>
          <w:szCs w:val="18"/>
          <w:lang w:val="en-GB"/>
        </w:rPr>
        <w:t xml:space="preserve"> -Non radiographic axial </w:t>
      </w:r>
      <w:proofErr w:type="spellStart"/>
      <w:r w:rsidRPr="000A4BBB">
        <w:rPr>
          <w:rFonts w:ascii="Times New Roman" w:eastAsia="Times New Roman" w:hAnsi="Times New Roman" w:cs="Times New Roman"/>
          <w:color w:val="000000"/>
          <w:sz w:val="18"/>
          <w:szCs w:val="18"/>
          <w:lang w:val="en-GB"/>
        </w:rPr>
        <w:t>spondyloarthritis</w:t>
      </w:r>
      <w:proofErr w:type="spellEnd"/>
      <w:r w:rsidRPr="000A4BBB">
        <w:rPr>
          <w:rFonts w:ascii="Times New Roman" w:eastAsia="Times New Roman" w:hAnsi="Times New Roman" w:cs="Times New Roman"/>
          <w:color w:val="000000"/>
          <w:sz w:val="18"/>
          <w:szCs w:val="18"/>
          <w:lang w:val="en-GB"/>
        </w:rPr>
        <w:t>.</w:t>
      </w:r>
    </w:p>
    <w:p w:rsidR="00535CE4" w:rsidRPr="000A4BBB" w:rsidRDefault="00535CE4">
      <w:pPr>
        <w:rPr>
          <w:rFonts w:ascii="Times New Roman" w:eastAsia="Times New Roman" w:hAnsi="Times New Roman" w:cs="Times New Roman"/>
          <w:color w:val="000000"/>
          <w:sz w:val="18"/>
          <w:szCs w:val="18"/>
          <w:lang w:val="en-GB"/>
        </w:rPr>
      </w:pPr>
    </w:p>
    <w:p w:rsidR="00535CE4" w:rsidRPr="000A4BBB" w:rsidRDefault="00F333BB">
      <w:pPr>
        <w:rPr>
          <w:rFonts w:ascii="Times New Roman" w:eastAsia="Times New Roman" w:hAnsi="Times New Roman" w:cs="Times New Roman"/>
          <w:color w:val="000000"/>
          <w:sz w:val="18"/>
          <w:szCs w:val="18"/>
          <w:lang w:val="en-GB"/>
        </w:rPr>
      </w:pPr>
      <w:r w:rsidRPr="000A4BBB">
        <w:rPr>
          <w:lang w:val="en-GB"/>
        </w:rPr>
        <w:br w:type="page"/>
      </w:r>
    </w:p>
    <w:p w:rsidR="00535CE4" w:rsidRPr="000A4BBB" w:rsidRDefault="00F333BB">
      <w:pPr>
        <w:rPr>
          <w:rFonts w:ascii="Times New Roman" w:eastAsia="Times New Roman" w:hAnsi="Times New Roman" w:cs="Times New Roman"/>
          <w:sz w:val="24"/>
          <w:szCs w:val="24"/>
          <w:lang w:val="en-GB"/>
        </w:rPr>
      </w:pPr>
      <w:r w:rsidRPr="000A4BBB">
        <w:rPr>
          <w:rFonts w:ascii="Times New Roman" w:eastAsia="Times New Roman" w:hAnsi="Times New Roman" w:cs="Times New Roman"/>
          <w:b/>
          <w:sz w:val="24"/>
          <w:szCs w:val="24"/>
          <w:lang w:val="en-GB"/>
        </w:rPr>
        <w:lastRenderedPageBreak/>
        <w:t xml:space="preserve">Table 5. </w:t>
      </w:r>
      <w:r w:rsidRPr="000A4BBB">
        <w:rPr>
          <w:rFonts w:ascii="Times New Roman" w:eastAsia="Times New Roman" w:hAnsi="Times New Roman" w:cs="Times New Roman"/>
          <w:sz w:val="24"/>
          <w:szCs w:val="24"/>
          <w:lang w:val="en-GB"/>
        </w:rPr>
        <w:t>Budget impact results on cost per treated patient by disease and by year.</w:t>
      </w:r>
    </w:p>
    <w:tbl>
      <w:tblPr>
        <w:tblStyle w:val="a3"/>
        <w:tblW w:w="10340" w:type="dxa"/>
        <w:tblInd w:w="-436" w:type="dxa"/>
        <w:tblLayout w:type="fixed"/>
        <w:tblLook w:val="0400" w:firstRow="0" w:lastRow="0" w:firstColumn="0" w:lastColumn="0" w:noHBand="0" w:noVBand="1"/>
      </w:tblPr>
      <w:tblGrid>
        <w:gridCol w:w="1020"/>
        <w:gridCol w:w="3320"/>
        <w:gridCol w:w="2000"/>
        <w:gridCol w:w="2000"/>
        <w:gridCol w:w="2000"/>
      </w:tblGrid>
      <w:tr w:rsidR="00535CE4" w:rsidRPr="000A4BBB">
        <w:trPr>
          <w:trHeight w:val="293"/>
        </w:trPr>
        <w:tc>
          <w:tcPr>
            <w:tcW w:w="1020"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PsO</w:t>
            </w:r>
          </w:p>
        </w:tc>
        <w:tc>
          <w:tcPr>
            <w:tcW w:w="332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 </w:t>
            </w:r>
          </w:p>
        </w:tc>
        <w:tc>
          <w:tcPr>
            <w:tcW w:w="200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2021</w:t>
            </w:r>
          </w:p>
        </w:tc>
        <w:tc>
          <w:tcPr>
            <w:tcW w:w="200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2022</w:t>
            </w:r>
          </w:p>
        </w:tc>
        <w:tc>
          <w:tcPr>
            <w:tcW w:w="2000" w:type="dxa"/>
            <w:tcBorders>
              <w:top w:val="single" w:sz="8" w:space="0" w:color="000000"/>
              <w:left w:val="nil"/>
              <w:bottom w:val="single" w:sz="8" w:space="0" w:color="000000"/>
              <w:right w:val="single" w:sz="8" w:space="0" w:color="000000"/>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2023</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Scenario without secukinumab</w:t>
            </w:r>
          </w:p>
        </w:tc>
        <w:tc>
          <w:tcPr>
            <w:tcW w:w="2000" w:type="dxa"/>
            <w:tcBorders>
              <w:top w:val="nil"/>
              <w:left w:val="nil"/>
              <w:bottom w:val="nil"/>
              <w:right w:val="nil"/>
            </w:tcBorders>
            <w:shd w:val="clear" w:color="auto" w:fill="auto"/>
            <w:vAlign w:val="bottom"/>
          </w:tcPr>
          <w:p w:rsidR="00535CE4" w:rsidRPr="000A4BBB" w:rsidRDefault="00535CE4">
            <w:pPr>
              <w:spacing w:after="0" w:line="240" w:lineRule="auto"/>
              <w:rPr>
                <w:rFonts w:ascii="Times New Roman" w:eastAsia="Times New Roman" w:hAnsi="Times New Roman" w:cs="Times New Roman"/>
                <w:b/>
                <w:color w:val="000000"/>
              </w:rPr>
            </w:pPr>
          </w:p>
        </w:tc>
        <w:tc>
          <w:tcPr>
            <w:tcW w:w="2000" w:type="dxa"/>
            <w:tcBorders>
              <w:top w:val="nil"/>
              <w:left w:val="nil"/>
              <w:bottom w:val="nil"/>
              <w:right w:val="nil"/>
            </w:tcBorders>
            <w:shd w:val="clear" w:color="auto" w:fill="auto"/>
            <w:vAlign w:val="bottom"/>
          </w:tcPr>
          <w:p w:rsidR="00535CE4" w:rsidRPr="000A4BBB" w:rsidRDefault="00535CE4">
            <w:pPr>
              <w:spacing w:after="0" w:line="240" w:lineRule="auto"/>
              <w:rPr>
                <w:rFonts w:ascii="Times New Roman" w:eastAsia="Times New Roman" w:hAnsi="Times New Roman" w:cs="Times New Roman"/>
                <w:sz w:val="20"/>
                <w:szCs w:val="20"/>
              </w:rPr>
            </w:pP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 </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ind w:firstLine="220"/>
              <w:rPr>
                <w:rFonts w:ascii="Times New Roman" w:eastAsia="Times New Roman" w:hAnsi="Times New Roman" w:cs="Times New Roman"/>
                <w:color w:val="000000"/>
              </w:rPr>
            </w:pPr>
            <w:r w:rsidRPr="000A4BBB">
              <w:rPr>
                <w:rFonts w:ascii="Times New Roman" w:eastAsia="Times New Roman" w:hAnsi="Times New Roman" w:cs="Times New Roman"/>
                <w:color w:val="000000"/>
              </w:rPr>
              <w:t>Drug  acquisition cost</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€ 11,956.06</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€ 11,691.13</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€ 11,711.92</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ind w:firstLine="220"/>
              <w:rPr>
                <w:rFonts w:ascii="Times New Roman" w:eastAsia="Times New Roman" w:hAnsi="Times New Roman" w:cs="Times New Roman"/>
                <w:color w:val="000000"/>
              </w:rPr>
            </w:pPr>
            <w:r w:rsidRPr="000A4BBB">
              <w:rPr>
                <w:rFonts w:ascii="Times New Roman" w:eastAsia="Times New Roman" w:hAnsi="Times New Roman" w:cs="Times New Roman"/>
                <w:color w:val="000000"/>
              </w:rPr>
              <w:t>Administration cost</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€ 41.29</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€ 42.77</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€ 37.69</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ind w:firstLine="220"/>
              <w:rPr>
                <w:rFonts w:ascii="Times New Roman" w:eastAsia="Times New Roman" w:hAnsi="Times New Roman" w:cs="Times New Roman"/>
                <w:color w:val="000000"/>
              </w:rPr>
            </w:pPr>
            <w:r w:rsidRPr="000A4BBB">
              <w:rPr>
                <w:rFonts w:ascii="Times New Roman" w:eastAsia="Times New Roman" w:hAnsi="Times New Roman" w:cs="Times New Roman"/>
                <w:color w:val="000000"/>
              </w:rPr>
              <w:t>Total</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€ 11,997.35</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€ 11,733.90</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€ 11,749.61</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Scenario with secukinumab</w:t>
            </w:r>
          </w:p>
        </w:tc>
        <w:tc>
          <w:tcPr>
            <w:tcW w:w="2000" w:type="dxa"/>
            <w:tcBorders>
              <w:top w:val="nil"/>
              <w:left w:val="nil"/>
              <w:bottom w:val="nil"/>
              <w:right w:val="nil"/>
            </w:tcBorders>
            <w:shd w:val="clear" w:color="auto" w:fill="auto"/>
            <w:vAlign w:val="bottom"/>
          </w:tcPr>
          <w:p w:rsidR="00535CE4" w:rsidRPr="000A4BBB" w:rsidRDefault="00535CE4">
            <w:pPr>
              <w:spacing w:after="0" w:line="240" w:lineRule="auto"/>
              <w:rPr>
                <w:rFonts w:ascii="Times New Roman" w:eastAsia="Times New Roman" w:hAnsi="Times New Roman" w:cs="Times New Roman"/>
                <w:b/>
                <w:color w:val="000000"/>
              </w:rPr>
            </w:pPr>
          </w:p>
        </w:tc>
        <w:tc>
          <w:tcPr>
            <w:tcW w:w="2000" w:type="dxa"/>
            <w:tcBorders>
              <w:top w:val="nil"/>
              <w:left w:val="nil"/>
              <w:bottom w:val="nil"/>
              <w:right w:val="nil"/>
            </w:tcBorders>
            <w:shd w:val="clear" w:color="auto" w:fill="auto"/>
            <w:vAlign w:val="bottom"/>
          </w:tcPr>
          <w:p w:rsidR="00535CE4" w:rsidRPr="000A4BBB" w:rsidRDefault="00535CE4">
            <w:pPr>
              <w:spacing w:after="0" w:line="240" w:lineRule="auto"/>
              <w:rPr>
                <w:rFonts w:ascii="Times New Roman" w:eastAsia="Times New Roman" w:hAnsi="Times New Roman" w:cs="Times New Roman"/>
                <w:sz w:val="20"/>
                <w:szCs w:val="20"/>
              </w:rPr>
            </w:pP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 </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ind w:firstLine="220"/>
              <w:rPr>
                <w:rFonts w:ascii="Times New Roman" w:eastAsia="Times New Roman" w:hAnsi="Times New Roman" w:cs="Times New Roman"/>
                <w:color w:val="000000"/>
              </w:rPr>
            </w:pPr>
            <w:r w:rsidRPr="000A4BBB">
              <w:rPr>
                <w:rFonts w:ascii="Times New Roman" w:eastAsia="Times New Roman" w:hAnsi="Times New Roman" w:cs="Times New Roman"/>
                <w:color w:val="000000"/>
              </w:rPr>
              <w:t>Drug  acquisition cost</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€ 11,804.08</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€ 11,615.05</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€ 11,635.22</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ind w:firstLine="220"/>
              <w:rPr>
                <w:rFonts w:ascii="Times New Roman" w:eastAsia="Times New Roman" w:hAnsi="Times New Roman" w:cs="Times New Roman"/>
                <w:color w:val="000000"/>
              </w:rPr>
            </w:pPr>
            <w:r w:rsidRPr="000A4BBB">
              <w:rPr>
                <w:rFonts w:ascii="Times New Roman" w:eastAsia="Times New Roman" w:hAnsi="Times New Roman" w:cs="Times New Roman"/>
                <w:color w:val="000000"/>
              </w:rPr>
              <w:t>Administration cost</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€ 30.56</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€ 32.59</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€ 29.20</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ind w:firstLine="220"/>
              <w:rPr>
                <w:rFonts w:ascii="Times New Roman" w:eastAsia="Times New Roman" w:hAnsi="Times New Roman" w:cs="Times New Roman"/>
                <w:color w:val="000000"/>
              </w:rPr>
            </w:pPr>
            <w:r w:rsidRPr="000A4BBB">
              <w:rPr>
                <w:rFonts w:ascii="Times New Roman" w:eastAsia="Times New Roman" w:hAnsi="Times New Roman" w:cs="Times New Roman"/>
                <w:color w:val="000000"/>
              </w:rPr>
              <w:t>Total</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€ 11,834.63</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€ 11,647.65</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€ 11,664.41</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Incremental Budget Impact €</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-€ 162.72</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-€ 86.25</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-€ 85.20</w:t>
            </w:r>
          </w:p>
        </w:tc>
      </w:tr>
      <w:tr w:rsidR="00535CE4" w:rsidRPr="000A4BBB">
        <w:trPr>
          <w:trHeight w:val="293"/>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3320"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Incremental Budget Impact %</w:t>
            </w:r>
          </w:p>
        </w:tc>
        <w:tc>
          <w:tcPr>
            <w:tcW w:w="2000"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-1.4%</w:t>
            </w:r>
          </w:p>
        </w:tc>
        <w:tc>
          <w:tcPr>
            <w:tcW w:w="2000"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-0.7%</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-0.7%</w:t>
            </w:r>
          </w:p>
        </w:tc>
      </w:tr>
      <w:tr w:rsidR="00535CE4" w:rsidRPr="000A4BBB">
        <w:trPr>
          <w:trHeight w:val="293"/>
        </w:trPr>
        <w:tc>
          <w:tcPr>
            <w:tcW w:w="1020"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PsA</w:t>
            </w:r>
          </w:p>
        </w:tc>
        <w:tc>
          <w:tcPr>
            <w:tcW w:w="332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 </w:t>
            </w:r>
          </w:p>
        </w:tc>
        <w:tc>
          <w:tcPr>
            <w:tcW w:w="200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2021</w:t>
            </w:r>
          </w:p>
        </w:tc>
        <w:tc>
          <w:tcPr>
            <w:tcW w:w="200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2022</w:t>
            </w:r>
          </w:p>
        </w:tc>
        <w:tc>
          <w:tcPr>
            <w:tcW w:w="2000" w:type="dxa"/>
            <w:tcBorders>
              <w:top w:val="single" w:sz="8" w:space="0" w:color="000000"/>
              <w:left w:val="nil"/>
              <w:bottom w:val="single" w:sz="8" w:space="0" w:color="000000"/>
              <w:right w:val="single" w:sz="8" w:space="0" w:color="000000"/>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2023</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Scenario without secukinumab</w:t>
            </w:r>
          </w:p>
        </w:tc>
        <w:tc>
          <w:tcPr>
            <w:tcW w:w="2000" w:type="dxa"/>
            <w:tcBorders>
              <w:top w:val="nil"/>
              <w:left w:val="nil"/>
              <w:bottom w:val="nil"/>
              <w:right w:val="nil"/>
            </w:tcBorders>
            <w:shd w:val="clear" w:color="auto" w:fill="auto"/>
            <w:vAlign w:val="bottom"/>
          </w:tcPr>
          <w:p w:rsidR="00535CE4" w:rsidRPr="000A4BBB" w:rsidRDefault="00535CE4">
            <w:pPr>
              <w:spacing w:after="0" w:line="240" w:lineRule="auto"/>
              <w:rPr>
                <w:rFonts w:ascii="Times New Roman" w:eastAsia="Times New Roman" w:hAnsi="Times New Roman" w:cs="Times New Roman"/>
                <w:b/>
                <w:color w:val="000000"/>
              </w:rPr>
            </w:pPr>
          </w:p>
        </w:tc>
        <w:tc>
          <w:tcPr>
            <w:tcW w:w="2000" w:type="dxa"/>
            <w:tcBorders>
              <w:top w:val="nil"/>
              <w:left w:val="nil"/>
              <w:bottom w:val="nil"/>
              <w:right w:val="nil"/>
            </w:tcBorders>
            <w:shd w:val="clear" w:color="auto" w:fill="auto"/>
            <w:vAlign w:val="bottom"/>
          </w:tcPr>
          <w:p w:rsidR="00535CE4" w:rsidRPr="000A4BBB" w:rsidRDefault="00535CE4">
            <w:pPr>
              <w:spacing w:after="0" w:line="240" w:lineRule="auto"/>
              <w:rPr>
                <w:rFonts w:ascii="Times New Roman" w:eastAsia="Times New Roman" w:hAnsi="Times New Roman" w:cs="Times New Roman"/>
                <w:sz w:val="20"/>
                <w:szCs w:val="20"/>
              </w:rPr>
            </w:pP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 </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ind w:firstLine="220"/>
              <w:rPr>
                <w:rFonts w:ascii="Times New Roman" w:eastAsia="Times New Roman" w:hAnsi="Times New Roman" w:cs="Times New Roman"/>
                <w:color w:val="000000"/>
              </w:rPr>
            </w:pPr>
            <w:r w:rsidRPr="000A4BBB">
              <w:rPr>
                <w:rFonts w:ascii="Times New Roman" w:eastAsia="Times New Roman" w:hAnsi="Times New Roman" w:cs="Times New Roman"/>
                <w:color w:val="000000"/>
              </w:rPr>
              <w:t>Drug  acquisition cost</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€ 10,703.96</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€ 10,684.05</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€ 10,607.00</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ind w:firstLine="220"/>
              <w:rPr>
                <w:rFonts w:ascii="Times New Roman" w:eastAsia="Times New Roman" w:hAnsi="Times New Roman" w:cs="Times New Roman"/>
                <w:color w:val="000000"/>
              </w:rPr>
            </w:pPr>
            <w:r w:rsidRPr="000A4BBB">
              <w:rPr>
                <w:rFonts w:ascii="Times New Roman" w:eastAsia="Times New Roman" w:hAnsi="Times New Roman" w:cs="Times New Roman"/>
                <w:color w:val="000000"/>
              </w:rPr>
              <w:t>Administration cost</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€ 56.05</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€ 55.67</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€ 46.59</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ind w:firstLine="220"/>
              <w:rPr>
                <w:rFonts w:ascii="Times New Roman" w:eastAsia="Times New Roman" w:hAnsi="Times New Roman" w:cs="Times New Roman"/>
                <w:color w:val="000000"/>
              </w:rPr>
            </w:pPr>
            <w:r w:rsidRPr="000A4BBB">
              <w:rPr>
                <w:rFonts w:ascii="Times New Roman" w:eastAsia="Times New Roman" w:hAnsi="Times New Roman" w:cs="Times New Roman"/>
                <w:color w:val="000000"/>
              </w:rPr>
              <w:t>Total</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€ 10,760.00</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€ 10,739.72</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€ 10,653.59</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Scenario with secukinumab</w:t>
            </w:r>
          </w:p>
        </w:tc>
        <w:tc>
          <w:tcPr>
            <w:tcW w:w="2000" w:type="dxa"/>
            <w:tcBorders>
              <w:top w:val="nil"/>
              <w:left w:val="nil"/>
              <w:bottom w:val="nil"/>
              <w:right w:val="nil"/>
            </w:tcBorders>
            <w:shd w:val="clear" w:color="auto" w:fill="auto"/>
            <w:vAlign w:val="bottom"/>
          </w:tcPr>
          <w:p w:rsidR="00535CE4" w:rsidRPr="000A4BBB" w:rsidRDefault="00535CE4">
            <w:pPr>
              <w:spacing w:after="0" w:line="240" w:lineRule="auto"/>
              <w:rPr>
                <w:rFonts w:ascii="Times New Roman" w:eastAsia="Times New Roman" w:hAnsi="Times New Roman" w:cs="Times New Roman"/>
                <w:b/>
                <w:color w:val="000000"/>
              </w:rPr>
            </w:pPr>
          </w:p>
        </w:tc>
        <w:tc>
          <w:tcPr>
            <w:tcW w:w="2000" w:type="dxa"/>
            <w:tcBorders>
              <w:top w:val="nil"/>
              <w:left w:val="nil"/>
              <w:bottom w:val="nil"/>
              <w:right w:val="nil"/>
            </w:tcBorders>
            <w:shd w:val="clear" w:color="auto" w:fill="auto"/>
            <w:vAlign w:val="bottom"/>
          </w:tcPr>
          <w:p w:rsidR="00535CE4" w:rsidRPr="000A4BBB" w:rsidRDefault="00535CE4">
            <w:pPr>
              <w:spacing w:after="0" w:line="240" w:lineRule="auto"/>
              <w:rPr>
                <w:rFonts w:ascii="Times New Roman" w:eastAsia="Times New Roman" w:hAnsi="Times New Roman" w:cs="Times New Roman"/>
                <w:sz w:val="20"/>
                <w:szCs w:val="20"/>
              </w:rPr>
            </w:pP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 </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ind w:firstLine="220"/>
              <w:rPr>
                <w:rFonts w:ascii="Times New Roman" w:eastAsia="Times New Roman" w:hAnsi="Times New Roman" w:cs="Times New Roman"/>
                <w:color w:val="000000"/>
              </w:rPr>
            </w:pPr>
            <w:r w:rsidRPr="000A4BBB">
              <w:rPr>
                <w:rFonts w:ascii="Times New Roman" w:eastAsia="Times New Roman" w:hAnsi="Times New Roman" w:cs="Times New Roman"/>
                <w:color w:val="000000"/>
              </w:rPr>
              <w:t>Drug  acquisition cost</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€ 10,356.78</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€ 10,349.88</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€ 10,265.04</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ind w:firstLine="220"/>
              <w:rPr>
                <w:rFonts w:ascii="Times New Roman" w:eastAsia="Times New Roman" w:hAnsi="Times New Roman" w:cs="Times New Roman"/>
                <w:color w:val="000000"/>
              </w:rPr>
            </w:pPr>
            <w:r w:rsidRPr="000A4BBB">
              <w:rPr>
                <w:rFonts w:ascii="Times New Roman" w:eastAsia="Times New Roman" w:hAnsi="Times New Roman" w:cs="Times New Roman"/>
                <w:color w:val="000000"/>
              </w:rPr>
              <w:t>Administration cost</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€ 41.76</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€ 41.76</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€ 34.16</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ind w:firstLine="220"/>
              <w:rPr>
                <w:rFonts w:ascii="Times New Roman" w:eastAsia="Times New Roman" w:hAnsi="Times New Roman" w:cs="Times New Roman"/>
                <w:color w:val="000000"/>
              </w:rPr>
            </w:pPr>
            <w:r w:rsidRPr="000A4BBB">
              <w:rPr>
                <w:rFonts w:ascii="Times New Roman" w:eastAsia="Times New Roman" w:hAnsi="Times New Roman" w:cs="Times New Roman"/>
                <w:color w:val="000000"/>
              </w:rPr>
              <w:t>Total</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€ 10,398.53</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€ 10,391.63</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€ 10,299.20</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Incremental Budget Impact €</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-€ 361.47</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-€ 348.09</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-€ 354.39</w:t>
            </w:r>
          </w:p>
        </w:tc>
      </w:tr>
      <w:tr w:rsidR="00535CE4" w:rsidRPr="000A4BBB">
        <w:trPr>
          <w:trHeight w:val="293"/>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3320"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Incremental Budget Impact %</w:t>
            </w:r>
          </w:p>
        </w:tc>
        <w:tc>
          <w:tcPr>
            <w:tcW w:w="2000"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-3.5%</w:t>
            </w:r>
          </w:p>
        </w:tc>
        <w:tc>
          <w:tcPr>
            <w:tcW w:w="2000"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-3.4%</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-3.5%</w:t>
            </w:r>
          </w:p>
        </w:tc>
      </w:tr>
      <w:tr w:rsidR="00535CE4" w:rsidRPr="000A4BBB">
        <w:trPr>
          <w:trHeight w:val="293"/>
        </w:trPr>
        <w:tc>
          <w:tcPr>
            <w:tcW w:w="1020"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AS</w:t>
            </w:r>
          </w:p>
        </w:tc>
        <w:tc>
          <w:tcPr>
            <w:tcW w:w="332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 </w:t>
            </w:r>
          </w:p>
        </w:tc>
        <w:tc>
          <w:tcPr>
            <w:tcW w:w="200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2021</w:t>
            </w:r>
          </w:p>
        </w:tc>
        <w:tc>
          <w:tcPr>
            <w:tcW w:w="200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2022</w:t>
            </w:r>
          </w:p>
        </w:tc>
        <w:tc>
          <w:tcPr>
            <w:tcW w:w="2000" w:type="dxa"/>
            <w:tcBorders>
              <w:top w:val="single" w:sz="8" w:space="0" w:color="000000"/>
              <w:left w:val="nil"/>
              <w:bottom w:val="single" w:sz="8" w:space="0" w:color="000000"/>
              <w:right w:val="single" w:sz="8" w:space="0" w:color="000000"/>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2023</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Scenario without secukinumab</w:t>
            </w:r>
          </w:p>
        </w:tc>
        <w:tc>
          <w:tcPr>
            <w:tcW w:w="2000" w:type="dxa"/>
            <w:tcBorders>
              <w:top w:val="nil"/>
              <w:left w:val="nil"/>
              <w:bottom w:val="nil"/>
              <w:right w:val="nil"/>
            </w:tcBorders>
            <w:shd w:val="clear" w:color="auto" w:fill="auto"/>
            <w:vAlign w:val="bottom"/>
          </w:tcPr>
          <w:p w:rsidR="00535CE4" w:rsidRPr="000A4BBB" w:rsidRDefault="00535CE4">
            <w:pPr>
              <w:spacing w:after="0" w:line="240" w:lineRule="auto"/>
              <w:rPr>
                <w:rFonts w:ascii="Times New Roman" w:eastAsia="Times New Roman" w:hAnsi="Times New Roman" w:cs="Times New Roman"/>
                <w:b/>
                <w:color w:val="000000"/>
              </w:rPr>
            </w:pPr>
          </w:p>
        </w:tc>
        <w:tc>
          <w:tcPr>
            <w:tcW w:w="2000" w:type="dxa"/>
            <w:tcBorders>
              <w:top w:val="nil"/>
              <w:left w:val="nil"/>
              <w:bottom w:val="nil"/>
              <w:right w:val="nil"/>
            </w:tcBorders>
            <w:shd w:val="clear" w:color="auto" w:fill="auto"/>
            <w:vAlign w:val="bottom"/>
          </w:tcPr>
          <w:p w:rsidR="00535CE4" w:rsidRPr="000A4BBB" w:rsidRDefault="00535CE4">
            <w:pPr>
              <w:spacing w:after="0" w:line="240" w:lineRule="auto"/>
              <w:rPr>
                <w:rFonts w:ascii="Times New Roman" w:eastAsia="Times New Roman" w:hAnsi="Times New Roman" w:cs="Times New Roman"/>
                <w:sz w:val="20"/>
                <w:szCs w:val="20"/>
              </w:rPr>
            </w:pP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 </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ind w:firstLine="220"/>
              <w:rPr>
                <w:rFonts w:ascii="Times New Roman" w:eastAsia="Times New Roman" w:hAnsi="Times New Roman" w:cs="Times New Roman"/>
                <w:color w:val="000000"/>
              </w:rPr>
            </w:pPr>
            <w:r w:rsidRPr="000A4BBB">
              <w:rPr>
                <w:rFonts w:ascii="Times New Roman" w:eastAsia="Times New Roman" w:hAnsi="Times New Roman" w:cs="Times New Roman"/>
                <w:color w:val="000000"/>
              </w:rPr>
              <w:t>Drug  acquisition cost</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€ 10,500.02</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€ 10,358.85</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€ 10,280.57</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ind w:firstLine="220"/>
              <w:rPr>
                <w:rFonts w:ascii="Times New Roman" w:eastAsia="Times New Roman" w:hAnsi="Times New Roman" w:cs="Times New Roman"/>
                <w:color w:val="000000"/>
              </w:rPr>
            </w:pPr>
            <w:r w:rsidRPr="000A4BBB">
              <w:rPr>
                <w:rFonts w:ascii="Times New Roman" w:eastAsia="Times New Roman" w:hAnsi="Times New Roman" w:cs="Times New Roman"/>
                <w:color w:val="000000"/>
              </w:rPr>
              <w:t>Administration cost</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€ 102.49</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€ 108.16</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€ 115.08</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ind w:firstLine="220"/>
              <w:rPr>
                <w:rFonts w:ascii="Times New Roman" w:eastAsia="Times New Roman" w:hAnsi="Times New Roman" w:cs="Times New Roman"/>
                <w:color w:val="000000"/>
              </w:rPr>
            </w:pPr>
            <w:r w:rsidRPr="000A4BBB">
              <w:rPr>
                <w:rFonts w:ascii="Times New Roman" w:eastAsia="Times New Roman" w:hAnsi="Times New Roman" w:cs="Times New Roman"/>
                <w:color w:val="000000"/>
              </w:rPr>
              <w:t>Total</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€ 10,602.51</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€ 10,467.00</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€ 10,395.65</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Scenario with secukinumab</w:t>
            </w:r>
          </w:p>
        </w:tc>
        <w:tc>
          <w:tcPr>
            <w:tcW w:w="2000" w:type="dxa"/>
            <w:tcBorders>
              <w:top w:val="nil"/>
              <w:left w:val="nil"/>
              <w:bottom w:val="nil"/>
              <w:right w:val="nil"/>
            </w:tcBorders>
            <w:shd w:val="clear" w:color="auto" w:fill="auto"/>
            <w:vAlign w:val="bottom"/>
          </w:tcPr>
          <w:p w:rsidR="00535CE4" w:rsidRPr="000A4BBB" w:rsidRDefault="00535CE4">
            <w:pPr>
              <w:spacing w:after="0" w:line="240" w:lineRule="auto"/>
              <w:rPr>
                <w:rFonts w:ascii="Times New Roman" w:eastAsia="Times New Roman" w:hAnsi="Times New Roman" w:cs="Times New Roman"/>
                <w:b/>
                <w:color w:val="000000"/>
              </w:rPr>
            </w:pPr>
          </w:p>
        </w:tc>
        <w:tc>
          <w:tcPr>
            <w:tcW w:w="2000" w:type="dxa"/>
            <w:tcBorders>
              <w:top w:val="nil"/>
              <w:left w:val="nil"/>
              <w:bottom w:val="nil"/>
              <w:right w:val="nil"/>
            </w:tcBorders>
            <w:shd w:val="clear" w:color="auto" w:fill="auto"/>
            <w:vAlign w:val="bottom"/>
          </w:tcPr>
          <w:p w:rsidR="00535CE4" w:rsidRPr="000A4BBB" w:rsidRDefault="00535CE4">
            <w:pPr>
              <w:spacing w:after="0" w:line="240" w:lineRule="auto"/>
              <w:rPr>
                <w:rFonts w:ascii="Times New Roman" w:eastAsia="Times New Roman" w:hAnsi="Times New Roman" w:cs="Times New Roman"/>
                <w:sz w:val="20"/>
                <w:szCs w:val="20"/>
              </w:rPr>
            </w:pP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 </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ind w:firstLine="220"/>
              <w:rPr>
                <w:rFonts w:ascii="Times New Roman" w:eastAsia="Times New Roman" w:hAnsi="Times New Roman" w:cs="Times New Roman"/>
                <w:color w:val="000000"/>
              </w:rPr>
            </w:pPr>
            <w:r w:rsidRPr="000A4BBB">
              <w:rPr>
                <w:rFonts w:ascii="Times New Roman" w:eastAsia="Times New Roman" w:hAnsi="Times New Roman" w:cs="Times New Roman"/>
                <w:color w:val="000000"/>
              </w:rPr>
              <w:t>Drug  acquisition cost</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€ 10,797.72</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€ 10,685.45</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€ 10,649.41</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ind w:firstLine="220"/>
              <w:rPr>
                <w:rFonts w:ascii="Times New Roman" w:eastAsia="Times New Roman" w:hAnsi="Times New Roman" w:cs="Times New Roman"/>
                <w:color w:val="000000"/>
              </w:rPr>
            </w:pPr>
            <w:r w:rsidRPr="000A4BBB">
              <w:rPr>
                <w:rFonts w:ascii="Times New Roman" w:eastAsia="Times New Roman" w:hAnsi="Times New Roman" w:cs="Times New Roman"/>
                <w:color w:val="000000"/>
              </w:rPr>
              <w:t>Administration cost</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€ 77.81</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€ 75.92</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€ 81.61</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ind w:firstLine="220"/>
              <w:rPr>
                <w:rFonts w:ascii="Times New Roman" w:eastAsia="Times New Roman" w:hAnsi="Times New Roman" w:cs="Times New Roman"/>
                <w:color w:val="000000"/>
              </w:rPr>
            </w:pPr>
            <w:r w:rsidRPr="000A4BBB">
              <w:rPr>
                <w:rFonts w:ascii="Times New Roman" w:eastAsia="Times New Roman" w:hAnsi="Times New Roman" w:cs="Times New Roman"/>
                <w:color w:val="000000"/>
              </w:rPr>
              <w:t>Total</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€ 10,875.53</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€ 10,761.37</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€ 10,731.03</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Incremental Budget Impact €</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€ 273.02</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€ 294.36</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€ 335.38</w:t>
            </w:r>
          </w:p>
        </w:tc>
      </w:tr>
      <w:tr w:rsidR="00535CE4" w:rsidRPr="000A4BBB">
        <w:trPr>
          <w:trHeight w:val="293"/>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3320"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Incremental Budget Impact %</w:t>
            </w:r>
          </w:p>
        </w:tc>
        <w:tc>
          <w:tcPr>
            <w:tcW w:w="2000"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2.5%</w:t>
            </w:r>
          </w:p>
        </w:tc>
        <w:tc>
          <w:tcPr>
            <w:tcW w:w="2000"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2.8%</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3.1%</w:t>
            </w:r>
          </w:p>
        </w:tc>
      </w:tr>
      <w:tr w:rsidR="00535CE4" w:rsidRPr="000A4BBB">
        <w:trPr>
          <w:trHeight w:val="293"/>
        </w:trPr>
        <w:tc>
          <w:tcPr>
            <w:tcW w:w="1020"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Nr-axSpA</w:t>
            </w:r>
          </w:p>
        </w:tc>
        <w:tc>
          <w:tcPr>
            <w:tcW w:w="332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 </w:t>
            </w:r>
          </w:p>
        </w:tc>
        <w:tc>
          <w:tcPr>
            <w:tcW w:w="200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2021</w:t>
            </w:r>
          </w:p>
        </w:tc>
        <w:tc>
          <w:tcPr>
            <w:tcW w:w="2000" w:type="dxa"/>
            <w:tcBorders>
              <w:top w:val="single" w:sz="8" w:space="0" w:color="000000"/>
              <w:left w:val="nil"/>
              <w:bottom w:val="single" w:sz="8" w:space="0" w:color="000000"/>
              <w:right w:val="nil"/>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2022</w:t>
            </w:r>
          </w:p>
        </w:tc>
        <w:tc>
          <w:tcPr>
            <w:tcW w:w="2000" w:type="dxa"/>
            <w:tcBorders>
              <w:top w:val="single" w:sz="8" w:space="0" w:color="000000"/>
              <w:left w:val="nil"/>
              <w:bottom w:val="single" w:sz="8" w:space="0" w:color="000000"/>
              <w:right w:val="single" w:sz="8" w:space="0" w:color="000000"/>
            </w:tcBorders>
            <w:shd w:val="clear" w:color="auto" w:fill="F2F2F2"/>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2023</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Scenario without secukinumab</w:t>
            </w:r>
          </w:p>
        </w:tc>
        <w:tc>
          <w:tcPr>
            <w:tcW w:w="2000" w:type="dxa"/>
            <w:tcBorders>
              <w:top w:val="nil"/>
              <w:left w:val="nil"/>
              <w:bottom w:val="nil"/>
              <w:right w:val="nil"/>
            </w:tcBorders>
            <w:shd w:val="clear" w:color="auto" w:fill="auto"/>
            <w:vAlign w:val="bottom"/>
          </w:tcPr>
          <w:p w:rsidR="00535CE4" w:rsidRPr="000A4BBB" w:rsidRDefault="00535CE4">
            <w:pPr>
              <w:spacing w:after="0" w:line="240" w:lineRule="auto"/>
              <w:rPr>
                <w:rFonts w:ascii="Times New Roman" w:eastAsia="Times New Roman" w:hAnsi="Times New Roman" w:cs="Times New Roman"/>
                <w:b/>
                <w:color w:val="000000"/>
              </w:rPr>
            </w:pPr>
          </w:p>
        </w:tc>
        <w:tc>
          <w:tcPr>
            <w:tcW w:w="2000" w:type="dxa"/>
            <w:tcBorders>
              <w:top w:val="nil"/>
              <w:left w:val="nil"/>
              <w:bottom w:val="nil"/>
              <w:right w:val="nil"/>
            </w:tcBorders>
            <w:shd w:val="clear" w:color="auto" w:fill="auto"/>
            <w:vAlign w:val="bottom"/>
          </w:tcPr>
          <w:p w:rsidR="00535CE4" w:rsidRPr="000A4BBB" w:rsidRDefault="00535CE4">
            <w:pPr>
              <w:spacing w:after="0" w:line="240" w:lineRule="auto"/>
              <w:rPr>
                <w:rFonts w:ascii="Times New Roman" w:eastAsia="Times New Roman" w:hAnsi="Times New Roman" w:cs="Times New Roman"/>
                <w:sz w:val="20"/>
                <w:szCs w:val="20"/>
              </w:rPr>
            </w:pP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 </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ind w:firstLine="220"/>
              <w:rPr>
                <w:rFonts w:ascii="Times New Roman" w:eastAsia="Times New Roman" w:hAnsi="Times New Roman" w:cs="Times New Roman"/>
                <w:color w:val="000000"/>
              </w:rPr>
            </w:pPr>
            <w:r w:rsidRPr="000A4BBB">
              <w:rPr>
                <w:rFonts w:ascii="Times New Roman" w:eastAsia="Times New Roman" w:hAnsi="Times New Roman" w:cs="Times New Roman"/>
                <w:color w:val="000000"/>
              </w:rPr>
              <w:t>Drug  acquisition cost</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€ 10,493.07</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€ 10,286.18</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€ 10,166.92</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ind w:firstLine="220"/>
              <w:rPr>
                <w:rFonts w:ascii="Times New Roman" w:eastAsia="Times New Roman" w:hAnsi="Times New Roman" w:cs="Times New Roman"/>
                <w:color w:val="000000"/>
              </w:rPr>
            </w:pPr>
            <w:r w:rsidRPr="000A4BBB">
              <w:rPr>
                <w:rFonts w:ascii="Times New Roman" w:eastAsia="Times New Roman" w:hAnsi="Times New Roman" w:cs="Times New Roman"/>
                <w:color w:val="000000"/>
              </w:rPr>
              <w:t>Administration cost</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€ 0.00</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€ 0.00</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€ 0.00</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ind w:firstLine="220"/>
              <w:rPr>
                <w:rFonts w:ascii="Times New Roman" w:eastAsia="Times New Roman" w:hAnsi="Times New Roman" w:cs="Times New Roman"/>
                <w:color w:val="000000"/>
              </w:rPr>
            </w:pPr>
            <w:r w:rsidRPr="000A4BBB">
              <w:rPr>
                <w:rFonts w:ascii="Times New Roman" w:eastAsia="Times New Roman" w:hAnsi="Times New Roman" w:cs="Times New Roman"/>
                <w:color w:val="000000"/>
              </w:rPr>
              <w:t>Total</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€ 10,493.07</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€ 10,286.18</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€ 10,166.92</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Scenario with secukinumab</w:t>
            </w:r>
          </w:p>
        </w:tc>
        <w:tc>
          <w:tcPr>
            <w:tcW w:w="2000" w:type="dxa"/>
            <w:tcBorders>
              <w:top w:val="nil"/>
              <w:left w:val="nil"/>
              <w:bottom w:val="nil"/>
              <w:right w:val="nil"/>
            </w:tcBorders>
            <w:shd w:val="clear" w:color="auto" w:fill="auto"/>
            <w:vAlign w:val="bottom"/>
          </w:tcPr>
          <w:p w:rsidR="00535CE4" w:rsidRPr="000A4BBB" w:rsidRDefault="00535CE4">
            <w:pPr>
              <w:spacing w:after="0" w:line="240" w:lineRule="auto"/>
              <w:rPr>
                <w:rFonts w:ascii="Times New Roman" w:eastAsia="Times New Roman" w:hAnsi="Times New Roman" w:cs="Times New Roman"/>
                <w:b/>
                <w:color w:val="000000"/>
              </w:rPr>
            </w:pPr>
          </w:p>
        </w:tc>
        <w:tc>
          <w:tcPr>
            <w:tcW w:w="2000" w:type="dxa"/>
            <w:tcBorders>
              <w:top w:val="nil"/>
              <w:left w:val="nil"/>
              <w:bottom w:val="nil"/>
              <w:right w:val="nil"/>
            </w:tcBorders>
            <w:shd w:val="clear" w:color="auto" w:fill="auto"/>
            <w:vAlign w:val="bottom"/>
          </w:tcPr>
          <w:p w:rsidR="00535CE4" w:rsidRPr="000A4BBB" w:rsidRDefault="00535CE4">
            <w:pPr>
              <w:spacing w:after="0" w:line="240" w:lineRule="auto"/>
              <w:rPr>
                <w:rFonts w:ascii="Times New Roman" w:eastAsia="Times New Roman" w:hAnsi="Times New Roman" w:cs="Times New Roman"/>
                <w:sz w:val="20"/>
                <w:szCs w:val="20"/>
              </w:rPr>
            </w:pP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rPr>
                <w:rFonts w:ascii="Times New Roman" w:eastAsia="Times New Roman" w:hAnsi="Times New Roman" w:cs="Times New Roman"/>
                <w:color w:val="000000"/>
              </w:rPr>
            </w:pPr>
            <w:r w:rsidRPr="000A4BBB">
              <w:rPr>
                <w:rFonts w:ascii="Times New Roman" w:eastAsia="Times New Roman" w:hAnsi="Times New Roman" w:cs="Times New Roman"/>
                <w:color w:val="000000"/>
              </w:rPr>
              <w:t> </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ind w:firstLine="220"/>
              <w:rPr>
                <w:rFonts w:ascii="Times New Roman" w:eastAsia="Times New Roman" w:hAnsi="Times New Roman" w:cs="Times New Roman"/>
                <w:color w:val="000000"/>
              </w:rPr>
            </w:pPr>
            <w:r w:rsidRPr="000A4BBB">
              <w:rPr>
                <w:rFonts w:ascii="Times New Roman" w:eastAsia="Times New Roman" w:hAnsi="Times New Roman" w:cs="Times New Roman"/>
                <w:color w:val="000000"/>
              </w:rPr>
              <w:t>Drug  acquisition cost</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€ 10,503.62</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€ 10,393.38</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€ 10,364.18</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ind w:firstLine="220"/>
              <w:rPr>
                <w:rFonts w:ascii="Times New Roman" w:eastAsia="Times New Roman" w:hAnsi="Times New Roman" w:cs="Times New Roman"/>
                <w:color w:val="000000"/>
              </w:rPr>
            </w:pPr>
            <w:r w:rsidRPr="000A4BBB">
              <w:rPr>
                <w:rFonts w:ascii="Times New Roman" w:eastAsia="Times New Roman" w:hAnsi="Times New Roman" w:cs="Times New Roman"/>
                <w:color w:val="000000"/>
              </w:rPr>
              <w:t>Administration cost</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€ 0.00</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€ 0.00</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€ 0.00</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ind w:firstLine="220"/>
              <w:rPr>
                <w:rFonts w:ascii="Times New Roman" w:eastAsia="Times New Roman" w:hAnsi="Times New Roman" w:cs="Times New Roman"/>
                <w:color w:val="000000"/>
              </w:rPr>
            </w:pPr>
            <w:r w:rsidRPr="000A4BBB">
              <w:rPr>
                <w:rFonts w:ascii="Times New Roman" w:eastAsia="Times New Roman" w:hAnsi="Times New Roman" w:cs="Times New Roman"/>
                <w:color w:val="000000"/>
              </w:rPr>
              <w:t>Total</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€ 10,503.62</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€ 10,393.38</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color w:val="000000"/>
              </w:rPr>
            </w:pPr>
            <w:r w:rsidRPr="000A4BBB">
              <w:rPr>
                <w:rFonts w:ascii="Times New Roman" w:eastAsia="Times New Roman" w:hAnsi="Times New Roman" w:cs="Times New Roman"/>
                <w:color w:val="000000"/>
              </w:rPr>
              <w:t>€ 10,364.18</w:t>
            </w:r>
          </w:p>
        </w:tc>
      </w:tr>
      <w:tr w:rsidR="00535CE4" w:rsidRPr="000A4BBB">
        <w:trPr>
          <w:trHeight w:val="285"/>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320" w:type="dxa"/>
            <w:tcBorders>
              <w:top w:val="nil"/>
              <w:left w:val="nil"/>
              <w:bottom w:val="nil"/>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Incremental Budget Impact €</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€ 10.55</w:t>
            </w:r>
          </w:p>
        </w:tc>
        <w:tc>
          <w:tcPr>
            <w:tcW w:w="2000" w:type="dxa"/>
            <w:tcBorders>
              <w:top w:val="nil"/>
              <w:left w:val="nil"/>
              <w:bottom w:val="nil"/>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€ 107.21</w:t>
            </w:r>
          </w:p>
        </w:tc>
        <w:tc>
          <w:tcPr>
            <w:tcW w:w="2000" w:type="dxa"/>
            <w:tcBorders>
              <w:top w:val="nil"/>
              <w:left w:val="nil"/>
              <w:bottom w:val="nil"/>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€ 197.26</w:t>
            </w:r>
          </w:p>
        </w:tc>
      </w:tr>
      <w:tr w:rsidR="00535CE4" w:rsidRPr="000A4BBB">
        <w:trPr>
          <w:trHeight w:val="293"/>
        </w:trPr>
        <w:tc>
          <w:tcPr>
            <w:tcW w:w="102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rsidR="00535CE4" w:rsidRPr="000A4BBB" w:rsidRDefault="00535CE4">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3320"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Incremental Budget Impact %</w:t>
            </w:r>
          </w:p>
        </w:tc>
        <w:tc>
          <w:tcPr>
            <w:tcW w:w="2000"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0.1%</w:t>
            </w:r>
          </w:p>
        </w:tc>
        <w:tc>
          <w:tcPr>
            <w:tcW w:w="2000" w:type="dxa"/>
            <w:tcBorders>
              <w:top w:val="nil"/>
              <w:left w:val="nil"/>
              <w:bottom w:val="single" w:sz="8" w:space="0" w:color="000000"/>
              <w:right w:val="nil"/>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1.0%</w:t>
            </w:r>
          </w:p>
        </w:tc>
        <w:tc>
          <w:tcPr>
            <w:tcW w:w="2000" w:type="dxa"/>
            <w:tcBorders>
              <w:top w:val="nil"/>
              <w:left w:val="nil"/>
              <w:bottom w:val="single" w:sz="8" w:space="0" w:color="000000"/>
              <w:right w:val="single" w:sz="8" w:space="0" w:color="000000"/>
            </w:tcBorders>
            <w:shd w:val="clear" w:color="auto" w:fill="auto"/>
            <w:vAlign w:val="bottom"/>
          </w:tcPr>
          <w:p w:rsidR="00535CE4" w:rsidRPr="000A4BBB" w:rsidRDefault="00F333BB">
            <w:pPr>
              <w:spacing w:after="0" w:line="240" w:lineRule="auto"/>
              <w:jc w:val="center"/>
              <w:rPr>
                <w:rFonts w:ascii="Times New Roman" w:eastAsia="Times New Roman" w:hAnsi="Times New Roman" w:cs="Times New Roman"/>
                <w:b/>
                <w:color w:val="000000"/>
              </w:rPr>
            </w:pPr>
            <w:r w:rsidRPr="000A4BBB">
              <w:rPr>
                <w:rFonts w:ascii="Times New Roman" w:eastAsia="Times New Roman" w:hAnsi="Times New Roman" w:cs="Times New Roman"/>
                <w:b/>
                <w:color w:val="000000"/>
              </w:rPr>
              <w:t>1.9%</w:t>
            </w:r>
          </w:p>
        </w:tc>
      </w:tr>
    </w:tbl>
    <w:p w:rsidR="00535CE4" w:rsidRPr="000A4BBB" w:rsidRDefault="005351C2">
      <w:pPr>
        <w:rPr>
          <w:rFonts w:ascii="Times New Roman" w:eastAsia="Times New Roman" w:hAnsi="Times New Roman" w:cs="Times New Roman"/>
          <w:color w:val="000000"/>
          <w:sz w:val="18"/>
          <w:szCs w:val="18"/>
          <w:lang w:val="en-GB"/>
        </w:rPr>
      </w:pPr>
      <w:proofErr w:type="spellStart"/>
      <w:r w:rsidRPr="000A4BBB">
        <w:rPr>
          <w:rFonts w:ascii="Times New Roman" w:eastAsia="Times New Roman" w:hAnsi="Times New Roman" w:cs="Times New Roman"/>
          <w:color w:val="000000"/>
          <w:sz w:val="18"/>
          <w:szCs w:val="18"/>
          <w:lang w:val="en-GB"/>
        </w:rPr>
        <w:t>PsO</w:t>
      </w:r>
      <w:proofErr w:type="spellEnd"/>
      <w:r w:rsidRPr="000A4BBB">
        <w:rPr>
          <w:rFonts w:ascii="Times New Roman" w:eastAsia="Times New Roman" w:hAnsi="Times New Roman" w:cs="Times New Roman"/>
          <w:color w:val="000000"/>
          <w:sz w:val="18"/>
          <w:szCs w:val="18"/>
          <w:lang w:val="en-GB"/>
        </w:rPr>
        <w:t xml:space="preserve"> – Psoriasis, </w:t>
      </w:r>
      <w:proofErr w:type="spellStart"/>
      <w:r w:rsidRPr="000A4BBB">
        <w:rPr>
          <w:rFonts w:ascii="Times New Roman" w:eastAsia="Times New Roman" w:hAnsi="Times New Roman" w:cs="Times New Roman"/>
          <w:color w:val="000000"/>
          <w:sz w:val="18"/>
          <w:szCs w:val="18"/>
          <w:lang w:val="en-GB"/>
        </w:rPr>
        <w:t>PsA</w:t>
      </w:r>
      <w:proofErr w:type="spellEnd"/>
      <w:r w:rsidRPr="000A4BBB">
        <w:rPr>
          <w:rFonts w:ascii="Times New Roman" w:eastAsia="Times New Roman" w:hAnsi="Times New Roman" w:cs="Times New Roman"/>
          <w:color w:val="000000"/>
          <w:sz w:val="18"/>
          <w:szCs w:val="18"/>
          <w:lang w:val="en-GB"/>
        </w:rPr>
        <w:t xml:space="preserve"> - Psoriatic Arthritis, AS - Ankylosing Spondylitis, </w:t>
      </w:r>
      <w:proofErr w:type="spellStart"/>
      <w:r w:rsidRPr="000A4BBB">
        <w:rPr>
          <w:rFonts w:ascii="Times New Roman" w:eastAsia="Times New Roman" w:hAnsi="Times New Roman" w:cs="Times New Roman"/>
          <w:color w:val="000000"/>
          <w:sz w:val="18"/>
          <w:szCs w:val="18"/>
          <w:lang w:val="en-GB"/>
        </w:rPr>
        <w:t>Nr-axSpA</w:t>
      </w:r>
      <w:proofErr w:type="spellEnd"/>
      <w:r w:rsidRPr="000A4BBB">
        <w:rPr>
          <w:rFonts w:ascii="Times New Roman" w:eastAsia="Times New Roman" w:hAnsi="Times New Roman" w:cs="Times New Roman"/>
          <w:color w:val="000000"/>
          <w:sz w:val="18"/>
          <w:szCs w:val="18"/>
          <w:lang w:val="en-GB"/>
        </w:rPr>
        <w:t xml:space="preserve"> -Non radiographic axial </w:t>
      </w:r>
      <w:proofErr w:type="spellStart"/>
      <w:r w:rsidRPr="000A4BBB">
        <w:rPr>
          <w:rFonts w:ascii="Times New Roman" w:eastAsia="Times New Roman" w:hAnsi="Times New Roman" w:cs="Times New Roman"/>
          <w:color w:val="000000"/>
          <w:sz w:val="18"/>
          <w:szCs w:val="18"/>
          <w:lang w:val="en-GB"/>
        </w:rPr>
        <w:t>spondyloarthritis</w:t>
      </w:r>
      <w:proofErr w:type="spellEnd"/>
      <w:r w:rsidRPr="000A4BBB">
        <w:rPr>
          <w:rFonts w:ascii="Times New Roman" w:eastAsia="Times New Roman" w:hAnsi="Times New Roman" w:cs="Times New Roman"/>
          <w:color w:val="000000"/>
          <w:sz w:val="18"/>
          <w:szCs w:val="18"/>
          <w:lang w:val="en-GB"/>
        </w:rPr>
        <w:t>.</w:t>
      </w:r>
      <w:bookmarkEnd w:id="0"/>
    </w:p>
    <w:sectPr w:rsidR="00535CE4" w:rsidRPr="000A4BBB" w:rsidSect="000A4BBB">
      <w:pgSz w:w="11906" w:h="16838"/>
      <w:pgMar w:top="1417" w:right="1134" w:bottom="1134" w:left="1134"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GB" w:vendorID="64" w:dllVersion="131078" w:nlCheck="1" w:checkStyle="1"/>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CE4"/>
    <w:rsid w:val="000A4BBB"/>
    <w:rsid w:val="00291B09"/>
    <w:rsid w:val="005351C2"/>
    <w:rsid w:val="00535CE4"/>
    <w:rsid w:val="00AF0FF7"/>
    <w:rsid w:val="00BF6BF0"/>
    <w:rsid w:val="00F333BB"/>
    <w:rsid w:val="00F958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E15040-0DB8-4C80-9A24-F0A3CC7C6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0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character" w:styleId="Hyperlink">
    <w:name w:val="Hyperlink"/>
    <w:basedOn w:val="DefaultParagraphFont"/>
    <w:uiPriority w:val="99"/>
    <w:unhideWhenUsed/>
    <w:rsid w:val="00AF0FF7"/>
    <w:rPr>
      <w:color w:val="0563C1" w:themeColor="hyperlink"/>
      <w:u w:val="single"/>
    </w:rPr>
  </w:style>
  <w:style w:type="character" w:customStyle="1" w:styleId="UnresolvedMention">
    <w:name w:val="Unresolved Mention"/>
    <w:basedOn w:val="DefaultParagraphFont"/>
    <w:uiPriority w:val="99"/>
    <w:semiHidden/>
    <w:unhideWhenUsed/>
    <w:rsid w:val="00AF0FF7"/>
    <w:rPr>
      <w:color w:val="605E5C"/>
      <w:shd w:val="clear" w:color="auto" w:fill="E1DFDD"/>
    </w:rPr>
  </w:style>
  <w:style w:type="paragraph" w:styleId="BalloonText">
    <w:name w:val="Balloon Text"/>
    <w:basedOn w:val="Normal"/>
    <w:link w:val="BalloonTextChar"/>
    <w:uiPriority w:val="99"/>
    <w:semiHidden/>
    <w:unhideWhenUsed/>
    <w:rsid w:val="00F958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8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carla.fornari@unimib.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sx6u1OKYm8QiEjmhCdVexJLw4A==">AMUW2mUTJXu2bbB5HUhMNj8ABVZsJZKXdCkVrHppQwCoqBdcZt952BSVHxtSpQvAQi+ny/64LoLZjCN5g8UQXu5rDxdRZQxvkh0jAvetiXStPNiEpCupnfWtqSdwk8MKASQ50xzEXrCU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1130</Words>
  <Characters>6445</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Aswini Vijayakumar</dc:creator>
  <cp:lastModifiedBy>Aswini Vijayakumar</cp:lastModifiedBy>
  <cp:revision>7</cp:revision>
  <dcterms:created xsi:type="dcterms:W3CDTF">2022-02-04T07:55:00Z</dcterms:created>
  <dcterms:modified xsi:type="dcterms:W3CDTF">2023-03-07T15:23:00Z</dcterms:modified>
</cp:coreProperties>
</file>