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0ECA74" w14:textId="6C720FAB" w:rsidR="007F656F" w:rsidRPr="00F23916" w:rsidRDefault="000E4BB1" w:rsidP="007F656F">
      <w:pPr>
        <w:pStyle w:val="Manuscripttitle"/>
        <w:rPr>
          <w:rFonts w:ascii="Times New Roman" w:hAnsi="Times New Roman" w:cs="Times New Roman"/>
          <w:lang w:val="en-US"/>
        </w:rPr>
      </w:pPr>
      <w:bookmarkStart w:id="0" w:name="_GoBack"/>
      <w:r w:rsidRPr="000E4BB1">
        <w:rPr>
          <w:rFonts w:ascii="Times New Roman" w:hAnsi="Times New Roman" w:cs="Times New Roman"/>
          <w:lang w:val="en-US"/>
        </w:rPr>
        <w:t>Cost-Effectiveness of Recombinant Zoster Vaccine for the Prevention of Herpes Zoster in Hematopoietic Stem</w:t>
      </w:r>
      <w:r w:rsidR="00412E6F">
        <w:rPr>
          <w:rFonts w:ascii="Times New Roman" w:hAnsi="Times New Roman" w:cs="Times New Roman"/>
          <w:lang w:val="en-US"/>
        </w:rPr>
        <w:t xml:space="preserve"> </w:t>
      </w:r>
      <w:r w:rsidRPr="000E4BB1">
        <w:rPr>
          <w:rFonts w:ascii="Times New Roman" w:hAnsi="Times New Roman" w:cs="Times New Roman"/>
          <w:lang w:val="en-US"/>
        </w:rPr>
        <w:t>Cell Transplant Recipients and Other Immunocompromised Adults in the United States</w:t>
      </w:r>
    </w:p>
    <w:p w14:paraId="15596C4F" w14:textId="3D5761EF" w:rsidR="007F656F" w:rsidRPr="000D55FD" w:rsidRDefault="007F656F" w:rsidP="007F656F">
      <w:pPr>
        <w:spacing w:line="360" w:lineRule="auto"/>
        <w:rPr>
          <w:rFonts w:ascii="Times New Roman" w:eastAsia="Times New Roman" w:hAnsi="Times New Roman" w:cs="Times New Roman"/>
          <w:bCs/>
        </w:rPr>
      </w:pPr>
      <w:r w:rsidRPr="00D44AC9">
        <w:rPr>
          <w:rFonts w:ascii="Times New Roman" w:eastAsia="Times New Roman" w:hAnsi="Times New Roman" w:cs="Times New Roman"/>
          <w:b/>
        </w:rPr>
        <w:t xml:space="preserve">Running heading: </w:t>
      </w:r>
      <w:r w:rsidR="000E4BB1" w:rsidRPr="001204E2">
        <w:rPr>
          <w:rFonts w:ascii="Times New Roman" w:eastAsia="Times New Roman" w:hAnsi="Times New Roman" w:cs="Times New Roman"/>
          <w:bCs/>
        </w:rPr>
        <w:t>Cost-Effectiveness of RZV in US Immunocompromised Adults</w:t>
      </w:r>
      <w:r w:rsidR="000E4BB1" w:rsidRPr="000E4BB1" w:rsidDel="000E4BB1">
        <w:rPr>
          <w:rFonts w:ascii="Times New Roman" w:eastAsia="Times New Roman" w:hAnsi="Times New Roman" w:cs="Times New Roman"/>
          <w:b/>
        </w:rPr>
        <w:t xml:space="preserve"> </w:t>
      </w:r>
    </w:p>
    <w:p w14:paraId="229CCB59" w14:textId="77777777" w:rsidR="007F656F" w:rsidRPr="006F425D" w:rsidRDefault="007F656F" w:rsidP="007F656F">
      <w:pPr>
        <w:pStyle w:val="Manuscriptbody"/>
        <w:rPr>
          <w:rFonts w:ascii="Times New Roman" w:hAnsi="Times New Roman"/>
          <w:vertAlign w:val="superscript"/>
          <w:lang w:val="en-US"/>
        </w:rPr>
      </w:pPr>
      <w:r w:rsidRPr="006F425D">
        <w:rPr>
          <w:rFonts w:ascii="Times New Roman" w:hAnsi="Times New Roman"/>
          <w:lang w:val="en-US"/>
        </w:rPr>
        <w:t>Ahmed Salem (0000-0003-0704-8085)</w:t>
      </w:r>
      <w:r w:rsidRPr="006F425D">
        <w:rPr>
          <w:rFonts w:ascii="Times New Roman" w:hAnsi="Times New Roman"/>
          <w:vertAlign w:val="superscript"/>
          <w:lang w:val="en-US"/>
        </w:rPr>
        <w:t>1</w:t>
      </w:r>
      <w:r w:rsidRPr="006F425D">
        <w:rPr>
          <w:rFonts w:ascii="Times New Roman" w:hAnsi="Times New Roman"/>
          <w:lang w:val="en-US"/>
        </w:rPr>
        <w:t>; Elizabeth M. La (0000-0001-5652-8961)</w:t>
      </w:r>
      <w:r w:rsidRPr="006F425D">
        <w:rPr>
          <w:rFonts w:ascii="Times New Roman" w:hAnsi="Times New Roman"/>
          <w:vertAlign w:val="superscript"/>
          <w:lang w:val="en-US"/>
        </w:rPr>
        <w:t>2</w:t>
      </w:r>
      <w:r w:rsidRPr="006F425D">
        <w:rPr>
          <w:rFonts w:ascii="Times New Roman" w:hAnsi="Times New Roman"/>
          <w:lang w:val="en-US"/>
        </w:rPr>
        <w:t>; Desmond Curran (0000-0002-7423-0111)</w:t>
      </w:r>
      <w:r w:rsidRPr="006F425D">
        <w:rPr>
          <w:rFonts w:ascii="Times New Roman" w:hAnsi="Times New Roman"/>
          <w:vertAlign w:val="superscript"/>
          <w:lang w:val="en-US"/>
        </w:rPr>
        <w:t>1</w:t>
      </w:r>
      <w:r w:rsidRPr="006F425D">
        <w:rPr>
          <w:rFonts w:ascii="Times New Roman" w:hAnsi="Times New Roman"/>
          <w:lang w:val="en-US"/>
        </w:rPr>
        <w:t>; Brandon J. Patterson (0000-0002-5319-9493)</w:t>
      </w:r>
      <w:r w:rsidRPr="006F425D">
        <w:rPr>
          <w:rFonts w:ascii="Times New Roman" w:hAnsi="Times New Roman"/>
          <w:vertAlign w:val="superscript"/>
          <w:lang w:val="en-US"/>
        </w:rPr>
        <w:t>2,6</w:t>
      </w:r>
      <w:r w:rsidRPr="006F425D">
        <w:rPr>
          <w:rFonts w:ascii="Times New Roman" w:hAnsi="Times New Roman"/>
          <w:lang w:val="en-US"/>
        </w:rPr>
        <w:t>; Justin Carrico (0000-0002-4659-9309)</w:t>
      </w:r>
      <w:r w:rsidRPr="006F425D">
        <w:rPr>
          <w:rFonts w:ascii="Times New Roman" w:hAnsi="Times New Roman"/>
          <w:vertAlign w:val="superscript"/>
          <w:lang w:val="en-US"/>
        </w:rPr>
        <w:t>3</w:t>
      </w:r>
      <w:r w:rsidRPr="006F425D">
        <w:rPr>
          <w:rFonts w:ascii="Times New Roman" w:hAnsi="Times New Roman"/>
          <w:lang w:val="en-US"/>
        </w:rPr>
        <w:t>; Stéphane Lorenc (0000-0001-5093-0247)</w:t>
      </w:r>
      <w:r w:rsidRPr="006F425D">
        <w:rPr>
          <w:rFonts w:ascii="Times New Roman" w:hAnsi="Times New Roman"/>
          <w:vertAlign w:val="superscript"/>
          <w:lang w:val="en-US"/>
        </w:rPr>
        <w:t>1</w:t>
      </w:r>
      <w:r w:rsidRPr="006F425D">
        <w:rPr>
          <w:rFonts w:ascii="Times New Roman" w:hAnsi="Times New Roman"/>
          <w:lang w:val="en-US"/>
        </w:rPr>
        <w:t>; Katherine A. Hicks (0000-0002-1058-3401)</w:t>
      </w:r>
      <w:r w:rsidRPr="006F425D">
        <w:rPr>
          <w:rFonts w:ascii="Times New Roman" w:hAnsi="Times New Roman"/>
          <w:vertAlign w:val="superscript"/>
          <w:lang w:val="en-US"/>
        </w:rPr>
        <w:t>3</w:t>
      </w:r>
      <w:r w:rsidRPr="006F425D">
        <w:rPr>
          <w:rFonts w:ascii="Times New Roman" w:hAnsi="Times New Roman"/>
          <w:lang w:val="en-US"/>
        </w:rPr>
        <w:t>; Sara Poston (0000-0003-4735-057X)</w:t>
      </w:r>
      <w:r w:rsidRPr="006F425D">
        <w:rPr>
          <w:rFonts w:ascii="Times New Roman" w:hAnsi="Times New Roman"/>
          <w:vertAlign w:val="superscript"/>
          <w:lang w:val="en-US"/>
        </w:rPr>
        <w:t>2</w:t>
      </w:r>
      <w:r w:rsidRPr="006F425D">
        <w:rPr>
          <w:rFonts w:ascii="Times New Roman" w:hAnsi="Times New Roman"/>
          <w:lang w:val="en-US"/>
        </w:rPr>
        <w:t>; Christopher F. Carpenter (0000-0001-5708-5381)</w:t>
      </w:r>
      <w:r w:rsidRPr="006F425D">
        <w:rPr>
          <w:rFonts w:ascii="Times New Roman" w:hAnsi="Times New Roman"/>
          <w:vertAlign w:val="superscript"/>
          <w:lang w:val="en-US"/>
        </w:rPr>
        <w:t>4,5</w:t>
      </w:r>
    </w:p>
    <w:p w14:paraId="7431D518" w14:textId="77777777" w:rsidR="007F656F" w:rsidRPr="006F425D" w:rsidRDefault="007F656F" w:rsidP="007F656F">
      <w:pPr>
        <w:pStyle w:val="Manuscriptbody"/>
        <w:spacing w:after="0" w:afterAutospacing="0"/>
        <w:rPr>
          <w:rFonts w:ascii="Times New Roman" w:hAnsi="Times New Roman"/>
          <w:i/>
          <w:iCs/>
          <w:lang w:val="en-US"/>
        </w:rPr>
      </w:pPr>
      <w:r w:rsidRPr="006F425D">
        <w:rPr>
          <w:rFonts w:ascii="Times New Roman" w:hAnsi="Times New Roman"/>
          <w:i/>
          <w:iCs/>
          <w:vertAlign w:val="superscript"/>
          <w:lang w:val="en-US"/>
        </w:rPr>
        <w:t>1</w:t>
      </w:r>
      <w:r w:rsidRPr="006F425D">
        <w:rPr>
          <w:rFonts w:ascii="Times New Roman" w:hAnsi="Times New Roman"/>
          <w:i/>
          <w:iCs/>
          <w:lang w:val="en-US"/>
        </w:rPr>
        <w:t>GSK, Wavre, Belgium</w:t>
      </w:r>
    </w:p>
    <w:p w14:paraId="36C8E9AA" w14:textId="77777777" w:rsidR="007F656F" w:rsidRPr="006F425D" w:rsidRDefault="007F656F" w:rsidP="007F656F">
      <w:pPr>
        <w:pStyle w:val="Manuscriptbody"/>
        <w:spacing w:after="0" w:afterAutospacing="0"/>
        <w:rPr>
          <w:rFonts w:ascii="Times New Roman" w:hAnsi="Times New Roman"/>
          <w:i/>
          <w:iCs/>
          <w:lang w:val="en-US"/>
        </w:rPr>
      </w:pPr>
      <w:r w:rsidRPr="006F425D">
        <w:rPr>
          <w:rFonts w:ascii="Times New Roman" w:hAnsi="Times New Roman"/>
          <w:i/>
          <w:iCs/>
          <w:vertAlign w:val="superscript"/>
          <w:lang w:val="en-US"/>
        </w:rPr>
        <w:t>2</w:t>
      </w:r>
      <w:r w:rsidRPr="006F425D">
        <w:rPr>
          <w:rFonts w:ascii="Times New Roman" w:hAnsi="Times New Roman"/>
          <w:i/>
          <w:iCs/>
          <w:lang w:val="en-US"/>
        </w:rPr>
        <w:t>GSK, Philadelphia, PA, USA</w:t>
      </w:r>
    </w:p>
    <w:p w14:paraId="54B8E09E" w14:textId="77777777" w:rsidR="007F656F" w:rsidRPr="006F425D" w:rsidRDefault="007F656F" w:rsidP="007F656F">
      <w:pPr>
        <w:pStyle w:val="Manuscriptbody"/>
        <w:spacing w:after="0" w:afterAutospacing="0"/>
        <w:rPr>
          <w:rFonts w:ascii="Times New Roman" w:hAnsi="Times New Roman"/>
          <w:i/>
          <w:iCs/>
          <w:lang w:val="en-US"/>
        </w:rPr>
      </w:pPr>
      <w:r w:rsidRPr="006F425D">
        <w:rPr>
          <w:rFonts w:ascii="Times New Roman" w:hAnsi="Times New Roman"/>
          <w:i/>
          <w:iCs/>
          <w:vertAlign w:val="superscript"/>
          <w:lang w:val="en-US"/>
        </w:rPr>
        <w:t>3</w:t>
      </w:r>
      <w:r w:rsidRPr="006F425D">
        <w:rPr>
          <w:rFonts w:ascii="Times New Roman" w:hAnsi="Times New Roman"/>
          <w:i/>
          <w:iCs/>
          <w:lang w:val="en-US"/>
        </w:rPr>
        <w:t>RTI Health Solutions, Research Triangle Park, NC, USA</w:t>
      </w:r>
    </w:p>
    <w:p w14:paraId="538E00A3" w14:textId="77777777" w:rsidR="007F656F" w:rsidRPr="006F425D" w:rsidRDefault="007F656F" w:rsidP="007F656F">
      <w:pPr>
        <w:pStyle w:val="Manuscriptbody"/>
        <w:spacing w:after="0" w:afterAutospacing="0"/>
        <w:rPr>
          <w:rFonts w:ascii="Times New Roman" w:hAnsi="Times New Roman"/>
          <w:i/>
          <w:iCs/>
          <w:lang w:val="en-US"/>
        </w:rPr>
      </w:pPr>
      <w:r w:rsidRPr="006F425D">
        <w:rPr>
          <w:rFonts w:ascii="Times New Roman" w:hAnsi="Times New Roman"/>
          <w:i/>
          <w:iCs/>
          <w:vertAlign w:val="superscript"/>
          <w:lang w:val="en-US"/>
        </w:rPr>
        <w:t>4</w:t>
      </w:r>
      <w:r w:rsidRPr="006F425D">
        <w:rPr>
          <w:rFonts w:ascii="Times New Roman" w:hAnsi="Times New Roman"/>
          <w:i/>
          <w:iCs/>
          <w:lang w:val="en-US"/>
        </w:rPr>
        <w:t>Beaumont Hospital, Royal Oak, MI, USA</w:t>
      </w:r>
    </w:p>
    <w:p w14:paraId="09BB54FF" w14:textId="77777777" w:rsidR="007F656F" w:rsidRPr="006F425D" w:rsidRDefault="007F656F" w:rsidP="007F656F">
      <w:pPr>
        <w:pStyle w:val="Manuscriptbody"/>
        <w:spacing w:after="0" w:afterAutospacing="0"/>
        <w:rPr>
          <w:rFonts w:ascii="Times New Roman" w:hAnsi="Times New Roman"/>
          <w:i/>
          <w:iCs/>
          <w:lang w:val="en-US"/>
        </w:rPr>
      </w:pPr>
      <w:r w:rsidRPr="006F425D">
        <w:rPr>
          <w:rFonts w:ascii="Times New Roman" w:hAnsi="Times New Roman"/>
          <w:i/>
          <w:iCs/>
          <w:vertAlign w:val="superscript"/>
          <w:lang w:val="en-US"/>
        </w:rPr>
        <w:t>5</w:t>
      </w:r>
      <w:r w:rsidRPr="006F425D">
        <w:rPr>
          <w:rFonts w:ascii="Times New Roman" w:hAnsi="Times New Roman"/>
          <w:i/>
          <w:iCs/>
          <w:lang w:val="en-US"/>
        </w:rPr>
        <w:t>Oakland University William Beaumont School of Medicine, Rochester, MI, USA</w:t>
      </w:r>
    </w:p>
    <w:p w14:paraId="72B85DB3" w14:textId="77777777" w:rsidR="007F656F" w:rsidRPr="006F425D" w:rsidRDefault="007F656F" w:rsidP="007F656F">
      <w:pPr>
        <w:pStyle w:val="Manuscriptbody"/>
        <w:spacing w:after="0" w:afterAutospacing="0"/>
        <w:rPr>
          <w:rFonts w:ascii="Times New Roman" w:hAnsi="Times New Roman"/>
          <w:i/>
          <w:iCs/>
          <w:lang w:val="en-US"/>
        </w:rPr>
      </w:pPr>
      <w:r w:rsidRPr="006F425D">
        <w:rPr>
          <w:rFonts w:ascii="Times New Roman" w:hAnsi="Times New Roman"/>
          <w:i/>
          <w:iCs/>
          <w:vertAlign w:val="superscript"/>
          <w:lang w:val="en-US"/>
        </w:rPr>
        <w:t>6</w:t>
      </w:r>
      <w:r w:rsidRPr="006F425D">
        <w:rPr>
          <w:rFonts w:ascii="Times New Roman" w:hAnsi="Times New Roman"/>
          <w:i/>
          <w:iCs/>
          <w:lang w:val="en-US"/>
        </w:rPr>
        <w:t>Current affiliation: Janssen Global Services, Raritan, NJ, USA</w:t>
      </w:r>
    </w:p>
    <w:p w14:paraId="25EF9C88" w14:textId="77777777" w:rsidR="007F656F" w:rsidRPr="006F425D" w:rsidRDefault="007F656F" w:rsidP="007F656F">
      <w:pPr>
        <w:spacing w:line="480" w:lineRule="auto"/>
        <w:rPr>
          <w:rFonts w:ascii="Times New Roman" w:hAnsi="Times New Roman"/>
        </w:rPr>
      </w:pPr>
    </w:p>
    <w:p w14:paraId="7454D4A9" w14:textId="77777777" w:rsidR="007F656F" w:rsidRPr="006F425D" w:rsidRDefault="007F656F" w:rsidP="007F656F">
      <w:pPr>
        <w:pStyle w:val="Manuscriptbody"/>
        <w:spacing w:after="0" w:afterAutospacing="0"/>
        <w:rPr>
          <w:rFonts w:ascii="Times New Roman" w:hAnsi="Times New Roman"/>
          <w:b/>
          <w:bCs/>
          <w:lang w:val="en-US"/>
        </w:rPr>
      </w:pPr>
      <w:r w:rsidRPr="006F425D">
        <w:rPr>
          <w:rFonts w:ascii="Times New Roman" w:hAnsi="Times New Roman"/>
          <w:b/>
          <w:bCs/>
          <w:lang w:val="en-US"/>
        </w:rPr>
        <w:t xml:space="preserve">Correspondence to: </w:t>
      </w:r>
    </w:p>
    <w:p w14:paraId="756F4DA1" w14:textId="77777777" w:rsidR="007F656F" w:rsidRPr="006F425D" w:rsidRDefault="007F656F" w:rsidP="007F656F">
      <w:pPr>
        <w:pStyle w:val="Manuscriptbody"/>
        <w:spacing w:after="0" w:afterAutospacing="0"/>
        <w:rPr>
          <w:rFonts w:ascii="Times New Roman" w:hAnsi="Times New Roman"/>
          <w:lang w:val="en-US"/>
        </w:rPr>
      </w:pPr>
      <w:r w:rsidRPr="006F425D">
        <w:rPr>
          <w:rFonts w:ascii="Times New Roman" w:hAnsi="Times New Roman"/>
          <w:lang w:val="en-US"/>
        </w:rPr>
        <w:t>Ahmed Salem, MSc</w:t>
      </w:r>
    </w:p>
    <w:p w14:paraId="4A020B9B" w14:textId="77777777" w:rsidR="007F656F" w:rsidRPr="006F425D" w:rsidRDefault="007F656F" w:rsidP="007F656F">
      <w:pPr>
        <w:pStyle w:val="Manuscriptbody"/>
        <w:spacing w:after="0" w:afterAutospacing="0"/>
        <w:rPr>
          <w:rFonts w:ascii="Times New Roman" w:hAnsi="Times New Roman"/>
          <w:lang w:val="en-US"/>
        </w:rPr>
      </w:pPr>
      <w:r w:rsidRPr="006F425D">
        <w:rPr>
          <w:rFonts w:ascii="Times New Roman" w:hAnsi="Times New Roman"/>
          <w:lang w:val="en-US"/>
        </w:rPr>
        <w:t>GSK, Avenue Pascal 2-4-6, 1300 Wavre, Belgium</w:t>
      </w:r>
    </w:p>
    <w:p w14:paraId="4B84055C" w14:textId="77777777" w:rsidR="007F656F" w:rsidRPr="006F425D" w:rsidRDefault="007F656F" w:rsidP="007F656F">
      <w:pPr>
        <w:pStyle w:val="Manuscriptbody"/>
        <w:spacing w:after="0" w:afterAutospacing="0"/>
        <w:rPr>
          <w:rFonts w:ascii="Times New Roman" w:hAnsi="Times New Roman"/>
          <w:lang w:val="en-US"/>
        </w:rPr>
      </w:pPr>
      <w:r w:rsidRPr="006F425D">
        <w:rPr>
          <w:rFonts w:ascii="Times New Roman" w:hAnsi="Times New Roman"/>
          <w:lang w:val="en-US"/>
        </w:rPr>
        <w:t>+32 487-307-864 | salem.x.ahmedehab@gsk.com</w:t>
      </w:r>
    </w:p>
    <w:p w14:paraId="2C68E3A9" w14:textId="5C54EAF5" w:rsidR="007F656F" w:rsidRDefault="007F656F" w:rsidP="003A1943">
      <w:pPr>
        <w:pStyle w:val="Manuscriptbody"/>
        <w:rPr>
          <w:rFonts w:ascii="Times New Roman" w:eastAsia="MS ??" w:hAnsi="Times New Roman"/>
          <w:b/>
        </w:rPr>
      </w:pPr>
      <w:r w:rsidRPr="006F425D">
        <w:rPr>
          <w:rFonts w:ascii="Times New Roman" w:hAnsi="Times New Roman"/>
        </w:rPr>
        <w:t>Financial support: Ahmed Salem is an employee of GSK and reports holding shares in the GSK group of companies.</w:t>
      </w:r>
      <w:r>
        <w:rPr>
          <w:rFonts w:ascii="Times New Roman" w:eastAsia="MS ??" w:hAnsi="Times New Roman"/>
          <w:b/>
        </w:rPr>
        <w:br w:type="page"/>
      </w:r>
    </w:p>
    <w:p w14:paraId="17B6AC2B" w14:textId="10FF478F" w:rsidR="002750E1" w:rsidRPr="002750E1" w:rsidRDefault="002750E1" w:rsidP="002750E1">
      <w:pPr>
        <w:spacing w:after="0" w:line="480" w:lineRule="auto"/>
        <w:rPr>
          <w:rFonts w:ascii="Times New Roman" w:eastAsia="MS ??" w:hAnsi="Times New Roman" w:cs="Times New Roman"/>
          <w:b/>
          <w:sz w:val="24"/>
          <w:szCs w:val="24"/>
        </w:rPr>
      </w:pPr>
      <w:r w:rsidRPr="002750E1">
        <w:rPr>
          <w:rFonts w:ascii="Times New Roman" w:eastAsia="MS ??" w:hAnsi="Times New Roman" w:cs="Times New Roman"/>
          <w:b/>
          <w:sz w:val="24"/>
          <w:szCs w:val="24"/>
        </w:rPr>
        <w:lastRenderedPageBreak/>
        <w:t>Appendix</w:t>
      </w:r>
    </w:p>
    <w:p w14:paraId="55F7AE48" w14:textId="77777777" w:rsidR="002750E1" w:rsidRPr="002750E1" w:rsidRDefault="002750E1" w:rsidP="002750E1">
      <w:pPr>
        <w:keepNext/>
        <w:spacing w:after="240" w:line="276" w:lineRule="auto"/>
        <w:contextualSpacing/>
        <w:rPr>
          <w:rFonts w:ascii="Times New Roman" w:eastAsia="MS ??" w:hAnsi="Times New Roman" w:cs="Times New Roman"/>
          <w:b/>
          <w:sz w:val="24"/>
          <w:szCs w:val="24"/>
        </w:rPr>
      </w:pPr>
      <w:r w:rsidRPr="002750E1">
        <w:rPr>
          <w:rFonts w:ascii="Times New Roman" w:eastAsia="MS ??" w:hAnsi="Times New Roman" w:cs="Times New Roman"/>
          <w:b/>
          <w:sz w:val="24"/>
          <w:szCs w:val="24"/>
        </w:rPr>
        <w:t xml:space="preserve">Table A1. </w:t>
      </w:r>
      <w:r w:rsidRPr="002750E1">
        <w:rPr>
          <w:rFonts w:ascii="Times New Roman" w:eastAsia="MS ??" w:hAnsi="Times New Roman" w:cs="Times New Roman"/>
          <w:bCs/>
          <w:sz w:val="24"/>
          <w:szCs w:val="24"/>
        </w:rPr>
        <w:t>Values and sources applied for demographic model inputs in base-case and sensitivity analyses</w:t>
      </w:r>
    </w:p>
    <w:p w14:paraId="19E5F6FF" w14:textId="77777777" w:rsidR="002750E1" w:rsidRPr="002750E1" w:rsidRDefault="002750E1" w:rsidP="002750E1">
      <w:pPr>
        <w:keepNext/>
        <w:spacing w:after="240" w:line="276" w:lineRule="auto"/>
        <w:contextualSpacing/>
        <w:rPr>
          <w:rFonts w:ascii="Times New Roman" w:eastAsia="MS ??" w:hAnsi="Times New Roman" w:cs="Times New Roman"/>
          <w:b/>
          <w:sz w:val="24"/>
          <w:szCs w:val="24"/>
        </w:rPr>
      </w:pPr>
      <w:r w:rsidRPr="002750E1">
        <w:rPr>
          <w:rFonts w:ascii="Times New Roman" w:eastAsia="MS ??" w:hAnsi="Times New Roman" w:cs="Times New Roman"/>
          <w:b/>
          <w:sz w:val="24"/>
          <w:szCs w:val="24"/>
        </w:rPr>
        <w:t xml:space="preserve">Table A2. </w:t>
      </w:r>
      <w:r w:rsidRPr="002750E1">
        <w:rPr>
          <w:rFonts w:ascii="Times New Roman" w:eastAsia="MS ??" w:hAnsi="Times New Roman" w:cs="Times New Roman"/>
          <w:bCs/>
          <w:sz w:val="24"/>
          <w:szCs w:val="24"/>
        </w:rPr>
        <w:t>Values and sources applied for epidemiological model inputs in base-case and sensitivity analyses</w:t>
      </w:r>
      <w:r w:rsidRPr="002750E1" w:rsidDel="003C0063">
        <w:rPr>
          <w:rFonts w:ascii="Times New Roman" w:eastAsia="MS ??" w:hAnsi="Times New Roman" w:cs="Times New Roman"/>
          <w:b/>
          <w:sz w:val="24"/>
          <w:szCs w:val="24"/>
        </w:rPr>
        <w:t xml:space="preserve"> </w:t>
      </w:r>
    </w:p>
    <w:p w14:paraId="26414B43" w14:textId="77777777" w:rsidR="002750E1" w:rsidRPr="002750E1" w:rsidRDefault="002750E1" w:rsidP="002750E1">
      <w:pPr>
        <w:keepNext/>
        <w:spacing w:after="240" w:line="276" w:lineRule="auto"/>
        <w:contextualSpacing/>
        <w:rPr>
          <w:rFonts w:ascii="Times New Roman" w:eastAsia="MS ??" w:hAnsi="Times New Roman" w:cs="Times New Roman"/>
          <w:b/>
          <w:sz w:val="24"/>
          <w:szCs w:val="24"/>
        </w:rPr>
      </w:pPr>
      <w:r w:rsidRPr="002750E1">
        <w:rPr>
          <w:rFonts w:ascii="Times New Roman" w:eastAsia="MS ??" w:hAnsi="Times New Roman" w:cs="Times New Roman"/>
          <w:b/>
          <w:sz w:val="24"/>
          <w:szCs w:val="24"/>
        </w:rPr>
        <w:t xml:space="preserve">Table A3. </w:t>
      </w:r>
      <w:r w:rsidRPr="002750E1">
        <w:rPr>
          <w:rFonts w:ascii="Times New Roman" w:eastAsia="MS ??" w:hAnsi="Times New Roman" w:cs="Times New Roman"/>
          <w:bCs/>
          <w:sz w:val="24"/>
          <w:szCs w:val="24"/>
        </w:rPr>
        <w:t>Values and sources applied for vaccine-specific model inputs in base-case and sensitivity analyses</w:t>
      </w:r>
    </w:p>
    <w:p w14:paraId="31F10CC7" w14:textId="77777777" w:rsidR="002750E1" w:rsidRPr="002750E1" w:rsidRDefault="002750E1" w:rsidP="002750E1">
      <w:pPr>
        <w:keepNext/>
        <w:spacing w:after="240" w:line="276" w:lineRule="auto"/>
        <w:contextualSpacing/>
        <w:rPr>
          <w:rFonts w:ascii="Times New Roman" w:eastAsia="MS ??" w:hAnsi="Times New Roman" w:cs="Times New Roman"/>
          <w:b/>
          <w:sz w:val="24"/>
          <w:szCs w:val="24"/>
        </w:rPr>
      </w:pPr>
      <w:r w:rsidRPr="002750E1">
        <w:rPr>
          <w:rFonts w:ascii="Times New Roman" w:eastAsia="MS ??" w:hAnsi="Times New Roman" w:cs="Times New Roman"/>
          <w:b/>
          <w:sz w:val="24"/>
          <w:szCs w:val="24"/>
        </w:rPr>
        <w:t xml:space="preserve">Table A4. </w:t>
      </w:r>
      <w:r w:rsidRPr="002750E1">
        <w:rPr>
          <w:rFonts w:ascii="Times New Roman" w:eastAsia="MS ??" w:hAnsi="Times New Roman" w:cs="Times New Roman"/>
          <w:bCs/>
          <w:sz w:val="24"/>
          <w:szCs w:val="24"/>
        </w:rPr>
        <w:t>Values and sources applied for individuals aged 18–49 years with healthy status</w:t>
      </w:r>
    </w:p>
    <w:p w14:paraId="0783F40E" w14:textId="77777777" w:rsidR="002750E1" w:rsidRPr="002750E1" w:rsidRDefault="002750E1" w:rsidP="002750E1">
      <w:pPr>
        <w:keepNext/>
        <w:spacing w:after="240" w:line="276" w:lineRule="auto"/>
        <w:contextualSpacing/>
        <w:rPr>
          <w:rFonts w:ascii="Times New Roman" w:eastAsia="MS ??" w:hAnsi="Times New Roman" w:cs="Times New Roman"/>
          <w:b/>
          <w:sz w:val="24"/>
          <w:szCs w:val="24"/>
        </w:rPr>
      </w:pPr>
      <w:r w:rsidRPr="002750E1">
        <w:rPr>
          <w:rFonts w:ascii="Times New Roman" w:eastAsia="MS ??" w:hAnsi="Times New Roman" w:cs="Times New Roman"/>
          <w:b/>
          <w:sz w:val="24"/>
          <w:szCs w:val="24"/>
        </w:rPr>
        <w:t xml:space="preserve">Table A5. </w:t>
      </w:r>
      <w:r w:rsidRPr="002750E1">
        <w:rPr>
          <w:rFonts w:ascii="Times New Roman" w:eastAsia="MS ??" w:hAnsi="Times New Roman" w:cs="Times New Roman"/>
          <w:bCs/>
          <w:sz w:val="24"/>
          <w:szCs w:val="24"/>
        </w:rPr>
        <w:t>Values and sources applied for cost inputs in base-case and sensitivity analyses</w:t>
      </w:r>
    </w:p>
    <w:p w14:paraId="6C3674AE" w14:textId="77777777" w:rsidR="002750E1" w:rsidRPr="002750E1" w:rsidRDefault="002750E1" w:rsidP="002750E1">
      <w:pPr>
        <w:keepNext/>
        <w:spacing w:after="240" w:line="276" w:lineRule="auto"/>
        <w:contextualSpacing/>
        <w:rPr>
          <w:rFonts w:ascii="Times New Roman" w:eastAsia="MS ??" w:hAnsi="Times New Roman" w:cs="Times New Roman"/>
          <w:b/>
          <w:sz w:val="24"/>
          <w:szCs w:val="24"/>
        </w:rPr>
      </w:pPr>
      <w:r w:rsidRPr="002750E1">
        <w:rPr>
          <w:rFonts w:ascii="Times New Roman" w:eastAsia="MS ??" w:hAnsi="Times New Roman" w:cs="Times New Roman"/>
          <w:b/>
          <w:sz w:val="24"/>
          <w:szCs w:val="24"/>
        </w:rPr>
        <w:t xml:space="preserve">Table A6. </w:t>
      </w:r>
      <w:r w:rsidRPr="002750E1">
        <w:rPr>
          <w:rFonts w:ascii="Times New Roman" w:eastAsia="MS ??" w:hAnsi="Times New Roman" w:cs="Times New Roman"/>
          <w:bCs/>
          <w:sz w:val="24"/>
          <w:szCs w:val="24"/>
        </w:rPr>
        <w:t>Values and sources applied for utility inputs in base-case and sensitivity analyses</w:t>
      </w:r>
    </w:p>
    <w:p w14:paraId="00272EE0" w14:textId="77777777" w:rsidR="002750E1" w:rsidRPr="002750E1" w:rsidRDefault="002750E1" w:rsidP="002750E1">
      <w:pPr>
        <w:keepNext/>
        <w:spacing w:after="240" w:line="276" w:lineRule="auto"/>
        <w:contextualSpacing/>
        <w:rPr>
          <w:rFonts w:ascii="Times New Roman" w:eastAsia="MS ??" w:hAnsi="Times New Roman" w:cs="Times New Roman"/>
          <w:b/>
          <w:sz w:val="24"/>
          <w:szCs w:val="24"/>
        </w:rPr>
      </w:pPr>
      <w:r w:rsidRPr="002750E1">
        <w:rPr>
          <w:rFonts w:ascii="Times New Roman" w:eastAsia="MS ??" w:hAnsi="Times New Roman" w:cs="Times New Roman"/>
          <w:b/>
          <w:sz w:val="24"/>
          <w:szCs w:val="24"/>
        </w:rPr>
        <w:t xml:space="preserve">Table A7. </w:t>
      </w:r>
      <w:r w:rsidRPr="002750E1">
        <w:rPr>
          <w:rFonts w:ascii="Times New Roman" w:eastAsia="MS ??" w:hAnsi="Times New Roman" w:cs="Times New Roman"/>
          <w:bCs/>
          <w:sz w:val="24"/>
          <w:szCs w:val="24"/>
        </w:rPr>
        <w:t>Base-case and extreme values of key inputs observed in threshold analysis</w:t>
      </w:r>
    </w:p>
    <w:p w14:paraId="2BB8818C" w14:textId="045CC6DD" w:rsidR="002750E1" w:rsidRPr="002750E1" w:rsidRDefault="002750E1" w:rsidP="002750E1">
      <w:pPr>
        <w:keepNext/>
        <w:spacing w:after="240" w:line="276" w:lineRule="auto"/>
        <w:contextualSpacing/>
        <w:rPr>
          <w:rFonts w:ascii="Times New Roman" w:eastAsia="MS ??" w:hAnsi="Times New Roman" w:cs="Times New Roman"/>
          <w:bCs/>
          <w:sz w:val="24"/>
          <w:szCs w:val="24"/>
        </w:rPr>
      </w:pPr>
      <w:r w:rsidRPr="002750E1">
        <w:rPr>
          <w:rFonts w:ascii="Times New Roman" w:eastAsia="MS ??" w:hAnsi="Times New Roman" w:cs="Times New Roman"/>
          <w:b/>
          <w:sz w:val="24"/>
          <w:szCs w:val="24"/>
        </w:rPr>
        <w:t xml:space="preserve">Figure </w:t>
      </w:r>
      <w:r w:rsidR="009D1E3F" w:rsidRPr="002750E1">
        <w:rPr>
          <w:rFonts w:ascii="Times New Roman" w:eastAsia="MS ??" w:hAnsi="Times New Roman" w:cs="Times New Roman"/>
          <w:b/>
          <w:sz w:val="24"/>
          <w:szCs w:val="24"/>
        </w:rPr>
        <w:t>A</w:t>
      </w:r>
      <w:r w:rsidR="009D1E3F">
        <w:rPr>
          <w:rFonts w:ascii="Times New Roman" w:eastAsia="MS ??" w:hAnsi="Times New Roman" w:cs="Times New Roman"/>
          <w:b/>
          <w:sz w:val="24"/>
          <w:szCs w:val="24"/>
        </w:rPr>
        <w:t>1</w:t>
      </w:r>
      <w:r w:rsidRPr="002750E1">
        <w:rPr>
          <w:rFonts w:ascii="Times New Roman" w:eastAsia="MS ??" w:hAnsi="Times New Roman" w:cs="Times New Roman"/>
          <w:b/>
          <w:sz w:val="24"/>
          <w:szCs w:val="24"/>
        </w:rPr>
        <w:t xml:space="preserve">. </w:t>
      </w:r>
      <w:r w:rsidRPr="002750E1">
        <w:rPr>
          <w:rFonts w:ascii="Times New Roman" w:eastAsia="MS ??" w:hAnsi="Times New Roman" w:cs="Times New Roman"/>
          <w:bCs/>
          <w:sz w:val="24"/>
          <w:szCs w:val="24"/>
        </w:rPr>
        <w:t xml:space="preserve">Plain language summary of this cost-effectiveness study of recombinant zoster vaccine for use in </w:t>
      </w:r>
    </w:p>
    <w:p w14:paraId="604E912E" w14:textId="77777777" w:rsidR="002750E1" w:rsidRPr="002750E1" w:rsidRDefault="002750E1" w:rsidP="002750E1">
      <w:pPr>
        <w:keepNext/>
        <w:spacing w:after="240" w:line="276" w:lineRule="auto"/>
        <w:ind w:firstLine="720"/>
        <w:contextualSpacing/>
        <w:rPr>
          <w:rFonts w:ascii="Times New Roman" w:eastAsia="MS ??" w:hAnsi="Times New Roman" w:cs="Times New Roman"/>
          <w:b/>
          <w:sz w:val="24"/>
          <w:szCs w:val="24"/>
        </w:rPr>
      </w:pPr>
      <w:r w:rsidRPr="002750E1">
        <w:rPr>
          <w:rFonts w:ascii="Times New Roman" w:eastAsia="MS ??" w:hAnsi="Times New Roman" w:cs="Times New Roman"/>
          <w:bCs/>
          <w:sz w:val="24"/>
          <w:szCs w:val="24"/>
        </w:rPr>
        <w:t xml:space="preserve">immunocompromised adults against herpes zoster in the United States </w:t>
      </w:r>
    </w:p>
    <w:p w14:paraId="412469D4" w14:textId="6B565EF8" w:rsidR="002750E1" w:rsidRPr="002750E1" w:rsidRDefault="002750E1" w:rsidP="002750E1">
      <w:pPr>
        <w:keepNext/>
        <w:spacing w:after="240" w:line="276" w:lineRule="auto"/>
        <w:contextualSpacing/>
        <w:rPr>
          <w:rFonts w:ascii="Times New Roman" w:eastAsia="MS ??" w:hAnsi="Times New Roman" w:cs="Times New Roman"/>
          <w:bCs/>
          <w:sz w:val="24"/>
          <w:szCs w:val="24"/>
        </w:rPr>
      </w:pPr>
      <w:r w:rsidRPr="002750E1">
        <w:rPr>
          <w:rFonts w:ascii="Times New Roman" w:eastAsia="MS ??" w:hAnsi="Times New Roman" w:cs="Times New Roman"/>
          <w:b/>
          <w:sz w:val="24"/>
          <w:szCs w:val="24"/>
        </w:rPr>
        <w:t xml:space="preserve">Figure </w:t>
      </w:r>
      <w:r w:rsidR="009D1E3F" w:rsidRPr="002750E1">
        <w:rPr>
          <w:rFonts w:ascii="Times New Roman" w:eastAsia="MS ??" w:hAnsi="Times New Roman" w:cs="Times New Roman"/>
          <w:b/>
          <w:sz w:val="24"/>
          <w:szCs w:val="24"/>
        </w:rPr>
        <w:t>A</w:t>
      </w:r>
      <w:r w:rsidR="009D1E3F">
        <w:rPr>
          <w:rFonts w:ascii="Times New Roman" w:eastAsia="MS ??" w:hAnsi="Times New Roman" w:cs="Times New Roman"/>
          <w:b/>
          <w:sz w:val="24"/>
          <w:szCs w:val="24"/>
        </w:rPr>
        <w:t>2</w:t>
      </w:r>
      <w:r w:rsidRPr="002750E1">
        <w:rPr>
          <w:rFonts w:ascii="Times New Roman" w:eastAsia="MS ??" w:hAnsi="Times New Roman" w:cs="Times New Roman"/>
          <w:b/>
          <w:sz w:val="24"/>
          <w:szCs w:val="24"/>
        </w:rPr>
        <w:t xml:space="preserve">. </w:t>
      </w:r>
      <w:r w:rsidRPr="002750E1">
        <w:rPr>
          <w:rFonts w:ascii="Times New Roman" w:eastAsia="MS ??" w:hAnsi="Times New Roman" w:cs="Times New Roman"/>
          <w:bCs/>
          <w:sz w:val="24"/>
          <w:szCs w:val="24"/>
        </w:rPr>
        <w:t xml:space="preserve">Incremental cost-effectiveness ratios for RZV versus </w:t>
      </w:r>
      <w:r w:rsidR="002B6AE0">
        <w:rPr>
          <w:rFonts w:ascii="Times New Roman" w:eastAsia="MS ??" w:hAnsi="Times New Roman" w:cs="Times New Roman"/>
          <w:bCs/>
          <w:sz w:val="24"/>
          <w:szCs w:val="24"/>
        </w:rPr>
        <w:t>no vaccine</w:t>
      </w:r>
      <w:r w:rsidRPr="002750E1">
        <w:rPr>
          <w:rFonts w:ascii="Times New Roman" w:eastAsia="MS ??" w:hAnsi="Times New Roman" w:cs="Times New Roman"/>
          <w:bCs/>
          <w:sz w:val="24"/>
          <w:szCs w:val="24"/>
        </w:rPr>
        <w:t xml:space="preserve"> for US HSCT adults aged 35 years, when </w:t>
      </w:r>
    </w:p>
    <w:p w14:paraId="2CFCB4DF" w14:textId="77777777" w:rsidR="002750E1" w:rsidRPr="002750E1" w:rsidRDefault="002750E1" w:rsidP="002750E1">
      <w:pPr>
        <w:keepNext/>
        <w:spacing w:after="240" w:line="276" w:lineRule="auto"/>
        <w:ind w:firstLine="720"/>
        <w:contextualSpacing/>
        <w:rPr>
          <w:rFonts w:ascii="Times New Roman" w:eastAsia="MS ??" w:hAnsi="Times New Roman" w:cs="Times New Roman"/>
          <w:b/>
          <w:sz w:val="24"/>
          <w:szCs w:val="24"/>
        </w:rPr>
      </w:pPr>
      <w:r w:rsidRPr="002750E1">
        <w:rPr>
          <w:rFonts w:ascii="Times New Roman" w:eastAsia="MS ??" w:hAnsi="Times New Roman" w:cs="Times New Roman"/>
          <w:bCs/>
          <w:sz w:val="24"/>
          <w:szCs w:val="24"/>
        </w:rPr>
        <w:t>values of key inputs are varied from –90% to +100% of base-case values</w:t>
      </w:r>
    </w:p>
    <w:p w14:paraId="75B39418" w14:textId="6B863CD0" w:rsidR="002750E1" w:rsidRPr="002750E1" w:rsidRDefault="002750E1" w:rsidP="002750E1">
      <w:pPr>
        <w:keepNext/>
        <w:spacing w:after="240" w:line="276" w:lineRule="auto"/>
        <w:contextualSpacing/>
        <w:rPr>
          <w:rFonts w:ascii="Times New Roman" w:eastAsia="MS ??" w:hAnsi="Times New Roman" w:cs="Times New Roman"/>
          <w:bCs/>
          <w:sz w:val="24"/>
          <w:szCs w:val="24"/>
        </w:rPr>
      </w:pPr>
      <w:r w:rsidRPr="002750E1">
        <w:rPr>
          <w:rFonts w:ascii="Times New Roman" w:eastAsia="MS ??" w:hAnsi="Times New Roman" w:cs="Times New Roman"/>
          <w:b/>
          <w:sz w:val="24"/>
          <w:szCs w:val="24"/>
        </w:rPr>
        <w:t xml:space="preserve">Figure </w:t>
      </w:r>
      <w:r w:rsidR="009D1E3F" w:rsidRPr="002750E1">
        <w:rPr>
          <w:rFonts w:ascii="Times New Roman" w:eastAsia="MS ??" w:hAnsi="Times New Roman" w:cs="Times New Roman"/>
          <w:b/>
          <w:sz w:val="24"/>
          <w:szCs w:val="24"/>
        </w:rPr>
        <w:t>A</w:t>
      </w:r>
      <w:r w:rsidR="009D1E3F">
        <w:rPr>
          <w:rFonts w:ascii="Times New Roman" w:eastAsia="MS ??" w:hAnsi="Times New Roman" w:cs="Times New Roman"/>
          <w:b/>
          <w:sz w:val="24"/>
          <w:szCs w:val="24"/>
        </w:rPr>
        <w:t>3</w:t>
      </w:r>
      <w:r w:rsidRPr="002750E1">
        <w:rPr>
          <w:rFonts w:ascii="Times New Roman" w:eastAsia="MS ??" w:hAnsi="Times New Roman" w:cs="Times New Roman"/>
          <w:b/>
          <w:sz w:val="24"/>
          <w:szCs w:val="24"/>
        </w:rPr>
        <w:t xml:space="preserve">. </w:t>
      </w:r>
      <w:r w:rsidRPr="002750E1">
        <w:rPr>
          <w:rFonts w:ascii="Times New Roman" w:eastAsia="MS ??" w:hAnsi="Times New Roman" w:cs="Times New Roman"/>
          <w:bCs/>
          <w:sz w:val="24"/>
          <w:szCs w:val="24"/>
        </w:rPr>
        <w:t>RZV efficacy over time in the ZONA IC Model for United States HSCT adults aged 35 years based on base-</w:t>
      </w:r>
    </w:p>
    <w:p w14:paraId="054548B2" w14:textId="77777777" w:rsidR="002750E1" w:rsidRPr="002750E1" w:rsidRDefault="002750E1" w:rsidP="002750E1">
      <w:pPr>
        <w:keepNext/>
        <w:spacing w:after="240" w:line="276" w:lineRule="auto"/>
        <w:ind w:firstLine="720"/>
        <w:contextualSpacing/>
        <w:rPr>
          <w:rFonts w:ascii="Times New Roman" w:eastAsia="MS ??" w:hAnsi="Times New Roman" w:cs="Times New Roman"/>
          <w:bCs/>
          <w:sz w:val="24"/>
          <w:szCs w:val="24"/>
        </w:rPr>
      </w:pPr>
      <w:r w:rsidRPr="002750E1">
        <w:rPr>
          <w:rFonts w:ascii="Times New Roman" w:eastAsia="MS ??" w:hAnsi="Times New Roman" w:cs="Times New Roman"/>
          <w:bCs/>
          <w:sz w:val="24"/>
          <w:szCs w:val="24"/>
        </w:rPr>
        <w:t>case efficacy and waning data</w:t>
      </w:r>
    </w:p>
    <w:p w14:paraId="4E027E66" w14:textId="17D7E6FC" w:rsidR="002750E1" w:rsidRPr="002750E1" w:rsidRDefault="002750E1" w:rsidP="002750E1">
      <w:pPr>
        <w:keepNext/>
        <w:spacing w:after="240" w:line="276" w:lineRule="auto"/>
        <w:contextualSpacing/>
        <w:rPr>
          <w:rFonts w:ascii="Times New Roman" w:eastAsia="MS ??" w:hAnsi="Times New Roman" w:cs="Times New Roman"/>
          <w:bCs/>
          <w:sz w:val="24"/>
          <w:szCs w:val="24"/>
        </w:rPr>
      </w:pPr>
      <w:r w:rsidRPr="002750E1">
        <w:rPr>
          <w:rFonts w:ascii="Times New Roman" w:eastAsia="MS ??" w:hAnsi="Times New Roman" w:cs="Times New Roman"/>
          <w:b/>
          <w:sz w:val="24"/>
          <w:szCs w:val="24"/>
        </w:rPr>
        <w:t>Figure A</w:t>
      </w:r>
      <w:r w:rsidR="004067DA">
        <w:rPr>
          <w:rFonts w:ascii="Times New Roman" w:eastAsia="MS ??" w:hAnsi="Times New Roman" w:cs="Times New Roman"/>
          <w:b/>
          <w:sz w:val="24"/>
          <w:szCs w:val="24"/>
        </w:rPr>
        <w:t>4</w:t>
      </w:r>
      <w:r w:rsidRPr="002750E1">
        <w:rPr>
          <w:rFonts w:ascii="Times New Roman" w:eastAsia="MS ??" w:hAnsi="Times New Roman" w:cs="Times New Roman"/>
          <w:b/>
          <w:sz w:val="24"/>
          <w:szCs w:val="24"/>
        </w:rPr>
        <w:t xml:space="preserve">. </w:t>
      </w:r>
      <w:r w:rsidRPr="002750E1">
        <w:rPr>
          <w:rFonts w:ascii="Times New Roman" w:eastAsia="MS ??" w:hAnsi="Times New Roman" w:cs="Times New Roman"/>
          <w:bCs/>
          <w:sz w:val="24"/>
          <w:szCs w:val="24"/>
        </w:rPr>
        <w:t xml:space="preserve">RZV efficacy over time in the ZONA IC Model for United States adults with other immunocompromised </w:t>
      </w:r>
    </w:p>
    <w:p w14:paraId="50B7EF90" w14:textId="77777777" w:rsidR="002750E1" w:rsidRPr="002750E1" w:rsidRDefault="002750E1" w:rsidP="002750E1">
      <w:pPr>
        <w:keepNext/>
        <w:spacing w:after="240" w:line="276" w:lineRule="auto"/>
        <w:ind w:firstLine="720"/>
        <w:contextualSpacing/>
        <w:rPr>
          <w:rFonts w:ascii="Times New Roman" w:eastAsia="MS ??" w:hAnsi="Times New Roman" w:cs="Times New Roman"/>
          <w:b/>
          <w:sz w:val="24"/>
          <w:szCs w:val="24"/>
        </w:rPr>
      </w:pPr>
      <w:r w:rsidRPr="002750E1">
        <w:rPr>
          <w:rFonts w:ascii="Times New Roman" w:eastAsia="MS ??" w:hAnsi="Times New Roman" w:cs="Times New Roman"/>
          <w:bCs/>
          <w:sz w:val="24"/>
          <w:szCs w:val="24"/>
        </w:rPr>
        <w:t>conditions</w:t>
      </w:r>
    </w:p>
    <w:p w14:paraId="3B6E3F5B" w14:textId="50C508EB" w:rsidR="002750E1" w:rsidRPr="002750E1" w:rsidRDefault="002750E1" w:rsidP="002750E1">
      <w:pPr>
        <w:keepNext/>
        <w:spacing w:after="240" w:line="276" w:lineRule="auto"/>
        <w:contextualSpacing/>
        <w:rPr>
          <w:rFonts w:ascii="Times New Roman" w:eastAsia="MS ??" w:hAnsi="Times New Roman" w:cs="Times New Roman"/>
          <w:bCs/>
          <w:sz w:val="24"/>
          <w:szCs w:val="24"/>
        </w:rPr>
      </w:pPr>
      <w:r w:rsidRPr="002750E1">
        <w:rPr>
          <w:rFonts w:ascii="Times New Roman" w:eastAsia="MS ??" w:hAnsi="Times New Roman" w:cs="Times New Roman"/>
          <w:b/>
          <w:sz w:val="24"/>
          <w:szCs w:val="24"/>
        </w:rPr>
        <w:t>Figure A</w:t>
      </w:r>
      <w:r w:rsidR="004067DA">
        <w:rPr>
          <w:rFonts w:ascii="Times New Roman" w:eastAsia="MS ??" w:hAnsi="Times New Roman" w:cs="Times New Roman"/>
          <w:b/>
          <w:sz w:val="24"/>
          <w:szCs w:val="24"/>
        </w:rPr>
        <w:t>5</w:t>
      </w:r>
      <w:r w:rsidRPr="002750E1">
        <w:rPr>
          <w:rFonts w:ascii="Times New Roman" w:eastAsia="MS ??" w:hAnsi="Times New Roman" w:cs="Times New Roman"/>
          <w:b/>
          <w:sz w:val="24"/>
          <w:szCs w:val="24"/>
        </w:rPr>
        <w:t xml:space="preserve">. </w:t>
      </w:r>
      <w:r w:rsidRPr="002750E1">
        <w:rPr>
          <w:rFonts w:ascii="Times New Roman" w:eastAsia="MS ??" w:hAnsi="Times New Roman" w:cs="Times New Roman"/>
          <w:bCs/>
          <w:sz w:val="24"/>
          <w:szCs w:val="24"/>
        </w:rPr>
        <w:t xml:space="preserve">Association between herpes zoster incidence in placebo arm and initial RZV efficacy against herpes zoster </w:t>
      </w:r>
    </w:p>
    <w:p w14:paraId="0F8149F2" w14:textId="77777777" w:rsidR="002750E1" w:rsidRPr="002750E1" w:rsidRDefault="002750E1" w:rsidP="002750E1">
      <w:pPr>
        <w:keepNext/>
        <w:spacing w:after="240" w:line="276" w:lineRule="auto"/>
        <w:ind w:firstLine="720"/>
        <w:contextualSpacing/>
        <w:rPr>
          <w:rFonts w:ascii="Times New Roman" w:eastAsia="MS ??" w:hAnsi="Times New Roman" w:cs="Times New Roman"/>
          <w:bCs/>
          <w:sz w:val="24"/>
          <w:szCs w:val="24"/>
        </w:rPr>
      </w:pPr>
      <w:r w:rsidRPr="002750E1">
        <w:rPr>
          <w:rFonts w:ascii="Times New Roman" w:eastAsia="MS ??" w:hAnsi="Times New Roman" w:cs="Times New Roman"/>
          <w:bCs/>
          <w:sz w:val="24"/>
          <w:szCs w:val="24"/>
        </w:rPr>
        <w:t xml:space="preserve">and postherpetic neuralgia, based on data from the ZOE-50 (Lal et al., 2015), ZOE-70 (Cunningham et al., </w:t>
      </w:r>
    </w:p>
    <w:p w14:paraId="6DFE921E" w14:textId="77777777" w:rsidR="002750E1" w:rsidRPr="002750E1" w:rsidRDefault="002750E1" w:rsidP="002750E1">
      <w:pPr>
        <w:keepNext/>
        <w:spacing w:after="240" w:line="276" w:lineRule="auto"/>
        <w:ind w:left="720"/>
        <w:contextualSpacing/>
        <w:rPr>
          <w:rFonts w:ascii="Times New Roman" w:eastAsia="MS ??" w:hAnsi="Times New Roman" w:cs="Times New Roman"/>
          <w:bCs/>
          <w:sz w:val="24"/>
          <w:szCs w:val="24"/>
        </w:rPr>
      </w:pPr>
      <w:r w:rsidRPr="002750E1">
        <w:rPr>
          <w:rFonts w:ascii="Times New Roman" w:eastAsia="MS ??" w:hAnsi="Times New Roman" w:cs="Times New Roman"/>
          <w:bCs/>
          <w:sz w:val="24"/>
          <w:szCs w:val="24"/>
        </w:rPr>
        <w:t>2016), ZOE-HM (Dagnew et al., 2019), and ZOE-HSCT (Bastidas et al., 2019) clinical trials*</w:t>
      </w:r>
    </w:p>
    <w:p w14:paraId="5A38747F" w14:textId="31F40221" w:rsidR="002750E1" w:rsidRPr="002750E1" w:rsidRDefault="002750E1" w:rsidP="002750E1">
      <w:pPr>
        <w:keepNext/>
        <w:spacing w:after="240" w:line="276" w:lineRule="auto"/>
        <w:contextualSpacing/>
        <w:rPr>
          <w:rFonts w:ascii="Times New Roman" w:eastAsia="MS ??" w:hAnsi="Times New Roman" w:cs="Times New Roman"/>
          <w:bCs/>
          <w:sz w:val="24"/>
          <w:szCs w:val="24"/>
        </w:rPr>
      </w:pPr>
      <w:r w:rsidRPr="002750E1">
        <w:rPr>
          <w:rFonts w:ascii="Times New Roman" w:eastAsia="MS ??" w:hAnsi="Times New Roman" w:cs="Times New Roman"/>
          <w:b/>
          <w:sz w:val="24"/>
          <w:szCs w:val="24"/>
        </w:rPr>
        <w:t>Figure A</w:t>
      </w:r>
      <w:r w:rsidR="004067DA">
        <w:rPr>
          <w:rFonts w:ascii="Times New Roman" w:eastAsia="MS ??" w:hAnsi="Times New Roman" w:cs="Times New Roman"/>
          <w:b/>
          <w:sz w:val="24"/>
          <w:szCs w:val="24"/>
        </w:rPr>
        <w:t>6</w:t>
      </w:r>
      <w:r w:rsidRPr="002750E1">
        <w:rPr>
          <w:rFonts w:ascii="Times New Roman" w:eastAsia="MS ??" w:hAnsi="Times New Roman" w:cs="Times New Roman"/>
          <w:b/>
          <w:sz w:val="24"/>
          <w:szCs w:val="24"/>
        </w:rPr>
        <w:t xml:space="preserve">. </w:t>
      </w:r>
      <w:r w:rsidRPr="002750E1">
        <w:rPr>
          <w:rFonts w:ascii="Times New Roman" w:eastAsia="MS ??" w:hAnsi="Times New Roman" w:cs="Times New Roman"/>
          <w:bCs/>
          <w:sz w:val="24"/>
          <w:szCs w:val="24"/>
        </w:rPr>
        <w:t xml:space="preserve">Association between herpes zoster incidence in placebo arm and waning of RZV efficacy against herpes </w:t>
      </w:r>
    </w:p>
    <w:p w14:paraId="42D9FFAF" w14:textId="77777777" w:rsidR="002750E1" w:rsidRPr="002750E1" w:rsidRDefault="002750E1" w:rsidP="002750E1">
      <w:pPr>
        <w:keepNext/>
        <w:spacing w:after="240" w:line="276" w:lineRule="auto"/>
        <w:ind w:firstLine="720"/>
        <w:contextualSpacing/>
        <w:rPr>
          <w:rFonts w:ascii="Times New Roman" w:eastAsia="MS ??" w:hAnsi="Times New Roman" w:cs="Times New Roman"/>
          <w:bCs/>
          <w:sz w:val="24"/>
          <w:szCs w:val="24"/>
        </w:rPr>
      </w:pPr>
      <w:r w:rsidRPr="002750E1">
        <w:rPr>
          <w:rFonts w:ascii="Times New Roman" w:eastAsia="MS ??" w:hAnsi="Times New Roman" w:cs="Times New Roman"/>
          <w:bCs/>
          <w:sz w:val="24"/>
          <w:szCs w:val="24"/>
        </w:rPr>
        <w:t xml:space="preserve">zoster and postherpetic neuralgia, based on data from the ZOE-50 (Lal et al., 2015), ZOE-70 (Cunningham et </w:t>
      </w:r>
    </w:p>
    <w:p w14:paraId="4032A45B" w14:textId="77777777" w:rsidR="002750E1" w:rsidRPr="002750E1" w:rsidRDefault="002750E1" w:rsidP="002750E1">
      <w:pPr>
        <w:keepNext/>
        <w:spacing w:after="240" w:line="276" w:lineRule="auto"/>
        <w:ind w:left="720"/>
        <w:contextualSpacing/>
        <w:rPr>
          <w:rFonts w:ascii="Times New Roman" w:eastAsia="MS ??" w:hAnsi="Times New Roman" w:cs="Times New Roman"/>
          <w:bCs/>
          <w:sz w:val="24"/>
          <w:szCs w:val="24"/>
        </w:rPr>
      </w:pPr>
      <w:r w:rsidRPr="002750E1">
        <w:rPr>
          <w:rFonts w:ascii="Times New Roman" w:eastAsia="MS ??" w:hAnsi="Times New Roman" w:cs="Times New Roman"/>
          <w:bCs/>
          <w:sz w:val="24"/>
          <w:szCs w:val="24"/>
        </w:rPr>
        <w:t>al., 2016), and ZOE-HSCT (Bastidas et al., 2019) clinical trials*</w:t>
      </w:r>
    </w:p>
    <w:p w14:paraId="71D81158" w14:textId="77777777" w:rsidR="002750E1" w:rsidRPr="002750E1" w:rsidRDefault="002750E1" w:rsidP="002750E1">
      <w:pPr>
        <w:keepNext/>
        <w:spacing w:after="0" w:line="480" w:lineRule="auto"/>
        <w:contextualSpacing/>
        <w:rPr>
          <w:rFonts w:ascii="Times New Roman" w:eastAsia="MS ??" w:hAnsi="Times New Roman" w:cs="Times New Roman"/>
          <w:b/>
          <w:sz w:val="24"/>
          <w:szCs w:val="24"/>
        </w:rPr>
      </w:pPr>
    </w:p>
    <w:p w14:paraId="091E5874" w14:textId="77777777" w:rsidR="002750E1" w:rsidRPr="002750E1" w:rsidRDefault="002750E1" w:rsidP="002750E1">
      <w:pPr>
        <w:keepNext/>
        <w:spacing w:after="0" w:line="480" w:lineRule="auto"/>
        <w:contextualSpacing/>
        <w:rPr>
          <w:rFonts w:ascii="Times New Roman" w:eastAsia="MS ??" w:hAnsi="Times New Roman" w:cs="Times New Roman"/>
          <w:b/>
          <w:sz w:val="24"/>
          <w:szCs w:val="24"/>
        </w:rPr>
      </w:pPr>
      <w:bookmarkStart w:id="1" w:name="_Ref100573114"/>
      <w:bookmarkStart w:id="2" w:name="_Toc112418262"/>
      <w:r w:rsidRPr="002750E1">
        <w:rPr>
          <w:rFonts w:ascii="Times New Roman" w:eastAsia="MS ??" w:hAnsi="Times New Roman" w:cs="Times New Roman"/>
          <w:b/>
          <w:sz w:val="24"/>
          <w:szCs w:val="24"/>
        </w:rPr>
        <w:br w:type="page"/>
      </w:r>
    </w:p>
    <w:p w14:paraId="6C341ACD" w14:textId="77777777" w:rsidR="002750E1" w:rsidRPr="002750E1" w:rsidRDefault="002750E1" w:rsidP="002750E1">
      <w:pPr>
        <w:keepNext/>
        <w:spacing w:after="0" w:line="480" w:lineRule="auto"/>
        <w:contextualSpacing/>
        <w:rPr>
          <w:rFonts w:ascii="Times New Roman" w:eastAsia="MS ??" w:hAnsi="Times New Roman" w:cs="Times New Roman"/>
          <w:b/>
        </w:rPr>
      </w:pPr>
      <w:r w:rsidRPr="002750E1">
        <w:rPr>
          <w:rFonts w:ascii="Times New Roman" w:eastAsia="MS ??" w:hAnsi="Times New Roman" w:cs="Times New Roman"/>
          <w:b/>
        </w:rPr>
        <w:lastRenderedPageBreak/>
        <w:t>Table A1</w:t>
      </w:r>
      <w:r w:rsidRPr="002750E1">
        <w:rPr>
          <w:rFonts w:ascii="Times New Roman" w:eastAsia="MS ??" w:hAnsi="Times New Roman" w:cs="Times New Roman"/>
          <w:b/>
          <w:bCs/>
        </w:rPr>
        <w:t xml:space="preserve">. </w:t>
      </w:r>
      <w:r w:rsidRPr="002750E1">
        <w:rPr>
          <w:rFonts w:ascii="Times New Roman" w:eastAsia="MS ??" w:hAnsi="Times New Roman" w:cs="Times New Roman"/>
          <w:b/>
        </w:rPr>
        <w:t>Values and sources applied for demographic model inputs in base-case and sensitivity analyses</w:t>
      </w:r>
      <w:bookmarkEnd w:id="1"/>
      <w:bookmarkEnd w:id="2"/>
    </w:p>
    <w:tbl>
      <w:tblPr>
        <w:tblW w:w="5000" w:type="pct"/>
        <w:tblBorders>
          <w:top w:val="single" w:sz="12" w:space="0" w:color="000000"/>
          <w:bottom w:val="single" w:sz="12" w:space="0" w:color="000000"/>
          <w:insideH w:val="single" w:sz="2" w:space="0" w:color="DDDDDD"/>
        </w:tblBorders>
        <w:tblLayout w:type="fixed"/>
        <w:tblLook w:val="0000" w:firstRow="0" w:lastRow="0" w:firstColumn="0" w:lastColumn="0" w:noHBand="0" w:noVBand="0"/>
      </w:tblPr>
      <w:tblGrid>
        <w:gridCol w:w="2758"/>
        <w:gridCol w:w="1755"/>
        <w:gridCol w:w="1420"/>
        <w:gridCol w:w="1420"/>
        <w:gridCol w:w="4093"/>
        <w:gridCol w:w="1514"/>
      </w:tblGrid>
      <w:tr w:rsidR="002750E1" w:rsidRPr="002750E1" w14:paraId="2E948699" w14:textId="77777777" w:rsidTr="0042228A">
        <w:trPr>
          <w:cantSplit/>
          <w:tblHeader/>
        </w:trPr>
        <w:tc>
          <w:tcPr>
            <w:tcW w:w="1064" w:type="pct"/>
            <w:vMerge w:val="restart"/>
            <w:tcBorders>
              <w:top w:val="single" w:sz="12" w:space="0" w:color="000000"/>
              <w:bottom w:val="single" w:sz="2" w:space="0" w:color="000000"/>
            </w:tcBorders>
            <w:shd w:val="clear" w:color="auto" w:fill="E6E6E6"/>
            <w:vAlign w:val="bottom"/>
          </w:tcPr>
          <w:p w14:paraId="25F52150" w14:textId="77777777" w:rsidR="002750E1" w:rsidRPr="002750E1" w:rsidRDefault="002750E1" w:rsidP="002750E1">
            <w:pPr>
              <w:keepNext/>
              <w:spacing w:before="160" w:after="0" w:line="320" w:lineRule="exact"/>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Category/input</w:t>
            </w:r>
          </w:p>
        </w:tc>
        <w:tc>
          <w:tcPr>
            <w:tcW w:w="677" w:type="pct"/>
            <w:vMerge w:val="restart"/>
            <w:tcBorders>
              <w:top w:val="single" w:sz="12" w:space="0" w:color="000000"/>
              <w:bottom w:val="single" w:sz="2" w:space="0" w:color="000000"/>
            </w:tcBorders>
            <w:shd w:val="clear" w:color="auto" w:fill="E6E6E6"/>
            <w:vAlign w:val="bottom"/>
          </w:tcPr>
          <w:p w14:paraId="480BB0D6"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Base-case value</w:t>
            </w:r>
          </w:p>
        </w:tc>
        <w:tc>
          <w:tcPr>
            <w:tcW w:w="1096" w:type="pct"/>
            <w:gridSpan w:val="2"/>
            <w:tcBorders>
              <w:top w:val="single" w:sz="12" w:space="0" w:color="000000"/>
              <w:bottom w:val="single" w:sz="2" w:space="0" w:color="000000"/>
            </w:tcBorders>
            <w:shd w:val="clear" w:color="auto" w:fill="E6E6E6"/>
            <w:vAlign w:val="bottom"/>
          </w:tcPr>
          <w:p w14:paraId="038BD31E"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Range*</w:t>
            </w:r>
          </w:p>
        </w:tc>
        <w:tc>
          <w:tcPr>
            <w:tcW w:w="1579" w:type="pct"/>
            <w:vMerge w:val="restart"/>
            <w:tcBorders>
              <w:top w:val="single" w:sz="12" w:space="0" w:color="000000"/>
              <w:bottom w:val="single" w:sz="2" w:space="0" w:color="000000"/>
            </w:tcBorders>
            <w:shd w:val="clear" w:color="auto" w:fill="E6E6E6"/>
            <w:vAlign w:val="bottom"/>
          </w:tcPr>
          <w:p w14:paraId="262EE36B"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Base-case value source</w:t>
            </w:r>
          </w:p>
        </w:tc>
        <w:tc>
          <w:tcPr>
            <w:tcW w:w="584" w:type="pct"/>
            <w:vMerge w:val="restart"/>
            <w:tcBorders>
              <w:top w:val="single" w:sz="12" w:space="0" w:color="000000"/>
              <w:bottom w:val="single" w:sz="2" w:space="0" w:color="000000"/>
            </w:tcBorders>
            <w:shd w:val="clear" w:color="auto" w:fill="E6E6E6"/>
            <w:vAlign w:val="bottom"/>
          </w:tcPr>
          <w:p w14:paraId="6FD73837"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Range source</w:t>
            </w:r>
          </w:p>
        </w:tc>
      </w:tr>
      <w:tr w:rsidR="002750E1" w:rsidRPr="002750E1" w14:paraId="269D909D" w14:textId="77777777" w:rsidTr="0042228A">
        <w:trPr>
          <w:cantSplit/>
          <w:tblHeader/>
        </w:trPr>
        <w:tc>
          <w:tcPr>
            <w:tcW w:w="1064" w:type="pct"/>
            <w:vMerge/>
            <w:tcBorders>
              <w:top w:val="single" w:sz="2" w:space="0" w:color="000000"/>
              <w:bottom w:val="single" w:sz="2" w:space="0" w:color="DDDDDD"/>
            </w:tcBorders>
            <w:shd w:val="clear" w:color="auto" w:fill="E6E6E6"/>
            <w:vAlign w:val="bottom"/>
          </w:tcPr>
          <w:p w14:paraId="12FC75B9"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677" w:type="pct"/>
            <w:vMerge/>
            <w:tcBorders>
              <w:top w:val="single" w:sz="2" w:space="0" w:color="000000"/>
              <w:bottom w:val="single" w:sz="2" w:space="0" w:color="DDDDDD"/>
            </w:tcBorders>
            <w:shd w:val="clear" w:color="auto" w:fill="E6E6E6"/>
            <w:vAlign w:val="bottom"/>
          </w:tcPr>
          <w:p w14:paraId="7A3D0163"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548" w:type="pct"/>
            <w:tcBorders>
              <w:top w:val="single" w:sz="2" w:space="0" w:color="000000"/>
              <w:bottom w:val="single" w:sz="2" w:space="0" w:color="DDDDDD"/>
            </w:tcBorders>
            <w:shd w:val="clear" w:color="auto" w:fill="E6E6E6"/>
            <w:vAlign w:val="bottom"/>
          </w:tcPr>
          <w:p w14:paraId="116B223D"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Lower bound</w:t>
            </w:r>
          </w:p>
        </w:tc>
        <w:tc>
          <w:tcPr>
            <w:tcW w:w="548" w:type="pct"/>
            <w:tcBorders>
              <w:top w:val="single" w:sz="2" w:space="0" w:color="000000"/>
              <w:bottom w:val="single" w:sz="2" w:space="0" w:color="DDDDDD"/>
            </w:tcBorders>
            <w:shd w:val="clear" w:color="auto" w:fill="E6E6E6"/>
            <w:vAlign w:val="bottom"/>
          </w:tcPr>
          <w:p w14:paraId="560D2798"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Upper bound</w:t>
            </w:r>
          </w:p>
        </w:tc>
        <w:tc>
          <w:tcPr>
            <w:tcW w:w="1579" w:type="pct"/>
            <w:vMerge/>
            <w:tcBorders>
              <w:top w:val="single" w:sz="2" w:space="0" w:color="000000"/>
              <w:bottom w:val="single" w:sz="2" w:space="0" w:color="DDDDDD"/>
            </w:tcBorders>
            <w:shd w:val="clear" w:color="auto" w:fill="E6E6E6"/>
            <w:vAlign w:val="bottom"/>
          </w:tcPr>
          <w:p w14:paraId="51B4DD37"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584" w:type="pct"/>
            <w:vMerge/>
            <w:tcBorders>
              <w:top w:val="single" w:sz="2" w:space="0" w:color="000000"/>
              <w:bottom w:val="single" w:sz="2" w:space="0" w:color="DDDDDD"/>
            </w:tcBorders>
            <w:shd w:val="clear" w:color="auto" w:fill="E6E6E6"/>
            <w:vAlign w:val="bottom"/>
          </w:tcPr>
          <w:p w14:paraId="22976F82"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r>
      <w:tr w:rsidR="002750E1" w:rsidRPr="002750E1" w14:paraId="2A5E1926" w14:textId="77777777" w:rsidTr="0042228A">
        <w:trPr>
          <w:cantSplit/>
        </w:trPr>
        <w:tc>
          <w:tcPr>
            <w:tcW w:w="1064" w:type="pct"/>
            <w:shd w:val="clear" w:color="auto" w:fill="FFFFFF"/>
          </w:tcPr>
          <w:p w14:paraId="05C1AE55"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Population starting age (years)</w:t>
            </w:r>
          </w:p>
        </w:tc>
        <w:tc>
          <w:tcPr>
            <w:tcW w:w="677" w:type="pct"/>
            <w:shd w:val="clear" w:color="auto" w:fill="FFFFFF"/>
          </w:tcPr>
          <w:p w14:paraId="72499771"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35</w:t>
            </w:r>
          </w:p>
        </w:tc>
        <w:tc>
          <w:tcPr>
            <w:tcW w:w="548" w:type="pct"/>
            <w:shd w:val="clear" w:color="auto" w:fill="FFFFFF"/>
          </w:tcPr>
          <w:p w14:paraId="0C43BC78"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p>
        </w:tc>
        <w:tc>
          <w:tcPr>
            <w:tcW w:w="548" w:type="pct"/>
            <w:shd w:val="clear" w:color="auto" w:fill="FFFFFF"/>
          </w:tcPr>
          <w:p w14:paraId="1DA20929"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p>
        </w:tc>
        <w:tc>
          <w:tcPr>
            <w:tcW w:w="1579" w:type="pct"/>
            <w:shd w:val="clear" w:color="auto" w:fill="FFFFFF"/>
          </w:tcPr>
          <w:p w14:paraId="6C461AE5"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Assumed</w:t>
            </w:r>
            <w:r w:rsidRPr="003A1943">
              <w:rPr>
                <w:rFonts w:ascii="Times New Roman" w:eastAsia="Times New Roman" w:hAnsi="Times New Roman" w:cs="Times New Roman"/>
                <w:sz w:val="24"/>
                <w:szCs w:val="24"/>
                <w:vertAlign w:val="superscript"/>
              </w:rPr>
              <w:t>†</w:t>
            </w:r>
          </w:p>
        </w:tc>
        <w:tc>
          <w:tcPr>
            <w:tcW w:w="584" w:type="pct"/>
            <w:shd w:val="clear" w:color="auto" w:fill="FFFFFF"/>
          </w:tcPr>
          <w:p w14:paraId="5882BB73"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p>
        </w:tc>
      </w:tr>
      <w:tr w:rsidR="002750E1" w:rsidRPr="002750E1" w14:paraId="517B3CAA" w14:textId="77777777" w:rsidTr="0042228A">
        <w:trPr>
          <w:cantSplit/>
        </w:trPr>
        <w:tc>
          <w:tcPr>
            <w:tcW w:w="1064" w:type="pct"/>
            <w:shd w:val="clear" w:color="auto" w:fill="FFFFFF"/>
          </w:tcPr>
          <w:p w14:paraId="76F78FA2"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IC status duration (years)</w:t>
            </w:r>
          </w:p>
        </w:tc>
        <w:tc>
          <w:tcPr>
            <w:tcW w:w="677" w:type="pct"/>
            <w:shd w:val="clear" w:color="auto" w:fill="FFFFFF"/>
          </w:tcPr>
          <w:p w14:paraId="124E28F9"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5</w:t>
            </w:r>
          </w:p>
        </w:tc>
        <w:tc>
          <w:tcPr>
            <w:tcW w:w="548" w:type="pct"/>
            <w:shd w:val="clear" w:color="auto" w:fill="FFFFFF"/>
          </w:tcPr>
          <w:p w14:paraId="5B869A51"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2</w:t>
            </w:r>
          </w:p>
        </w:tc>
        <w:tc>
          <w:tcPr>
            <w:tcW w:w="548" w:type="pct"/>
            <w:shd w:val="clear" w:color="auto" w:fill="FFFFFF"/>
          </w:tcPr>
          <w:p w14:paraId="55DB08AA"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5</w:t>
            </w:r>
          </w:p>
        </w:tc>
        <w:tc>
          <w:tcPr>
            <w:tcW w:w="1579" w:type="pct"/>
            <w:shd w:val="clear" w:color="auto" w:fill="FFFFFF"/>
          </w:tcPr>
          <w:p w14:paraId="4EE84988" w14:textId="79026EE5"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Sahoo et al.</w:t>
            </w:r>
            <w:r w:rsidR="0013159D">
              <w:rPr>
                <w:rFonts w:ascii="Times New Roman" w:eastAsia="Times New Roman" w:hAnsi="Times New Roman" w:cs="Times New Roman"/>
                <w:noProof/>
                <w:sz w:val="24"/>
                <w:szCs w:val="24"/>
                <w:vertAlign w:val="superscript"/>
              </w:rPr>
              <w:t>23</w:t>
            </w:r>
            <w:r w:rsidRPr="003A1943">
              <w:rPr>
                <w:rFonts w:ascii="Times New Roman" w:eastAsia="Times New Roman" w:hAnsi="Times New Roman" w:cs="Times New Roman"/>
                <w:sz w:val="24"/>
                <w:szCs w:val="24"/>
                <w:vertAlign w:val="superscript"/>
              </w:rPr>
              <w:t>‡</w:t>
            </w:r>
          </w:p>
        </w:tc>
        <w:tc>
          <w:tcPr>
            <w:tcW w:w="584" w:type="pct"/>
            <w:shd w:val="clear" w:color="auto" w:fill="FFFFFF"/>
          </w:tcPr>
          <w:p w14:paraId="4059D633"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Assumed</w:t>
            </w:r>
            <w:r w:rsidRPr="003A1943">
              <w:rPr>
                <w:rFonts w:ascii="Times New Roman" w:eastAsia="Times New Roman" w:hAnsi="Times New Roman" w:cs="Times New Roman"/>
                <w:sz w:val="24"/>
                <w:szCs w:val="24"/>
                <w:vertAlign w:val="superscript"/>
              </w:rPr>
              <w:t>‡</w:t>
            </w:r>
          </w:p>
        </w:tc>
      </w:tr>
      <w:tr w:rsidR="002750E1" w:rsidRPr="002750E1" w14:paraId="008CAE2F" w14:textId="77777777" w:rsidTr="0042228A">
        <w:trPr>
          <w:cantSplit/>
        </w:trPr>
        <w:tc>
          <w:tcPr>
            <w:tcW w:w="1064" w:type="pct"/>
            <w:tcBorders>
              <w:bottom w:val="single" w:sz="12" w:space="0" w:color="auto"/>
            </w:tcBorders>
            <w:shd w:val="clear" w:color="auto" w:fill="FFFFFF"/>
          </w:tcPr>
          <w:p w14:paraId="7FD3334D"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Annual probability of all-cause mortality</w:t>
            </w:r>
            <w:r w:rsidRPr="003A1943">
              <w:rPr>
                <w:rFonts w:ascii="Times New Roman" w:eastAsia="Times New Roman" w:hAnsi="Times New Roman" w:cs="Times New Roman"/>
                <w:sz w:val="24"/>
                <w:szCs w:val="24"/>
                <w:vertAlign w:val="superscript"/>
              </w:rPr>
              <w:t>§</w:t>
            </w:r>
          </w:p>
        </w:tc>
        <w:tc>
          <w:tcPr>
            <w:tcW w:w="677" w:type="pct"/>
            <w:tcBorders>
              <w:bottom w:val="single" w:sz="12" w:space="0" w:color="auto"/>
            </w:tcBorders>
            <w:shd w:val="clear" w:color="auto" w:fill="FFFFFF"/>
          </w:tcPr>
          <w:p w14:paraId="6464003D"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0.0994</w:t>
            </w:r>
          </w:p>
        </w:tc>
        <w:tc>
          <w:tcPr>
            <w:tcW w:w="548" w:type="pct"/>
            <w:tcBorders>
              <w:bottom w:val="single" w:sz="12" w:space="0" w:color="auto"/>
            </w:tcBorders>
            <w:shd w:val="clear" w:color="auto" w:fill="FFFFFF"/>
          </w:tcPr>
          <w:p w14:paraId="6B6A1A52"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p>
        </w:tc>
        <w:tc>
          <w:tcPr>
            <w:tcW w:w="548" w:type="pct"/>
            <w:tcBorders>
              <w:bottom w:val="single" w:sz="12" w:space="0" w:color="auto"/>
            </w:tcBorders>
            <w:shd w:val="clear" w:color="auto" w:fill="FFFFFF"/>
          </w:tcPr>
          <w:p w14:paraId="6080A6C9"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p>
        </w:tc>
        <w:tc>
          <w:tcPr>
            <w:tcW w:w="1579" w:type="pct"/>
            <w:tcBorders>
              <w:bottom w:val="single" w:sz="12" w:space="0" w:color="auto"/>
            </w:tcBorders>
            <w:shd w:val="clear" w:color="auto" w:fill="FFFFFF"/>
          </w:tcPr>
          <w:p w14:paraId="428B558B" w14:textId="02F2400A" w:rsidR="002750E1" w:rsidRPr="002750E1"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Arias and Xu</w:t>
            </w:r>
            <w:r w:rsidR="0013159D">
              <w:rPr>
                <w:rFonts w:ascii="Times New Roman" w:eastAsia="Times New Roman" w:hAnsi="Times New Roman" w:cs="Times New Roman"/>
                <w:sz w:val="24"/>
                <w:szCs w:val="24"/>
                <w:vertAlign w:val="superscript"/>
              </w:rPr>
              <w:t>43</w:t>
            </w:r>
            <w:r w:rsidRPr="002750E1">
              <w:rPr>
                <w:rFonts w:ascii="Times New Roman" w:eastAsia="Times New Roman" w:hAnsi="Times New Roman" w:cs="Times New Roman"/>
                <w:sz w:val="24"/>
                <w:szCs w:val="24"/>
              </w:rPr>
              <w:t>; Bastidas et al.</w:t>
            </w:r>
            <w:r w:rsidR="0013159D">
              <w:rPr>
                <w:rFonts w:ascii="Times New Roman" w:eastAsia="Times New Roman" w:hAnsi="Times New Roman" w:cs="Times New Roman"/>
                <w:noProof/>
                <w:sz w:val="24"/>
                <w:szCs w:val="24"/>
                <w:vertAlign w:val="superscript"/>
              </w:rPr>
              <w:t>19</w:t>
            </w:r>
            <w:r w:rsidRPr="002750E1">
              <w:rPr>
                <w:rFonts w:ascii="Times New Roman" w:eastAsia="Times New Roman" w:hAnsi="Times New Roman" w:cs="Times New Roman"/>
                <w:sz w:val="24"/>
                <w:szCs w:val="24"/>
              </w:rPr>
              <w:t>; Noone et al.</w:t>
            </w:r>
            <w:r w:rsidR="008E638D">
              <w:rPr>
                <w:rFonts w:ascii="Times New Roman" w:eastAsia="Times New Roman" w:hAnsi="Times New Roman" w:cs="Times New Roman"/>
                <w:noProof/>
                <w:sz w:val="24"/>
                <w:szCs w:val="24"/>
                <w:vertAlign w:val="superscript"/>
              </w:rPr>
              <w:t>41</w:t>
            </w:r>
            <w:r w:rsidRPr="0049706E">
              <w:rPr>
                <w:rFonts w:ascii="Times New Roman" w:eastAsia="Times New Roman" w:hAnsi="Times New Roman" w:cs="Times New Roman"/>
                <w:noProof/>
                <w:sz w:val="24"/>
                <w:szCs w:val="24"/>
              </w:rPr>
              <w:t>||</w:t>
            </w:r>
          </w:p>
        </w:tc>
        <w:tc>
          <w:tcPr>
            <w:tcW w:w="584" w:type="pct"/>
            <w:tcBorders>
              <w:bottom w:val="single" w:sz="12" w:space="0" w:color="auto"/>
            </w:tcBorders>
            <w:shd w:val="clear" w:color="auto" w:fill="FFFFFF"/>
          </w:tcPr>
          <w:p w14:paraId="765D9E3E"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p>
        </w:tc>
      </w:tr>
    </w:tbl>
    <w:p w14:paraId="3002E5B7" w14:textId="6D1BFAF0"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HSCT = hematopoietic stem</w:t>
      </w:r>
      <w:r w:rsidR="00412E6F">
        <w:rPr>
          <w:rFonts w:ascii="Times New Roman" w:eastAsia="Times New Roman" w:hAnsi="Times New Roman" w:cs="Times New Roman"/>
          <w:sz w:val="18"/>
          <w:szCs w:val="18"/>
        </w:rPr>
        <w:t xml:space="preserve"> </w:t>
      </w:r>
      <w:r w:rsidRPr="002750E1">
        <w:rPr>
          <w:rFonts w:ascii="Times New Roman" w:eastAsia="Times New Roman" w:hAnsi="Times New Roman" w:cs="Times New Roman"/>
          <w:sz w:val="18"/>
          <w:szCs w:val="18"/>
        </w:rPr>
        <w:t>cell transplant; HZ = herpes zoster; IC = immunocompromised; RZV = recombinant zoster vaccine.</w:t>
      </w:r>
    </w:p>
    <w:p w14:paraId="7A337080"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Note: -- = not varied in sensitivity or scenario analyses.</w:t>
      </w:r>
    </w:p>
    <w:p w14:paraId="226FCDBC"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 For the probabilistic sensitivity analysis, the gamma distribution has been assumed for varying the IC status duration. All other inputs presented in this table were not varied in the probabilistic sensitivity analysis or in the deterministic sensitivity analysis.</w:t>
      </w:r>
    </w:p>
    <w:p w14:paraId="36345E78" w14:textId="6576BAA1"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The population was assumed to be 35 years of age at the start of the model time horizon to represent a younger HSCT population; 75% of the population in the phase 3 clinical trial were aged 50 years and older.</w:t>
      </w:r>
      <w:r w:rsidRPr="002750E1">
        <w:rPr>
          <w:rFonts w:ascii="Times New Roman" w:eastAsia="Times New Roman" w:hAnsi="Times New Roman" w:cs="Times New Roman"/>
          <w:sz w:val="18"/>
          <w:szCs w:val="18"/>
          <w:vertAlign w:val="superscript"/>
        </w:rPr>
        <w:t>1</w:t>
      </w:r>
      <w:r w:rsidR="00D56DA8">
        <w:rPr>
          <w:rFonts w:ascii="Times New Roman" w:eastAsia="Times New Roman" w:hAnsi="Times New Roman" w:cs="Times New Roman"/>
          <w:noProof/>
          <w:sz w:val="18"/>
          <w:szCs w:val="18"/>
          <w:vertAlign w:val="superscript"/>
        </w:rPr>
        <w:t>9</w:t>
      </w:r>
    </w:p>
    <w:p w14:paraId="1218EBC7" w14:textId="1F146664"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Sahoo et al.</w:t>
      </w:r>
      <w:r w:rsidR="0013159D">
        <w:rPr>
          <w:rFonts w:ascii="Times New Roman" w:eastAsia="Times New Roman" w:hAnsi="Times New Roman" w:cs="Times New Roman"/>
          <w:noProof/>
          <w:sz w:val="18"/>
          <w:szCs w:val="18"/>
          <w:vertAlign w:val="superscript"/>
        </w:rPr>
        <w:t>23</w:t>
      </w:r>
      <w:r w:rsidRPr="002750E1">
        <w:rPr>
          <w:rFonts w:ascii="Times New Roman" w:eastAsia="Times New Roman" w:hAnsi="Times New Roman" w:cs="Times New Roman"/>
          <w:sz w:val="18"/>
          <w:szCs w:val="18"/>
        </w:rPr>
        <w:t xml:space="preserve"> reported estimated HZ incidence in the 5 years following </w:t>
      </w:r>
      <w:bookmarkStart w:id="3" w:name="_Hlk51242405"/>
      <w:r w:rsidRPr="002750E1">
        <w:rPr>
          <w:rFonts w:ascii="Times New Roman" w:eastAsia="Times New Roman" w:hAnsi="Times New Roman" w:cs="Times New Roman"/>
          <w:sz w:val="18"/>
          <w:szCs w:val="18"/>
        </w:rPr>
        <w:t>HSCT. Therefore, we assumed that the relevant period of reduced immune function also was 5 years</w:t>
      </w:r>
      <w:bookmarkEnd w:id="3"/>
      <w:r w:rsidRPr="002750E1">
        <w:rPr>
          <w:rFonts w:ascii="Times New Roman" w:eastAsia="Times New Roman" w:hAnsi="Times New Roman" w:cs="Times New Roman"/>
          <w:sz w:val="18"/>
          <w:szCs w:val="18"/>
        </w:rPr>
        <w:t>. We assumed a lower bound of 2 years, which was similar to the length of the follow-up period observed in Bastidas et al.</w:t>
      </w:r>
      <w:r w:rsidRPr="002750E1">
        <w:rPr>
          <w:rFonts w:ascii="Times New Roman" w:eastAsia="Times New Roman" w:hAnsi="Times New Roman" w:cs="Times New Roman"/>
          <w:sz w:val="18"/>
          <w:szCs w:val="18"/>
          <w:vertAlign w:val="superscript"/>
        </w:rPr>
        <w:t>1</w:t>
      </w:r>
      <w:r w:rsidR="00AE259C">
        <w:rPr>
          <w:rFonts w:ascii="Times New Roman" w:eastAsia="Times New Roman" w:hAnsi="Times New Roman" w:cs="Times New Roman"/>
          <w:noProof/>
          <w:sz w:val="18"/>
          <w:szCs w:val="18"/>
          <w:vertAlign w:val="superscript"/>
        </w:rPr>
        <w:t>9</w:t>
      </w:r>
      <w:r w:rsidRPr="002750E1">
        <w:rPr>
          <w:rFonts w:ascii="Times New Roman" w:eastAsia="Times New Roman" w:hAnsi="Times New Roman" w:cs="Times New Roman"/>
          <w:sz w:val="18"/>
          <w:szCs w:val="18"/>
        </w:rPr>
        <w:t xml:space="preserve"> and Winston et al.</w:t>
      </w:r>
      <w:r w:rsidRPr="002750E1">
        <w:rPr>
          <w:rFonts w:ascii="Times New Roman" w:eastAsia="Times New Roman" w:hAnsi="Times New Roman" w:cs="Times New Roman"/>
          <w:noProof/>
          <w:sz w:val="18"/>
          <w:szCs w:val="18"/>
          <w:vertAlign w:val="superscript"/>
        </w:rPr>
        <w:t>3</w:t>
      </w:r>
      <w:r w:rsidR="0021299E">
        <w:rPr>
          <w:rFonts w:ascii="Times New Roman" w:eastAsia="Times New Roman" w:hAnsi="Times New Roman" w:cs="Times New Roman"/>
          <w:noProof/>
          <w:sz w:val="18"/>
          <w:szCs w:val="18"/>
          <w:vertAlign w:val="superscript"/>
        </w:rPr>
        <w:t>5</w:t>
      </w:r>
      <w:r w:rsidRPr="002750E1">
        <w:rPr>
          <w:rFonts w:ascii="Times New Roman" w:eastAsia="Times New Roman" w:hAnsi="Times New Roman" w:cs="Times New Roman"/>
          <w:sz w:val="18"/>
          <w:szCs w:val="18"/>
        </w:rPr>
        <w:t xml:space="preserve"> clinical trials of HZ prevention in HSCT recipients. The IC status duration was not varied to an upper bound value, as 5 years was assumed to fully capture the duration of increased risk of HZ due to HSCT.</w:t>
      </w:r>
    </w:p>
    <w:p w14:paraId="6119DE06"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Applies to individuals with IC status only. </w:t>
      </w:r>
    </w:p>
    <w:p w14:paraId="386776E1" w14:textId="228F695F"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Noone et al.</w:t>
      </w:r>
      <w:r w:rsidR="00A859ED">
        <w:rPr>
          <w:rFonts w:ascii="Times New Roman" w:eastAsia="Times New Roman" w:hAnsi="Times New Roman" w:cs="Times New Roman"/>
          <w:noProof/>
          <w:sz w:val="18"/>
          <w:szCs w:val="18"/>
          <w:vertAlign w:val="superscript"/>
        </w:rPr>
        <w:t>4</w:t>
      </w:r>
      <w:r w:rsidR="008E638D">
        <w:rPr>
          <w:rFonts w:ascii="Times New Roman" w:eastAsia="Times New Roman" w:hAnsi="Times New Roman" w:cs="Times New Roman"/>
          <w:noProof/>
          <w:sz w:val="18"/>
          <w:szCs w:val="18"/>
          <w:vertAlign w:val="superscript"/>
        </w:rPr>
        <w:t>1</w:t>
      </w:r>
      <w:r w:rsidRPr="002750E1">
        <w:rPr>
          <w:rFonts w:ascii="Times New Roman" w:eastAsia="Times New Roman" w:hAnsi="Times New Roman" w:cs="Times New Roman"/>
          <w:sz w:val="18"/>
          <w:szCs w:val="18"/>
        </w:rPr>
        <w:t xml:space="preserve"> reported the 5-year survival probability of 0.507, 0.714, 0.866, and 0.274 for multiple myeloma, non-Hodgkin’s lymphoma, Hodgkin’s lymphoma, and acute myeloid leukemia, respectively. The annual probabilities of death then were derived from the 5-year survival probability to 0.127, 0.065, 0.028, and 0.228, respectively. A weighted annual probability of death then was calculated based on the percentage of patients in the RZV autologous HSCT trial with myeloma (53.1%), non-Hodgkin’s lymphoma (33.1%), Hodgkin’s lymphoma (8.90%), and acute myeloid leukemia (2.3%)</w:t>
      </w:r>
      <w:r w:rsidRPr="002750E1">
        <w:rPr>
          <w:rFonts w:ascii="Times New Roman" w:eastAsia="Times New Roman" w:hAnsi="Times New Roman" w:cs="Times New Roman"/>
          <w:sz w:val="18"/>
          <w:szCs w:val="18"/>
          <w:vertAlign w:val="superscript"/>
        </w:rPr>
        <w:t>1</w:t>
      </w:r>
      <w:r w:rsidR="00D85E0A">
        <w:rPr>
          <w:rFonts w:ascii="Times New Roman" w:eastAsia="Times New Roman" w:hAnsi="Times New Roman" w:cs="Times New Roman"/>
          <w:noProof/>
          <w:sz w:val="18"/>
          <w:szCs w:val="18"/>
          <w:vertAlign w:val="superscript"/>
        </w:rPr>
        <w:t>9</w:t>
      </w:r>
      <w:r w:rsidRPr="002750E1">
        <w:rPr>
          <w:rFonts w:ascii="Times New Roman" w:eastAsia="Times New Roman" w:hAnsi="Times New Roman" w:cs="Times New Roman"/>
          <w:sz w:val="18"/>
          <w:szCs w:val="18"/>
        </w:rPr>
        <w:t>; as a simplifying assumption, these conditions were assumed to represent the total trial population, as only 2.6% of the trial population had other conditions. This value was applied until the population returned to healthy status.</w:t>
      </w:r>
    </w:p>
    <w:p w14:paraId="74486263" w14:textId="77777777" w:rsidR="002750E1" w:rsidRPr="002750E1" w:rsidRDefault="002750E1" w:rsidP="002750E1">
      <w:pPr>
        <w:keepLines/>
        <w:spacing w:before="120" w:after="0" w:line="240" w:lineRule="atLeast"/>
        <w:rPr>
          <w:rFonts w:ascii="Times New Roman" w:eastAsia="Times New Roman" w:hAnsi="Times New Roman" w:cs="Times New Roman"/>
          <w:sz w:val="16"/>
          <w:szCs w:val="18"/>
        </w:rPr>
      </w:pPr>
    </w:p>
    <w:p w14:paraId="17F36934" w14:textId="77777777" w:rsidR="002750E1" w:rsidRPr="002750E1" w:rsidRDefault="002750E1" w:rsidP="002750E1">
      <w:pPr>
        <w:keepNext/>
        <w:spacing w:after="0" w:line="480" w:lineRule="auto"/>
        <w:contextualSpacing/>
        <w:rPr>
          <w:rFonts w:ascii="Times New Roman" w:eastAsia="MS ??" w:hAnsi="Times New Roman" w:cs="Times New Roman"/>
          <w:b/>
          <w:sz w:val="24"/>
          <w:szCs w:val="24"/>
        </w:rPr>
      </w:pPr>
      <w:bookmarkStart w:id="4" w:name="_Ref100573119"/>
      <w:bookmarkStart w:id="5" w:name="_Toc112418263"/>
      <w:r w:rsidRPr="002750E1">
        <w:rPr>
          <w:rFonts w:ascii="Times New Roman" w:eastAsia="MS ??" w:hAnsi="Times New Roman" w:cs="Times New Roman"/>
          <w:b/>
          <w:sz w:val="24"/>
          <w:szCs w:val="24"/>
        </w:rPr>
        <w:lastRenderedPageBreak/>
        <w:t>Table A2</w:t>
      </w:r>
      <w:r w:rsidRPr="002750E1">
        <w:rPr>
          <w:rFonts w:ascii="Times New Roman" w:eastAsia="MS ??" w:hAnsi="Times New Roman" w:cs="Times New Roman"/>
          <w:b/>
          <w:bCs/>
          <w:sz w:val="24"/>
          <w:szCs w:val="24"/>
        </w:rPr>
        <w:t xml:space="preserve">. </w:t>
      </w:r>
      <w:r w:rsidRPr="002750E1">
        <w:rPr>
          <w:rFonts w:ascii="Times New Roman" w:eastAsia="MS ??" w:hAnsi="Times New Roman" w:cs="Times New Roman"/>
          <w:b/>
          <w:sz w:val="24"/>
          <w:szCs w:val="24"/>
        </w:rPr>
        <w:t>Values and sources applied for epidemiological model inputs in base-case and sensitivity analyses</w:t>
      </w:r>
      <w:bookmarkEnd w:id="4"/>
      <w:bookmarkEnd w:id="5"/>
    </w:p>
    <w:tbl>
      <w:tblPr>
        <w:tblW w:w="5000" w:type="pct"/>
        <w:tblBorders>
          <w:top w:val="single" w:sz="12" w:space="0" w:color="000000"/>
          <w:bottom w:val="single" w:sz="12" w:space="0" w:color="000000"/>
          <w:insideH w:val="single" w:sz="2" w:space="0" w:color="DDDDDD"/>
        </w:tblBorders>
        <w:tblLayout w:type="fixed"/>
        <w:tblLook w:val="0000" w:firstRow="0" w:lastRow="0" w:firstColumn="0" w:lastColumn="0" w:noHBand="0" w:noVBand="0"/>
      </w:tblPr>
      <w:tblGrid>
        <w:gridCol w:w="3228"/>
        <w:gridCol w:w="1688"/>
        <w:gridCol w:w="1687"/>
        <w:gridCol w:w="1687"/>
        <w:gridCol w:w="2252"/>
        <w:gridCol w:w="2418"/>
      </w:tblGrid>
      <w:tr w:rsidR="002750E1" w:rsidRPr="002750E1" w14:paraId="38EE444D" w14:textId="77777777" w:rsidTr="0042228A">
        <w:trPr>
          <w:cantSplit/>
          <w:tblHeader/>
        </w:trPr>
        <w:tc>
          <w:tcPr>
            <w:tcW w:w="1245" w:type="pct"/>
            <w:vMerge w:val="restart"/>
            <w:tcBorders>
              <w:top w:val="single" w:sz="12" w:space="0" w:color="000000"/>
              <w:bottom w:val="single" w:sz="2" w:space="0" w:color="000000"/>
            </w:tcBorders>
            <w:shd w:val="clear" w:color="auto" w:fill="E6E6E6"/>
            <w:vAlign w:val="bottom"/>
          </w:tcPr>
          <w:p w14:paraId="70179F78" w14:textId="77777777" w:rsidR="002750E1" w:rsidRPr="002750E1" w:rsidRDefault="002750E1" w:rsidP="002750E1">
            <w:pPr>
              <w:keepNext/>
              <w:spacing w:before="160" w:after="0" w:line="320" w:lineRule="exact"/>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Category/input</w:t>
            </w:r>
          </w:p>
        </w:tc>
        <w:tc>
          <w:tcPr>
            <w:tcW w:w="651" w:type="pct"/>
            <w:vMerge w:val="restart"/>
            <w:tcBorders>
              <w:top w:val="single" w:sz="12" w:space="0" w:color="000000"/>
              <w:bottom w:val="single" w:sz="2" w:space="0" w:color="000000"/>
            </w:tcBorders>
            <w:shd w:val="clear" w:color="auto" w:fill="E6E6E6"/>
            <w:vAlign w:val="bottom"/>
          </w:tcPr>
          <w:p w14:paraId="554DA58B"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Base-case value</w:t>
            </w:r>
          </w:p>
        </w:tc>
        <w:tc>
          <w:tcPr>
            <w:tcW w:w="1302" w:type="pct"/>
            <w:gridSpan w:val="2"/>
            <w:tcBorders>
              <w:top w:val="single" w:sz="12" w:space="0" w:color="000000"/>
              <w:bottom w:val="single" w:sz="2" w:space="0" w:color="000000"/>
            </w:tcBorders>
            <w:shd w:val="clear" w:color="auto" w:fill="E6E6E6"/>
            <w:vAlign w:val="bottom"/>
          </w:tcPr>
          <w:p w14:paraId="1ED4B584"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vertAlign w:val="superscript"/>
              </w:rPr>
            </w:pPr>
            <w:r w:rsidRPr="002750E1">
              <w:rPr>
                <w:rFonts w:ascii="Times New Roman" w:eastAsia="Times New Roman" w:hAnsi="Times New Roman" w:cs="Times New Roman"/>
                <w:b/>
                <w:sz w:val="24"/>
                <w:szCs w:val="24"/>
              </w:rPr>
              <w:t>Range</w:t>
            </w:r>
            <w:r w:rsidRPr="002750E1">
              <w:rPr>
                <w:rFonts w:ascii="Times New Roman" w:eastAsia="Times New Roman" w:hAnsi="Times New Roman" w:cs="Times New Roman"/>
                <w:b/>
                <w:sz w:val="24"/>
                <w:szCs w:val="24"/>
                <w:vertAlign w:val="superscript"/>
              </w:rPr>
              <w:t>*</w:t>
            </w:r>
          </w:p>
        </w:tc>
        <w:tc>
          <w:tcPr>
            <w:tcW w:w="869" w:type="pct"/>
            <w:vMerge w:val="restart"/>
            <w:tcBorders>
              <w:top w:val="single" w:sz="12" w:space="0" w:color="000000"/>
              <w:bottom w:val="single" w:sz="2" w:space="0" w:color="000000"/>
            </w:tcBorders>
            <w:shd w:val="clear" w:color="auto" w:fill="E6E6E6"/>
            <w:vAlign w:val="bottom"/>
          </w:tcPr>
          <w:p w14:paraId="614451A2"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Base-case value source</w:t>
            </w:r>
          </w:p>
        </w:tc>
        <w:tc>
          <w:tcPr>
            <w:tcW w:w="933" w:type="pct"/>
            <w:vMerge w:val="restart"/>
            <w:tcBorders>
              <w:top w:val="single" w:sz="12" w:space="0" w:color="000000"/>
              <w:bottom w:val="single" w:sz="2" w:space="0" w:color="000000"/>
            </w:tcBorders>
            <w:shd w:val="clear" w:color="auto" w:fill="E6E6E6"/>
            <w:vAlign w:val="bottom"/>
          </w:tcPr>
          <w:p w14:paraId="14FC9509"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Range source</w:t>
            </w:r>
          </w:p>
        </w:tc>
      </w:tr>
      <w:tr w:rsidR="002750E1" w:rsidRPr="002750E1" w14:paraId="3D8630EE" w14:textId="77777777" w:rsidTr="0042228A">
        <w:trPr>
          <w:cantSplit/>
          <w:tblHeader/>
        </w:trPr>
        <w:tc>
          <w:tcPr>
            <w:tcW w:w="1245" w:type="pct"/>
            <w:vMerge/>
            <w:tcBorders>
              <w:top w:val="single" w:sz="2" w:space="0" w:color="000000"/>
              <w:bottom w:val="single" w:sz="2" w:space="0" w:color="DDDDDD"/>
            </w:tcBorders>
            <w:shd w:val="clear" w:color="auto" w:fill="E6E6E6"/>
            <w:vAlign w:val="bottom"/>
          </w:tcPr>
          <w:p w14:paraId="27BF0322"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651" w:type="pct"/>
            <w:vMerge/>
            <w:tcBorders>
              <w:top w:val="single" w:sz="2" w:space="0" w:color="000000"/>
              <w:bottom w:val="single" w:sz="2" w:space="0" w:color="DDDDDD"/>
            </w:tcBorders>
            <w:shd w:val="clear" w:color="auto" w:fill="E6E6E6"/>
            <w:vAlign w:val="bottom"/>
          </w:tcPr>
          <w:p w14:paraId="65E7FBED"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651" w:type="pct"/>
            <w:tcBorders>
              <w:top w:val="single" w:sz="2" w:space="0" w:color="000000"/>
              <w:bottom w:val="single" w:sz="2" w:space="0" w:color="DDDDDD"/>
            </w:tcBorders>
            <w:shd w:val="clear" w:color="auto" w:fill="E6E6E6"/>
            <w:vAlign w:val="bottom"/>
          </w:tcPr>
          <w:p w14:paraId="0FB8A55E"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Lower bound</w:t>
            </w:r>
          </w:p>
        </w:tc>
        <w:tc>
          <w:tcPr>
            <w:tcW w:w="651" w:type="pct"/>
            <w:tcBorders>
              <w:top w:val="single" w:sz="2" w:space="0" w:color="000000"/>
              <w:bottom w:val="single" w:sz="2" w:space="0" w:color="DDDDDD"/>
            </w:tcBorders>
            <w:shd w:val="clear" w:color="auto" w:fill="E6E6E6"/>
            <w:vAlign w:val="bottom"/>
          </w:tcPr>
          <w:p w14:paraId="39ACBAB3"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Upper bound</w:t>
            </w:r>
          </w:p>
        </w:tc>
        <w:tc>
          <w:tcPr>
            <w:tcW w:w="869" w:type="pct"/>
            <w:vMerge/>
            <w:tcBorders>
              <w:top w:val="single" w:sz="2" w:space="0" w:color="000000"/>
              <w:bottom w:val="single" w:sz="2" w:space="0" w:color="DDDDDD"/>
            </w:tcBorders>
            <w:shd w:val="clear" w:color="auto" w:fill="E6E6E6"/>
            <w:vAlign w:val="bottom"/>
          </w:tcPr>
          <w:p w14:paraId="32833DAB"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933" w:type="pct"/>
            <w:vMerge/>
            <w:tcBorders>
              <w:top w:val="single" w:sz="2" w:space="0" w:color="000000"/>
              <w:bottom w:val="single" w:sz="2" w:space="0" w:color="DDDDDD"/>
            </w:tcBorders>
            <w:shd w:val="clear" w:color="auto" w:fill="E6E6E6"/>
            <w:vAlign w:val="bottom"/>
          </w:tcPr>
          <w:p w14:paraId="6FE19E63"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r>
      <w:tr w:rsidR="002750E1" w:rsidRPr="002750E1" w14:paraId="06CEEACB" w14:textId="77777777" w:rsidTr="0042228A">
        <w:trPr>
          <w:cantSplit/>
        </w:trPr>
        <w:tc>
          <w:tcPr>
            <w:tcW w:w="1245" w:type="pct"/>
            <w:shd w:val="clear" w:color="auto" w:fill="FFFFFF"/>
          </w:tcPr>
          <w:p w14:paraId="600FE2C4"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Annual incidence of initial and recurrent HZ (per person-year)</w:t>
            </w:r>
            <w:r w:rsidRPr="003A1943">
              <w:rPr>
                <w:rFonts w:ascii="Times New Roman" w:eastAsia="Times New Roman" w:hAnsi="Times New Roman" w:cs="Times New Roman"/>
                <w:sz w:val="24"/>
                <w:szCs w:val="24"/>
                <w:vertAlign w:val="superscript"/>
              </w:rPr>
              <w:t>†,‡</w:t>
            </w:r>
          </w:p>
        </w:tc>
        <w:tc>
          <w:tcPr>
            <w:tcW w:w="651" w:type="pct"/>
            <w:shd w:val="clear" w:color="auto" w:fill="FFFFFF"/>
          </w:tcPr>
          <w:p w14:paraId="5C7B5DE8"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0.06</w:t>
            </w:r>
          </w:p>
        </w:tc>
        <w:tc>
          <w:tcPr>
            <w:tcW w:w="651" w:type="pct"/>
            <w:shd w:val="clear" w:color="auto" w:fill="FFFFFF"/>
          </w:tcPr>
          <w:p w14:paraId="03CE6BEB"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0.04</w:t>
            </w:r>
          </w:p>
        </w:tc>
        <w:tc>
          <w:tcPr>
            <w:tcW w:w="651" w:type="pct"/>
            <w:shd w:val="clear" w:color="auto" w:fill="FFFFFF"/>
          </w:tcPr>
          <w:p w14:paraId="210ED9A9"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0.08</w:t>
            </w:r>
          </w:p>
        </w:tc>
        <w:tc>
          <w:tcPr>
            <w:tcW w:w="869" w:type="pct"/>
            <w:shd w:val="clear" w:color="auto" w:fill="FFFFFF"/>
          </w:tcPr>
          <w:p w14:paraId="51C0E037" w14:textId="42D69A79"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Sahoo et al.</w:t>
            </w:r>
            <w:r w:rsidR="0013159D">
              <w:rPr>
                <w:rFonts w:ascii="Times New Roman" w:eastAsia="Times New Roman" w:hAnsi="Times New Roman" w:cs="Times New Roman"/>
                <w:noProof/>
                <w:sz w:val="24"/>
                <w:szCs w:val="24"/>
                <w:vertAlign w:val="superscript"/>
              </w:rPr>
              <w:t>23</w:t>
            </w:r>
          </w:p>
        </w:tc>
        <w:tc>
          <w:tcPr>
            <w:tcW w:w="933" w:type="pct"/>
            <w:shd w:val="clear" w:color="auto" w:fill="FFFFFF"/>
          </w:tcPr>
          <w:p w14:paraId="6F66842E" w14:textId="3DF0DCF0" w:rsidR="002750E1" w:rsidRPr="002750E1" w:rsidRDefault="002750E1" w:rsidP="002750E1">
            <w:pPr>
              <w:spacing w:before="2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Chen et al.</w:t>
            </w:r>
            <w:r w:rsidR="00A859ED">
              <w:rPr>
                <w:rFonts w:ascii="Times New Roman" w:eastAsia="Times New Roman" w:hAnsi="Times New Roman" w:cs="Times New Roman"/>
                <w:noProof/>
                <w:sz w:val="24"/>
                <w:szCs w:val="24"/>
                <w:vertAlign w:val="superscript"/>
              </w:rPr>
              <w:t>17</w:t>
            </w:r>
          </w:p>
          <w:p w14:paraId="4AE9CF9F" w14:textId="5C58B9E1" w:rsidR="002750E1" w:rsidRPr="002750E1"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Sahoo et al.</w:t>
            </w:r>
            <w:r w:rsidR="0013159D">
              <w:rPr>
                <w:rFonts w:ascii="Times New Roman" w:eastAsia="Times New Roman" w:hAnsi="Times New Roman" w:cs="Times New Roman"/>
                <w:noProof/>
                <w:sz w:val="24"/>
                <w:szCs w:val="24"/>
                <w:vertAlign w:val="superscript"/>
              </w:rPr>
              <w:t>23</w:t>
            </w:r>
            <w:r w:rsidRPr="003A1943">
              <w:rPr>
                <w:rFonts w:ascii="Times New Roman" w:eastAsia="Times New Roman" w:hAnsi="Times New Roman" w:cs="Times New Roman"/>
                <w:sz w:val="24"/>
                <w:szCs w:val="24"/>
                <w:vertAlign w:val="superscript"/>
              </w:rPr>
              <w:t>§</w:t>
            </w:r>
          </w:p>
        </w:tc>
      </w:tr>
      <w:tr w:rsidR="002750E1" w:rsidRPr="002750E1" w14:paraId="178BFD95" w14:textId="77777777" w:rsidTr="0042228A">
        <w:trPr>
          <w:cantSplit/>
        </w:trPr>
        <w:tc>
          <w:tcPr>
            <w:tcW w:w="1245" w:type="pct"/>
            <w:shd w:val="clear" w:color="auto" w:fill="FFFFFF"/>
          </w:tcPr>
          <w:p w14:paraId="4B123407"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Percentage of initial and recurrent HZ cases with PHN</w:t>
            </w:r>
            <w:r w:rsidRPr="003A1943">
              <w:rPr>
                <w:rFonts w:ascii="Times New Roman" w:eastAsia="Times New Roman" w:hAnsi="Times New Roman" w:cs="Times New Roman"/>
                <w:sz w:val="24"/>
                <w:szCs w:val="24"/>
                <w:vertAlign w:val="superscript"/>
              </w:rPr>
              <w:t>†</w:t>
            </w:r>
          </w:p>
        </w:tc>
        <w:tc>
          <w:tcPr>
            <w:tcW w:w="651" w:type="pct"/>
            <w:shd w:val="clear" w:color="auto" w:fill="FFFFFF"/>
          </w:tcPr>
          <w:p w14:paraId="1462D8EC"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12.9%</w:t>
            </w:r>
          </w:p>
        </w:tc>
        <w:tc>
          <w:tcPr>
            <w:tcW w:w="651" w:type="pct"/>
            <w:shd w:val="clear" w:color="auto" w:fill="FFFFFF"/>
          </w:tcPr>
          <w:p w14:paraId="2F288A2F"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8.5%</w:t>
            </w:r>
          </w:p>
        </w:tc>
        <w:tc>
          <w:tcPr>
            <w:tcW w:w="651" w:type="pct"/>
            <w:shd w:val="clear" w:color="auto" w:fill="FFFFFF"/>
          </w:tcPr>
          <w:p w14:paraId="414A0C9C"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17.3%</w:t>
            </w:r>
          </w:p>
        </w:tc>
        <w:tc>
          <w:tcPr>
            <w:tcW w:w="869" w:type="pct"/>
            <w:shd w:val="clear" w:color="auto" w:fill="FFFFFF"/>
          </w:tcPr>
          <w:p w14:paraId="50D286DA" w14:textId="52DFCCA5" w:rsidR="002750E1" w:rsidRPr="002750E1"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Sahoo et al.</w:t>
            </w:r>
            <w:r w:rsidR="0013159D">
              <w:rPr>
                <w:rFonts w:ascii="Times New Roman" w:eastAsia="Times New Roman" w:hAnsi="Times New Roman" w:cs="Times New Roman"/>
                <w:noProof/>
                <w:sz w:val="24"/>
                <w:szCs w:val="24"/>
                <w:vertAlign w:val="superscript"/>
              </w:rPr>
              <w:t>23</w:t>
            </w:r>
            <w:r w:rsidRPr="003A1943">
              <w:rPr>
                <w:rFonts w:ascii="Times New Roman" w:eastAsia="Times New Roman" w:hAnsi="Times New Roman" w:cs="Times New Roman"/>
                <w:sz w:val="24"/>
                <w:szCs w:val="24"/>
                <w:vertAlign w:val="superscript"/>
              </w:rPr>
              <w:t>§</w:t>
            </w:r>
          </w:p>
        </w:tc>
        <w:tc>
          <w:tcPr>
            <w:tcW w:w="933" w:type="pct"/>
            <w:shd w:val="clear" w:color="auto" w:fill="FFFFFF"/>
          </w:tcPr>
          <w:p w14:paraId="378C2C4B" w14:textId="6EBAC2F6" w:rsidR="002750E1" w:rsidRPr="002750E1"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Sahoo et al.</w:t>
            </w:r>
            <w:r w:rsidR="0013159D">
              <w:rPr>
                <w:rFonts w:ascii="Times New Roman" w:eastAsia="Times New Roman" w:hAnsi="Times New Roman" w:cs="Times New Roman"/>
                <w:noProof/>
                <w:sz w:val="24"/>
                <w:szCs w:val="24"/>
                <w:vertAlign w:val="superscript"/>
              </w:rPr>
              <w:t>23</w:t>
            </w:r>
            <w:r w:rsidRPr="003A1943">
              <w:rPr>
                <w:rFonts w:ascii="Times New Roman" w:eastAsia="Times New Roman" w:hAnsi="Times New Roman" w:cs="Times New Roman"/>
                <w:sz w:val="24"/>
                <w:szCs w:val="24"/>
                <w:vertAlign w:val="superscript"/>
              </w:rPr>
              <w:t>§</w:t>
            </w:r>
          </w:p>
        </w:tc>
      </w:tr>
      <w:tr w:rsidR="002750E1" w:rsidRPr="002750E1" w14:paraId="7A005A04" w14:textId="77777777" w:rsidTr="0042228A">
        <w:trPr>
          <w:cantSplit/>
        </w:trPr>
        <w:tc>
          <w:tcPr>
            <w:tcW w:w="1245" w:type="pct"/>
            <w:shd w:val="clear" w:color="auto" w:fill="FFFFFF"/>
          </w:tcPr>
          <w:p w14:paraId="708C09C7"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Case fatality rates for HZ cases</w:t>
            </w:r>
          </w:p>
        </w:tc>
        <w:tc>
          <w:tcPr>
            <w:tcW w:w="651" w:type="pct"/>
            <w:shd w:val="clear" w:color="auto" w:fill="FFFFFF"/>
          </w:tcPr>
          <w:p w14:paraId="47601087"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651" w:type="pct"/>
            <w:shd w:val="clear" w:color="auto" w:fill="FFFFFF"/>
          </w:tcPr>
          <w:p w14:paraId="4B66E0FC"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651" w:type="pct"/>
            <w:shd w:val="clear" w:color="auto" w:fill="FFFFFF"/>
          </w:tcPr>
          <w:p w14:paraId="44D20A80"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869" w:type="pct"/>
            <w:shd w:val="clear" w:color="auto" w:fill="FFFFFF"/>
          </w:tcPr>
          <w:p w14:paraId="48E99A01"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vertAlign w:val="superscript"/>
              </w:rPr>
            </w:pPr>
          </w:p>
        </w:tc>
        <w:tc>
          <w:tcPr>
            <w:tcW w:w="933" w:type="pct"/>
            <w:shd w:val="clear" w:color="auto" w:fill="FFFFFF"/>
          </w:tcPr>
          <w:p w14:paraId="44C5F978"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vertAlign w:val="superscript"/>
              </w:rPr>
            </w:pPr>
          </w:p>
        </w:tc>
      </w:tr>
      <w:tr w:rsidR="002750E1" w:rsidRPr="002750E1" w14:paraId="059866B4" w14:textId="77777777" w:rsidTr="0042228A">
        <w:trPr>
          <w:cantSplit/>
        </w:trPr>
        <w:tc>
          <w:tcPr>
            <w:tcW w:w="1245" w:type="pct"/>
            <w:shd w:val="clear" w:color="auto" w:fill="FFFFFF"/>
          </w:tcPr>
          <w:p w14:paraId="7A8A3B18" w14:textId="0DD63C39"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Ages 18</w:t>
            </w:r>
            <w:r w:rsidR="007C4381">
              <w:rPr>
                <w:rFonts w:ascii="Times New Roman" w:eastAsia="Times New Roman" w:hAnsi="Times New Roman" w:cs="Times New Roman"/>
                <w:sz w:val="24"/>
                <w:szCs w:val="24"/>
              </w:rPr>
              <w:t>–</w:t>
            </w:r>
            <w:r w:rsidRPr="002750E1">
              <w:rPr>
                <w:rFonts w:ascii="Times New Roman" w:eastAsia="Times New Roman" w:hAnsi="Times New Roman" w:cs="Times New Roman"/>
                <w:sz w:val="24"/>
                <w:szCs w:val="24"/>
              </w:rPr>
              <w:t>49 years</w:t>
            </w:r>
          </w:p>
        </w:tc>
        <w:tc>
          <w:tcPr>
            <w:tcW w:w="651" w:type="pct"/>
            <w:shd w:val="clear" w:color="auto" w:fill="FFFFFF"/>
          </w:tcPr>
          <w:p w14:paraId="2409FA70"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0.0000%</w:t>
            </w:r>
          </w:p>
        </w:tc>
        <w:tc>
          <w:tcPr>
            <w:tcW w:w="651" w:type="pct"/>
            <w:shd w:val="clear" w:color="auto" w:fill="FFFFFF"/>
          </w:tcPr>
          <w:p w14:paraId="2DD951C3"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0.0000%</w:t>
            </w:r>
          </w:p>
        </w:tc>
        <w:tc>
          <w:tcPr>
            <w:tcW w:w="651" w:type="pct"/>
            <w:shd w:val="clear" w:color="auto" w:fill="FFFFFF"/>
          </w:tcPr>
          <w:p w14:paraId="05226CBA"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0.0013%</w:t>
            </w:r>
          </w:p>
        </w:tc>
        <w:tc>
          <w:tcPr>
            <w:tcW w:w="869" w:type="pct"/>
            <w:vMerge w:val="restart"/>
            <w:shd w:val="clear" w:color="auto" w:fill="FFFFFF"/>
          </w:tcPr>
          <w:p w14:paraId="14B1C89B" w14:textId="72CA1BA8"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 xml:space="preserve">Assumption; </w:t>
            </w:r>
            <w:r w:rsidRPr="002750E1">
              <w:rPr>
                <w:rFonts w:ascii="Times New Roman" w:eastAsia="Times New Roman" w:hAnsi="Times New Roman" w:cs="Times New Roman"/>
                <w:noProof/>
                <w:sz w:val="24"/>
                <w:szCs w:val="24"/>
              </w:rPr>
              <w:t>Le and Rothberg</w:t>
            </w:r>
            <w:r w:rsidRPr="002750E1">
              <w:rPr>
                <w:rFonts w:ascii="Times New Roman" w:eastAsia="Times New Roman" w:hAnsi="Times New Roman" w:cs="Times New Roman"/>
                <w:noProof/>
                <w:sz w:val="24"/>
                <w:szCs w:val="24"/>
                <w:vertAlign w:val="superscript"/>
              </w:rPr>
              <w:t>3</w:t>
            </w:r>
            <w:r w:rsidR="008E638D">
              <w:rPr>
                <w:rFonts w:ascii="Times New Roman" w:eastAsia="Times New Roman" w:hAnsi="Times New Roman" w:cs="Times New Roman"/>
                <w:noProof/>
                <w:sz w:val="24"/>
                <w:szCs w:val="24"/>
                <w:vertAlign w:val="superscript"/>
              </w:rPr>
              <w:t>7</w:t>
            </w:r>
            <w:r w:rsidRPr="003A1943">
              <w:rPr>
                <w:rFonts w:ascii="Times New Roman" w:eastAsia="Times New Roman" w:hAnsi="Times New Roman" w:cs="Times New Roman"/>
                <w:sz w:val="24"/>
                <w:szCs w:val="24"/>
                <w:vertAlign w:val="superscript"/>
              </w:rPr>
              <w:t>||</w:t>
            </w:r>
          </w:p>
        </w:tc>
        <w:tc>
          <w:tcPr>
            <w:tcW w:w="933" w:type="pct"/>
            <w:vMerge w:val="restart"/>
            <w:shd w:val="clear" w:color="auto" w:fill="FFFFFF"/>
          </w:tcPr>
          <w:p w14:paraId="03699C28" w14:textId="4E93EB13"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noProof/>
                <w:sz w:val="24"/>
                <w:szCs w:val="24"/>
              </w:rPr>
              <w:t>Le and Rothberg</w:t>
            </w:r>
            <w:r w:rsidRPr="002750E1">
              <w:rPr>
                <w:rFonts w:ascii="Times New Roman" w:eastAsia="Times New Roman" w:hAnsi="Times New Roman" w:cs="Times New Roman"/>
                <w:noProof/>
                <w:sz w:val="24"/>
                <w:szCs w:val="24"/>
                <w:vertAlign w:val="superscript"/>
              </w:rPr>
              <w:t>3</w:t>
            </w:r>
            <w:r w:rsidR="008E638D">
              <w:rPr>
                <w:rFonts w:ascii="Times New Roman" w:eastAsia="Times New Roman" w:hAnsi="Times New Roman" w:cs="Times New Roman"/>
                <w:noProof/>
                <w:sz w:val="24"/>
                <w:szCs w:val="24"/>
                <w:vertAlign w:val="superscript"/>
              </w:rPr>
              <w:t>7</w:t>
            </w:r>
            <w:r w:rsidRPr="003A1943">
              <w:rPr>
                <w:rFonts w:ascii="Times New Roman" w:eastAsia="Times New Roman" w:hAnsi="Times New Roman" w:cs="Times New Roman"/>
                <w:sz w:val="24"/>
                <w:szCs w:val="24"/>
                <w:vertAlign w:val="superscript"/>
              </w:rPr>
              <w:t>||</w:t>
            </w:r>
          </w:p>
        </w:tc>
      </w:tr>
      <w:tr w:rsidR="002750E1" w:rsidRPr="002750E1" w14:paraId="2A929C65" w14:textId="77777777" w:rsidTr="0042228A">
        <w:trPr>
          <w:cantSplit/>
        </w:trPr>
        <w:tc>
          <w:tcPr>
            <w:tcW w:w="1245" w:type="pct"/>
            <w:shd w:val="clear" w:color="auto" w:fill="FFFFFF"/>
          </w:tcPr>
          <w:p w14:paraId="42A8B566" w14:textId="3DDB7B60"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Ages 50</w:t>
            </w:r>
            <w:r w:rsidR="007C4381">
              <w:rPr>
                <w:rFonts w:ascii="Times New Roman" w:eastAsia="Times New Roman" w:hAnsi="Times New Roman" w:cs="Times New Roman"/>
                <w:sz w:val="24"/>
                <w:szCs w:val="24"/>
              </w:rPr>
              <w:t>–</w:t>
            </w:r>
            <w:r w:rsidRPr="002750E1">
              <w:rPr>
                <w:rFonts w:ascii="Times New Roman" w:eastAsia="Times New Roman" w:hAnsi="Times New Roman" w:cs="Times New Roman"/>
                <w:sz w:val="24"/>
                <w:szCs w:val="24"/>
              </w:rPr>
              <w:t>54 years</w:t>
            </w:r>
          </w:p>
        </w:tc>
        <w:tc>
          <w:tcPr>
            <w:tcW w:w="651" w:type="pct"/>
            <w:shd w:val="clear" w:color="auto" w:fill="FFFFFF"/>
          </w:tcPr>
          <w:p w14:paraId="5D43D1C2"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0.0013%</w:t>
            </w:r>
          </w:p>
        </w:tc>
        <w:tc>
          <w:tcPr>
            <w:tcW w:w="651" w:type="pct"/>
            <w:shd w:val="clear" w:color="auto" w:fill="FFFFFF"/>
          </w:tcPr>
          <w:p w14:paraId="0DD2F92A"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0.0009%</w:t>
            </w:r>
          </w:p>
        </w:tc>
        <w:tc>
          <w:tcPr>
            <w:tcW w:w="651" w:type="pct"/>
            <w:shd w:val="clear" w:color="auto" w:fill="FFFFFF"/>
          </w:tcPr>
          <w:p w14:paraId="71AD7322"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0.0017%</w:t>
            </w:r>
          </w:p>
        </w:tc>
        <w:tc>
          <w:tcPr>
            <w:tcW w:w="869" w:type="pct"/>
            <w:vMerge/>
            <w:shd w:val="clear" w:color="auto" w:fill="FFFFFF"/>
          </w:tcPr>
          <w:p w14:paraId="2626C601"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933" w:type="pct"/>
            <w:vMerge/>
            <w:shd w:val="clear" w:color="auto" w:fill="FFFFFF"/>
          </w:tcPr>
          <w:p w14:paraId="3886E882"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2750E1" w:rsidRPr="002750E1" w14:paraId="34623A7E" w14:textId="77777777" w:rsidTr="0042228A">
        <w:trPr>
          <w:cantSplit/>
        </w:trPr>
        <w:tc>
          <w:tcPr>
            <w:tcW w:w="1245" w:type="pct"/>
            <w:shd w:val="clear" w:color="auto" w:fill="FFFFFF"/>
          </w:tcPr>
          <w:p w14:paraId="55868803" w14:textId="2818D95C"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Ages 55</w:t>
            </w:r>
            <w:r w:rsidR="007C4381">
              <w:rPr>
                <w:rFonts w:ascii="Times New Roman" w:eastAsia="Times New Roman" w:hAnsi="Times New Roman" w:cs="Times New Roman"/>
                <w:sz w:val="24"/>
                <w:szCs w:val="24"/>
              </w:rPr>
              <w:t>–</w:t>
            </w:r>
            <w:r w:rsidRPr="002750E1">
              <w:rPr>
                <w:rFonts w:ascii="Times New Roman" w:eastAsia="Times New Roman" w:hAnsi="Times New Roman" w:cs="Times New Roman"/>
                <w:sz w:val="24"/>
                <w:szCs w:val="24"/>
              </w:rPr>
              <w:t>59 years</w:t>
            </w:r>
          </w:p>
        </w:tc>
        <w:tc>
          <w:tcPr>
            <w:tcW w:w="651" w:type="pct"/>
            <w:shd w:val="clear" w:color="auto" w:fill="FFFFFF"/>
          </w:tcPr>
          <w:p w14:paraId="251CB335"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0.0013%</w:t>
            </w:r>
          </w:p>
        </w:tc>
        <w:tc>
          <w:tcPr>
            <w:tcW w:w="651" w:type="pct"/>
            <w:shd w:val="clear" w:color="auto" w:fill="FFFFFF"/>
          </w:tcPr>
          <w:p w14:paraId="5913C31B"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0.0009%</w:t>
            </w:r>
          </w:p>
        </w:tc>
        <w:tc>
          <w:tcPr>
            <w:tcW w:w="651" w:type="pct"/>
            <w:shd w:val="clear" w:color="auto" w:fill="FFFFFF"/>
          </w:tcPr>
          <w:p w14:paraId="6630CE41"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0.0017%</w:t>
            </w:r>
          </w:p>
        </w:tc>
        <w:tc>
          <w:tcPr>
            <w:tcW w:w="869" w:type="pct"/>
            <w:vMerge/>
            <w:shd w:val="clear" w:color="auto" w:fill="FFFFFF"/>
          </w:tcPr>
          <w:p w14:paraId="79657F95"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933" w:type="pct"/>
            <w:vMerge/>
            <w:shd w:val="clear" w:color="auto" w:fill="FFFFFF"/>
          </w:tcPr>
          <w:p w14:paraId="45DC6D84"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2750E1" w:rsidRPr="002750E1" w14:paraId="3264F15E" w14:textId="77777777" w:rsidTr="0042228A">
        <w:trPr>
          <w:cantSplit/>
        </w:trPr>
        <w:tc>
          <w:tcPr>
            <w:tcW w:w="1245" w:type="pct"/>
            <w:shd w:val="clear" w:color="auto" w:fill="FFFFFF"/>
          </w:tcPr>
          <w:p w14:paraId="376ACFF0" w14:textId="5C575CD6"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Ages 60</w:t>
            </w:r>
            <w:r w:rsidR="007C4381">
              <w:rPr>
                <w:rFonts w:ascii="Times New Roman" w:eastAsia="Times New Roman" w:hAnsi="Times New Roman" w:cs="Times New Roman"/>
                <w:sz w:val="24"/>
                <w:szCs w:val="24"/>
              </w:rPr>
              <w:t>–</w:t>
            </w:r>
            <w:r w:rsidRPr="002750E1">
              <w:rPr>
                <w:rFonts w:ascii="Times New Roman" w:eastAsia="Times New Roman" w:hAnsi="Times New Roman" w:cs="Times New Roman"/>
                <w:sz w:val="24"/>
                <w:szCs w:val="24"/>
              </w:rPr>
              <w:t>64 years</w:t>
            </w:r>
          </w:p>
        </w:tc>
        <w:tc>
          <w:tcPr>
            <w:tcW w:w="651" w:type="pct"/>
            <w:shd w:val="clear" w:color="auto" w:fill="FFFFFF"/>
          </w:tcPr>
          <w:p w14:paraId="17B7EDB3"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0.0022%</w:t>
            </w:r>
          </w:p>
        </w:tc>
        <w:tc>
          <w:tcPr>
            <w:tcW w:w="651" w:type="pct"/>
            <w:shd w:val="clear" w:color="auto" w:fill="FFFFFF"/>
          </w:tcPr>
          <w:p w14:paraId="0626B8C2"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0.0017%</w:t>
            </w:r>
          </w:p>
        </w:tc>
        <w:tc>
          <w:tcPr>
            <w:tcW w:w="651" w:type="pct"/>
            <w:shd w:val="clear" w:color="auto" w:fill="FFFFFF"/>
          </w:tcPr>
          <w:p w14:paraId="168A9DF5"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0.0027%</w:t>
            </w:r>
          </w:p>
        </w:tc>
        <w:tc>
          <w:tcPr>
            <w:tcW w:w="869" w:type="pct"/>
            <w:vMerge/>
            <w:shd w:val="clear" w:color="auto" w:fill="FFFFFF"/>
          </w:tcPr>
          <w:p w14:paraId="5EDA6B50"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933" w:type="pct"/>
            <w:vMerge/>
            <w:shd w:val="clear" w:color="auto" w:fill="FFFFFF"/>
          </w:tcPr>
          <w:p w14:paraId="7C53B573"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2750E1" w:rsidRPr="002750E1" w14:paraId="644CAFEA" w14:textId="77777777" w:rsidTr="0042228A">
        <w:trPr>
          <w:cantSplit/>
        </w:trPr>
        <w:tc>
          <w:tcPr>
            <w:tcW w:w="1245" w:type="pct"/>
            <w:shd w:val="clear" w:color="auto" w:fill="FFFFFF"/>
          </w:tcPr>
          <w:p w14:paraId="658C6EE6" w14:textId="1E916359"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Ages 64</w:t>
            </w:r>
            <w:r w:rsidR="007C4381">
              <w:rPr>
                <w:rFonts w:ascii="Times New Roman" w:eastAsia="Times New Roman" w:hAnsi="Times New Roman" w:cs="Times New Roman"/>
                <w:sz w:val="24"/>
                <w:szCs w:val="24"/>
              </w:rPr>
              <w:t>–</w:t>
            </w:r>
            <w:r w:rsidRPr="002750E1">
              <w:rPr>
                <w:rFonts w:ascii="Times New Roman" w:eastAsia="Times New Roman" w:hAnsi="Times New Roman" w:cs="Times New Roman"/>
                <w:sz w:val="24"/>
                <w:szCs w:val="24"/>
              </w:rPr>
              <w:t>69 years</w:t>
            </w:r>
          </w:p>
        </w:tc>
        <w:tc>
          <w:tcPr>
            <w:tcW w:w="651" w:type="pct"/>
            <w:shd w:val="clear" w:color="auto" w:fill="FFFFFF"/>
          </w:tcPr>
          <w:p w14:paraId="57875FE5"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0.0022%</w:t>
            </w:r>
          </w:p>
        </w:tc>
        <w:tc>
          <w:tcPr>
            <w:tcW w:w="651" w:type="pct"/>
            <w:shd w:val="clear" w:color="auto" w:fill="FFFFFF"/>
          </w:tcPr>
          <w:p w14:paraId="7F76B512"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0.0017%</w:t>
            </w:r>
          </w:p>
        </w:tc>
        <w:tc>
          <w:tcPr>
            <w:tcW w:w="651" w:type="pct"/>
            <w:shd w:val="clear" w:color="auto" w:fill="FFFFFF"/>
          </w:tcPr>
          <w:p w14:paraId="080D6E6D"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0.0027%</w:t>
            </w:r>
          </w:p>
        </w:tc>
        <w:tc>
          <w:tcPr>
            <w:tcW w:w="869" w:type="pct"/>
            <w:vMerge/>
            <w:shd w:val="clear" w:color="auto" w:fill="FFFFFF"/>
          </w:tcPr>
          <w:p w14:paraId="0651FAE2"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933" w:type="pct"/>
            <w:vMerge/>
            <w:shd w:val="clear" w:color="auto" w:fill="FFFFFF"/>
          </w:tcPr>
          <w:p w14:paraId="121254D2"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2750E1" w:rsidRPr="002750E1" w14:paraId="213845B4" w14:textId="77777777" w:rsidTr="0042228A">
        <w:trPr>
          <w:cantSplit/>
        </w:trPr>
        <w:tc>
          <w:tcPr>
            <w:tcW w:w="1245" w:type="pct"/>
            <w:shd w:val="clear" w:color="auto" w:fill="FFFFFF"/>
          </w:tcPr>
          <w:p w14:paraId="6D05839D" w14:textId="4A9D0C7F"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Ages 70</w:t>
            </w:r>
            <w:r w:rsidR="007C4381">
              <w:rPr>
                <w:rFonts w:ascii="Times New Roman" w:eastAsia="Times New Roman" w:hAnsi="Times New Roman" w:cs="Times New Roman"/>
                <w:sz w:val="24"/>
                <w:szCs w:val="24"/>
              </w:rPr>
              <w:t>–</w:t>
            </w:r>
            <w:r w:rsidRPr="002750E1">
              <w:rPr>
                <w:rFonts w:ascii="Times New Roman" w:eastAsia="Times New Roman" w:hAnsi="Times New Roman" w:cs="Times New Roman"/>
                <w:sz w:val="24"/>
                <w:szCs w:val="24"/>
              </w:rPr>
              <w:t>74 years</w:t>
            </w:r>
          </w:p>
        </w:tc>
        <w:tc>
          <w:tcPr>
            <w:tcW w:w="651" w:type="pct"/>
            <w:shd w:val="clear" w:color="auto" w:fill="FFFFFF"/>
          </w:tcPr>
          <w:p w14:paraId="0797158D"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0.0062%</w:t>
            </w:r>
          </w:p>
        </w:tc>
        <w:tc>
          <w:tcPr>
            <w:tcW w:w="651" w:type="pct"/>
            <w:shd w:val="clear" w:color="auto" w:fill="FFFFFF"/>
          </w:tcPr>
          <w:p w14:paraId="4A226AE9"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0.0053%</w:t>
            </w:r>
          </w:p>
        </w:tc>
        <w:tc>
          <w:tcPr>
            <w:tcW w:w="651" w:type="pct"/>
            <w:shd w:val="clear" w:color="auto" w:fill="FFFFFF"/>
          </w:tcPr>
          <w:p w14:paraId="256C3853"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0.0070%</w:t>
            </w:r>
          </w:p>
        </w:tc>
        <w:tc>
          <w:tcPr>
            <w:tcW w:w="869" w:type="pct"/>
            <w:vMerge/>
            <w:shd w:val="clear" w:color="auto" w:fill="FFFFFF"/>
          </w:tcPr>
          <w:p w14:paraId="43B98D29"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933" w:type="pct"/>
            <w:vMerge/>
            <w:shd w:val="clear" w:color="auto" w:fill="FFFFFF"/>
          </w:tcPr>
          <w:p w14:paraId="406942E6"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2750E1" w:rsidRPr="002750E1" w14:paraId="09AB318A" w14:textId="77777777" w:rsidTr="0042228A">
        <w:trPr>
          <w:cantSplit/>
        </w:trPr>
        <w:tc>
          <w:tcPr>
            <w:tcW w:w="1245" w:type="pct"/>
            <w:shd w:val="clear" w:color="auto" w:fill="FFFFFF"/>
          </w:tcPr>
          <w:p w14:paraId="06D6BD32" w14:textId="05F542B3"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Ages 75</w:t>
            </w:r>
            <w:r w:rsidR="007C4381">
              <w:rPr>
                <w:rFonts w:ascii="Times New Roman" w:eastAsia="Times New Roman" w:hAnsi="Times New Roman" w:cs="Times New Roman"/>
                <w:sz w:val="24"/>
                <w:szCs w:val="24"/>
              </w:rPr>
              <w:t>–</w:t>
            </w:r>
            <w:r w:rsidRPr="002750E1">
              <w:rPr>
                <w:rFonts w:ascii="Times New Roman" w:eastAsia="Times New Roman" w:hAnsi="Times New Roman" w:cs="Times New Roman"/>
                <w:sz w:val="24"/>
                <w:szCs w:val="24"/>
              </w:rPr>
              <w:t>79 years</w:t>
            </w:r>
          </w:p>
        </w:tc>
        <w:tc>
          <w:tcPr>
            <w:tcW w:w="651" w:type="pct"/>
            <w:shd w:val="clear" w:color="auto" w:fill="FFFFFF"/>
          </w:tcPr>
          <w:p w14:paraId="7724E07B"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0.0062%</w:t>
            </w:r>
          </w:p>
        </w:tc>
        <w:tc>
          <w:tcPr>
            <w:tcW w:w="651" w:type="pct"/>
            <w:shd w:val="clear" w:color="auto" w:fill="FFFFFF"/>
          </w:tcPr>
          <w:p w14:paraId="5CC4CD29"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0.0053%</w:t>
            </w:r>
          </w:p>
        </w:tc>
        <w:tc>
          <w:tcPr>
            <w:tcW w:w="651" w:type="pct"/>
            <w:shd w:val="clear" w:color="auto" w:fill="FFFFFF"/>
          </w:tcPr>
          <w:p w14:paraId="04FF8F1D"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0.0070%</w:t>
            </w:r>
          </w:p>
        </w:tc>
        <w:tc>
          <w:tcPr>
            <w:tcW w:w="869" w:type="pct"/>
            <w:vMerge/>
            <w:shd w:val="clear" w:color="auto" w:fill="FFFFFF"/>
          </w:tcPr>
          <w:p w14:paraId="5B22109E"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933" w:type="pct"/>
            <w:vMerge/>
            <w:shd w:val="clear" w:color="auto" w:fill="FFFFFF"/>
          </w:tcPr>
          <w:p w14:paraId="44E4695F"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2750E1" w:rsidRPr="002750E1" w14:paraId="2D93A511" w14:textId="77777777" w:rsidTr="0042228A">
        <w:trPr>
          <w:cantSplit/>
        </w:trPr>
        <w:tc>
          <w:tcPr>
            <w:tcW w:w="1245" w:type="pct"/>
            <w:shd w:val="clear" w:color="auto" w:fill="FFFFFF"/>
          </w:tcPr>
          <w:p w14:paraId="07982E50" w14:textId="2D0C8959"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Ages 80</w:t>
            </w:r>
            <w:r w:rsidR="007C4381">
              <w:rPr>
                <w:rFonts w:ascii="Times New Roman" w:eastAsia="Times New Roman" w:hAnsi="Times New Roman" w:cs="Times New Roman"/>
                <w:sz w:val="24"/>
                <w:szCs w:val="24"/>
              </w:rPr>
              <w:t>–</w:t>
            </w:r>
            <w:r w:rsidRPr="002750E1">
              <w:rPr>
                <w:rFonts w:ascii="Times New Roman" w:eastAsia="Times New Roman" w:hAnsi="Times New Roman" w:cs="Times New Roman"/>
                <w:sz w:val="24"/>
                <w:szCs w:val="24"/>
              </w:rPr>
              <w:t>84 years</w:t>
            </w:r>
          </w:p>
        </w:tc>
        <w:tc>
          <w:tcPr>
            <w:tcW w:w="651" w:type="pct"/>
            <w:shd w:val="clear" w:color="auto" w:fill="FFFFFF"/>
          </w:tcPr>
          <w:p w14:paraId="743568DC"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0.0240%</w:t>
            </w:r>
          </w:p>
        </w:tc>
        <w:tc>
          <w:tcPr>
            <w:tcW w:w="651" w:type="pct"/>
            <w:shd w:val="clear" w:color="auto" w:fill="FFFFFF"/>
          </w:tcPr>
          <w:p w14:paraId="4004A9CC"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0.0219%</w:t>
            </w:r>
          </w:p>
        </w:tc>
        <w:tc>
          <w:tcPr>
            <w:tcW w:w="651" w:type="pct"/>
            <w:shd w:val="clear" w:color="auto" w:fill="FFFFFF"/>
          </w:tcPr>
          <w:p w14:paraId="0DF2C3EA"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0.0260%</w:t>
            </w:r>
          </w:p>
        </w:tc>
        <w:tc>
          <w:tcPr>
            <w:tcW w:w="869" w:type="pct"/>
            <w:vMerge/>
            <w:shd w:val="clear" w:color="auto" w:fill="FFFFFF"/>
          </w:tcPr>
          <w:p w14:paraId="3552A274"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933" w:type="pct"/>
            <w:vMerge/>
            <w:shd w:val="clear" w:color="auto" w:fill="FFFFFF"/>
          </w:tcPr>
          <w:p w14:paraId="3E2F09B1"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2750E1" w:rsidRPr="002750E1" w14:paraId="31F32870" w14:textId="77777777" w:rsidTr="0042228A">
        <w:trPr>
          <w:cantSplit/>
        </w:trPr>
        <w:tc>
          <w:tcPr>
            <w:tcW w:w="1245" w:type="pct"/>
            <w:shd w:val="clear" w:color="auto" w:fill="FFFFFF"/>
          </w:tcPr>
          <w:p w14:paraId="143047E2"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Ages 85+ years</w:t>
            </w:r>
          </w:p>
        </w:tc>
        <w:tc>
          <w:tcPr>
            <w:tcW w:w="651" w:type="pct"/>
            <w:shd w:val="clear" w:color="auto" w:fill="FFFFFF"/>
          </w:tcPr>
          <w:p w14:paraId="1B426040"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0.0734%</w:t>
            </w:r>
          </w:p>
        </w:tc>
        <w:tc>
          <w:tcPr>
            <w:tcW w:w="651" w:type="pct"/>
            <w:shd w:val="clear" w:color="auto" w:fill="FFFFFF"/>
          </w:tcPr>
          <w:p w14:paraId="5C734519"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0.0688%</w:t>
            </w:r>
          </w:p>
        </w:tc>
        <w:tc>
          <w:tcPr>
            <w:tcW w:w="651" w:type="pct"/>
            <w:shd w:val="clear" w:color="auto" w:fill="FFFFFF"/>
          </w:tcPr>
          <w:p w14:paraId="4D2EC5B8"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0.0778%</w:t>
            </w:r>
          </w:p>
        </w:tc>
        <w:tc>
          <w:tcPr>
            <w:tcW w:w="869" w:type="pct"/>
            <w:vMerge/>
            <w:shd w:val="clear" w:color="auto" w:fill="FFFFFF"/>
          </w:tcPr>
          <w:p w14:paraId="1664046E"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933" w:type="pct"/>
            <w:vMerge/>
            <w:shd w:val="clear" w:color="auto" w:fill="FFFFFF"/>
          </w:tcPr>
          <w:p w14:paraId="160AA89C"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2750E1" w:rsidRPr="002750E1" w14:paraId="6CF38AC7" w14:textId="77777777" w:rsidTr="0042228A">
        <w:trPr>
          <w:cantSplit/>
        </w:trPr>
        <w:tc>
          <w:tcPr>
            <w:tcW w:w="5000" w:type="pct"/>
            <w:gridSpan w:val="6"/>
            <w:shd w:val="clear" w:color="auto" w:fill="FFFFFF"/>
          </w:tcPr>
          <w:p w14:paraId="58631A44"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Percentage of HZ cases with HZ-related complications</w:t>
            </w:r>
            <w:r w:rsidRPr="003A1943">
              <w:rPr>
                <w:rFonts w:ascii="Times New Roman" w:eastAsia="Times New Roman" w:hAnsi="Times New Roman" w:cs="Times New Roman"/>
                <w:sz w:val="24"/>
                <w:szCs w:val="24"/>
                <w:vertAlign w:val="superscript"/>
              </w:rPr>
              <w:t>†,</w:t>
            </w:r>
            <w:r w:rsidRPr="003A1943">
              <w:rPr>
                <w:rFonts w:ascii="Times New Roman" w:eastAsia="Times New Roman" w:hAnsi="Times New Roman" w:cs="Times New Roman"/>
                <w:noProof/>
                <w:sz w:val="24"/>
                <w:szCs w:val="24"/>
                <w:vertAlign w:val="superscript"/>
              </w:rPr>
              <w:t>¶</w:t>
            </w:r>
          </w:p>
        </w:tc>
      </w:tr>
      <w:tr w:rsidR="002750E1" w:rsidRPr="002750E1" w14:paraId="2B7AA133" w14:textId="77777777" w:rsidTr="0042228A">
        <w:trPr>
          <w:cantSplit/>
        </w:trPr>
        <w:tc>
          <w:tcPr>
            <w:tcW w:w="1245" w:type="pct"/>
            <w:shd w:val="clear" w:color="auto" w:fill="FFFFFF"/>
          </w:tcPr>
          <w:p w14:paraId="561FD998"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Ocular</w:t>
            </w:r>
          </w:p>
        </w:tc>
        <w:tc>
          <w:tcPr>
            <w:tcW w:w="651" w:type="pct"/>
            <w:shd w:val="clear" w:color="auto" w:fill="FFFFFF"/>
          </w:tcPr>
          <w:p w14:paraId="1EEB8C3D"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3.6%</w:t>
            </w:r>
          </w:p>
        </w:tc>
        <w:tc>
          <w:tcPr>
            <w:tcW w:w="651" w:type="pct"/>
            <w:shd w:val="clear" w:color="auto" w:fill="FFFFFF"/>
          </w:tcPr>
          <w:p w14:paraId="4D6FC8D7"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1.1%</w:t>
            </w:r>
          </w:p>
        </w:tc>
        <w:tc>
          <w:tcPr>
            <w:tcW w:w="651" w:type="pct"/>
            <w:shd w:val="clear" w:color="auto" w:fill="FFFFFF"/>
          </w:tcPr>
          <w:p w14:paraId="5478C149"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6.0%</w:t>
            </w:r>
          </w:p>
        </w:tc>
        <w:tc>
          <w:tcPr>
            <w:tcW w:w="869" w:type="pct"/>
            <w:vMerge w:val="restart"/>
            <w:shd w:val="clear" w:color="auto" w:fill="FFFFFF"/>
          </w:tcPr>
          <w:p w14:paraId="379BFDEA" w14:textId="54FDD746" w:rsidR="002750E1" w:rsidRPr="002750E1"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Sahoo et al.</w:t>
            </w:r>
            <w:r w:rsidR="0013159D">
              <w:rPr>
                <w:rFonts w:ascii="Times New Roman" w:eastAsia="Times New Roman" w:hAnsi="Times New Roman" w:cs="Times New Roman"/>
                <w:noProof/>
                <w:sz w:val="24"/>
                <w:szCs w:val="24"/>
                <w:vertAlign w:val="superscript"/>
              </w:rPr>
              <w:t>23</w:t>
            </w:r>
            <w:r w:rsidRPr="003A1943">
              <w:rPr>
                <w:rFonts w:ascii="Times New Roman" w:eastAsia="Times New Roman" w:hAnsi="Times New Roman" w:cs="Times New Roman"/>
                <w:noProof/>
                <w:sz w:val="24"/>
                <w:szCs w:val="24"/>
                <w:vertAlign w:val="superscript"/>
              </w:rPr>
              <w:t>¶</w:t>
            </w:r>
          </w:p>
        </w:tc>
        <w:tc>
          <w:tcPr>
            <w:tcW w:w="933" w:type="pct"/>
            <w:vMerge w:val="restart"/>
            <w:shd w:val="clear" w:color="auto" w:fill="FFFFFF"/>
          </w:tcPr>
          <w:p w14:paraId="7668BF2A" w14:textId="29387E42" w:rsidR="002750E1" w:rsidRPr="002750E1"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Sahoo et al.</w:t>
            </w:r>
            <w:r w:rsidR="0013159D">
              <w:rPr>
                <w:rFonts w:ascii="Times New Roman" w:eastAsia="Times New Roman" w:hAnsi="Times New Roman" w:cs="Times New Roman"/>
                <w:noProof/>
                <w:sz w:val="24"/>
                <w:szCs w:val="24"/>
                <w:vertAlign w:val="superscript"/>
              </w:rPr>
              <w:t>23</w:t>
            </w:r>
            <w:r w:rsidRPr="003A1943">
              <w:rPr>
                <w:rFonts w:ascii="Times New Roman" w:eastAsia="Times New Roman" w:hAnsi="Times New Roman" w:cs="Times New Roman"/>
                <w:noProof/>
                <w:sz w:val="24"/>
                <w:szCs w:val="24"/>
                <w:vertAlign w:val="superscript"/>
              </w:rPr>
              <w:t>¶</w:t>
            </w:r>
          </w:p>
        </w:tc>
      </w:tr>
      <w:tr w:rsidR="002750E1" w:rsidRPr="002750E1" w14:paraId="7829D801" w14:textId="77777777" w:rsidTr="0042228A">
        <w:trPr>
          <w:cantSplit/>
        </w:trPr>
        <w:tc>
          <w:tcPr>
            <w:tcW w:w="1245" w:type="pct"/>
            <w:shd w:val="clear" w:color="auto" w:fill="FFFFFF"/>
          </w:tcPr>
          <w:p w14:paraId="1A86ED95"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Neurological</w:t>
            </w:r>
          </w:p>
        </w:tc>
        <w:tc>
          <w:tcPr>
            <w:tcW w:w="651" w:type="pct"/>
            <w:shd w:val="clear" w:color="auto" w:fill="FFFFFF"/>
          </w:tcPr>
          <w:p w14:paraId="45552E9E"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1.8%</w:t>
            </w:r>
          </w:p>
        </w:tc>
        <w:tc>
          <w:tcPr>
            <w:tcW w:w="651" w:type="pct"/>
            <w:shd w:val="clear" w:color="auto" w:fill="FFFFFF"/>
          </w:tcPr>
          <w:p w14:paraId="6FEA33CB"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0.1%</w:t>
            </w:r>
          </w:p>
        </w:tc>
        <w:tc>
          <w:tcPr>
            <w:tcW w:w="651" w:type="pct"/>
            <w:shd w:val="clear" w:color="auto" w:fill="FFFFFF"/>
          </w:tcPr>
          <w:p w14:paraId="06D1EF22"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3.5%</w:t>
            </w:r>
          </w:p>
        </w:tc>
        <w:tc>
          <w:tcPr>
            <w:tcW w:w="869" w:type="pct"/>
            <w:vMerge/>
            <w:shd w:val="clear" w:color="auto" w:fill="FFFFFF"/>
          </w:tcPr>
          <w:p w14:paraId="3ECF8C8C"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933" w:type="pct"/>
            <w:vMerge/>
            <w:shd w:val="clear" w:color="auto" w:fill="FFFFFF"/>
          </w:tcPr>
          <w:p w14:paraId="3B4F9C3E"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2750E1" w:rsidRPr="002750E1" w14:paraId="1F0AB590" w14:textId="77777777" w:rsidTr="0042228A">
        <w:trPr>
          <w:cantSplit/>
        </w:trPr>
        <w:tc>
          <w:tcPr>
            <w:tcW w:w="1245" w:type="pct"/>
            <w:shd w:val="clear" w:color="auto" w:fill="FFFFFF"/>
          </w:tcPr>
          <w:p w14:paraId="78508443"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Cutaneous</w:t>
            </w:r>
          </w:p>
        </w:tc>
        <w:tc>
          <w:tcPr>
            <w:tcW w:w="651" w:type="pct"/>
            <w:shd w:val="clear" w:color="auto" w:fill="FFFFFF"/>
          </w:tcPr>
          <w:p w14:paraId="43EEFFBE"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5.8%</w:t>
            </w:r>
          </w:p>
        </w:tc>
        <w:tc>
          <w:tcPr>
            <w:tcW w:w="651" w:type="pct"/>
            <w:shd w:val="clear" w:color="auto" w:fill="FFFFFF"/>
          </w:tcPr>
          <w:p w14:paraId="42D5EA2C"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2.7%</w:t>
            </w:r>
          </w:p>
        </w:tc>
        <w:tc>
          <w:tcPr>
            <w:tcW w:w="651" w:type="pct"/>
            <w:shd w:val="clear" w:color="auto" w:fill="FFFFFF"/>
          </w:tcPr>
          <w:p w14:paraId="23858522"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8.8%</w:t>
            </w:r>
          </w:p>
        </w:tc>
        <w:tc>
          <w:tcPr>
            <w:tcW w:w="869" w:type="pct"/>
            <w:vMerge/>
            <w:shd w:val="clear" w:color="auto" w:fill="FFFFFF"/>
          </w:tcPr>
          <w:p w14:paraId="54513973"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933" w:type="pct"/>
            <w:vMerge/>
            <w:shd w:val="clear" w:color="auto" w:fill="FFFFFF"/>
          </w:tcPr>
          <w:p w14:paraId="4B15D149"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2750E1" w:rsidRPr="002750E1" w14:paraId="1B8F3D2B" w14:textId="77777777" w:rsidTr="0042228A">
        <w:trPr>
          <w:cantSplit/>
        </w:trPr>
        <w:tc>
          <w:tcPr>
            <w:tcW w:w="1245" w:type="pct"/>
            <w:shd w:val="clear" w:color="auto" w:fill="FFFFFF"/>
          </w:tcPr>
          <w:p w14:paraId="78E41932"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Other non-pain</w:t>
            </w:r>
          </w:p>
        </w:tc>
        <w:tc>
          <w:tcPr>
            <w:tcW w:w="651" w:type="pct"/>
            <w:shd w:val="clear" w:color="auto" w:fill="FFFFFF"/>
          </w:tcPr>
          <w:p w14:paraId="61A782BB"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0.9%</w:t>
            </w:r>
          </w:p>
        </w:tc>
        <w:tc>
          <w:tcPr>
            <w:tcW w:w="651" w:type="pct"/>
            <w:shd w:val="clear" w:color="auto" w:fill="FFFFFF"/>
          </w:tcPr>
          <w:p w14:paraId="724F2B9A"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w:t>
            </w:r>
          </w:p>
        </w:tc>
        <w:tc>
          <w:tcPr>
            <w:tcW w:w="651" w:type="pct"/>
            <w:shd w:val="clear" w:color="auto" w:fill="FFFFFF"/>
          </w:tcPr>
          <w:p w14:paraId="6248B3D2"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2.1%</w:t>
            </w:r>
          </w:p>
        </w:tc>
        <w:tc>
          <w:tcPr>
            <w:tcW w:w="869" w:type="pct"/>
            <w:vMerge/>
            <w:shd w:val="clear" w:color="auto" w:fill="FFFFFF"/>
          </w:tcPr>
          <w:p w14:paraId="1A276951"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933" w:type="pct"/>
            <w:vMerge/>
            <w:shd w:val="clear" w:color="auto" w:fill="FFFFFF"/>
          </w:tcPr>
          <w:p w14:paraId="74FFFCB9"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bl>
    <w:p w14:paraId="612A6D1E" w14:textId="77777777" w:rsidR="002750E1" w:rsidRPr="002750E1" w:rsidRDefault="002750E1" w:rsidP="002750E1">
      <w:pPr>
        <w:keepLines/>
        <w:spacing w:before="120" w:after="0" w:line="240" w:lineRule="atLeast"/>
        <w:rPr>
          <w:rFonts w:ascii="Times New Roman" w:eastAsia="Times New Roman" w:hAnsi="Times New Roman" w:cs="Times New Roman"/>
          <w:sz w:val="16"/>
          <w:szCs w:val="18"/>
        </w:rPr>
      </w:pPr>
    </w:p>
    <w:p w14:paraId="33A8F137" w14:textId="77507E0B"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HSCT = hematopoietic stem</w:t>
      </w:r>
      <w:r w:rsidR="00941638">
        <w:rPr>
          <w:rFonts w:ascii="Times New Roman" w:eastAsia="Times New Roman" w:hAnsi="Times New Roman" w:cs="Times New Roman"/>
          <w:sz w:val="18"/>
          <w:szCs w:val="18"/>
        </w:rPr>
        <w:t xml:space="preserve"> </w:t>
      </w:r>
      <w:r w:rsidRPr="002750E1">
        <w:rPr>
          <w:rFonts w:ascii="Times New Roman" w:eastAsia="Times New Roman" w:hAnsi="Times New Roman" w:cs="Times New Roman"/>
          <w:sz w:val="18"/>
          <w:szCs w:val="18"/>
        </w:rPr>
        <w:t>cell transplant; HZ = herpes zoster; IC = immunocompromised; PHN = postherpetic neuralgia.</w:t>
      </w:r>
    </w:p>
    <w:p w14:paraId="733A923C"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lastRenderedPageBreak/>
        <w:t>* For the probabilistic sensitivity analysis, the beta distribution has been assumed for the purpose of sampling values for all inputs in this table. The standard errors applied in the beta distribution parameters are consistent with the reported uncertainty ranges representing 95% confidence intervals.</w:t>
      </w:r>
    </w:p>
    <w:p w14:paraId="2908FE09"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This input applies to individuals with IC status only.</w:t>
      </w:r>
    </w:p>
    <w:p w14:paraId="59066B05" w14:textId="1BAE193D"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Sahoo et al.</w:t>
      </w:r>
      <w:r w:rsidR="0013159D">
        <w:rPr>
          <w:rFonts w:ascii="Times New Roman" w:eastAsia="Times New Roman" w:hAnsi="Times New Roman" w:cs="Times New Roman"/>
          <w:noProof/>
          <w:sz w:val="18"/>
          <w:szCs w:val="18"/>
          <w:vertAlign w:val="superscript"/>
        </w:rPr>
        <w:t>23</w:t>
      </w:r>
      <w:r w:rsidRPr="002750E1">
        <w:rPr>
          <w:rFonts w:ascii="Times New Roman" w:eastAsia="Times New Roman" w:hAnsi="Times New Roman" w:cs="Times New Roman"/>
          <w:sz w:val="18"/>
          <w:szCs w:val="18"/>
        </w:rPr>
        <w:t xml:space="preserve"> reported average annual incidence rate of HZ among autologous HSCT recipients over a period of 5 years after HSCT. Herpes zoster episodes were identified through follow-up surveys to providers and to patients after receiving an HSCT; patient demographics and clinical characteristics were identified through retrospective review of databases and available medical records. The observation period was 2002</w:t>
      </w:r>
      <w:r w:rsidR="00720FA2">
        <w:rPr>
          <w:rFonts w:ascii="Times New Roman" w:eastAsia="Times New Roman" w:hAnsi="Times New Roman" w:cs="Times New Roman"/>
          <w:sz w:val="24"/>
          <w:szCs w:val="24"/>
        </w:rPr>
        <w:t>–</w:t>
      </w:r>
      <w:r w:rsidRPr="002750E1">
        <w:rPr>
          <w:rFonts w:ascii="Times New Roman" w:eastAsia="Times New Roman" w:hAnsi="Times New Roman" w:cs="Times New Roman"/>
          <w:sz w:val="18"/>
          <w:szCs w:val="18"/>
        </w:rPr>
        <w:t xml:space="preserve">2010, and median follow-up was 39.7 months. Incidence was highest in the second year following HSCT (130 per 1,000 person-years). </w:t>
      </w:r>
      <w:bookmarkStart w:id="6" w:name="_Hlk64648004"/>
      <w:r w:rsidRPr="002750E1">
        <w:rPr>
          <w:rFonts w:ascii="Times New Roman" w:eastAsia="Times New Roman" w:hAnsi="Times New Roman" w:cs="Times New Roman"/>
          <w:sz w:val="18"/>
          <w:szCs w:val="18"/>
        </w:rPr>
        <w:t xml:space="preserve">For recurrent HZ, 16% of those patients with an incident HZ case had at least one recurrent case of HZ over the 5-year period. We have assumed that the rate of recurrent HZ was the same as the rate of initial HZ cases. Cumulative incidence curves over time were similar between initial HZ episodes and recurrent episodes. </w:t>
      </w:r>
      <w:bookmarkStart w:id="7" w:name="_Hlk64392447"/>
      <w:r w:rsidRPr="002750E1">
        <w:rPr>
          <w:rFonts w:ascii="Times New Roman" w:eastAsia="Times New Roman" w:hAnsi="Times New Roman" w:cs="Times New Roman"/>
          <w:sz w:val="18"/>
          <w:szCs w:val="18"/>
        </w:rPr>
        <w:t>The study population included antiviral prophylactic use of varying durations. The study conducted by Sahoo and colleagues</w:t>
      </w:r>
      <w:r w:rsidR="0013159D">
        <w:rPr>
          <w:rFonts w:ascii="Times New Roman" w:eastAsia="Times New Roman" w:hAnsi="Times New Roman" w:cs="Times New Roman"/>
          <w:noProof/>
          <w:sz w:val="18"/>
          <w:szCs w:val="18"/>
          <w:vertAlign w:val="superscript"/>
        </w:rPr>
        <w:t>23</w:t>
      </w:r>
      <w:r w:rsidRPr="002750E1">
        <w:rPr>
          <w:rFonts w:ascii="Times New Roman" w:eastAsia="Times New Roman" w:hAnsi="Times New Roman" w:cs="Times New Roman"/>
          <w:sz w:val="18"/>
          <w:szCs w:val="18"/>
        </w:rPr>
        <w:t xml:space="preserve"> was selected as the source for the base-case incidence of HZ because it was deemed that this population better reflects a real-world HSCT population than do recent clinical trials assessing HZ vaccines in HSCT populations</w:t>
      </w:r>
      <w:r w:rsidRPr="002750E1">
        <w:rPr>
          <w:rFonts w:ascii="Times New Roman" w:eastAsia="Times New Roman" w:hAnsi="Times New Roman" w:cs="Times New Roman"/>
          <w:sz w:val="18"/>
          <w:szCs w:val="18"/>
          <w:vertAlign w:val="superscript"/>
        </w:rPr>
        <w:t>1</w:t>
      </w:r>
      <w:r w:rsidR="00F4798D">
        <w:rPr>
          <w:rFonts w:ascii="Times New Roman" w:eastAsia="Times New Roman" w:hAnsi="Times New Roman" w:cs="Times New Roman"/>
          <w:noProof/>
          <w:sz w:val="18"/>
          <w:szCs w:val="18"/>
          <w:vertAlign w:val="superscript"/>
        </w:rPr>
        <w:t>9</w:t>
      </w:r>
      <w:r w:rsidRPr="002750E1">
        <w:rPr>
          <w:rFonts w:ascii="Times New Roman" w:eastAsia="Times New Roman" w:hAnsi="Times New Roman" w:cs="Times New Roman"/>
          <w:noProof/>
          <w:sz w:val="18"/>
          <w:szCs w:val="18"/>
          <w:vertAlign w:val="superscript"/>
        </w:rPr>
        <w:t>, 3</w:t>
      </w:r>
      <w:r w:rsidR="00F4798D">
        <w:rPr>
          <w:rFonts w:ascii="Times New Roman" w:eastAsia="Times New Roman" w:hAnsi="Times New Roman" w:cs="Times New Roman"/>
          <w:noProof/>
          <w:sz w:val="18"/>
          <w:szCs w:val="18"/>
          <w:vertAlign w:val="superscript"/>
        </w:rPr>
        <w:t>5</w:t>
      </w:r>
      <w:r w:rsidRPr="002750E1">
        <w:rPr>
          <w:rFonts w:ascii="Times New Roman" w:eastAsia="Times New Roman" w:hAnsi="Times New Roman" w:cs="Times New Roman"/>
          <w:sz w:val="18"/>
          <w:szCs w:val="18"/>
        </w:rPr>
        <w:t xml:space="preserve"> which excluded patients with an expected duration of antiviral prophylaxis of more than 6 months.</w:t>
      </w:r>
      <w:bookmarkStart w:id="8" w:name="_Hlk65837471"/>
      <w:bookmarkStart w:id="9" w:name="_Hlk64648059"/>
      <w:bookmarkEnd w:id="6"/>
      <w:r w:rsidRPr="002750E1">
        <w:rPr>
          <w:rFonts w:ascii="Times New Roman" w:eastAsia="Times New Roman" w:hAnsi="Times New Roman" w:cs="Times New Roman"/>
          <w:sz w:val="18"/>
          <w:szCs w:val="18"/>
        </w:rPr>
        <w:t xml:space="preserve"> Sahoo et al.</w:t>
      </w:r>
      <w:r w:rsidR="0013159D">
        <w:rPr>
          <w:rFonts w:ascii="Times New Roman" w:eastAsia="Times New Roman" w:hAnsi="Times New Roman" w:cs="Times New Roman"/>
          <w:noProof/>
          <w:sz w:val="18"/>
          <w:szCs w:val="18"/>
          <w:vertAlign w:val="superscript"/>
        </w:rPr>
        <w:t>23</w:t>
      </w:r>
      <w:r w:rsidRPr="002750E1">
        <w:rPr>
          <w:rFonts w:ascii="Times New Roman" w:eastAsia="Times New Roman" w:hAnsi="Times New Roman" w:cs="Times New Roman"/>
          <w:sz w:val="18"/>
          <w:szCs w:val="18"/>
        </w:rPr>
        <w:t xml:space="preserve"> also was selected because the study had the longest follow-up (median of 39.7 months) among the studies considered </w:t>
      </w:r>
      <w:r w:rsidRPr="002750E1">
        <w:rPr>
          <w:rFonts w:ascii="Times New Roman" w:eastAsia="Times New Roman" w:hAnsi="Times New Roman" w:cs="Times New Roman"/>
          <w:noProof/>
          <w:sz w:val="18"/>
          <w:szCs w:val="18"/>
          <w:vertAlign w:val="superscript"/>
        </w:rPr>
        <w:t>1</w:t>
      </w:r>
      <w:r w:rsidR="00DC7A0A">
        <w:rPr>
          <w:rFonts w:ascii="Times New Roman" w:eastAsia="Times New Roman" w:hAnsi="Times New Roman" w:cs="Times New Roman"/>
          <w:noProof/>
          <w:sz w:val="18"/>
          <w:szCs w:val="18"/>
          <w:vertAlign w:val="superscript"/>
        </w:rPr>
        <w:t>7</w:t>
      </w:r>
      <w:r w:rsidRPr="002750E1">
        <w:rPr>
          <w:rFonts w:ascii="Times New Roman" w:eastAsia="Times New Roman" w:hAnsi="Times New Roman" w:cs="Times New Roman"/>
          <w:noProof/>
          <w:sz w:val="18"/>
          <w:szCs w:val="18"/>
          <w:vertAlign w:val="superscript"/>
        </w:rPr>
        <w:t>, 1</w:t>
      </w:r>
      <w:r w:rsidR="00746FFF">
        <w:rPr>
          <w:rFonts w:ascii="Times New Roman" w:eastAsia="Times New Roman" w:hAnsi="Times New Roman" w:cs="Times New Roman"/>
          <w:noProof/>
          <w:sz w:val="18"/>
          <w:szCs w:val="18"/>
          <w:vertAlign w:val="superscript"/>
        </w:rPr>
        <w:t>9</w:t>
      </w:r>
      <w:r w:rsidRPr="002750E1">
        <w:rPr>
          <w:rFonts w:ascii="Times New Roman" w:eastAsia="Times New Roman" w:hAnsi="Times New Roman" w:cs="Times New Roman"/>
          <w:noProof/>
          <w:sz w:val="18"/>
          <w:szCs w:val="18"/>
          <w:vertAlign w:val="superscript"/>
        </w:rPr>
        <w:t xml:space="preserve">, </w:t>
      </w:r>
      <w:r w:rsidR="0013159D">
        <w:rPr>
          <w:rFonts w:ascii="Times New Roman" w:eastAsia="Times New Roman" w:hAnsi="Times New Roman" w:cs="Times New Roman"/>
          <w:noProof/>
          <w:sz w:val="18"/>
          <w:szCs w:val="18"/>
          <w:vertAlign w:val="superscript"/>
        </w:rPr>
        <w:t>23</w:t>
      </w:r>
      <w:r w:rsidRPr="002750E1">
        <w:rPr>
          <w:rFonts w:ascii="Times New Roman" w:eastAsia="Times New Roman" w:hAnsi="Times New Roman" w:cs="Times New Roman"/>
          <w:noProof/>
          <w:sz w:val="18"/>
          <w:szCs w:val="18"/>
          <w:vertAlign w:val="superscript"/>
        </w:rPr>
        <w:t>, 3</w:t>
      </w:r>
      <w:r w:rsidR="00BD4BDF">
        <w:rPr>
          <w:rFonts w:ascii="Times New Roman" w:eastAsia="Times New Roman" w:hAnsi="Times New Roman" w:cs="Times New Roman"/>
          <w:noProof/>
          <w:sz w:val="18"/>
          <w:szCs w:val="18"/>
          <w:vertAlign w:val="superscript"/>
        </w:rPr>
        <w:t>5</w:t>
      </w:r>
      <w:r w:rsidRPr="002750E1">
        <w:rPr>
          <w:rFonts w:ascii="Times New Roman" w:eastAsia="Times New Roman" w:hAnsi="Times New Roman" w:cs="Times New Roman"/>
          <w:noProof/>
          <w:sz w:val="18"/>
          <w:szCs w:val="18"/>
          <w:vertAlign w:val="superscript"/>
        </w:rPr>
        <w:t xml:space="preserve">, </w:t>
      </w:r>
      <w:r w:rsidR="008E638D">
        <w:rPr>
          <w:rFonts w:ascii="Times New Roman" w:eastAsia="Times New Roman" w:hAnsi="Times New Roman" w:cs="Times New Roman"/>
          <w:noProof/>
          <w:sz w:val="18"/>
          <w:szCs w:val="18"/>
          <w:vertAlign w:val="superscript"/>
        </w:rPr>
        <w:t>36</w:t>
      </w:r>
      <w:r w:rsidRPr="002750E1">
        <w:rPr>
          <w:rFonts w:ascii="Times New Roman" w:eastAsia="Times New Roman" w:hAnsi="Times New Roman" w:cs="Times New Roman"/>
          <w:sz w:val="18"/>
          <w:szCs w:val="18"/>
        </w:rPr>
        <w:t xml:space="preserve"> and provided a 5-year annual incidence estimate following HSCT.</w:t>
      </w:r>
      <w:bookmarkEnd w:id="8"/>
      <w:r w:rsidRPr="002750E1">
        <w:rPr>
          <w:rFonts w:ascii="Times New Roman" w:eastAsia="Times New Roman" w:hAnsi="Times New Roman" w:cs="Times New Roman"/>
          <w:sz w:val="18"/>
          <w:szCs w:val="18"/>
        </w:rPr>
        <w:t xml:space="preserve"> The lower bound was based on the incidence of HZ among bone</w:t>
      </w:r>
      <w:r w:rsidR="004C3FBF">
        <w:rPr>
          <w:rFonts w:ascii="Times New Roman" w:eastAsia="Times New Roman" w:hAnsi="Times New Roman" w:cs="Times New Roman"/>
          <w:sz w:val="18"/>
          <w:szCs w:val="18"/>
        </w:rPr>
        <w:t xml:space="preserve"> </w:t>
      </w:r>
      <w:r w:rsidRPr="002750E1">
        <w:rPr>
          <w:rFonts w:ascii="Times New Roman" w:eastAsia="Times New Roman" w:hAnsi="Times New Roman" w:cs="Times New Roman"/>
          <w:sz w:val="18"/>
          <w:szCs w:val="18"/>
        </w:rPr>
        <w:t>marrow or stem</w:t>
      </w:r>
      <w:r w:rsidR="004C3FBF">
        <w:rPr>
          <w:rFonts w:ascii="Times New Roman" w:eastAsia="Times New Roman" w:hAnsi="Times New Roman" w:cs="Times New Roman"/>
          <w:sz w:val="18"/>
          <w:szCs w:val="18"/>
        </w:rPr>
        <w:t xml:space="preserve"> </w:t>
      </w:r>
      <w:r w:rsidRPr="002750E1">
        <w:rPr>
          <w:rFonts w:ascii="Times New Roman" w:eastAsia="Times New Roman" w:hAnsi="Times New Roman" w:cs="Times New Roman"/>
          <w:sz w:val="18"/>
          <w:szCs w:val="18"/>
        </w:rPr>
        <w:t>cell transplant recipients aged 18 to 49 years from</w:t>
      </w:r>
      <w:bookmarkEnd w:id="9"/>
      <w:r w:rsidRPr="002750E1">
        <w:rPr>
          <w:rFonts w:ascii="Times New Roman" w:eastAsia="Times New Roman" w:hAnsi="Times New Roman" w:cs="Times New Roman"/>
          <w:sz w:val="18"/>
          <w:szCs w:val="18"/>
        </w:rPr>
        <w:t xml:space="preserve"> Chen et al.</w:t>
      </w:r>
      <w:r w:rsidR="00A859ED">
        <w:rPr>
          <w:rFonts w:ascii="Times New Roman" w:eastAsia="Times New Roman" w:hAnsi="Times New Roman" w:cs="Times New Roman"/>
          <w:noProof/>
          <w:sz w:val="18"/>
          <w:szCs w:val="18"/>
          <w:vertAlign w:val="superscript"/>
        </w:rPr>
        <w:t>17</w:t>
      </w:r>
      <w:r w:rsidRPr="002750E1">
        <w:rPr>
          <w:rFonts w:ascii="Times New Roman" w:eastAsia="Times New Roman" w:hAnsi="Times New Roman" w:cs="Times New Roman"/>
          <w:sz w:val="18"/>
          <w:szCs w:val="18"/>
        </w:rPr>
        <w:t xml:space="preserve">, </w:t>
      </w:r>
      <w:bookmarkStart w:id="10" w:name="_Hlk64648125"/>
      <w:r w:rsidRPr="002750E1">
        <w:rPr>
          <w:rFonts w:ascii="Times New Roman" w:eastAsia="Times New Roman" w:hAnsi="Times New Roman" w:cs="Times New Roman"/>
          <w:sz w:val="18"/>
          <w:szCs w:val="18"/>
        </w:rPr>
        <w:t>which presented a lower (and therefore more conservative) estimate of HZ incidence than the lower bound of the 95% confidence interval reported by</w:t>
      </w:r>
      <w:bookmarkEnd w:id="10"/>
      <w:r w:rsidRPr="002750E1">
        <w:rPr>
          <w:rFonts w:ascii="Times New Roman" w:eastAsia="Times New Roman" w:hAnsi="Times New Roman" w:cs="Times New Roman"/>
          <w:sz w:val="18"/>
          <w:szCs w:val="18"/>
        </w:rPr>
        <w:t xml:space="preserve"> Sahoo et al.</w:t>
      </w:r>
      <w:r w:rsidR="0013159D">
        <w:rPr>
          <w:rFonts w:ascii="Times New Roman" w:eastAsia="Times New Roman" w:hAnsi="Times New Roman" w:cs="Times New Roman"/>
          <w:noProof/>
          <w:sz w:val="18"/>
          <w:szCs w:val="18"/>
          <w:vertAlign w:val="superscript"/>
        </w:rPr>
        <w:t>23</w:t>
      </w:r>
      <w:r w:rsidRPr="002750E1">
        <w:rPr>
          <w:rFonts w:ascii="Times New Roman" w:eastAsia="Times New Roman" w:hAnsi="Times New Roman" w:cs="Times New Roman"/>
          <w:sz w:val="18"/>
          <w:szCs w:val="18"/>
        </w:rPr>
        <w:t xml:space="preserve"> The upper bound </w:t>
      </w:r>
      <w:bookmarkEnd w:id="7"/>
      <w:r w:rsidRPr="002750E1">
        <w:rPr>
          <w:rFonts w:ascii="Times New Roman" w:eastAsia="Times New Roman" w:hAnsi="Times New Roman" w:cs="Times New Roman"/>
          <w:sz w:val="18"/>
          <w:szCs w:val="18"/>
        </w:rPr>
        <w:t>was the upper bound of the 95% confidence interval presented in Sahoo et al.</w:t>
      </w:r>
      <w:r w:rsidR="0013159D">
        <w:rPr>
          <w:rFonts w:ascii="Times New Roman" w:eastAsia="Times New Roman" w:hAnsi="Times New Roman" w:cs="Times New Roman"/>
          <w:noProof/>
          <w:sz w:val="18"/>
          <w:szCs w:val="18"/>
          <w:vertAlign w:val="superscript"/>
        </w:rPr>
        <w:t>23</w:t>
      </w:r>
    </w:p>
    <w:p w14:paraId="66449128" w14:textId="320EC642"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 xml:space="preserve">§ </w:t>
      </w:r>
      <w:r w:rsidRPr="002750E1">
        <w:rPr>
          <w:rFonts w:ascii="Times New Roman" w:eastAsia="Times New Roman" w:hAnsi="Times New Roman" w:cs="Times New Roman"/>
          <w:sz w:val="18"/>
          <w:szCs w:val="18"/>
        </w:rPr>
        <w:t>This rate of PHN among incident and recurrent HZ cases was reported by Sahoo et al.</w:t>
      </w:r>
      <w:r w:rsidR="0013159D">
        <w:rPr>
          <w:rFonts w:ascii="Times New Roman" w:eastAsia="Times New Roman" w:hAnsi="Times New Roman" w:cs="Times New Roman"/>
          <w:noProof/>
          <w:sz w:val="18"/>
          <w:szCs w:val="18"/>
          <w:vertAlign w:val="superscript"/>
        </w:rPr>
        <w:t>23</w:t>
      </w:r>
      <w:r w:rsidRPr="002750E1">
        <w:rPr>
          <w:rFonts w:ascii="Times New Roman" w:eastAsia="Times New Roman" w:hAnsi="Times New Roman" w:cs="Times New Roman"/>
          <w:sz w:val="18"/>
          <w:szCs w:val="18"/>
        </w:rPr>
        <w:t xml:space="preserve"> The rate of PHN among HZ cases was similar between incident and recurrent cases. For the uncertainty range, a 95% confidence was derived from Sahoo et al.</w:t>
      </w:r>
      <w:r w:rsidR="0013159D">
        <w:rPr>
          <w:rFonts w:ascii="Times New Roman" w:eastAsia="Times New Roman" w:hAnsi="Times New Roman" w:cs="Times New Roman"/>
          <w:noProof/>
          <w:sz w:val="18"/>
          <w:szCs w:val="18"/>
          <w:vertAlign w:val="superscript"/>
        </w:rPr>
        <w:t>23</w:t>
      </w:r>
      <w:r w:rsidRPr="002750E1">
        <w:rPr>
          <w:rFonts w:ascii="Times New Roman" w:eastAsia="Times New Roman" w:hAnsi="Times New Roman" w:cs="Times New Roman"/>
          <w:sz w:val="18"/>
          <w:szCs w:val="18"/>
        </w:rPr>
        <w:t>, based on the number of events and the sample size.</w:t>
      </w:r>
    </w:p>
    <w:p w14:paraId="6F818C69" w14:textId="7BD8B2B5"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 xml:space="preserve">|| </w:t>
      </w:r>
      <w:r w:rsidRPr="002750E1">
        <w:rPr>
          <w:rFonts w:ascii="Times New Roman" w:eastAsia="Times New Roman" w:hAnsi="Times New Roman" w:cs="Times New Roman"/>
          <w:sz w:val="18"/>
          <w:szCs w:val="18"/>
        </w:rPr>
        <w:t xml:space="preserve">We have assumed no HZ-related mortality for ages 18 to 49 years. Base-case values and uncertainty ranges around HZ-related death rates for ages 50 years and older were assumed to be the same as those for an immunocompetent population, which rates were taken from </w:t>
      </w:r>
      <w:r w:rsidRPr="002750E1">
        <w:rPr>
          <w:rFonts w:ascii="Times New Roman" w:eastAsia="Times New Roman" w:hAnsi="Times New Roman" w:cs="Times New Roman"/>
          <w:noProof/>
          <w:sz w:val="18"/>
          <w:szCs w:val="18"/>
        </w:rPr>
        <w:t>Le and Rothberg.</w:t>
      </w:r>
      <w:r w:rsidRPr="002750E1">
        <w:rPr>
          <w:rFonts w:ascii="Times New Roman" w:eastAsia="Times New Roman" w:hAnsi="Times New Roman" w:cs="Times New Roman"/>
          <w:noProof/>
          <w:sz w:val="18"/>
          <w:szCs w:val="18"/>
          <w:vertAlign w:val="superscript"/>
        </w:rPr>
        <w:t>3</w:t>
      </w:r>
      <w:r w:rsidR="00E03ABD">
        <w:rPr>
          <w:rFonts w:ascii="Times New Roman" w:eastAsia="Times New Roman" w:hAnsi="Times New Roman" w:cs="Times New Roman"/>
          <w:noProof/>
          <w:sz w:val="18"/>
          <w:szCs w:val="18"/>
          <w:vertAlign w:val="superscript"/>
        </w:rPr>
        <w:t>6</w:t>
      </w:r>
      <w:r w:rsidRPr="002750E1">
        <w:rPr>
          <w:rFonts w:ascii="Times New Roman" w:eastAsia="Times New Roman" w:hAnsi="Times New Roman" w:cs="Times New Roman"/>
          <w:sz w:val="18"/>
          <w:szCs w:val="18"/>
        </w:rPr>
        <w:t xml:space="preserve"> For ages 18 to 49 years, we assumed the base-case HZ-related death rate for ages 50 to 59 years for the upper bound value.</w:t>
      </w:r>
    </w:p>
    <w:p w14:paraId="57F49307" w14:textId="20597115"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This rate of non-PHN complications among all HZ cases in HSCT recipients was reported by Sahoo et al.</w:t>
      </w:r>
      <w:r w:rsidR="0013159D">
        <w:rPr>
          <w:rFonts w:ascii="Times New Roman" w:eastAsia="Times New Roman" w:hAnsi="Times New Roman" w:cs="Times New Roman"/>
          <w:noProof/>
          <w:sz w:val="18"/>
          <w:szCs w:val="18"/>
          <w:vertAlign w:val="superscript"/>
        </w:rPr>
        <w:t>23</w:t>
      </w:r>
      <w:r w:rsidRPr="002750E1">
        <w:rPr>
          <w:rFonts w:ascii="Times New Roman" w:eastAsia="Times New Roman" w:hAnsi="Times New Roman" w:cs="Times New Roman"/>
          <w:sz w:val="18"/>
          <w:szCs w:val="18"/>
        </w:rPr>
        <w:t xml:space="preserve"> These values were used only for generation of health outcomes; no costs due to complications other than PHN were explicitly considered in order to avoid potential double-counting with costs related to HZ from Eriksson et al.</w:t>
      </w:r>
      <w:r w:rsidR="00D046F8"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r w:rsidRPr="002750E1">
        <w:rPr>
          <w:rFonts w:ascii="Times New Roman" w:eastAsia="Times New Roman" w:hAnsi="Times New Roman" w:cs="Times New Roman"/>
          <w:sz w:val="18"/>
          <w:szCs w:val="18"/>
        </w:rPr>
        <w:t>, which did not report costs specific to non-PHN complications. A 95% confidence interval was derived from Sahoo et al.</w:t>
      </w:r>
      <w:r w:rsidR="0013159D">
        <w:rPr>
          <w:rFonts w:ascii="Times New Roman" w:eastAsia="Times New Roman" w:hAnsi="Times New Roman" w:cs="Times New Roman"/>
          <w:noProof/>
          <w:sz w:val="18"/>
          <w:szCs w:val="18"/>
          <w:vertAlign w:val="superscript"/>
        </w:rPr>
        <w:t>23</w:t>
      </w:r>
      <w:r w:rsidRPr="002750E1">
        <w:rPr>
          <w:rFonts w:ascii="Times New Roman" w:eastAsia="Times New Roman" w:hAnsi="Times New Roman" w:cs="Times New Roman"/>
          <w:sz w:val="18"/>
          <w:szCs w:val="18"/>
        </w:rPr>
        <w:t>, based on the number of events and the sample size.</w:t>
      </w:r>
    </w:p>
    <w:p w14:paraId="5CB9492F" w14:textId="77777777" w:rsidR="002750E1" w:rsidRPr="002750E1" w:rsidRDefault="002750E1" w:rsidP="002750E1">
      <w:pPr>
        <w:spacing w:after="0" w:line="240" w:lineRule="auto"/>
        <w:rPr>
          <w:rFonts w:ascii="Cambria" w:eastAsia="MS ??" w:hAnsi="Cambria" w:cs="Times New Roman"/>
          <w:sz w:val="18"/>
          <w:szCs w:val="18"/>
        </w:rPr>
      </w:pPr>
      <w:r w:rsidRPr="002750E1">
        <w:rPr>
          <w:rFonts w:ascii="Cambria" w:eastAsia="MS ??" w:hAnsi="Cambria" w:cs="Times New Roman"/>
          <w:sz w:val="18"/>
          <w:szCs w:val="18"/>
        </w:rPr>
        <w:br w:type="page"/>
      </w:r>
    </w:p>
    <w:p w14:paraId="4B398184" w14:textId="77777777" w:rsidR="002750E1" w:rsidRPr="0073288B" w:rsidRDefault="002750E1" w:rsidP="002750E1">
      <w:pPr>
        <w:keepNext/>
        <w:spacing w:after="0" w:line="480" w:lineRule="auto"/>
        <w:contextualSpacing/>
        <w:rPr>
          <w:rFonts w:ascii="Times New Roman" w:eastAsia="MS ??" w:hAnsi="Times New Roman" w:cs="Times New Roman"/>
          <w:b/>
          <w:sz w:val="24"/>
          <w:szCs w:val="24"/>
        </w:rPr>
      </w:pPr>
      <w:bookmarkStart w:id="11" w:name="_Ref100573124"/>
      <w:bookmarkStart w:id="12" w:name="_Toc112418264"/>
      <w:r w:rsidRPr="0073288B">
        <w:rPr>
          <w:rFonts w:ascii="Times New Roman" w:eastAsia="MS ??" w:hAnsi="Times New Roman" w:cs="Times New Roman"/>
          <w:b/>
          <w:sz w:val="24"/>
          <w:szCs w:val="24"/>
        </w:rPr>
        <w:lastRenderedPageBreak/>
        <w:t>Table A3. Values and sources applied for vaccine-specific model inputs in base-case and sensitivity analyses</w:t>
      </w:r>
      <w:bookmarkEnd w:id="11"/>
      <w:bookmarkEnd w:id="12"/>
    </w:p>
    <w:tbl>
      <w:tblPr>
        <w:tblW w:w="5050" w:type="pct"/>
        <w:tblBorders>
          <w:top w:val="single" w:sz="12" w:space="0" w:color="000000"/>
          <w:bottom w:val="single" w:sz="12" w:space="0" w:color="000000"/>
          <w:insideH w:val="single" w:sz="2" w:space="0" w:color="DDDDDD"/>
        </w:tblBorders>
        <w:tblLayout w:type="fixed"/>
        <w:tblLook w:val="0000" w:firstRow="0" w:lastRow="0" w:firstColumn="0" w:lastColumn="0" w:noHBand="0" w:noVBand="0"/>
      </w:tblPr>
      <w:tblGrid>
        <w:gridCol w:w="2610"/>
        <w:gridCol w:w="1652"/>
        <w:gridCol w:w="1251"/>
        <w:gridCol w:w="1058"/>
        <w:gridCol w:w="3372"/>
        <w:gridCol w:w="3147"/>
      </w:tblGrid>
      <w:tr w:rsidR="002750E1" w:rsidRPr="00F67E72" w14:paraId="1B9CB092" w14:textId="77777777" w:rsidTr="0042228A">
        <w:trPr>
          <w:cantSplit/>
          <w:tblHeader/>
        </w:trPr>
        <w:tc>
          <w:tcPr>
            <w:tcW w:w="997" w:type="pct"/>
            <w:vMerge w:val="restart"/>
            <w:tcBorders>
              <w:top w:val="single" w:sz="12" w:space="0" w:color="000000"/>
              <w:bottom w:val="single" w:sz="2" w:space="0" w:color="000000"/>
            </w:tcBorders>
            <w:shd w:val="clear" w:color="auto" w:fill="E6E6E6"/>
            <w:vAlign w:val="bottom"/>
          </w:tcPr>
          <w:p w14:paraId="782A7EF0" w14:textId="77777777" w:rsidR="002750E1" w:rsidRPr="0073288B" w:rsidRDefault="002750E1" w:rsidP="002750E1">
            <w:pPr>
              <w:keepNext/>
              <w:spacing w:before="160" w:after="0" w:line="320" w:lineRule="exact"/>
              <w:rPr>
                <w:rFonts w:ascii="Times New Roman" w:eastAsia="Times New Roman" w:hAnsi="Times New Roman" w:cs="Times New Roman"/>
                <w:b/>
                <w:sz w:val="24"/>
                <w:szCs w:val="24"/>
              </w:rPr>
            </w:pPr>
            <w:r w:rsidRPr="0073288B">
              <w:rPr>
                <w:rFonts w:ascii="Times New Roman" w:eastAsia="Times New Roman" w:hAnsi="Times New Roman" w:cs="Times New Roman"/>
                <w:b/>
                <w:sz w:val="24"/>
                <w:szCs w:val="24"/>
              </w:rPr>
              <w:t>Category/input</w:t>
            </w:r>
          </w:p>
        </w:tc>
        <w:tc>
          <w:tcPr>
            <w:tcW w:w="631" w:type="pct"/>
            <w:vMerge w:val="restart"/>
            <w:tcBorders>
              <w:top w:val="single" w:sz="12" w:space="0" w:color="000000"/>
              <w:bottom w:val="single" w:sz="2" w:space="0" w:color="000000"/>
            </w:tcBorders>
            <w:shd w:val="clear" w:color="auto" w:fill="E6E6E6"/>
            <w:vAlign w:val="bottom"/>
          </w:tcPr>
          <w:p w14:paraId="1154C32A" w14:textId="77777777" w:rsidR="002750E1" w:rsidRPr="0073288B" w:rsidRDefault="002750E1" w:rsidP="002750E1">
            <w:pPr>
              <w:keepNext/>
              <w:spacing w:before="160" w:after="0" w:line="320" w:lineRule="exact"/>
              <w:jc w:val="center"/>
              <w:rPr>
                <w:rFonts w:ascii="Times New Roman" w:eastAsia="Times New Roman" w:hAnsi="Times New Roman" w:cs="Times New Roman"/>
                <w:b/>
                <w:sz w:val="24"/>
                <w:szCs w:val="24"/>
              </w:rPr>
            </w:pPr>
            <w:r w:rsidRPr="0073288B">
              <w:rPr>
                <w:rFonts w:ascii="Times New Roman" w:eastAsia="Times New Roman" w:hAnsi="Times New Roman" w:cs="Times New Roman"/>
                <w:b/>
                <w:sz w:val="24"/>
                <w:szCs w:val="24"/>
              </w:rPr>
              <w:t>Base-case value</w:t>
            </w:r>
          </w:p>
        </w:tc>
        <w:tc>
          <w:tcPr>
            <w:tcW w:w="882" w:type="pct"/>
            <w:gridSpan w:val="2"/>
            <w:tcBorders>
              <w:top w:val="single" w:sz="12" w:space="0" w:color="000000"/>
              <w:bottom w:val="single" w:sz="2" w:space="0" w:color="000000"/>
            </w:tcBorders>
            <w:shd w:val="clear" w:color="auto" w:fill="E6E6E6"/>
            <w:vAlign w:val="bottom"/>
          </w:tcPr>
          <w:p w14:paraId="7BCFCD0A" w14:textId="77777777" w:rsidR="002750E1" w:rsidRPr="0073288B" w:rsidRDefault="002750E1" w:rsidP="002750E1">
            <w:pPr>
              <w:keepNext/>
              <w:spacing w:before="160" w:after="0" w:line="320" w:lineRule="exact"/>
              <w:jc w:val="center"/>
              <w:rPr>
                <w:rFonts w:ascii="Times New Roman" w:eastAsia="Times New Roman" w:hAnsi="Times New Roman" w:cs="Times New Roman"/>
                <w:b/>
                <w:sz w:val="24"/>
                <w:szCs w:val="24"/>
              </w:rPr>
            </w:pPr>
            <w:r w:rsidRPr="0073288B">
              <w:rPr>
                <w:rFonts w:ascii="Times New Roman" w:eastAsia="Times New Roman" w:hAnsi="Times New Roman" w:cs="Times New Roman"/>
                <w:b/>
                <w:sz w:val="24"/>
                <w:szCs w:val="24"/>
              </w:rPr>
              <w:t>Range*</w:t>
            </w:r>
          </w:p>
        </w:tc>
        <w:tc>
          <w:tcPr>
            <w:tcW w:w="1288" w:type="pct"/>
            <w:vMerge w:val="restart"/>
            <w:tcBorders>
              <w:top w:val="single" w:sz="12" w:space="0" w:color="000000"/>
              <w:bottom w:val="single" w:sz="2" w:space="0" w:color="000000"/>
            </w:tcBorders>
            <w:shd w:val="clear" w:color="auto" w:fill="E6E6E6"/>
            <w:vAlign w:val="bottom"/>
          </w:tcPr>
          <w:p w14:paraId="6DF9EDF8" w14:textId="77777777" w:rsidR="002750E1" w:rsidRPr="0073288B" w:rsidRDefault="002750E1" w:rsidP="002750E1">
            <w:pPr>
              <w:keepNext/>
              <w:spacing w:before="160" w:after="0" w:line="320" w:lineRule="exact"/>
              <w:jc w:val="center"/>
              <w:rPr>
                <w:rFonts w:ascii="Times New Roman" w:eastAsia="Times New Roman" w:hAnsi="Times New Roman" w:cs="Times New Roman"/>
                <w:b/>
                <w:sz w:val="24"/>
                <w:szCs w:val="24"/>
              </w:rPr>
            </w:pPr>
            <w:r w:rsidRPr="0073288B">
              <w:rPr>
                <w:rFonts w:ascii="Times New Roman" w:eastAsia="Times New Roman" w:hAnsi="Times New Roman" w:cs="Times New Roman"/>
                <w:b/>
                <w:sz w:val="24"/>
                <w:szCs w:val="24"/>
              </w:rPr>
              <w:t>Base-case value source</w:t>
            </w:r>
          </w:p>
        </w:tc>
        <w:tc>
          <w:tcPr>
            <w:tcW w:w="1202" w:type="pct"/>
            <w:vMerge w:val="restart"/>
            <w:tcBorders>
              <w:top w:val="single" w:sz="12" w:space="0" w:color="000000"/>
              <w:bottom w:val="single" w:sz="2" w:space="0" w:color="000000"/>
            </w:tcBorders>
            <w:shd w:val="clear" w:color="auto" w:fill="E6E6E6"/>
            <w:vAlign w:val="bottom"/>
          </w:tcPr>
          <w:p w14:paraId="282B2E51" w14:textId="77777777" w:rsidR="002750E1" w:rsidRPr="0073288B" w:rsidRDefault="002750E1" w:rsidP="002750E1">
            <w:pPr>
              <w:keepNext/>
              <w:spacing w:before="160" w:after="0" w:line="320" w:lineRule="exact"/>
              <w:jc w:val="center"/>
              <w:rPr>
                <w:rFonts w:ascii="Times New Roman" w:eastAsia="Times New Roman" w:hAnsi="Times New Roman" w:cs="Times New Roman"/>
                <w:b/>
                <w:sz w:val="24"/>
                <w:szCs w:val="24"/>
              </w:rPr>
            </w:pPr>
            <w:r w:rsidRPr="0073288B">
              <w:rPr>
                <w:rFonts w:ascii="Times New Roman" w:eastAsia="Times New Roman" w:hAnsi="Times New Roman" w:cs="Times New Roman"/>
                <w:b/>
                <w:sz w:val="24"/>
                <w:szCs w:val="24"/>
              </w:rPr>
              <w:t>Range source</w:t>
            </w:r>
          </w:p>
        </w:tc>
      </w:tr>
      <w:tr w:rsidR="002750E1" w:rsidRPr="00F67E72" w14:paraId="70E88CD3" w14:textId="77777777" w:rsidTr="0042228A">
        <w:trPr>
          <w:cantSplit/>
          <w:tblHeader/>
        </w:trPr>
        <w:tc>
          <w:tcPr>
            <w:tcW w:w="997" w:type="pct"/>
            <w:vMerge/>
            <w:tcBorders>
              <w:top w:val="single" w:sz="2" w:space="0" w:color="000000"/>
              <w:bottom w:val="single" w:sz="2" w:space="0" w:color="DDDDDD"/>
            </w:tcBorders>
            <w:shd w:val="clear" w:color="auto" w:fill="E6E6E6"/>
            <w:vAlign w:val="bottom"/>
          </w:tcPr>
          <w:p w14:paraId="652E8E07" w14:textId="77777777" w:rsidR="002750E1" w:rsidRPr="0073288B"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631" w:type="pct"/>
            <w:vMerge/>
            <w:tcBorders>
              <w:top w:val="single" w:sz="2" w:space="0" w:color="000000"/>
              <w:bottom w:val="single" w:sz="2" w:space="0" w:color="DDDDDD"/>
            </w:tcBorders>
            <w:shd w:val="clear" w:color="auto" w:fill="E6E6E6"/>
            <w:vAlign w:val="bottom"/>
          </w:tcPr>
          <w:p w14:paraId="460B9D33" w14:textId="77777777" w:rsidR="002750E1" w:rsidRPr="0073288B"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478" w:type="pct"/>
            <w:tcBorders>
              <w:top w:val="single" w:sz="2" w:space="0" w:color="000000"/>
              <w:bottom w:val="single" w:sz="2" w:space="0" w:color="DDDDDD"/>
            </w:tcBorders>
            <w:shd w:val="clear" w:color="auto" w:fill="E6E6E6"/>
            <w:vAlign w:val="bottom"/>
          </w:tcPr>
          <w:p w14:paraId="469A94A1" w14:textId="77777777" w:rsidR="002750E1" w:rsidRPr="0073288B" w:rsidRDefault="002750E1" w:rsidP="002750E1">
            <w:pPr>
              <w:keepNext/>
              <w:spacing w:before="160" w:after="0" w:line="320" w:lineRule="exact"/>
              <w:jc w:val="center"/>
              <w:rPr>
                <w:rFonts w:ascii="Times New Roman" w:eastAsia="Times New Roman" w:hAnsi="Times New Roman" w:cs="Times New Roman"/>
                <w:b/>
                <w:sz w:val="24"/>
                <w:szCs w:val="24"/>
              </w:rPr>
            </w:pPr>
            <w:r w:rsidRPr="0073288B">
              <w:rPr>
                <w:rFonts w:ascii="Times New Roman" w:eastAsia="Times New Roman" w:hAnsi="Times New Roman" w:cs="Times New Roman"/>
                <w:b/>
                <w:sz w:val="24"/>
                <w:szCs w:val="24"/>
              </w:rPr>
              <w:t>Lower bound</w:t>
            </w:r>
          </w:p>
        </w:tc>
        <w:tc>
          <w:tcPr>
            <w:tcW w:w="404" w:type="pct"/>
            <w:tcBorders>
              <w:top w:val="single" w:sz="2" w:space="0" w:color="000000"/>
              <w:bottom w:val="single" w:sz="2" w:space="0" w:color="DDDDDD"/>
            </w:tcBorders>
            <w:shd w:val="clear" w:color="auto" w:fill="E6E6E6"/>
            <w:vAlign w:val="bottom"/>
          </w:tcPr>
          <w:p w14:paraId="3344BBEE" w14:textId="77777777" w:rsidR="002750E1" w:rsidRPr="0073288B" w:rsidRDefault="002750E1" w:rsidP="002750E1">
            <w:pPr>
              <w:keepNext/>
              <w:spacing w:before="160" w:after="0" w:line="320" w:lineRule="exact"/>
              <w:jc w:val="center"/>
              <w:rPr>
                <w:rFonts w:ascii="Times New Roman" w:eastAsia="Times New Roman" w:hAnsi="Times New Roman" w:cs="Times New Roman"/>
                <w:b/>
                <w:sz w:val="24"/>
                <w:szCs w:val="24"/>
              </w:rPr>
            </w:pPr>
            <w:r w:rsidRPr="0073288B">
              <w:rPr>
                <w:rFonts w:ascii="Times New Roman" w:eastAsia="Times New Roman" w:hAnsi="Times New Roman" w:cs="Times New Roman"/>
                <w:b/>
                <w:sz w:val="24"/>
                <w:szCs w:val="24"/>
              </w:rPr>
              <w:t>Upper bound</w:t>
            </w:r>
          </w:p>
        </w:tc>
        <w:tc>
          <w:tcPr>
            <w:tcW w:w="1288" w:type="pct"/>
            <w:vMerge/>
            <w:tcBorders>
              <w:top w:val="single" w:sz="2" w:space="0" w:color="000000"/>
              <w:bottom w:val="single" w:sz="2" w:space="0" w:color="DDDDDD"/>
            </w:tcBorders>
            <w:shd w:val="clear" w:color="auto" w:fill="E6E6E6"/>
            <w:vAlign w:val="bottom"/>
          </w:tcPr>
          <w:p w14:paraId="6EEA7253" w14:textId="77777777" w:rsidR="002750E1" w:rsidRPr="0073288B"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1202" w:type="pct"/>
            <w:vMerge/>
            <w:tcBorders>
              <w:top w:val="single" w:sz="2" w:space="0" w:color="000000"/>
              <w:bottom w:val="single" w:sz="2" w:space="0" w:color="DDDDDD"/>
            </w:tcBorders>
            <w:shd w:val="clear" w:color="auto" w:fill="E6E6E6"/>
            <w:vAlign w:val="bottom"/>
          </w:tcPr>
          <w:p w14:paraId="3330C454" w14:textId="77777777" w:rsidR="002750E1" w:rsidRPr="0073288B" w:rsidRDefault="002750E1" w:rsidP="002750E1">
            <w:pPr>
              <w:keepNext/>
              <w:spacing w:before="160" w:after="0" w:line="320" w:lineRule="exact"/>
              <w:jc w:val="center"/>
              <w:rPr>
                <w:rFonts w:ascii="Times New Roman" w:eastAsia="Times New Roman" w:hAnsi="Times New Roman" w:cs="Times New Roman"/>
                <w:b/>
                <w:sz w:val="24"/>
                <w:szCs w:val="24"/>
              </w:rPr>
            </w:pPr>
          </w:p>
        </w:tc>
      </w:tr>
      <w:tr w:rsidR="002750E1" w:rsidRPr="00F67E72" w14:paraId="054A0DE9" w14:textId="77777777" w:rsidTr="0042228A">
        <w:trPr>
          <w:cantSplit/>
        </w:trPr>
        <w:tc>
          <w:tcPr>
            <w:tcW w:w="997" w:type="pct"/>
            <w:tcBorders>
              <w:top w:val="single" w:sz="2" w:space="0" w:color="DDDDDD"/>
            </w:tcBorders>
            <w:shd w:val="clear" w:color="auto" w:fill="FFFFFF"/>
          </w:tcPr>
          <w:p w14:paraId="246F7157" w14:textId="77777777" w:rsidR="002750E1" w:rsidRPr="0073288B" w:rsidRDefault="002750E1" w:rsidP="002750E1">
            <w:pPr>
              <w:keepNext/>
              <w:spacing w:before="40" w:after="40" w:line="240" w:lineRule="atLeast"/>
              <w:rPr>
                <w:rFonts w:ascii="Times New Roman" w:eastAsia="Times New Roman" w:hAnsi="Times New Roman" w:cs="Times New Roman"/>
                <w:b/>
                <w:sz w:val="24"/>
                <w:szCs w:val="24"/>
              </w:rPr>
            </w:pPr>
            <w:r w:rsidRPr="0073288B">
              <w:rPr>
                <w:rFonts w:ascii="Times New Roman" w:eastAsia="Times New Roman" w:hAnsi="Times New Roman" w:cs="Times New Roman"/>
                <w:b/>
                <w:sz w:val="24"/>
                <w:szCs w:val="24"/>
              </w:rPr>
              <w:t>Vaccine efficacy/coverage</w:t>
            </w:r>
          </w:p>
        </w:tc>
        <w:tc>
          <w:tcPr>
            <w:tcW w:w="631" w:type="pct"/>
            <w:tcBorders>
              <w:top w:val="single" w:sz="2" w:space="0" w:color="DDDDDD"/>
            </w:tcBorders>
            <w:shd w:val="clear" w:color="auto" w:fill="FFFFFF"/>
          </w:tcPr>
          <w:p w14:paraId="625BE5A7" w14:textId="77777777" w:rsidR="002750E1" w:rsidRPr="0073288B" w:rsidRDefault="002750E1" w:rsidP="002750E1">
            <w:pPr>
              <w:spacing w:before="40" w:after="40" w:line="240" w:lineRule="atLeast"/>
              <w:rPr>
                <w:rFonts w:ascii="Times New Roman" w:eastAsia="Times New Roman" w:hAnsi="Times New Roman" w:cs="Times New Roman"/>
                <w:sz w:val="24"/>
                <w:szCs w:val="24"/>
              </w:rPr>
            </w:pPr>
          </w:p>
        </w:tc>
        <w:tc>
          <w:tcPr>
            <w:tcW w:w="478" w:type="pct"/>
            <w:tcBorders>
              <w:top w:val="single" w:sz="2" w:space="0" w:color="DDDDDD"/>
            </w:tcBorders>
            <w:shd w:val="clear" w:color="auto" w:fill="FFFFFF"/>
          </w:tcPr>
          <w:p w14:paraId="7A8629B5" w14:textId="77777777" w:rsidR="002750E1" w:rsidRPr="0073288B" w:rsidRDefault="002750E1" w:rsidP="002750E1">
            <w:pPr>
              <w:spacing w:before="40" w:after="40" w:line="240" w:lineRule="atLeast"/>
              <w:rPr>
                <w:rFonts w:ascii="Times New Roman" w:eastAsia="Times New Roman" w:hAnsi="Times New Roman" w:cs="Times New Roman"/>
                <w:sz w:val="24"/>
                <w:szCs w:val="24"/>
              </w:rPr>
            </w:pPr>
          </w:p>
        </w:tc>
        <w:tc>
          <w:tcPr>
            <w:tcW w:w="404" w:type="pct"/>
            <w:tcBorders>
              <w:top w:val="single" w:sz="2" w:space="0" w:color="DDDDDD"/>
            </w:tcBorders>
            <w:shd w:val="clear" w:color="auto" w:fill="FFFFFF"/>
          </w:tcPr>
          <w:p w14:paraId="07FAF021" w14:textId="77777777" w:rsidR="002750E1" w:rsidRPr="0073288B" w:rsidRDefault="002750E1" w:rsidP="002750E1">
            <w:pPr>
              <w:spacing w:before="40" w:after="40" w:line="240" w:lineRule="atLeast"/>
              <w:rPr>
                <w:rFonts w:ascii="Times New Roman" w:eastAsia="Times New Roman" w:hAnsi="Times New Roman" w:cs="Times New Roman"/>
                <w:sz w:val="24"/>
                <w:szCs w:val="24"/>
              </w:rPr>
            </w:pPr>
          </w:p>
        </w:tc>
        <w:tc>
          <w:tcPr>
            <w:tcW w:w="1288" w:type="pct"/>
            <w:tcBorders>
              <w:top w:val="single" w:sz="2" w:space="0" w:color="DDDDDD"/>
            </w:tcBorders>
            <w:shd w:val="clear" w:color="auto" w:fill="FFFFFF"/>
          </w:tcPr>
          <w:p w14:paraId="40DAE0B4" w14:textId="77777777" w:rsidR="002750E1" w:rsidRPr="0073288B" w:rsidRDefault="002750E1" w:rsidP="002750E1">
            <w:pPr>
              <w:spacing w:before="40" w:after="40" w:line="240" w:lineRule="atLeast"/>
              <w:rPr>
                <w:rFonts w:ascii="Times New Roman" w:eastAsia="Times New Roman" w:hAnsi="Times New Roman" w:cs="Times New Roman"/>
                <w:sz w:val="24"/>
                <w:szCs w:val="24"/>
              </w:rPr>
            </w:pPr>
          </w:p>
        </w:tc>
        <w:tc>
          <w:tcPr>
            <w:tcW w:w="1202" w:type="pct"/>
            <w:tcBorders>
              <w:top w:val="single" w:sz="2" w:space="0" w:color="DDDDDD"/>
            </w:tcBorders>
            <w:shd w:val="clear" w:color="auto" w:fill="FFFFFF"/>
          </w:tcPr>
          <w:p w14:paraId="27EB3481" w14:textId="77777777" w:rsidR="002750E1" w:rsidRPr="0073288B" w:rsidRDefault="002750E1" w:rsidP="002750E1">
            <w:pPr>
              <w:spacing w:before="40" w:after="40" w:line="240" w:lineRule="atLeast"/>
              <w:rPr>
                <w:rFonts w:ascii="Times New Roman" w:eastAsia="Times New Roman" w:hAnsi="Times New Roman" w:cs="Times New Roman"/>
                <w:sz w:val="24"/>
                <w:szCs w:val="24"/>
              </w:rPr>
            </w:pPr>
          </w:p>
        </w:tc>
      </w:tr>
      <w:tr w:rsidR="002750E1" w:rsidRPr="00F67E72" w14:paraId="419511F0" w14:textId="77777777" w:rsidTr="0042228A">
        <w:trPr>
          <w:cantSplit/>
        </w:trPr>
        <w:tc>
          <w:tcPr>
            <w:tcW w:w="1628" w:type="pct"/>
            <w:gridSpan w:val="2"/>
            <w:shd w:val="clear" w:color="auto" w:fill="FFFFFF"/>
          </w:tcPr>
          <w:p w14:paraId="05045D58" w14:textId="77777777" w:rsidR="002750E1" w:rsidRPr="0073288B" w:rsidRDefault="002750E1" w:rsidP="002750E1">
            <w:pPr>
              <w:spacing w:before="40" w:after="40" w:line="240" w:lineRule="atLeast"/>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Initial RZV efficacy against HZ</w:t>
            </w:r>
          </w:p>
        </w:tc>
        <w:tc>
          <w:tcPr>
            <w:tcW w:w="478" w:type="pct"/>
            <w:shd w:val="clear" w:color="auto" w:fill="FFFFFF"/>
          </w:tcPr>
          <w:p w14:paraId="137DA734" w14:textId="77777777" w:rsidR="002750E1" w:rsidRPr="0073288B" w:rsidRDefault="002750E1" w:rsidP="002750E1">
            <w:pPr>
              <w:spacing w:before="40" w:after="40" w:line="240" w:lineRule="atLeast"/>
              <w:rPr>
                <w:rFonts w:ascii="Times New Roman" w:eastAsia="Times New Roman" w:hAnsi="Times New Roman" w:cs="Times New Roman"/>
                <w:sz w:val="24"/>
                <w:szCs w:val="24"/>
              </w:rPr>
            </w:pPr>
          </w:p>
        </w:tc>
        <w:tc>
          <w:tcPr>
            <w:tcW w:w="404" w:type="pct"/>
            <w:shd w:val="clear" w:color="auto" w:fill="FFFFFF"/>
          </w:tcPr>
          <w:p w14:paraId="56842C23" w14:textId="77777777" w:rsidR="002750E1" w:rsidRPr="0073288B" w:rsidRDefault="002750E1" w:rsidP="002750E1">
            <w:pPr>
              <w:spacing w:before="40" w:after="40" w:line="240" w:lineRule="atLeast"/>
              <w:rPr>
                <w:rFonts w:ascii="Times New Roman" w:eastAsia="Times New Roman" w:hAnsi="Times New Roman" w:cs="Times New Roman"/>
                <w:sz w:val="24"/>
                <w:szCs w:val="24"/>
              </w:rPr>
            </w:pPr>
          </w:p>
        </w:tc>
        <w:tc>
          <w:tcPr>
            <w:tcW w:w="1288" w:type="pct"/>
            <w:shd w:val="clear" w:color="auto" w:fill="FFFFFF"/>
          </w:tcPr>
          <w:p w14:paraId="279E2809" w14:textId="77777777" w:rsidR="002750E1" w:rsidRPr="0073288B" w:rsidRDefault="002750E1" w:rsidP="002750E1">
            <w:pPr>
              <w:spacing w:before="40" w:after="40" w:line="240" w:lineRule="atLeast"/>
              <w:rPr>
                <w:rFonts w:ascii="Times New Roman" w:eastAsia="Times New Roman" w:hAnsi="Times New Roman" w:cs="Times New Roman"/>
                <w:sz w:val="24"/>
                <w:szCs w:val="24"/>
              </w:rPr>
            </w:pPr>
          </w:p>
        </w:tc>
        <w:tc>
          <w:tcPr>
            <w:tcW w:w="1202" w:type="pct"/>
            <w:shd w:val="clear" w:color="auto" w:fill="FFFFFF"/>
          </w:tcPr>
          <w:p w14:paraId="7972BBA1" w14:textId="77777777" w:rsidR="002750E1" w:rsidRPr="0073288B" w:rsidRDefault="002750E1" w:rsidP="002750E1">
            <w:pPr>
              <w:spacing w:before="40" w:after="40" w:line="240" w:lineRule="atLeast"/>
              <w:rPr>
                <w:rFonts w:ascii="Times New Roman" w:eastAsia="Times New Roman" w:hAnsi="Times New Roman" w:cs="Times New Roman"/>
                <w:sz w:val="24"/>
                <w:szCs w:val="24"/>
              </w:rPr>
            </w:pPr>
          </w:p>
        </w:tc>
      </w:tr>
      <w:tr w:rsidR="002750E1" w:rsidRPr="00F67E72" w14:paraId="36B969FA" w14:textId="77777777" w:rsidTr="0042228A">
        <w:trPr>
          <w:cantSplit/>
        </w:trPr>
        <w:tc>
          <w:tcPr>
            <w:tcW w:w="997" w:type="pct"/>
            <w:shd w:val="clear" w:color="auto" w:fill="FFFFFF"/>
          </w:tcPr>
          <w:p w14:paraId="0EDE072C" w14:textId="77777777" w:rsidR="002750E1" w:rsidRPr="0073288B" w:rsidRDefault="002750E1" w:rsidP="002750E1">
            <w:pPr>
              <w:spacing w:before="40" w:after="40" w:line="240" w:lineRule="atLeast"/>
              <w:ind w:left="187"/>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One dose</w:t>
            </w:r>
          </w:p>
        </w:tc>
        <w:tc>
          <w:tcPr>
            <w:tcW w:w="631" w:type="pct"/>
            <w:shd w:val="clear" w:color="auto" w:fill="FFFFFF"/>
          </w:tcPr>
          <w:p w14:paraId="76C5D46F"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58.0%</w:t>
            </w:r>
          </w:p>
        </w:tc>
        <w:tc>
          <w:tcPr>
            <w:tcW w:w="478" w:type="pct"/>
            <w:shd w:val="clear" w:color="auto" w:fill="FFFFFF"/>
          </w:tcPr>
          <w:p w14:paraId="1E73A209"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46.4%</w:t>
            </w:r>
          </w:p>
        </w:tc>
        <w:tc>
          <w:tcPr>
            <w:tcW w:w="404" w:type="pct"/>
            <w:shd w:val="clear" w:color="auto" w:fill="FFFFFF"/>
          </w:tcPr>
          <w:p w14:paraId="551BE28C"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69.6%</w:t>
            </w:r>
          </w:p>
        </w:tc>
        <w:tc>
          <w:tcPr>
            <w:tcW w:w="1288" w:type="pct"/>
            <w:shd w:val="clear" w:color="auto" w:fill="FFFFFF"/>
          </w:tcPr>
          <w:p w14:paraId="29CF064D"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73288B">
              <w:rPr>
                <w:rFonts w:ascii="Times New Roman" w:eastAsia="Times New Roman" w:hAnsi="Times New Roman" w:cs="Times New Roman"/>
                <w:sz w:val="24"/>
                <w:szCs w:val="24"/>
              </w:rPr>
              <w:t>Assumed</w:t>
            </w:r>
            <w:r w:rsidRPr="003A1943">
              <w:rPr>
                <w:rFonts w:ascii="Times New Roman" w:eastAsia="Times New Roman" w:hAnsi="Times New Roman" w:cs="Times New Roman"/>
                <w:sz w:val="24"/>
                <w:szCs w:val="24"/>
                <w:vertAlign w:val="superscript"/>
              </w:rPr>
              <w:t>†</w:t>
            </w:r>
          </w:p>
        </w:tc>
        <w:tc>
          <w:tcPr>
            <w:tcW w:w="1202" w:type="pct"/>
            <w:shd w:val="clear" w:color="auto" w:fill="FFFFFF"/>
          </w:tcPr>
          <w:p w14:paraId="063191F7"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73288B">
              <w:rPr>
                <w:rFonts w:ascii="Times New Roman" w:eastAsia="Times New Roman" w:hAnsi="Times New Roman" w:cs="Times New Roman"/>
                <w:sz w:val="24"/>
                <w:szCs w:val="24"/>
              </w:rPr>
              <w:t>Assumed</w:t>
            </w:r>
            <w:r w:rsidRPr="003A1943">
              <w:rPr>
                <w:rFonts w:ascii="Times New Roman" w:eastAsia="Times New Roman" w:hAnsi="Times New Roman" w:cs="Times New Roman"/>
                <w:sz w:val="24"/>
                <w:szCs w:val="24"/>
                <w:vertAlign w:val="superscript"/>
              </w:rPr>
              <w:t>†</w:t>
            </w:r>
          </w:p>
        </w:tc>
      </w:tr>
      <w:tr w:rsidR="002750E1" w:rsidRPr="00F67E72" w14:paraId="2CD2B1D3" w14:textId="77777777" w:rsidTr="0042228A">
        <w:trPr>
          <w:cantSplit/>
        </w:trPr>
        <w:tc>
          <w:tcPr>
            <w:tcW w:w="997" w:type="pct"/>
            <w:shd w:val="clear" w:color="auto" w:fill="FFFFFF"/>
          </w:tcPr>
          <w:p w14:paraId="02236CF9" w14:textId="77777777" w:rsidR="002750E1" w:rsidRPr="0073288B" w:rsidRDefault="002750E1" w:rsidP="002750E1">
            <w:pPr>
              <w:spacing w:before="40" w:after="40" w:line="240" w:lineRule="atLeast"/>
              <w:ind w:left="187"/>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Two doses</w:t>
            </w:r>
          </w:p>
        </w:tc>
        <w:tc>
          <w:tcPr>
            <w:tcW w:w="631" w:type="pct"/>
            <w:shd w:val="clear" w:color="auto" w:fill="FFFFFF"/>
          </w:tcPr>
          <w:p w14:paraId="24183512"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72.5%</w:t>
            </w:r>
          </w:p>
        </w:tc>
        <w:tc>
          <w:tcPr>
            <w:tcW w:w="478" w:type="pct"/>
            <w:shd w:val="clear" w:color="auto" w:fill="FFFFFF"/>
          </w:tcPr>
          <w:p w14:paraId="4FB8B840"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58.3%</w:t>
            </w:r>
          </w:p>
        </w:tc>
        <w:tc>
          <w:tcPr>
            <w:tcW w:w="404" w:type="pct"/>
            <w:shd w:val="clear" w:color="auto" w:fill="FFFFFF"/>
          </w:tcPr>
          <w:p w14:paraId="7C814F61"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82.4%</w:t>
            </w:r>
          </w:p>
        </w:tc>
        <w:tc>
          <w:tcPr>
            <w:tcW w:w="1288" w:type="pct"/>
            <w:shd w:val="clear" w:color="auto" w:fill="FFFFFF"/>
          </w:tcPr>
          <w:p w14:paraId="07CF3E2B" w14:textId="2253E535" w:rsidR="002750E1" w:rsidRPr="0073288B"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73288B">
              <w:rPr>
                <w:rFonts w:ascii="Times New Roman" w:eastAsia="Times New Roman" w:hAnsi="Times New Roman" w:cs="Times New Roman"/>
                <w:sz w:val="24"/>
                <w:szCs w:val="24"/>
              </w:rPr>
              <w:t>GSK (2020)</w:t>
            </w:r>
            <w:r w:rsidR="00DB6F49">
              <w:rPr>
                <w:rFonts w:ascii="Times New Roman" w:eastAsia="Times New Roman" w:hAnsi="Times New Roman" w:cs="Times New Roman"/>
                <w:sz w:val="24"/>
                <w:szCs w:val="24"/>
                <w:vertAlign w:val="superscript"/>
              </w:rPr>
              <w:t>45</w:t>
            </w:r>
            <w:r w:rsidRPr="003A1943">
              <w:rPr>
                <w:rFonts w:ascii="Times New Roman" w:eastAsia="Times New Roman" w:hAnsi="Times New Roman" w:cs="Times New Roman"/>
                <w:sz w:val="24"/>
                <w:szCs w:val="24"/>
                <w:vertAlign w:val="superscript"/>
              </w:rPr>
              <w:t>‡</w:t>
            </w:r>
          </w:p>
        </w:tc>
        <w:tc>
          <w:tcPr>
            <w:tcW w:w="1202" w:type="pct"/>
            <w:shd w:val="clear" w:color="auto" w:fill="FFFFFF"/>
          </w:tcPr>
          <w:p w14:paraId="3490A9E6" w14:textId="078CED09" w:rsidR="002750E1" w:rsidRPr="0073288B"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73288B">
              <w:rPr>
                <w:rFonts w:ascii="Times New Roman" w:eastAsia="Times New Roman" w:hAnsi="Times New Roman" w:cs="Times New Roman"/>
                <w:sz w:val="24"/>
                <w:szCs w:val="24"/>
              </w:rPr>
              <w:t>GSK (2020)</w:t>
            </w:r>
            <w:r w:rsidR="00DB6F49">
              <w:rPr>
                <w:rFonts w:ascii="Times New Roman" w:eastAsia="Times New Roman" w:hAnsi="Times New Roman" w:cs="Times New Roman"/>
                <w:sz w:val="24"/>
                <w:szCs w:val="24"/>
                <w:vertAlign w:val="superscript"/>
              </w:rPr>
              <w:t>45</w:t>
            </w:r>
            <w:r w:rsidRPr="003A1943">
              <w:rPr>
                <w:rFonts w:ascii="Times New Roman" w:eastAsia="Times New Roman" w:hAnsi="Times New Roman" w:cs="Times New Roman"/>
                <w:sz w:val="24"/>
                <w:szCs w:val="24"/>
                <w:vertAlign w:val="superscript"/>
              </w:rPr>
              <w:t>‡</w:t>
            </w:r>
          </w:p>
        </w:tc>
      </w:tr>
      <w:tr w:rsidR="002750E1" w:rsidRPr="00F67E72" w14:paraId="2B201EB0" w14:textId="77777777" w:rsidTr="0042228A">
        <w:trPr>
          <w:cantSplit/>
        </w:trPr>
        <w:tc>
          <w:tcPr>
            <w:tcW w:w="1628" w:type="pct"/>
            <w:gridSpan w:val="2"/>
            <w:shd w:val="clear" w:color="auto" w:fill="FFFFFF"/>
          </w:tcPr>
          <w:p w14:paraId="29FCBA41"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Initial RZV efficacy against PHN</w:t>
            </w:r>
          </w:p>
        </w:tc>
        <w:tc>
          <w:tcPr>
            <w:tcW w:w="478" w:type="pct"/>
            <w:shd w:val="clear" w:color="auto" w:fill="FFFFFF"/>
          </w:tcPr>
          <w:p w14:paraId="5F8217D8"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p>
        </w:tc>
        <w:tc>
          <w:tcPr>
            <w:tcW w:w="404" w:type="pct"/>
            <w:shd w:val="clear" w:color="auto" w:fill="FFFFFF"/>
          </w:tcPr>
          <w:p w14:paraId="1CD99735"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p>
        </w:tc>
        <w:tc>
          <w:tcPr>
            <w:tcW w:w="1288" w:type="pct"/>
            <w:shd w:val="clear" w:color="auto" w:fill="FFFFFF"/>
          </w:tcPr>
          <w:p w14:paraId="628A88A5"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p>
        </w:tc>
        <w:tc>
          <w:tcPr>
            <w:tcW w:w="1202" w:type="pct"/>
            <w:shd w:val="clear" w:color="auto" w:fill="FFFFFF"/>
          </w:tcPr>
          <w:p w14:paraId="77A90B36"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p>
        </w:tc>
      </w:tr>
      <w:tr w:rsidR="002750E1" w:rsidRPr="00F67E72" w14:paraId="1F0AC790" w14:textId="77777777" w:rsidTr="0042228A">
        <w:trPr>
          <w:cantSplit/>
        </w:trPr>
        <w:tc>
          <w:tcPr>
            <w:tcW w:w="997" w:type="pct"/>
            <w:shd w:val="clear" w:color="auto" w:fill="FFFFFF"/>
          </w:tcPr>
          <w:p w14:paraId="0A461A63" w14:textId="77777777" w:rsidR="002750E1" w:rsidRPr="0073288B" w:rsidRDefault="002750E1" w:rsidP="002750E1">
            <w:pPr>
              <w:spacing w:before="40" w:after="40" w:line="240" w:lineRule="atLeast"/>
              <w:ind w:left="187"/>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One dose</w:t>
            </w:r>
          </w:p>
        </w:tc>
        <w:tc>
          <w:tcPr>
            <w:tcW w:w="631" w:type="pct"/>
            <w:shd w:val="clear" w:color="auto" w:fill="FFFFFF"/>
          </w:tcPr>
          <w:p w14:paraId="3E6EF047"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75.9%</w:t>
            </w:r>
          </w:p>
        </w:tc>
        <w:tc>
          <w:tcPr>
            <w:tcW w:w="478" w:type="pct"/>
            <w:shd w:val="clear" w:color="auto" w:fill="FFFFFF"/>
          </w:tcPr>
          <w:p w14:paraId="4104A2FE"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60.7%</w:t>
            </w:r>
          </w:p>
        </w:tc>
        <w:tc>
          <w:tcPr>
            <w:tcW w:w="404" w:type="pct"/>
            <w:shd w:val="clear" w:color="auto" w:fill="FFFFFF"/>
          </w:tcPr>
          <w:p w14:paraId="69EDC3E3"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91.0%</w:t>
            </w:r>
          </w:p>
        </w:tc>
        <w:tc>
          <w:tcPr>
            <w:tcW w:w="1288" w:type="pct"/>
            <w:shd w:val="clear" w:color="auto" w:fill="FFFFFF"/>
          </w:tcPr>
          <w:p w14:paraId="6180BE98"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Assumed</w:t>
            </w:r>
            <w:r w:rsidRPr="003A1943">
              <w:rPr>
                <w:rFonts w:ascii="Times New Roman" w:eastAsia="Times New Roman" w:hAnsi="Times New Roman" w:cs="Times New Roman"/>
                <w:sz w:val="24"/>
                <w:szCs w:val="24"/>
                <w:vertAlign w:val="superscript"/>
              </w:rPr>
              <w:t>†</w:t>
            </w:r>
          </w:p>
        </w:tc>
        <w:tc>
          <w:tcPr>
            <w:tcW w:w="1202" w:type="pct"/>
            <w:shd w:val="clear" w:color="auto" w:fill="FFFFFF"/>
          </w:tcPr>
          <w:p w14:paraId="231CB2F9"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Assumed</w:t>
            </w:r>
            <w:r w:rsidRPr="003A1943">
              <w:rPr>
                <w:rFonts w:ascii="Times New Roman" w:eastAsia="Times New Roman" w:hAnsi="Times New Roman" w:cs="Times New Roman"/>
                <w:sz w:val="24"/>
                <w:szCs w:val="24"/>
                <w:vertAlign w:val="superscript"/>
              </w:rPr>
              <w:t>†</w:t>
            </w:r>
          </w:p>
        </w:tc>
      </w:tr>
      <w:tr w:rsidR="002750E1" w:rsidRPr="00F67E72" w14:paraId="3D8F0E15" w14:textId="77777777" w:rsidTr="0042228A">
        <w:trPr>
          <w:cantSplit/>
        </w:trPr>
        <w:tc>
          <w:tcPr>
            <w:tcW w:w="997" w:type="pct"/>
            <w:shd w:val="clear" w:color="auto" w:fill="FFFFFF"/>
          </w:tcPr>
          <w:p w14:paraId="7B968F43" w14:textId="77777777" w:rsidR="002750E1" w:rsidRPr="0073288B" w:rsidRDefault="002750E1" w:rsidP="002750E1">
            <w:pPr>
              <w:spacing w:before="40" w:after="40" w:line="240" w:lineRule="atLeast"/>
              <w:ind w:left="187"/>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Two doses</w:t>
            </w:r>
          </w:p>
        </w:tc>
        <w:tc>
          <w:tcPr>
            <w:tcW w:w="631" w:type="pct"/>
            <w:shd w:val="clear" w:color="auto" w:fill="FFFFFF"/>
          </w:tcPr>
          <w:p w14:paraId="5A030722"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94.8%</w:t>
            </w:r>
          </w:p>
        </w:tc>
        <w:tc>
          <w:tcPr>
            <w:tcW w:w="478" w:type="pct"/>
            <w:shd w:val="clear" w:color="auto" w:fill="FFFFFF"/>
          </w:tcPr>
          <w:p w14:paraId="41357EB0"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58.3%</w:t>
            </w:r>
          </w:p>
        </w:tc>
        <w:tc>
          <w:tcPr>
            <w:tcW w:w="404" w:type="pct"/>
            <w:shd w:val="clear" w:color="auto" w:fill="FFFFFF"/>
          </w:tcPr>
          <w:p w14:paraId="3C4A0FE3"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100.0%</w:t>
            </w:r>
          </w:p>
        </w:tc>
        <w:tc>
          <w:tcPr>
            <w:tcW w:w="1288" w:type="pct"/>
            <w:shd w:val="clear" w:color="auto" w:fill="FFFFFF"/>
          </w:tcPr>
          <w:p w14:paraId="00504B2A" w14:textId="52430FB2" w:rsidR="002750E1" w:rsidRPr="0073288B"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73288B">
              <w:rPr>
                <w:rFonts w:ascii="Times New Roman" w:eastAsia="Times New Roman" w:hAnsi="Times New Roman" w:cs="Times New Roman"/>
                <w:sz w:val="24"/>
                <w:szCs w:val="24"/>
              </w:rPr>
              <w:t>Bastidas et al.</w:t>
            </w:r>
            <w:r w:rsidRPr="0073288B">
              <w:rPr>
                <w:rFonts w:ascii="Times New Roman" w:eastAsia="Times New Roman" w:hAnsi="Times New Roman" w:cs="Times New Roman"/>
                <w:sz w:val="24"/>
                <w:szCs w:val="24"/>
                <w:vertAlign w:val="superscript"/>
              </w:rPr>
              <w:t>1</w:t>
            </w:r>
            <w:r w:rsidR="00AE259C">
              <w:rPr>
                <w:rFonts w:ascii="Times New Roman" w:eastAsia="Times New Roman" w:hAnsi="Times New Roman" w:cs="Times New Roman"/>
                <w:noProof/>
                <w:sz w:val="24"/>
                <w:szCs w:val="24"/>
                <w:vertAlign w:val="superscript"/>
              </w:rPr>
              <w:t>9</w:t>
            </w:r>
            <w:r w:rsidRPr="0073288B">
              <w:rPr>
                <w:rFonts w:ascii="Times New Roman" w:eastAsia="Times New Roman" w:hAnsi="Times New Roman" w:cs="Times New Roman"/>
                <w:sz w:val="24"/>
                <w:szCs w:val="24"/>
              </w:rPr>
              <w:t>; GSK (2020)</w:t>
            </w:r>
            <w:r w:rsidR="00DB6F49">
              <w:rPr>
                <w:rFonts w:ascii="Times New Roman" w:eastAsia="Times New Roman" w:hAnsi="Times New Roman" w:cs="Times New Roman"/>
                <w:sz w:val="24"/>
                <w:szCs w:val="24"/>
                <w:vertAlign w:val="superscript"/>
              </w:rPr>
              <w:t>45</w:t>
            </w:r>
            <w:r w:rsidRPr="003A1943">
              <w:rPr>
                <w:rFonts w:ascii="Times New Roman" w:eastAsia="Times New Roman" w:hAnsi="Times New Roman" w:cs="Times New Roman"/>
                <w:sz w:val="24"/>
                <w:szCs w:val="24"/>
                <w:vertAlign w:val="superscript"/>
              </w:rPr>
              <w:t>§</w:t>
            </w:r>
          </w:p>
        </w:tc>
        <w:tc>
          <w:tcPr>
            <w:tcW w:w="1202" w:type="pct"/>
            <w:shd w:val="clear" w:color="auto" w:fill="FFFFFF"/>
          </w:tcPr>
          <w:p w14:paraId="2360399D" w14:textId="1E92AD20" w:rsidR="002750E1" w:rsidRPr="0073288B"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73288B">
              <w:rPr>
                <w:rFonts w:ascii="Times New Roman" w:eastAsia="Times New Roman" w:hAnsi="Times New Roman" w:cs="Times New Roman"/>
                <w:sz w:val="24"/>
                <w:szCs w:val="24"/>
              </w:rPr>
              <w:t>Bastidas et al.</w:t>
            </w:r>
            <w:r w:rsidRPr="0073288B">
              <w:rPr>
                <w:rFonts w:ascii="Times New Roman" w:eastAsia="Times New Roman" w:hAnsi="Times New Roman" w:cs="Times New Roman"/>
                <w:sz w:val="24"/>
                <w:szCs w:val="24"/>
                <w:vertAlign w:val="superscript"/>
              </w:rPr>
              <w:t>1</w:t>
            </w:r>
            <w:r w:rsidR="00AE259C">
              <w:rPr>
                <w:rFonts w:ascii="Times New Roman" w:eastAsia="Times New Roman" w:hAnsi="Times New Roman" w:cs="Times New Roman"/>
                <w:noProof/>
                <w:sz w:val="24"/>
                <w:szCs w:val="24"/>
                <w:vertAlign w:val="superscript"/>
              </w:rPr>
              <w:t>9</w:t>
            </w:r>
            <w:r w:rsidRPr="0073288B">
              <w:rPr>
                <w:rFonts w:ascii="Times New Roman" w:eastAsia="Times New Roman" w:hAnsi="Times New Roman" w:cs="Times New Roman"/>
                <w:sz w:val="24"/>
                <w:szCs w:val="24"/>
              </w:rPr>
              <w:t>; GSK (2020)</w:t>
            </w:r>
            <w:r w:rsidR="00DB6F49">
              <w:rPr>
                <w:rFonts w:ascii="Times New Roman" w:eastAsia="Times New Roman" w:hAnsi="Times New Roman" w:cs="Times New Roman"/>
                <w:noProof/>
                <w:sz w:val="24"/>
                <w:szCs w:val="24"/>
                <w:vertAlign w:val="superscript"/>
              </w:rPr>
              <w:t>45</w:t>
            </w:r>
            <w:r w:rsidRPr="003A1943">
              <w:rPr>
                <w:rFonts w:ascii="Times New Roman" w:eastAsia="Times New Roman" w:hAnsi="Times New Roman" w:cs="Times New Roman"/>
                <w:sz w:val="24"/>
                <w:szCs w:val="24"/>
                <w:vertAlign w:val="superscript"/>
              </w:rPr>
              <w:t>§</w:t>
            </w:r>
          </w:p>
        </w:tc>
      </w:tr>
      <w:tr w:rsidR="002750E1" w:rsidRPr="00F67E72" w14:paraId="1A364919" w14:textId="77777777" w:rsidTr="0042228A">
        <w:trPr>
          <w:cantSplit/>
        </w:trPr>
        <w:tc>
          <w:tcPr>
            <w:tcW w:w="1628" w:type="pct"/>
            <w:gridSpan w:val="2"/>
            <w:shd w:val="clear" w:color="auto" w:fill="FFFFFF"/>
          </w:tcPr>
          <w:p w14:paraId="341C1FE2"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Annual waning of RZV efficacy</w:t>
            </w:r>
            <w:r w:rsidRPr="003A1943">
              <w:rPr>
                <w:rFonts w:ascii="Times New Roman" w:eastAsia="Times New Roman" w:hAnsi="Times New Roman" w:cs="Times New Roman"/>
                <w:sz w:val="24"/>
                <w:szCs w:val="24"/>
                <w:vertAlign w:val="superscript"/>
              </w:rPr>
              <w:t>||</w:t>
            </w:r>
          </w:p>
        </w:tc>
        <w:tc>
          <w:tcPr>
            <w:tcW w:w="478" w:type="pct"/>
            <w:shd w:val="clear" w:color="auto" w:fill="FFFFFF"/>
          </w:tcPr>
          <w:p w14:paraId="35FFFC4A"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p>
        </w:tc>
        <w:tc>
          <w:tcPr>
            <w:tcW w:w="404" w:type="pct"/>
            <w:shd w:val="clear" w:color="auto" w:fill="FFFFFF"/>
          </w:tcPr>
          <w:p w14:paraId="387E7EE5"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p>
        </w:tc>
        <w:tc>
          <w:tcPr>
            <w:tcW w:w="1288" w:type="pct"/>
            <w:shd w:val="clear" w:color="auto" w:fill="FFFFFF"/>
          </w:tcPr>
          <w:p w14:paraId="67D6F320"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p>
        </w:tc>
        <w:tc>
          <w:tcPr>
            <w:tcW w:w="1202" w:type="pct"/>
            <w:shd w:val="clear" w:color="auto" w:fill="FFFFFF"/>
          </w:tcPr>
          <w:p w14:paraId="3C3A0DF5"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p>
        </w:tc>
      </w:tr>
      <w:tr w:rsidR="002750E1" w:rsidRPr="00F67E72" w14:paraId="0B60A4E8" w14:textId="77777777" w:rsidTr="0042228A">
        <w:trPr>
          <w:cantSplit/>
        </w:trPr>
        <w:tc>
          <w:tcPr>
            <w:tcW w:w="997" w:type="pct"/>
            <w:shd w:val="clear" w:color="auto" w:fill="FFFFFF"/>
          </w:tcPr>
          <w:p w14:paraId="2F9EF66F" w14:textId="77777777" w:rsidR="002750E1" w:rsidRPr="0073288B" w:rsidRDefault="002750E1" w:rsidP="002750E1">
            <w:pPr>
              <w:spacing w:before="40" w:after="40" w:line="240" w:lineRule="atLeast"/>
              <w:ind w:left="187"/>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One dose</w:t>
            </w:r>
          </w:p>
        </w:tc>
        <w:tc>
          <w:tcPr>
            <w:tcW w:w="631" w:type="pct"/>
            <w:shd w:val="clear" w:color="auto" w:fill="FFFFFF"/>
          </w:tcPr>
          <w:p w14:paraId="0060DC91"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18.2%</w:t>
            </w:r>
          </w:p>
        </w:tc>
        <w:tc>
          <w:tcPr>
            <w:tcW w:w="478" w:type="pct"/>
            <w:shd w:val="clear" w:color="auto" w:fill="FFFFFF"/>
          </w:tcPr>
          <w:p w14:paraId="1EFA4ACB"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9.1%</w:t>
            </w:r>
          </w:p>
        </w:tc>
        <w:tc>
          <w:tcPr>
            <w:tcW w:w="404" w:type="pct"/>
            <w:shd w:val="clear" w:color="auto" w:fill="FFFFFF"/>
          </w:tcPr>
          <w:p w14:paraId="0314165B"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27.3%</w:t>
            </w:r>
          </w:p>
        </w:tc>
        <w:tc>
          <w:tcPr>
            <w:tcW w:w="1288" w:type="pct"/>
            <w:shd w:val="clear" w:color="auto" w:fill="FFFFFF"/>
          </w:tcPr>
          <w:p w14:paraId="34AA634C"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Assumed</w:t>
            </w:r>
            <w:r w:rsidRPr="003A1943">
              <w:rPr>
                <w:rFonts w:ascii="Times New Roman" w:eastAsia="Times New Roman" w:hAnsi="Times New Roman" w:cs="Times New Roman"/>
                <w:sz w:val="24"/>
                <w:szCs w:val="24"/>
                <w:vertAlign w:val="superscript"/>
              </w:rPr>
              <w:t>¶</w:t>
            </w:r>
          </w:p>
        </w:tc>
        <w:tc>
          <w:tcPr>
            <w:tcW w:w="1202" w:type="pct"/>
            <w:shd w:val="clear" w:color="auto" w:fill="FFFFFF"/>
          </w:tcPr>
          <w:p w14:paraId="07B023F8"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Assumed</w:t>
            </w:r>
            <w:r w:rsidRPr="003A1943">
              <w:rPr>
                <w:rFonts w:ascii="Times New Roman" w:eastAsia="Times New Roman" w:hAnsi="Times New Roman" w:cs="Times New Roman"/>
                <w:sz w:val="24"/>
                <w:szCs w:val="24"/>
                <w:vertAlign w:val="superscript"/>
              </w:rPr>
              <w:t>¶</w:t>
            </w:r>
          </w:p>
        </w:tc>
      </w:tr>
      <w:tr w:rsidR="002750E1" w:rsidRPr="00F67E72" w14:paraId="2D0EAC9F" w14:textId="77777777" w:rsidTr="0042228A">
        <w:trPr>
          <w:cantSplit/>
        </w:trPr>
        <w:tc>
          <w:tcPr>
            <w:tcW w:w="997" w:type="pct"/>
            <w:shd w:val="clear" w:color="auto" w:fill="FFFFFF"/>
          </w:tcPr>
          <w:p w14:paraId="15A31A85" w14:textId="77777777" w:rsidR="002750E1" w:rsidRPr="0073288B" w:rsidRDefault="002750E1" w:rsidP="002750E1">
            <w:pPr>
              <w:spacing w:before="40" w:after="40" w:line="240" w:lineRule="atLeast"/>
              <w:ind w:left="187"/>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Two doses</w:t>
            </w:r>
          </w:p>
        </w:tc>
        <w:tc>
          <w:tcPr>
            <w:tcW w:w="631" w:type="pct"/>
            <w:shd w:val="clear" w:color="auto" w:fill="FFFFFF"/>
          </w:tcPr>
          <w:p w14:paraId="2D3D29AC"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9.1%</w:t>
            </w:r>
          </w:p>
        </w:tc>
        <w:tc>
          <w:tcPr>
            <w:tcW w:w="478" w:type="pct"/>
            <w:shd w:val="clear" w:color="auto" w:fill="FFFFFF"/>
          </w:tcPr>
          <w:p w14:paraId="1E747EA8"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4.6%</w:t>
            </w:r>
          </w:p>
        </w:tc>
        <w:tc>
          <w:tcPr>
            <w:tcW w:w="404" w:type="pct"/>
            <w:shd w:val="clear" w:color="auto" w:fill="FFFFFF"/>
          </w:tcPr>
          <w:p w14:paraId="762BBE55"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18.2%</w:t>
            </w:r>
          </w:p>
        </w:tc>
        <w:tc>
          <w:tcPr>
            <w:tcW w:w="1288" w:type="pct"/>
            <w:shd w:val="clear" w:color="auto" w:fill="FFFFFF"/>
          </w:tcPr>
          <w:p w14:paraId="0731B1C7" w14:textId="6A9E0748"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Bastidas et al.</w:t>
            </w:r>
            <w:r w:rsidRPr="0073288B">
              <w:rPr>
                <w:rFonts w:ascii="Times New Roman" w:eastAsia="Times New Roman" w:hAnsi="Times New Roman" w:cs="Times New Roman"/>
                <w:noProof/>
                <w:sz w:val="24"/>
                <w:szCs w:val="24"/>
                <w:vertAlign w:val="superscript"/>
              </w:rPr>
              <w:t>1</w:t>
            </w:r>
            <w:r w:rsidR="00AE259C">
              <w:rPr>
                <w:rFonts w:ascii="Times New Roman" w:eastAsia="Times New Roman" w:hAnsi="Times New Roman" w:cs="Times New Roman"/>
                <w:noProof/>
                <w:sz w:val="24"/>
                <w:szCs w:val="24"/>
                <w:vertAlign w:val="superscript"/>
              </w:rPr>
              <w:t>9</w:t>
            </w:r>
            <w:r w:rsidRPr="0073288B">
              <w:rPr>
                <w:rFonts w:ascii="Times New Roman" w:eastAsia="Times New Roman" w:hAnsi="Times New Roman" w:cs="Times New Roman"/>
                <w:sz w:val="24"/>
                <w:szCs w:val="24"/>
              </w:rPr>
              <w:t>; GSK (2020)</w:t>
            </w:r>
            <w:r w:rsidR="00DB6F49">
              <w:rPr>
                <w:rFonts w:ascii="Times New Roman" w:eastAsia="Times New Roman" w:hAnsi="Times New Roman" w:cs="Times New Roman"/>
                <w:sz w:val="24"/>
                <w:szCs w:val="24"/>
                <w:vertAlign w:val="superscript"/>
              </w:rPr>
              <w:t>45</w:t>
            </w:r>
            <w:r w:rsidRPr="0073288B">
              <w:rPr>
                <w:rFonts w:ascii="Times New Roman" w:eastAsia="Times New Roman" w:hAnsi="Times New Roman" w:cs="Times New Roman"/>
                <w:sz w:val="24"/>
                <w:szCs w:val="24"/>
              </w:rPr>
              <w:t>**</w:t>
            </w:r>
          </w:p>
        </w:tc>
        <w:tc>
          <w:tcPr>
            <w:tcW w:w="1202" w:type="pct"/>
            <w:shd w:val="clear" w:color="auto" w:fill="FFFFFF"/>
          </w:tcPr>
          <w:p w14:paraId="187DCC2E" w14:textId="77777777" w:rsidR="002750E1" w:rsidRPr="0073288B" w:rsidRDefault="002750E1" w:rsidP="002750E1">
            <w:pPr>
              <w:tabs>
                <w:tab w:val="center" w:pos="1465"/>
              </w:tabs>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Assumed**</w:t>
            </w:r>
          </w:p>
        </w:tc>
      </w:tr>
      <w:tr w:rsidR="002750E1" w:rsidRPr="00F67E72" w14:paraId="43DCDC63" w14:textId="77777777" w:rsidTr="0042228A">
        <w:trPr>
          <w:cantSplit/>
        </w:trPr>
        <w:tc>
          <w:tcPr>
            <w:tcW w:w="997" w:type="pct"/>
            <w:shd w:val="clear" w:color="auto" w:fill="FFFFFF"/>
          </w:tcPr>
          <w:p w14:paraId="2701142C" w14:textId="77777777" w:rsidR="002750E1" w:rsidRPr="0073288B" w:rsidRDefault="002750E1" w:rsidP="002750E1">
            <w:pPr>
              <w:spacing w:before="40" w:after="40" w:line="240" w:lineRule="atLeast"/>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Second-dose compliance for RZV</w:t>
            </w:r>
          </w:p>
        </w:tc>
        <w:tc>
          <w:tcPr>
            <w:tcW w:w="631" w:type="pct"/>
            <w:shd w:val="clear" w:color="auto" w:fill="FFFFFF"/>
          </w:tcPr>
          <w:p w14:paraId="6F6FAF9A"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100.0%</w:t>
            </w:r>
          </w:p>
        </w:tc>
        <w:tc>
          <w:tcPr>
            <w:tcW w:w="478" w:type="pct"/>
            <w:shd w:val="clear" w:color="auto" w:fill="FFFFFF"/>
          </w:tcPr>
          <w:p w14:paraId="2AB09C0F"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76.0%</w:t>
            </w:r>
          </w:p>
        </w:tc>
        <w:tc>
          <w:tcPr>
            <w:tcW w:w="404" w:type="pct"/>
            <w:shd w:val="clear" w:color="auto" w:fill="FFFFFF"/>
          </w:tcPr>
          <w:p w14:paraId="545FC1B1"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100.0%</w:t>
            </w:r>
          </w:p>
        </w:tc>
        <w:tc>
          <w:tcPr>
            <w:tcW w:w="1288" w:type="pct"/>
            <w:shd w:val="clear" w:color="auto" w:fill="FFFFFF"/>
          </w:tcPr>
          <w:p w14:paraId="78967FC2"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73288B">
              <w:rPr>
                <w:rFonts w:ascii="Times New Roman" w:eastAsia="Times New Roman" w:hAnsi="Times New Roman" w:cs="Times New Roman"/>
                <w:sz w:val="24"/>
                <w:szCs w:val="24"/>
              </w:rPr>
              <w:t>Assumed</w:t>
            </w:r>
            <w:r w:rsidRPr="003A1943">
              <w:rPr>
                <w:rFonts w:ascii="Times New Roman" w:eastAsia="Times New Roman" w:hAnsi="Times New Roman" w:cs="Times New Roman"/>
                <w:sz w:val="24"/>
                <w:szCs w:val="24"/>
                <w:vertAlign w:val="superscript"/>
              </w:rPr>
              <w:t>††</w:t>
            </w:r>
          </w:p>
        </w:tc>
        <w:tc>
          <w:tcPr>
            <w:tcW w:w="1202" w:type="pct"/>
            <w:shd w:val="clear" w:color="auto" w:fill="FFFFFF"/>
          </w:tcPr>
          <w:p w14:paraId="40B03B39"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73288B">
              <w:rPr>
                <w:rFonts w:ascii="Times New Roman" w:eastAsia="Times New Roman" w:hAnsi="Times New Roman" w:cs="Times New Roman"/>
                <w:sz w:val="24"/>
                <w:szCs w:val="24"/>
              </w:rPr>
              <w:t>Assumed</w:t>
            </w:r>
            <w:r w:rsidRPr="003A1943">
              <w:rPr>
                <w:rFonts w:ascii="Times New Roman" w:eastAsia="Times New Roman" w:hAnsi="Times New Roman" w:cs="Times New Roman"/>
                <w:sz w:val="24"/>
                <w:szCs w:val="24"/>
                <w:vertAlign w:val="superscript"/>
              </w:rPr>
              <w:t>††</w:t>
            </w:r>
          </w:p>
        </w:tc>
      </w:tr>
      <w:tr w:rsidR="002750E1" w:rsidRPr="00F67E72" w14:paraId="5B8F70D1" w14:textId="77777777" w:rsidTr="0042228A">
        <w:trPr>
          <w:cantSplit/>
        </w:trPr>
        <w:tc>
          <w:tcPr>
            <w:tcW w:w="997" w:type="pct"/>
            <w:shd w:val="clear" w:color="auto" w:fill="FFFFFF"/>
          </w:tcPr>
          <w:p w14:paraId="0AFFA446" w14:textId="77777777" w:rsidR="002750E1" w:rsidRPr="0073288B" w:rsidRDefault="002750E1" w:rsidP="002750E1">
            <w:pPr>
              <w:spacing w:before="40" w:after="40" w:line="240" w:lineRule="atLeast"/>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 xml:space="preserve">Time (months) between the first and second doses of RZV </w:t>
            </w:r>
          </w:p>
        </w:tc>
        <w:tc>
          <w:tcPr>
            <w:tcW w:w="631" w:type="pct"/>
            <w:shd w:val="clear" w:color="auto" w:fill="FFFFFF"/>
          </w:tcPr>
          <w:p w14:paraId="0C4DD0E6"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2</w:t>
            </w:r>
          </w:p>
        </w:tc>
        <w:tc>
          <w:tcPr>
            <w:tcW w:w="478" w:type="pct"/>
            <w:shd w:val="clear" w:color="auto" w:fill="FFFFFF"/>
          </w:tcPr>
          <w:p w14:paraId="2053B543"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w:t>
            </w:r>
          </w:p>
        </w:tc>
        <w:tc>
          <w:tcPr>
            <w:tcW w:w="404" w:type="pct"/>
            <w:shd w:val="clear" w:color="auto" w:fill="FFFFFF"/>
          </w:tcPr>
          <w:p w14:paraId="465D9D89"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w:t>
            </w:r>
          </w:p>
        </w:tc>
        <w:tc>
          <w:tcPr>
            <w:tcW w:w="1288" w:type="pct"/>
            <w:shd w:val="clear" w:color="auto" w:fill="FFFFFF"/>
          </w:tcPr>
          <w:p w14:paraId="10717494"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73288B">
              <w:rPr>
                <w:rFonts w:ascii="Times New Roman" w:eastAsia="Times New Roman" w:hAnsi="Times New Roman" w:cs="Times New Roman"/>
                <w:sz w:val="24"/>
                <w:szCs w:val="24"/>
              </w:rPr>
              <w:t>Assumed</w:t>
            </w:r>
            <w:r w:rsidRPr="003A1943">
              <w:rPr>
                <w:rFonts w:ascii="Times New Roman" w:eastAsia="Times New Roman" w:hAnsi="Times New Roman" w:cs="Times New Roman"/>
                <w:sz w:val="24"/>
                <w:szCs w:val="24"/>
                <w:vertAlign w:val="superscript"/>
              </w:rPr>
              <w:t>‡‡</w:t>
            </w:r>
          </w:p>
        </w:tc>
        <w:tc>
          <w:tcPr>
            <w:tcW w:w="1202" w:type="pct"/>
            <w:shd w:val="clear" w:color="auto" w:fill="FFFFFF"/>
          </w:tcPr>
          <w:p w14:paraId="6B920324"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w:t>
            </w:r>
          </w:p>
        </w:tc>
      </w:tr>
      <w:tr w:rsidR="002750E1" w:rsidRPr="00F67E72" w14:paraId="69DABE62" w14:textId="77777777" w:rsidTr="0042228A">
        <w:trPr>
          <w:cantSplit/>
        </w:trPr>
        <w:tc>
          <w:tcPr>
            <w:tcW w:w="997" w:type="pct"/>
            <w:shd w:val="clear" w:color="auto" w:fill="FFFFFF"/>
          </w:tcPr>
          <w:p w14:paraId="28E7DBC4" w14:textId="77777777" w:rsidR="002750E1" w:rsidRPr="0073288B" w:rsidRDefault="002750E1" w:rsidP="002750E1">
            <w:pPr>
              <w:keepNext/>
              <w:spacing w:before="40" w:after="40" w:line="240" w:lineRule="atLeast"/>
              <w:rPr>
                <w:rFonts w:ascii="Times New Roman" w:eastAsia="Times New Roman" w:hAnsi="Times New Roman" w:cs="Times New Roman"/>
                <w:b/>
                <w:sz w:val="24"/>
                <w:szCs w:val="24"/>
              </w:rPr>
            </w:pPr>
            <w:r w:rsidRPr="0073288B">
              <w:rPr>
                <w:rFonts w:ascii="Times New Roman" w:eastAsia="Times New Roman" w:hAnsi="Times New Roman" w:cs="Times New Roman"/>
                <w:b/>
                <w:sz w:val="24"/>
                <w:szCs w:val="24"/>
              </w:rPr>
              <w:t>Adverse events</w:t>
            </w:r>
          </w:p>
        </w:tc>
        <w:tc>
          <w:tcPr>
            <w:tcW w:w="631" w:type="pct"/>
            <w:shd w:val="clear" w:color="auto" w:fill="FFFFFF"/>
          </w:tcPr>
          <w:p w14:paraId="61E6BFE0" w14:textId="77777777" w:rsidR="002750E1" w:rsidRPr="0073288B" w:rsidRDefault="002750E1" w:rsidP="002750E1">
            <w:pPr>
              <w:keepNext/>
              <w:spacing w:before="40" w:after="40" w:line="240" w:lineRule="atLeast"/>
              <w:jc w:val="center"/>
              <w:rPr>
                <w:rFonts w:ascii="Times New Roman" w:eastAsia="Times New Roman" w:hAnsi="Times New Roman" w:cs="Times New Roman"/>
                <w:b/>
                <w:sz w:val="24"/>
                <w:szCs w:val="24"/>
              </w:rPr>
            </w:pPr>
          </w:p>
        </w:tc>
        <w:tc>
          <w:tcPr>
            <w:tcW w:w="478" w:type="pct"/>
            <w:shd w:val="clear" w:color="auto" w:fill="FFFFFF"/>
          </w:tcPr>
          <w:p w14:paraId="6C5BCDC3" w14:textId="77777777" w:rsidR="002750E1" w:rsidRPr="0073288B" w:rsidRDefault="002750E1" w:rsidP="002750E1">
            <w:pPr>
              <w:keepNext/>
              <w:spacing w:before="40" w:after="40" w:line="240" w:lineRule="atLeast"/>
              <w:jc w:val="center"/>
              <w:rPr>
                <w:rFonts w:ascii="Times New Roman" w:eastAsia="Times New Roman" w:hAnsi="Times New Roman" w:cs="Times New Roman"/>
                <w:b/>
                <w:sz w:val="24"/>
                <w:szCs w:val="24"/>
              </w:rPr>
            </w:pPr>
          </w:p>
        </w:tc>
        <w:tc>
          <w:tcPr>
            <w:tcW w:w="404" w:type="pct"/>
            <w:shd w:val="clear" w:color="auto" w:fill="FFFFFF"/>
          </w:tcPr>
          <w:p w14:paraId="18F1A66E" w14:textId="77777777" w:rsidR="002750E1" w:rsidRPr="0073288B" w:rsidRDefault="002750E1" w:rsidP="002750E1">
            <w:pPr>
              <w:keepNext/>
              <w:spacing w:before="40" w:after="40" w:line="240" w:lineRule="atLeast"/>
              <w:jc w:val="center"/>
              <w:rPr>
                <w:rFonts w:ascii="Times New Roman" w:eastAsia="Times New Roman" w:hAnsi="Times New Roman" w:cs="Times New Roman"/>
                <w:b/>
                <w:sz w:val="24"/>
                <w:szCs w:val="24"/>
              </w:rPr>
            </w:pPr>
          </w:p>
        </w:tc>
        <w:tc>
          <w:tcPr>
            <w:tcW w:w="1288" w:type="pct"/>
            <w:shd w:val="clear" w:color="auto" w:fill="FFFFFF"/>
          </w:tcPr>
          <w:p w14:paraId="098A95B8" w14:textId="77777777" w:rsidR="002750E1" w:rsidRPr="0073288B" w:rsidRDefault="002750E1" w:rsidP="002750E1">
            <w:pPr>
              <w:keepNext/>
              <w:spacing w:before="40" w:after="40" w:line="240" w:lineRule="atLeast"/>
              <w:jc w:val="center"/>
              <w:rPr>
                <w:rFonts w:ascii="Times New Roman" w:eastAsia="Times New Roman" w:hAnsi="Times New Roman" w:cs="Times New Roman"/>
                <w:b/>
                <w:sz w:val="24"/>
                <w:szCs w:val="24"/>
              </w:rPr>
            </w:pPr>
          </w:p>
        </w:tc>
        <w:tc>
          <w:tcPr>
            <w:tcW w:w="1202" w:type="pct"/>
            <w:shd w:val="clear" w:color="auto" w:fill="FFFFFF"/>
          </w:tcPr>
          <w:p w14:paraId="249E5976" w14:textId="77777777" w:rsidR="002750E1" w:rsidRPr="0073288B" w:rsidRDefault="002750E1" w:rsidP="002750E1">
            <w:pPr>
              <w:keepNext/>
              <w:spacing w:before="40" w:after="40" w:line="240" w:lineRule="atLeast"/>
              <w:jc w:val="center"/>
              <w:rPr>
                <w:rFonts w:ascii="Times New Roman" w:eastAsia="Times New Roman" w:hAnsi="Times New Roman" w:cs="Times New Roman"/>
                <w:b/>
                <w:sz w:val="24"/>
                <w:szCs w:val="24"/>
              </w:rPr>
            </w:pPr>
          </w:p>
        </w:tc>
      </w:tr>
      <w:tr w:rsidR="002750E1" w:rsidRPr="00F67E72" w14:paraId="2609D224" w14:textId="77777777" w:rsidTr="0042228A">
        <w:trPr>
          <w:cantSplit/>
        </w:trPr>
        <w:tc>
          <w:tcPr>
            <w:tcW w:w="1628" w:type="pct"/>
            <w:gridSpan w:val="2"/>
            <w:shd w:val="clear" w:color="auto" w:fill="FFFFFF"/>
          </w:tcPr>
          <w:p w14:paraId="07C6B07D"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Incidence of AE per RZV dose</w:t>
            </w:r>
          </w:p>
        </w:tc>
        <w:tc>
          <w:tcPr>
            <w:tcW w:w="478" w:type="pct"/>
            <w:shd w:val="clear" w:color="auto" w:fill="FFFFFF"/>
          </w:tcPr>
          <w:p w14:paraId="6C6D5AB0"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p>
        </w:tc>
        <w:tc>
          <w:tcPr>
            <w:tcW w:w="404" w:type="pct"/>
            <w:shd w:val="clear" w:color="auto" w:fill="FFFFFF"/>
          </w:tcPr>
          <w:p w14:paraId="3A3D0361"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p>
        </w:tc>
        <w:tc>
          <w:tcPr>
            <w:tcW w:w="1288" w:type="pct"/>
            <w:shd w:val="clear" w:color="auto" w:fill="FFFFFF"/>
          </w:tcPr>
          <w:p w14:paraId="51B77A60"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p>
        </w:tc>
        <w:tc>
          <w:tcPr>
            <w:tcW w:w="1202" w:type="pct"/>
            <w:shd w:val="clear" w:color="auto" w:fill="FFFFFF"/>
          </w:tcPr>
          <w:p w14:paraId="06DEA26D"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p>
        </w:tc>
      </w:tr>
      <w:tr w:rsidR="002750E1" w:rsidRPr="00F67E72" w14:paraId="4B5B23A4" w14:textId="77777777" w:rsidTr="0042228A">
        <w:trPr>
          <w:cantSplit/>
        </w:trPr>
        <w:tc>
          <w:tcPr>
            <w:tcW w:w="997" w:type="pct"/>
            <w:shd w:val="clear" w:color="auto" w:fill="FFFFFF"/>
          </w:tcPr>
          <w:p w14:paraId="61CF7ECD" w14:textId="77777777" w:rsidR="002750E1" w:rsidRPr="0073288B" w:rsidRDefault="002750E1" w:rsidP="002750E1">
            <w:pPr>
              <w:spacing w:before="40" w:after="40" w:line="240" w:lineRule="atLeast"/>
              <w:ind w:left="187"/>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Local/general</w:t>
            </w:r>
          </w:p>
        </w:tc>
        <w:tc>
          <w:tcPr>
            <w:tcW w:w="631" w:type="pct"/>
            <w:shd w:val="clear" w:color="auto" w:fill="FFFFFF"/>
          </w:tcPr>
          <w:p w14:paraId="70406280"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0.8450</w:t>
            </w:r>
          </w:p>
        </w:tc>
        <w:tc>
          <w:tcPr>
            <w:tcW w:w="478" w:type="pct"/>
            <w:shd w:val="clear" w:color="auto" w:fill="FFFFFF"/>
          </w:tcPr>
          <w:p w14:paraId="710FB525"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404" w:type="pct"/>
            <w:shd w:val="clear" w:color="auto" w:fill="FFFFFF"/>
          </w:tcPr>
          <w:p w14:paraId="02A534F8"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1288" w:type="pct"/>
            <w:vMerge w:val="restart"/>
            <w:shd w:val="clear" w:color="auto" w:fill="FFFFFF"/>
          </w:tcPr>
          <w:p w14:paraId="16EDD08F" w14:textId="146F824E" w:rsidR="002750E1" w:rsidRPr="0073288B"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73288B">
              <w:rPr>
                <w:rFonts w:ascii="Times New Roman" w:eastAsia="Times New Roman" w:hAnsi="Times New Roman" w:cs="Times New Roman"/>
                <w:sz w:val="24"/>
                <w:szCs w:val="24"/>
              </w:rPr>
              <w:t>GSK (2020b)</w:t>
            </w:r>
            <w:r w:rsidR="00462D9C">
              <w:rPr>
                <w:rFonts w:ascii="Times New Roman" w:eastAsia="Times New Roman" w:hAnsi="Times New Roman" w:cs="Times New Roman"/>
                <w:sz w:val="24"/>
                <w:szCs w:val="24"/>
                <w:vertAlign w:val="superscript"/>
              </w:rPr>
              <w:t>46</w:t>
            </w:r>
            <w:r w:rsidRPr="0073288B">
              <w:rPr>
                <w:rFonts w:ascii="Times New Roman" w:eastAsia="Times New Roman" w:hAnsi="Times New Roman" w:cs="Times New Roman"/>
                <w:sz w:val="24"/>
                <w:szCs w:val="24"/>
              </w:rPr>
              <w:t>; GSK (2020c)</w:t>
            </w:r>
            <w:r w:rsidRPr="0073288B">
              <w:rPr>
                <w:rFonts w:ascii="Times New Roman" w:eastAsia="Times New Roman" w:hAnsi="Times New Roman" w:cs="Times New Roman"/>
                <w:noProof/>
                <w:sz w:val="24"/>
                <w:szCs w:val="24"/>
                <w:vertAlign w:val="superscript"/>
              </w:rPr>
              <w:t>4</w:t>
            </w:r>
            <w:r w:rsidR="00462D9C">
              <w:rPr>
                <w:rFonts w:ascii="Times New Roman" w:eastAsia="Times New Roman" w:hAnsi="Times New Roman" w:cs="Times New Roman"/>
                <w:noProof/>
                <w:sz w:val="24"/>
                <w:szCs w:val="24"/>
                <w:vertAlign w:val="superscript"/>
              </w:rPr>
              <w:t>7</w:t>
            </w:r>
            <w:r w:rsidRPr="003A1943">
              <w:rPr>
                <w:rFonts w:ascii="Times New Roman" w:eastAsia="Times New Roman" w:hAnsi="Times New Roman" w:cs="Times New Roman"/>
                <w:sz w:val="24"/>
                <w:szCs w:val="24"/>
                <w:vertAlign w:val="superscript"/>
              </w:rPr>
              <w:t>§§</w:t>
            </w:r>
          </w:p>
        </w:tc>
        <w:tc>
          <w:tcPr>
            <w:tcW w:w="1202" w:type="pct"/>
            <w:vMerge w:val="restart"/>
            <w:shd w:val="clear" w:color="auto" w:fill="FFFFFF"/>
          </w:tcPr>
          <w:p w14:paraId="3C66B5D9"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73288B">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r>
      <w:tr w:rsidR="002750E1" w:rsidRPr="00F67E72" w14:paraId="07F2D5B1" w14:textId="77777777" w:rsidTr="0042228A">
        <w:trPr>
          <w:cantSplit/>
        </w:trPr>
        <w:tc>
          <w:tcPr>
            <w:tcW w:w="997" w:type="pct"/>
            <w:shd w:val="clear" w:color="auto" w:fill="FFFFFF"/>
          </w:tcPr>
          <w:p w14:paraId="0273344E" w14:textId="77777777" w:rsidR="002750E1" w:rsidRPr="0073288B" w:rsidRDefault="002750E1" w:rsidP="002750E1">
            <w:pPr>
              <w:spacing w:before="40" w:after="40" w:line="240" w:lineRule="atLeast"/>
              <w:ind w:left="187"/>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PCP</w:t>
            </w:r>
          </w:p>
        </w:tc>
        <w:tc>
          <w:tcPr>
            <w:tcW w:w="631" w:type="pct"/>
            <w:shd w:val="clear" w:color="auto" w:fill="FFFFFF"/>
          </w:tcPr>
          <w:p w14:paraId="18AA5321"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0.0203</w:t>
            </w:r>
          </w:p>
        </w:tc>
        <w:tc>
          <w:tcPr>
            <w:tcW w:w="478" w:type="pct"/>
            <w:shd w:val="clear" w:color="auto" w:fill="FFFFFF"/>
          </w:tcPr>
          <w:p w14:paraId="5943D4B5"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404" w:type="pct"/>
            <w:shd w:val="clear" w:color="auto" w:fill="FFFFFF"/>
          </w:tcPr>
          <w:p w14:paraId="1A440BAF"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1288" w:type="pct"/>
            <w:vMerge/>
            <w:shd w:val="clear" w:color="auto" w:fill="FFFFFF"/>
          </w:tcPr>
          <w:p w14:paraId="3F80E994" w14:textId="77777777" w:rsidR="002750E1" w:rsidRPr="0073288B" w:rsidRDefault="002750E1" w:rsidP="002750E1">
            <w:pPr>
              <w:spacing w:before="40" w:after="40" w:line="240" w:lineRule="atLeast"/>
              <w:ind w:left="374"/>
              <w:rPr>
                <w:rFonts w:ascii="Times New Roman" w:eastAsia="Times New Roman" w:hAnsi="Times New Roman" w:cs="Times New Roman"/>
                <w:sz w:val="24"/>
                <w:szCs w:val="24"/>
              </w:rPr>
            </w:pPr>
          </w:p>
        </w:tc>
        <w:tc>
          <w:tcPr>
            <w:tcW w:w="1202" w:type="pct"/>
            <w:vMerge/>
            <w:shd w:val="clear" w:color="auto" w:fill="FFFFFF"/>
          </w:tcPr>
          <w:p w14:paraId="4F8DA4A9" w14:textId="77777777" w:rsidR="002750E1" w:rsidRPr="0073288B" w:rsidRDefault="002750E1" w:rsidP="002750E1">
            <w:pPr>
              <w:spacing w:before="40" w:after="40" w:line="240" w:lineRule="atLeast"/>
              <w:ind w:left="374"/>
              <w:rPr>
                <w:rFonts w:ascii="Times New Roman" w:eastAsia="Times New Roman" w:hAnsi="Times New Roman" w:cs="Times New Roman"/>
                <w:sz w:val="24"/>
                <w:szCs w:val="24"/>
              </w:rPr>
            </w:pPr>
          </w:p>
        </w:tc>
      </w:tr>
      <w:tr w:rsidR="002750E1" w:rsidRPr="00F67E72" w14:paraId="3032F356" w14:textId="77777777" w:rsidTr="0042228A">
        <w:trPr>
          <w:cantSplit/>
        </w:trPr>
        <w:tc>
          <w:tcPr>
            <w:tcW w:w="997" w:type="pct"/>
            <w:shd w:val="clear" w:color="auto" w:fill="FFFFFF"/>
          </w:tcPr>
          <w:p w14:paraId="09FCA92B" w14:textId="77777777" w:rsidR="002750E1" w:rsidRPr="0073288B" w:rsidRDefault="002750E1" w:rsidP="002750E1">
            <w:pPr>
              <w:spacing w:before="40" w:after="40" w:line="240" w:lineRule="atLeast"/>
              <w:ind w:left="187"/>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lastRenderedPageBreak/>
              <w:t>ER</w:t>
            </w:r>
          </w:p>
        </w:tc>
        <w:tc>
          <w:tcPr>
            <w:tcW w:w="631" w:type="pct"/>
            <w:shd w:val="clear" w:color="auto" w:fill="FFFFFF"/>
          </w:tcPr>
          <w:p w14:paraId="3CF27D22"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0.0045</w:t>
            </w:r>
          </w:p>
        </w:tc>
        <w:tc>
          <w:tcPr>
            <w:tcW w:w="478" w:type="pct"/>
            <w:shd w:val="clear" w:color="auto" w:fill="FFFFFF"/>
          </w:tcPr>
          <w:p w14:paraId="3DB76921"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404" w:type="pct"/>
            <w:shd w:val="clear" w:color="auto" w:fill="FFFFFF"/>
          </w:tcPr>
          <w:p w14:paraId="4048E06B"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1288" w:type="pct"/>
            <w:vMerge/>
            <w:shd w:val="clear" w:color="auto" w:fill="FFFFFF"/>
          </w:tcPr>
          <w:p w14:paraId="46D64302" w14:textId="77777777" w:rsidR="002750E1" w:rsidRPr="0073288B" w:rsidRDefault="002750E1" w:rsidP="002750E1">
            <w:pPr>
              <w:spacing w:before="40" w:after="40" w:line="240" w:lineRule="atLeast"/>
              <w:ind w:left="374"/>
              <w:rPr>
                <w:rFonts w:ascii="Times New Roman" w:eastAsia="Times New Roman" w:hAnsi="Times New Roman" w:cs="Times New Roman"/>
                <w:sz w:val="24"/>
                <w:szCs w:val="24"/>
              </w:rPr>
            </w:pPr>
          </w:p>
        </w:tc>
        <w:tc>
          <w:tcPr>
            <w:tcW w:w="1202" w:type="pct"/>
            <w:vMerge/>
            <w:shd w:val="clear" w:color="auto" w:fill="FFFFFF"/>
          </w:tcPr>
          <w:p w14:paraId="24D59146" w14:textId="77777777" w:rsidR="002750E1" w:rsidRPr="0073288B" w:rsidRDefault="002750E1" w:rsidP="002750E1">
            <w:pPr>
              <w:spacing w:before="40" w:after="40" w:line="240" w:lineRule="atLeast"/>
              <w:ind w:left="374"/>
              <w:rPr>
                <w:rFonts w:ascii="Times New Roman" w:eastAsia="Times New Roman" w:hAnsi="Times New Roman" w:cs="Times New Roman"/>
                <w:sz w:val="24"/>
                <w:szCs w:val="24"/>
              </w:rPr>
            </w:pPr>
          </w:p>
        </w:tc>
      </w:tr>
      <w:tr w:rsidR="002750E1" w:rsidRPr="00F67E72" w14:paraId="66609355" w14:textId="77777777" w:rsidTr="0042228A">
        <w:trPr>
          <w:cantSplit/>
          <w:trHeight w:val="65"/>
        </w:trPr>
        <w:tc>
          <w:tcPr>
            <w:tcW w:w="997" w:type="pct"/>
            <w:shd w:val="clear" w:color="auto" w:fill="FFFFFF"/>
          </w:tcPr>
          <w:p w14:paraId="2DADF9F8" w14:textId="77777777" w:rsidR="002750E1" w:rsidRPr="0073288B" w:rsidRDefault="002750E1" w:rsidP="002750E1">
            <w:pPr>
              <w:spacing w:before="40" w:after="40" w:line="240" w:lineRule="atLeast"/>
              <w:ind w:left="187"/>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Hospitalization</w:t>
            </w:r>
          </w:p>
        </w:tc>
        <w:tc>
          <w:tcPr>
            <w:tcW w:w="631" w:type="pct"/>
            <w:shd w:val="clear" w:color="auto" w:fill="FFFFFF"/>
          </w:tcPr>
          <w:p w14:paraId="065B5CC3"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0.0045</w:t>
            </w:r>
          </w:p>
        </w:tc>
        <w:tc>
          <w:tcPr>
            <w:tcW w:w="478" w:type="pct"/>
            <w:shd w:val="clear" w:color="auto" w:fill="FFFFFF"/>
          </w:tcPr>
          <w:p w14:paraId="7A026B1F"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404" w:type="pct"/>
            <w:shd w:val="clear" w:color="auto" w:fill="FFFFFF"/>
          </w:tcPr>
          <w:p w14:paraId="49D46CA3" w14:textId="77777777" w:rsidR="002750E1" w:rsidRPr="0073288B" w:rsidRDefault="002750E1" w:rsidP="002750E1">
            <w:pPr>
              <w:spacing w:before="40" w:after="40" w:line="240" w:lineRule="atLeast"/>
              <w:jc w:val="center"/>
              <w:rPr>
                <w:rFonts w:ascii="Times New Roman" w:eastAsia="Times New Roman" w:hAnsi="Times New Roman" w:cs="Times New Roman"/>
                <w:sz w:val="24"/>
                <w:szCs w:val="24"/>
              </w:rPr>
            </w:pPr>
            <w:r w:rsidRPr="0073288B">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1288" w:type="pct"/>
            <w:vMerge/>
            <w:shd w:val="clear" w:color="auto" w:fill="FFFFFF"/>
          </w:tcPr>
          <w:p w14:paraId="7558841A" w14:textId="77777777" w:rsidR="002750E1" w:rsidRPr="0073288B" w:rsidRDefault="002750E1" w:rsidP="002750E1">
            <w:pPr>
              <w:spacing w:before="40" w:after="40" w:line="240" w:lineRule="atLeast"/>
              <w:ind w:left="374"/>
              <w:rPr>
                <w:rFonts w:ascii="Times New Roman" w:eastAsia="Times New Roman" w:hAnsi="Times New Roman" w:cs="Times New Roman"/>
                <w:sz w:val="24"/>
                <w:szCs w:val="24"/>
              </w:rPr>
            </w:pPr>
          </w:p>
        </w:tc>
        <w:tc>
          <w:tcPr>
            <w:tcW w:w="1202" w:type="pct"/>
            <w:vMerge/>
            <w:shd w:val="clear" w:color="auto" w:fill="FFFFFF"/>
          </w:tcPr>
          <w:p w14:paraId="5FD0BFF2" w14:textId="77777777" w:rsidR="002750E1" w:rsidRPr="0073288B" w:rsidRDefault="002750E1" w:rsidP="002750E1">
            <w:pPr>
              <w:spacing w:before="40" w:after="40" w:line="240" w:lineRule="atLeast"/>
              <w:ind w:left="374"/>
              <w:rPr>
                <w:rFonts w:ascii="Times New Roman" w:eastAsia="Times New Roman" w:hAnsi="Times New Roman" w:cs="Times New Roman"/>
                <w:sz w:val="24"/>
                <w:szCs w:val="24"/>
              </w:rPr>
            </w:pPr>
          </w:p>
        </w:tc>
      </w:tr>
    </w:tbl>
    <w:p w14:paraId="22011DB7" w14:textId="6F15BCA9" w:rsidR="002750E1" w:rsidRPr="002750E1" w:rsidRDefault="002750E1" w:rsidP="002750E1">
      <w:pPr>
        <w:keepLines/>
        <w:spacing w:before="120" w:after="0" w:line="240" w:lineRule="atLeast"/>
        <w:rPr>
          <w:rFonts w:ascii="Times New Roman" w:eastAsia="Times New Roman" w:hAnsi="Times New Roman" w:cs="Times New Roman"/>
          <w:sz w:val="18"/>
          <w:szCs w:val="18"/>
        </w:rPr>
      </w:pPr>
      <w:bookmarkStart w:id="13" w:name="_Hlk112161522"/>
      <w:r w:rsidRPr="00F67E72">
        <w:rPr>
          <w:rFonts w:ascii="Times New Roman" w:eastAsia="Times New Roman" w:hAnsi="Times New Roman" w:cs="Times New Roman"/>
          <w:sz w:val="18"/>
          <w:szCs w:val="18"/>
        </w:rPr>
        <w:t xml:space="preserve">AE = adverse event; CDC = Centers for Disease Control and Prevention; CMS = Centers for Medicare and Medicaid Services; ER = emergency </w:t>
      </w:r>
      <w:r w:rsidR="004C3FBF">
        <w:rPr>
          <w:rFonts w:ascii="Times New Roman" w:eastAsia="Times New Roman" w:hAnsi="Times New Roman" w:cs="Times New Roman"/>
          <w:sz w:val="18"/>
          <w:szCs w:val="18"/>
        </w:rPr>
        <w:t>room</w:t>
      </w:r>
      <w:r w:rsidRPr="00F67E72">
        <w:rPr>
          <w:rFonts w:ascii="Times New Roman" w:eastAsia="Times New Roman" w:hAnsi="Times New Roman" w:cs="Times New Roman"/>
          <w:sz w:val="18"/>
          <w:szCs w:val="18"/>
        </w:rPr>
        <w:t>; HSCT = hematopoietic stem</w:t>
      </w:r>
      <w:r w:rsidR="00CB20FB">
        <w:rPr>
          <w:rFonts w:ascii="Times New Roman" w:eastAsia="Times New Roman" w:hAnsi="Times New Roman" w:cs="Times New Roman"/>
          <w:sz w:val="18"/>
          <w:szCs w:val="18"/>
        </w:rPr>
        <w:t xml:space="preserve"> </w:t>
      </w:r>
      <w:r w:rsidRPr="00F67E72">
        <w:rPr>
          <w:rFonts w:ascii="Times New Roman" w:eastAsia="Times New Roman" w:hAnsi="Times New Roman" w:cs="Times New Roman"/>
          <w:sz w:val="18"/>
          <w:szCs w:val="18"/>
        </w:rPr>
        <w:t>cell transplant; HZ = herpes zoster; IC = immunocompromised; PCP = primary care provider; PHN = postherpetic neuralgia; QALY = quality-</w:t>
      </w:r>
      <w:r w:rsidRPr="002750E1">
        <w:rPr>
          <w:rFonts w:ascii="Times New Roman" w:eastAsia="Times New Roman" w:hAnsi="Times New Roman" w:cs="Times New Roman"/>
          <w:sz w:val="18"/>
          <w:szCs w:val="18"/>
        </w:rPr>
        <w:t>adjusted life-year; RZV = recombinant zoster vaccine.</w:t>
      </w:r>
    </w:p>
    <w:p w14:paraId="1FDDB64C"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Note: -- = not varied in sensitivity or scenario analyses.</w:t>
      </w:r>
    </w:p>
    <w:p w14:paraId="17A739A9"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 For the probabilistic sensitivity analysis, the beta distribution has been assumed for all efficacy and waning-related inputs except for second-dose compliance, for which the uniform distribution was used. The standard errors applied in the beta distribution parameters are consistent with the reported uncertainty ranges representing 95% confidence intervals.</w:t>
      </w:r>
    </w:p>
    <w:p w14:paraId="055BB6C7"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We have assumed a 20% relative reduction from two-dose efficacy, due to a lack of data for one-dose RZV (i.e., high second-dose compliance) in the clinical trials. We have assumed a ±20% relative change from the base-case value for the uncertainty range.</w:t>
      </w:r>
    </w:p>
    <w:p w14:paraId="2A7FB47B" w14:textId="3077FFBE"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Year 1 efficacy for RZV versus placebo in prevention of first or only episode of HZ was taken from the ZOSTER-002 phase 3 clinical trial of RZV in HSCT patients, as reported by GSK (2020)</w:t>
      </w:r>
      <w:r w:rsidR="00DB6F49">
        <w:rPr>
          <w:rFonts w:ascii="Times New Roman" w:eastAsia="Times New Roman" w:hAnsi="Times New Roman" w:cs="Times New Roman"/>
          <w:sz w:val="18"/>
          <w:szCs w:val="18"/>
          <w:vertAlign w:val="superscript"/>
        </w:rPr>
        <w:t>45</w:t>
      </w:r>
      <w:r w:rsidRPr="002750E1">
        <w:rPr>
          <w:rFonts w:ascii="Times New Roman" w:eastAsia="Times New Roman" w:hAnsi="Times New Roman" w:cs="Times New Roman"/>
          <w:sz w:val="18"/>
          <w:szCs w:val="18"/>
        </w:rPr>
        <w:t>. The 95% confidence interval from GSK (2020)</w:t>
      </w:r>
      <w:r w:rsidR="00DB6F49">
        <w:rPr>
          <w:rFonts w:ascii="Times New Roman" w:eastAsia="Times New Roman" w:hAnsi="Times New Roman" w:cs="Times New Roman"/>
          <w:sz w:val="18"/>
          <w:szCs w:val="18"/>
          <w:vertAlign w:val="superscript"/>
        </w:rPr>
        <w:t>45</w:t>
      </w:r>
      <w:r w:rsidRPr="002750E1">
        <w:rPr>
          <w:rFonts w:ascii="Times New Roman" w:eastAsia="Times New Roman" w:hAnsi="Times New Roman" w:cs="Times New Roman"/>
          <w:sz w:val="18"/>
          <w:szCs w:val="18"/>
        </w:rPr>
        <w:t xml:space="preserve"> was used for the uncertainty range.</w:t>
      </w:r>
    </w:p>
    <w:p w14:paraId="003B9167" w14:textId="2CB7232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Overall efficacy against PHN over the trial follow-up period was calculated based on the PHN incidence rate ratio for the modified total vaccinated cohort (0.5 per 1,000 person-years) times the PHN incidence among the placebo cohort (4.9 per 1,000 person-years), as reported by GSK (2020)</w:t>
      </w:r>
      <w:r w:rsidR="00DB6F49">
        <w:rPr>
          <w:rFonts w:ascii="Times New Roman" w:eastAsia="Times New Roman" w:hAnsi="Times New Roman" w:cs="Times New Roman"/>
          <w:noProof/>
          <w:sz w:val="18"/>
          <w:szCs w:val="18"/>
          <w:vertAlign w:val="superscript"/>
        </w:rPr>
        <w:t>45</w:t>
      </w:r>
      <w:r w:rsidRPr="002750E1">
        <w:rPr>
          <w:rFonts w:ascii="Times New Roman" w:eastAsia="Times New Roman" w:hAnsi="Times New Roman" w:cs="Times New Roman"/>
          <w:sz w:val="18"/>
          <w:szCs w:val="18"/>
        </w:rPr>
        <w:t>. The initial efficacy against PHN then was derived by adjusting the overall efficacy of RZV against PHN, based on the relationship between the initial efficacy against HZ and the overall efficacy against HZ over the trial follow-up period.</w:t>
      </w:r>
      <w:r w:rsidRPr="002750E1">
        <w:rPr>
          <w:rFonts w:ascii="Times New Roman" w:eastAsia="Times New Roman" w:hAnsi="Times New Roman" w:cs="Times New Roman"/>
          <w:sz w:val="18"/>
          <w:szCs w:val="18"/>
          <w:vertAlign w:val="superscript"/>
        </w:rPr>
        <w:t>1</w:t>
      </w:r>
      <w:r w:rsidR="00DB6F49">
        <w:rPr>
          <w:rFonts w:ascii="Times New Roman" w:eastAsia="Times New Roman" w:hAnsi="Times New Roman" w:cs="Times New Roman"/>
          <w:noProof/>
          <w:sz w:val="18"/>
          <w:szCs w:val="18"/>
          <w:vertAlign w:val="superscript"/>
        </w:rPr>
        <w:t>9</w:t>
      </w:r>
      <w:r w:rsidRPr="002750E1">
        <w:rPr>
          <w:rFonts w:ascii="Times New Roman" w:eastAsia="Times New Roman" w:hAnsi="Times New Roman" w:cs="Times New Roman"/>
          <w:sz w:val="18"/>
          <w:szCs w:val="18"/>
        </w:rPr>
        <w:t xml:space="preserve"> Lower-bound initial efficacy was derived by adjusting the lower-bound overall efficacy against PHN, based on the relationship between the initial efficacy against HZ</w:t>
      </w:r>
      <w:r w:rsidR="00DB6F49">
        <w:rPr>
          <w:rFonts w:ascii="Times New Roman" w:eastAsia="Times New Roman" w:hAnsi="Times New Roman" w:cs="Times New Roman"/>
          <w:noProof/>
          <w:sz w:val="18"/>
          <w:szCs w:val="18"/>
          <w:vertAlign w:val="superscript"/>
        </w:rPr>
        <w:t>45</w:t>
      </w:r>
      <w:r w:rsidRPr="002750E1">
        <w:rPr>
          <w:rFonts w:ascii="Times New Roman" w:eastAsia="Times New Roman" w:hAnsi="Times New Roman" w:cs="Times New Roman"/>
          <w:sz w:val="18"/>
          <w:szCs w:val="18"/>
        </w:rPr>
        <w:t xml:space="preserve"> and the overall efficacy against HZ over the trial follow-up period.</w:t>
      </w:r>
      <w:r w:rsidRPr="002750E1">
        <w:rPr>
          <w:rFonts w:ascii="Times New Roman" w:eastAsia="Times New Roman" w:hAnsi="Times New Roman" w:cs="Times New Roman"/>
          <w:sz w:val="18"/>
          <w:szCs w:val="18"/>
          <w:vertAlign w:val="superscript"/>
        </w:rPr>
        <w:t>1</w:t>
      </w:r>
      <w:r w:rsidR="00DB6F49">
        <w:rPr>
          <w:rFonts w:ascii="Times New Roman" w:eastAsia="Times New Roman" w:hAnsi="Times New Roman" w:cs="Times New Roman"/>
          <w:noProof/>
          <w:sz w:val="18"/>
          <w:szCs w:val="18"/>
          <w:vertAlign w:val="superscript"/>
        </w:rPr>
        <w:t>9</w:t>
      </w:r>
    </w:p>
    <w:p w14:paraId="0845D12C"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This applies to individuals with IC status only. </w:t>
      </w:r>
    </w:p>
    <w:p w14:paraId="797633AA"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 xml:space="preserve">¶ </w:t>
      </w:r>
      <w:r w:rsidRPr="002750E1">
        <w:rPr>
          <w:rFonts w:ascii="Times New Roman" w:eastAsia="Times New Roman" w:hAnsi="Times New Roman" w:cs="Times New Roman"/>
          <w:sz w:val="18"/>
          <w:szCs w:val="18"/>
        </w:rPr>
        <w:t>We have assumed a 100% relative increase from two-dose waning of efficacy, due to a lack of data for one-dose RZV (i.e., high second-dose compliance) in the clinical trials. Assumed ±50% relative change from the base-case value for the uncertainty range.</w:t>
      </w:r>
    </w:p>
    <w:p w14:paraId="46A8EF31" w14:textId="206D36DF"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 Annual linear waning was estimated based on efficacy estimates in year 1 (72.5%) and years 2 and beyond (54.3%) from the ZOSTER-002 phase 3 clinical trial of RZV in HSCT patients, as reported in GSK (2020)</w:t>
      </w:r>
      <w:r w:rsidR="00DB6F49">
        <w:rPr>
          <w:rFonts w:ascii="Times New Roman" w:eastAsia="Times New Roman" w:hAnsi="Times New Roman" w:cs="Times New Roman"/>
          <w:noProof/>
          <w:sz w:val="18"/>
          <w:szCs w:val="18"/>
          <w:vertAlign w:val="superscript"/>
        </w:rPr>
        <w:t>45</w:t>
      </w:r>
      <w:r w:rsidRPr="002750E1">
        <w:rPr>
          <w:rFonts w:ascii="Times New Roman" w:eastAsia="Times New Roman" w:hAnsi="Times New Roman" w:cs="Times New Roman"/>
          <w:sz w:val="18"/>
          <w:szCs w:val="18"/>
        </w:rPr>
        <w:t>. Median follow-up in the clinical trial was 21 months (1.75 years)</w:t>
      </w:r>
      <w:r w:rsidRPr="002750E1">
        <w:rPr>
          <w:rFonts w:ascii="Times New Roman" w:eastAsia="Times New Roman" w:hAnsi="Times New Roman" w:cs="Times New Roman"/>
          <w:noProof/>
          <w:sz w:val="18"/>
          <w:szCs w:val="18"/>
          <w:vertAlign w:val="superscript"/>
        </w:rPr>
        <w:t>1</w:t>
      </w:r>
      <w:r w:rsidR="00DB6F49">
        <w:rPr>
          <w:rFonts w:ascii="Times New Roman" w:eastAsia="Times New Roman" w:hAnsi="Times New Roman" w:cs="Times New Roman"/>
          <w:noProof/>
          <w:sz w:val="18"/>
          <w:szCs w:val="18"/>
          <w:vertAlign w:val="superscript"/>
        </w:rPr>
        <w:t>9</w:t>
      </w:r>
      <w:r w:rsidRPr="002750E1">
        <w:rPr>
          <w:rFonts w:ascii="Times New Roman" w:eastAsia="Times New Roman" w:hAnsi="Times New Roman" w:cs="Times New Roman"/>
          <w:sz w:val="18"/>
          <w:szCs w:val="18"/>
        </w:rPr>
        <w:t>; assuming an exponential distribution for the length of follow-up, mean follow-up was estimated to be 2.5 years. It then was assumed that year 1 efficacy was measured at the midpoint of year 1 (0.5 years), and annual waning was calculated as (72.5% – 54.3%) ÷ (2.5 – 0.5) = 9.1%. We assumed –50% and +100% relative change from the base-case value for the uncertainty range.</w:t>
      </w:r>
    </w:p>
    <w:p w14:paraId="59ED11D3" w14:textId="383627F0"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lastRenderedPageBreak/>
        <w:t>††</w:t>
      </w:r>
      <w:r w:rsidRPr="002750E1">
        <w:rPr>
          <w:rFonts w:ascii="Times New Roman" w:eastAsia="Times New Roman" w:hAnsi="Times New Roman" w:cs="Times New Roman"/>
          <w:sz w:val="18"/>
          <w:szCs w:val="18"/>
        </w:rPr>
        <w:t xml:space="preserve"> We have assumed 100% coverage of the second dose, based on Prosser et al.</w:t>
      </w:r>
      <w:r w:rsidR="00DB6F49">
        <w:rPr>
          <w:rFonts w:ascii="Times New Roman" w:eastAsia="Times New Roman" w:hAnsi="Times New Roman" w:cs="Times New Roman"/>
          <w:noProof/>
          <w:sz w:val="18"/>
          <w:szCs w:val="18"/>
          <w:vertAlign w:val="superscript"/>
        </w:rPr>
        <w:t>30</w:t>
      </w:r>
      <w:r w:rsidRPr="002750E1">
        <w:rPr>
          <w:rFonts w:ascii="Times New Roman" w:eastAsia="Times New Roman" w:hAnsi="Times New Roman" w:cs="Times New Roman"/>
          <w:sz w:val="18"/>
          <w:szCs w:val="18"/>
        </w:rPr>
        <w:t xml:space="preserve"> assumptions and high completion rates (&gt; 80%) of four-dose HZ vaccine during Merck's V212 trial.</w:t>
      </w:r>
      <w:r w:rsidRPr="002750E1">
        <w:rPr>
          <w:rFonts w:ascii="Times New Roman" w:eastAsia="Times New Roman" w:hAnsi="Times New Roman" w:cs="Times New Roman"/>
          <w:noProof/>
          <w:sz w:val="18"/>
          <w:szCs w:val="18"/>
          <w:vertAlign w:val="superscript"/>
        </w:rPr>
        <w:t>3</w:t>
      </w:r>
      <w:r w:rsidR="002D787B">
        <w:rPr>
          <w:rFonts w:ascii="Times New Roman" w:eastAsia="Times New Roman" w:hAnsi="Times New Roman" w:cs="Times New Roman"/>
          <w:noProof/>
          <w:sz w:val="18"/>
          <w:szCs w:val="18"/>
          <w:vertAlign w:val="superscript"/>
        </w:rPr>
        <w:t>5</w:t>
      </w:r>
      <w:r w:rsidRPr="002750E1">
        <w:rPr>
          <w:rFonts w:ascii="Times New Roman" w:eastAsia="Times New Roman" w:hAnsi="Times New Roman" w:cs="Times New Roman"/>
          <w:sz w:val="18"/>
          <w:szCs w:val="18"/>
        </w:rPr>
        <w:t xml:space="preserve"> The lower bound of 76% second-dose compliance was assumed from the CDC presentation on CMS data for the second dose of RZV from Dooling et al.</w:t>
      </w:r>
      <w:r w:rsidRPr="002750E1">
        <w:rPr>
          <w:rFonts w:ascii="Times New Roman" w:eastAsia="Times New Roman" w:hAnsi="Times New Roman" w:cs="Times New Roman"/>
          <w:noProof/>
          <w:sz w:val="18"/>
          <w:szCs w:val="18"/>
          <w:vertAlign w:val="superscript"/>
        </w:rPr>
        <w:t>8</w:t>
      </w:r>
      <w:r w:rsidRPr="002750E1">
        <w:rPr>
          <w:rFonts w:ascii="Times New Roman" w:eastAsia="Times New Roman" w:hAnsi="Times New Roman" w:cs="Times New Roman"/>
          <w:sz w:val="18"/>
          <w:szCs w:val="18"/>
        </w:rPr>
        <w:t xml:space="preserve"> The upper bound was assumed to be the same as the base-case value (100%).</w:t>
      </w:r>
    </w:p>
    <w:p w14:paraId="76D1C27C" w14:textId="68E22BF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We have assumed a 2-month interval between the first and second dose of RZV. The interval between first and second dose of RZV in clinical trials for IC populations was 1 to 2 months.</w:t>
      </w:r>
      <w:r w:rsidRPr="002750E1">
        <w:rPr>
          <w:rFonts w:ascii="Times New Roman" w:eastAsia="Times New Roman" w:hAnsi="Times New Roman" w:cs="Times New Roman"/>
          <w:sz w:val="18"/>
          <w:szCs w:val="18"/>
          <w:vertAlign w:val="superscript"/>
        </w:rPr>
        <w:t>1</w:t>
      </w:r>
      <w:r w:rsidR="00DB6F49">
        <w:rPr>
          <w:rFonts w:ascii="Times New Roman" w:eastAsia="Times New Roman" w:hAnsi="Times New Roman" w:cs="Times New Roman"/>
          <w:noProof/>
          <w:sz w:val="18"/>
          <w:szCs w:val="18"/>
          <w:vertAlign w:val="superscript"/>
        </w:rPr>
        <w:t>9</w:t>
      </w:r>
      <w:r w:rsidRPr="002750E1">
        <w:rPr>
          <w:rFonts w:ascii="Times New Roman" w:eastAsia="Times New Roman" w:hAnsi="Times New Roman" w:cs="Times New Roman"/>
          <w:noProof/>
          <w:sz w:val="18"/>
          <w:szCs w:val="18"/>
          <w:vertAlign w:val="superscript"/>
        </w:rPr>
        <w:t xml:space="preserve">, </w:t>
      </w:r>
      <w:r w:rsidR="002F74B3">
        <w:rPr>
          <w:rFonts w:ascii="Times New Roman" w:eastAsia="Times New Roman" w:hAnsi="Times New Roman" w:cs="Times New Roman"/>
          <w:noProof/>
          <w:sz w:val="18"/>
          <w:szCs w:val="18"/>
          <w:vertAlign w:val="superscript"/>
        </w:rPr>
        <w:t>20</w:t>
      </w:r>
      <w:r w:rsidRPr="002750E1">
        <w:rPr>
          <w:rFonts w:ascii="Times New Roman" w:eastAsia="Times New Roman" w:hAnsi="Times New Roman" w:cs="Times New Roman"/>
          <w:noProof/>
          <w:sz w:val="18"/>
          <w:szCs w:val="18"/>
          <w:vertAlign w:val="superscript"/>
        </w:rPr>
        <w:t>, 4</w:t>
      </w:r>
      <w:r w:rsidR="00897051">
        <w:rPr>
          <w:rFonts w:ascii="Times New Roman" w:eastAsia="Times New Roman" w:hAnsi="Times New Roman" w:cs="Times New Roman"/>
          <w:noProof/>
          <w:sz w:val="18"/>
          <w:szCs w:val="18"/>
          <w:vertAlign w:val="superscript"/>
        </w:rPr>
        <w:t>8</w:t>
      </w:r>
    </w:p>
    <w:p w14:paraId="681F1265" w14:textId="4E7A1B04"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vertAlign w:val="superscript"/>
        </w:rPr>
        <w:t xml:space="preserve"> </w:t>
      </w:r>
      <w:r w:rsidRPr="002750E1">
        <w:rPr>
          <w:rFonts w:ascii="Times New Roman" w:eastAsia="Times New Roman" w:hAnsi="Times New Roman" w:cs="Times New Roman"/>
          <w:sz w:val="18"/>
          <w:szCs w:val="18"/>
        </w:rPr>
        <w:t>GSK (2020b)</w:t>
      </w:r>
      <w:r w:rsidR="00462D9C">
        <w:rPr>
          <w:rFonts w:ascii="Times New Roman" w:eastAsia="Times New Roman" w:hAnsi="Times New Roman" w:cs="Times New Roman"/>
          <w:noProof/>
          <w:sz w:val="18"/>
          <w:szCs w:val="18"/>
          <w:vertAlign w:val="superscript"/>
        </w:rPr>
        <w:t>45</w:t>
      </w:r>
      <w:r w:rsidRPr="002750E1">
        <w:rPr>
          <w:rFonts w:ascii="Times New Roman" w:eastAsia="Times New Roman" w:hAnsi="Times New Roman" w:cs="Times New Roman"/>
          <w:sz w:val="18"/>
          <w:szCs w:val="18"/>
        </w:rPr>
        <w:t xml:space="preserve"> reported rates of local/general AEs and GSK (2020c)</w:t>
      </w:r>
      <w:r w:rsidRPr="002750E1">
        <w:rPr>
          <w:rFonts w:ascii="Times New Roman" w:eastAsia="Times New Roman" w:hAnsi="Times New Roman" w:cs="Times New Roman"/>
          <w:noProof/>
          <w:sz w:val="18"/>
          <w:szCs w:val="18"/>
          <w:vertAlign w:val="superscript"/>
        </w:rPr>
        <w:t>4</w:t>
      </w:r>
      <w:r w:rsidR="00462D9C">
        <w:rPr>
          <w:rFonts w:ascii="Times New Roman" w:eastAsia="Times New Roman" w:hAnsi="Times New Roman" w:cs="Times New Roman"/>
          <w:noProof/>
          <w:sz w:val="18"/>
          <w:szCs w:val="18"/>
          <w:vertAlign w:val="superscript"/>
        </w:rPr>
        <w:t>7</w:t>
      </w:r>
      <w:r w:rsidRPr="002750E1">
        <w:rPr>
          <w:rFonts w:ascii="Times New Roman" w:eastAsia="Times New Roman" w:hAnsi="Times New Roman" w:cs="Times New Roman"/>
          <w:sz w:val="18"/>
          <w:szCs w:val="18"/>
        </w:rPr>
        <w:t xml:space="preserve"> reported the rates of medically attended visit types by time period post-vaccination and by age group for the RZV total vaccinated cohort in the ZOSTER-002 phase 3 clinical trial of RZV in HSCT individuals. The individual AE incidence rates were not varied in sensitivity analysis. However, the weighted AE cost per dose and weighted AE QALY loss per dose, which were calculated from these values, were varied.</w:t>
      </w:r>
    </w:p>
    <w:bookmarkEnd w:id="13"/>
    <w:p w14:paraId="0B119692" w14:textId="77777777" w:rsidR="002750E1" w:rsidRPr="002750E1" w:rsidRDefault="002750E1" w:rsidP="002750E1">
      <w:pPr>
        <w:spacing w:after="0" w:line="240" w:lineRule="auto"/>
        <w:rPr>
          <w:rFonts w:ascii="Times New Roman" w:eastAsia="MS ??" w:hAnsi="Times New Roman" w:cs="Times New Roman"/>
          <w:b/>
          <w:bCs/>
        </w:rPr>
      </w:pPr>
      <w:r w:rsidRPr="002750E1">
        <w:rPr>
          <w:rFonts w:ascii="Times New Roman" w:eastAsia="MS ??" w:hAnsi="Times New Roman" w:cs="Times New Roman"/>
          <w:bCs/>
          <w:sz w:val="24"/>
          <w:szCs w:val="24"/>
        </w:rPr>
        <w:br w:type="page"/>
      </w:r>
    </w:p>
    <w:p w14:paraId="3CCA0567" w14:textId="77777777" w:rsidR="002750E1" w:rsidRPr="002750E1" w:rsidRDefault="002750E1" w:rsidP="002750E1">
      <w:pPr>
        <w:keepNext/>
        <w:spacing w:after="0" w:line="480" w:lineRule="auto"/>
        <w:contextualSpacing/>
        <w:rPr>
          <w:rFonts w:ascii="Times New Roman" w:eastAsia="MS ??" w:hAnsi="Times New Roman" w:cs="Times New Roman"/>
          <w:b/>
          <w:sz w:val="24"/>
          <w:szCs w:val="24"/>
        </w:rPr>
      </w:pPr>
      <w:bookmarkStart w:id="14" w:name="_Ref112072246"/>
      <w:bookmarkStart w:id="15" w:name="_Toc112418265"/>
      <w:bookmarkStart w:id="16" w:name="_Ref100573127"/>
      <w:r w:rsidRPr="002750E1">
        <w:rPr>
          <w:rFonts w:ascii="Times New Roman" w:eastAsia="MS ??" w:hAnsi="Times New Roman" w:cs="Times New Roman"/>
          <w:b/>
          <w:sz w:val="24"/>
          <w:szCs w:val="24"/>
        </w:rPr>
        <w:lastRenderedPageBreak/>
        <w:t xml:space="preserve">Table </w:t>
      </w:r>
      <w:bookmarkEnd w:id="14"/>
      <w:r w:rsidRPr="002750E1">
        <w:rPr>
          <w:rFonts w:ascii="Times New Roman" w:eastAsia="MS ??" w:hAnsi="Times New Roman" w:cs="Times New Roman"/>
          <w:b/>
          <w:sz w:val="24"/>
          <w:szCs w:val="24"/>
        </w:rPr>
        <w:t>A4. Values and sources applied for individuals aged 18–49 years with healthy status</w:t>
      </w:r>
      <w:bookmarkEnd w:id="15"/>
    </w:p>
    <w:tbl>
      <w:tblPr>
        <w:tblW w:w="5000" w:type="pct"/>
        <w:tblBorders>
          <w:top w:val="single" w:sz="12" w:space="0" w:color="000000"/>
          <w:bottom w:val="single" w:sz="12" w:space="0" w:color="000000"/>
          <w:insideH w:val="single" w:sz="2" w:space="0" w:color="DDDDDD"/>
        </w:tblBorders>
        <w:tblLayout w:type="fixed"/>
        <w:tblLook w:val="0000" w:firstRow="0" w:lastRow="0" w:firstColumn="0" w:lastColumn="0" w:noHBand="0" w:noVBand="0"/>
      </w:tblPr>
      <w:tblGrid>
        <w:gridCol w:w="3228"/>
        <w:gridCol w:w="1688"/>
        <w:gridCol w:w="1687"/>
        <w:gridCol w:w="1687"/>
        <w:gridCol w:w="2252"/>
        <w:gridCol w:w="2418"/>
      </w:tblGrid>
      <w:tr w:rsidR="002750E1" w:rsidRPr="002750E1" w14:paraId="75FEBC2E" w14:textId="77777777" w:rsidTr="0042228A">
        <w:trPr>
          <w:cantSplit/>
          <w:tblHeader/>
        </w:trPr>
        <w:tc>
          <w:tcPr>
            <w:tcW w:w="1245" w:type="pct"/>
            <w:vMerge w:val="restart"/>
            <w:tcBorders>
              <w:top w:val="single" w:sz="12" w:space="0" w:color="000000"/>
              <w:bottom w:val="single" w:sz="2" w:space="0" w:color="000000"/>
            </w:tcBorders>
            <w:shd w:val="clear" w:color="auto" w:fill="E6E6E6"/>
            <w:vAlign w:val="bottom"/>
          </w:tcPr>
          <w:p w14:paraId="2D3E1A42"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Category/input</w:t>
            </w:r>
          </w:p>
        </w:tc>
        <w:tc>
          <w:tcPr>
            <w:tcW w:w="651" w:type="pct"/>
            <w:vMerge w:val="restart"/>
            <w:tcBorders>
              <w:top w:val="single" w:sz="12" w:space="0" w:color="000000"/>
              <w:bottom w:val="single" w:sz="2" w:space="0" w:color="000000"/>
            </w:tcBorders>
            <w:shd w:val="clear" w:color="auto" w:fill="E6E6E6"/>
            <w:vAlign w:val="bottom"/>
          </w:tcPr>
          <w:p w14:paraId="428227A6"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Base-case value</w:t>
            </w:r>
          </w:p>
        </w:tc>
        <w:tc>
          <w:tcPr>
            <w:tcW w:w="1302" w:type="pct"/>
            <w:gridSpan w:val="2"/>
            <w:tcBorders>
              <w:top w:val="single" w:sz="12" w:space="0" w:color="000000"/>
              <w:bottom w:val="single" w:sz="2" w:space="0" w:color="000000"/>
            </w:tcBorders>
            <w:shd w:val="clear" w:color="auto" w:fill="E6E6E6"/>
            <w:vAlign w:val="bottom"/>
          </w:tcPr>
          <w:p w14:paraId="1637E4B2"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vertAlign w:val="superscript"/>
              </w:rPr>
            </w:pPr>
            <w:r w:rsidRPr="002750E1">
              <w:rPr>
                <w:rFonts w:ascii="Times New Roman" w:eastAsia="Times New Roman" w:hAnsi="Times New Roman" w:cs="Times New Roman"/>
                <w:b/>
                <w:sz w:val="24"/>
                <w:szCs w:val="24"/>
              </w:rPr>
              <w:t>Range*</w:t>
            </w:r>
          </w:p>
        </w:tc>
        <w:tc>
          <w:tcPr>
            <w:tcW w:w="869" w:type="pct"/>
            <w:vMerge w:val="restart"/>
            <w:tcBorders>
              <w:top w:val="single" w:sz="12" w:space="0" w:color="000000"/>
              <w:bottom w:val="single" w:sz="2" w:space="0" w:color="000000"/>
            </w:tcBorders>
            <w:shd w:val="clear" w:color="auto" w:fill="E6E6E6"/>
            <w:vAlign w:val="bottom"/>
          </w:tcPr>
          <w:p w14:paraId="794D4EE3" w14:textId="77777777" w:rsidR="002750E1" w:rsidRPr="002750E1" w:rsidRDefault="002750E1" w:rsidP="002750E1">
            <w:pPr>
              <w:keepNext/>
              <w:spacing w:before="160" w:after="0" w:line="320" w:lineRule="exact"/>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Base-case value source</w:t>
            </w:r>
          </w:p>
        </w:tc>
        <w:tc>
          <w:tcPr>
            <w:tcW w:w="933" w:type="pct"/>
            <w:vMerge w:val="restart"/>
            <w:tcBorders>
              <w:top w:val="single" w:sz="12" w:space="0" w:color="000000"/>
              <w:bottom w:val="single" w:sz="2" w:space="0" w:color="000000"/>
            </w:tcBorders>
            <w:shd w:val="clear" w:color="auto" w:fill="E6E6E6"/>
            <w:vAlign w:val="bottom"/>
          </w:tcPr>
          <w:p w14:paraId="25D84C95" w14:textId="77777777" w:rsidR="002750E1" w:rsidRPr="002750E1" w:rsidRDefault="002750E1" w:rsidP="002750E1">
            <w:pPr>
              <w:keepNext/>
              <w:spacing w:before="160" w:after="0" w:line="320" w:lineRule="exact"/>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Range source</w:t>
            </w:r>
          </w:p>
        </w:tc>
      </w:tr>
      <w:tr w:rsidR="002750E1" w:rsidRPr="002750E1" w14:paraId="79B282C8" w14:textId="77777777" w:rsidTr="0042228A">
        <w:trPr>
          <w:cantSplit/>
          <w:tblHeader/>
        </w:trPr>
        <w:tc>
          <w:tcPr>
            <w:tcW w:w="1245" w:type="pct"/>
            <w:vMerge/>
            <w:tcBorders>
              <w:top w:val="single" w:sz="2" w:space="0" w:color="000000"/>
              <w:bottom w:val="single" w:sz="2" w:space="0" w:color="DDDDDD"/>
            </w:tcBorders>
            <w:shd w:val="clear" w:color="auto" w:fill="E6E6E6"/>
            <w:vAlign w:val="bottom"/>
          </w:tcPr>
          <w:p w14:paraId="48861890"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651" w:type="pct"/>
            <w:vMerge/>
            <w:tcBorders>
              <w:top w:val="single" w:sz="2" w:space="0" w:color="000000"/>
              <w:bottom w:val="single" w:sz="2" w:space="0" w:color="DDDDDD"/>
            </w:tcBorders>
            <w:shd w:val="clear" w:color="auto" w:fill="E6E6E6"/>
            <w:vAlign w:val="bottom"/>
          </w:tcPr>
          <w:p w14:paraId="5B691CDC"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651" w:type="pct"/>
            <w:tcBorders>
              <w:top w:val="single" w:sz="2" w:space="0" w:color="000000"/>
              <w:bottom w:val="single" w:sz="2" w:space="0" w:color="DDDDDD"/>
            </w:tcBorders>
            <w:shd w:val="clear" w:color="auto" w:fill="E6E6E6"/>
            <w:vAlign w:val="bottom"/>
          </w:tcPr>
          <w:p w14:paraId="6A8507E0"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Lower bound</w:t>
            </w:r>
          </w:p>
        </w:tc>
        <w:tc>
          <w:tcPr>
            <w:tcW w:w="651" w:type="pct"/>
            <w:tcBorders>
              <w:top w:val="single" w:sz="2" w:space="0" w:color="000000"/>
              <w:bottom w:val="single" w:sz="2" w:space="0" w:color="DDDDDD"/>
            </w:tcBorders>
            <w:shd w:val="clear" w:color="auto" w:fill="E6E6E6"/>
            <w:vAlign w:val="bottom"/>
          </w:tcPr>
          <w:p w14:paraId="0C8C020E"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Upper bound</w:t>
            </w:r>
          </w:p>
        </w:tc>
        <w:tc>
          <w:tcPr>
            <w:tcW w:w="869" w:type="pct"/>
            <w:vMerge/>
            <w:tcBorders>
              <w:top w:val="single" w:sz="2" w:space="0" w:color="000000"/>
              <w:bottom w:val="single" w:sz="2" w:space="0" w:color="DDDDDD"/>
            </w:tcBorders>
            <w:shd w:val="clear" w:color="auto" w:fill="E6E6E6"/>
            <w:vAlign w:val="bottom"/>
          </w:tcPr>
          <w:p w14:paraId="72379937"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933" w:type="pct"/>
            <w:vMerge/>
            <w:tcBorders>
              <w:top w:val="single" w:sz="2" w:space="0" w:color="000000"/>
              <w:bottom w:val="single" w:sz="2" w:space="0" w:color="DDDDDD"/>
            </w:tcBorders>
            <w:shd w:val="clear" w:color="auto" w:fill="E6E6E6"/>
            <w:vAlign w:val="bottom"/>
          </w:tcPr>
          <w:p w14:paraId="59FDD3C8"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r>
      <w:tr w:rsidR="002750E1" w:rsidRPr="002750E1" w14:paraId="6BF69E19" w14:textId="77777777" w:rsidTr="0042228A">
        <w:trPr>
          <w:cantSplit/>
        </w:trPr>
        <w:tc>
          <w:tcPr>
            <w:tcW w:w="1245" w:type="pct"/>
            <w:shd w:val="clear" w:color="auto" w:fill="FFFFFF"/>
          </w:tcPr>
          <w:p w14:paraId="50503EC6"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Annual incidence of initial herpes zoster (per person-year)</w:t>
            </w:r>
          </w:p>
        </w:tc>
        <w:tc>
          <w:tcPr>
            <w:tcW w:w="651" w:type="pct"/>
            <w:shd w:val="clear" w:color="auto" w:fill="FFFFFF"/>
          </w:tcPr>
          <w:p w14:paraId="3184FF2F"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0.00375</w:t>
            </w:r>
          </w:p>
        </w:tc>
        <w:tc>
          <w:tcPr>
            <w:tcW w:w="651" w:type="pct"/>
            <w:shd w:val="clear" w:color="auto" w:fill="FFFFFF"/>
          </w:tcPr>
          <w:p w14:paraId="563E6BF7"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0.00300</w:t>
            </w:r>
          </w:p>
        </w:tc>
        <w:tc>
          <w:tcPr>
            <w:tcW w:w="651" w:type="pct"/>
            <w:shd w:val="clear" w:color="auto" w:fill="FFFFFF"/>
          </w:tcPr>
          <w:p w14:paraId="33C0BDEB"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0.00451</w:t>
            </w:r>
          </w:p>
        </w:tc>
        <w:tc>
          <w:tcPr>
            <w:tcW w:w="869" w:type="pct"/>
            <w:shd w:val="clear" w:color="auto" w:fill="FFFFFF"/>
          </w:tcPr>
          <w:p w14:paraId="0442BC63"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Johnson et al.</w:t>
            </w:r>
            <w:r w:rsidRPr="002750E1">
              <w:rPr>
                <w:rFonts w:ascii="Times New Roman" w:eastAsia="Times New Roman" w:hAnsi="Times New Roman" w:cs="Times New Roman"/>
                <w:noProof/>
                <w:sz w:val="24"/>
                <w:szCs w:val="24"/>
                <w:vertAlign w:val="superscript"/>
              </w:rPr>
              <w:t>2</w:t>
            </w:r>
            <w:r w:rsidRPr="002750E1">
              <w:rPr>
                <w:rFonts w:ascii="Times New Roman" w:eastAsia="Times New Roman" w:hAnsi="Times New Roman" w:cs="Times New Roman"/>
                <w:sz w:val="24"/>
                <w:szCs w:val="24"/>
              </w:rPr>
              <w:t xml:space="preserve"> </w:t>
            </w:r>
          </w:p>
        </w:tc>
        <w:tc>
          <w:tcPr>
            <w:tcW w:w="933" w:type="pct"/>
            <w:shd w:val="clear" w:color="auto" w:fill="FFFFFF"/>
          </w:tcPr>
          <w:p w14:paraId="0F41D78B" w14:textId="3ABFA259"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Lower bound: assumed; Upper bound: Tseng et al.</w:t>
            </w:r>
            <w:r w:rsidRPr="002750E1">
              <w:rPr>
                <w:rFonts w:ascii="Times New Roman" w:eastAsia="Times New Roman" w:hAnsi="Times New Roman" w:cs="Times New Roman"/>
                <w:sz w:val="24"/>
                <w:szCs w:val="24"/>
                <w:vertAlign w:val="superscript"/>
              </w:rPr>
              <w:t>4</w:t>
            </w:r>
            <w:r w:rsidR="00B5513E">
              <w:rPr>
                <w:rFonts w:ascii="Times New Roman" w:eastAsia="Times New Roman" w:hAnsi="Times New Roman" w:cs="Times New Roman"/>
                <w:sz w:val="24"/>
                <w:szCs w:val="24"/>
                <w:vertAlign w:val="superscript"/>
              </w:rPr>
              <w:t>9</w:t>
            </w:r>
            <w:r w:rsidRPr="002750E1">
              <w:rPr>
                <w:rFonts w:ascii="Times New Roman" w:eastAsia="Times New Roman" w:hAnsi="Times New Roman" w:cs="Times New Roman"/>
                <w:noProof/>
                <w:sz w:val="24"/>
                <w:szCs w:val="24"/>
              </w:rPr>
              <w:t>*</w:t>
            </w:r>
          </w:p>
        </w:tc>
      </w:tr>
      <w:tr w:rsidR="002750E1" w:rsidRPr="002750E1" w14:paraId="6F05750C" w14:textId="77777777" w:rsidTr="0042228A">
        <w:trPr>
          <w:cantSplit/>
        </w:trPr>
        <w:tc>
          <w:tcPr>
            <w:tcW w:w="1245" w:type="pct"/>
            <w:shd w:val="clear" w:color="auto" w:fill="FFFFFF"/>
          </w:tcPr>
          <w:p w14:paraId="6F1C2488"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Percentage of initial herpes zoster cases with postherpetic neuralgia</w:t>
            </w:r>
          </w:p>
        </w:tc>
        <w:tc>
          <w:tcPr>
            <w:tcW w:w="651" w:type="pct"/>
            <w:shd w:val="clear" w:color="auto" w:fill="FFFFFF"/>
          </w:tcPr>
          <w:p w14:paraId="25B27490"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6.20%</w:t>
            </w:r>
          </w:p>
        </w:tc>
        <w:tc>
          <w:tcPr>
            <w:tcW w:w="651" w:type="pct"/>
            <w:shd w:val="clear" w:color="auto" w:fill="FFFFFF"/>
          </w:tcPr>
          <w:p w14:paraId="4A2E753B"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4.96%</w:t>
            </w:r>
          </w:p>
        </w:tc>
        <w:tc>
          <w:tcPr>
            <w:tcW w:w="651" w:type="pct"/>
            <w:shd w:val="clear" w:color="auto" w:fill="FFFFFF"/>
          </w:tcPr>
          <w:p w14:paraId="735425C2"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7.44%</w:t>
            </w:r>
          </w:p>
        </w:tc>
        <w:tc>
          <w:tcPr>
            <w:tcW w:w="869" w:type="pct"/>
            <w:shd w:val="clear" w:color="auto" w:fill="FFFFFF"/>
          </w:tcPr>
          <w:p w14:paraId="7E396EB2" w14:textId="77777777"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Yawn et al.</w:t>
            </w:r>
            <w:r w:rsidRPr="002750E1">
              <w:rPr>
                <w:rFonts w:ascii="Times New Roman" w:eastAsia="Times New Roman" w:hAnsi="Times New Roman" w:cs="Times New Roman"/>
                <w:sz w:val="24"/>
                <w:szCs w:val="24"/>
                <w:vertAlign w:val="superscript"/>
              </w:rPr>
              <w:t>3</w:t>
            </w:r>
            <w:r w:rsidRPr="003A1943">
              <w:rPr>
                <w:rFonts w:ascii="Times New Roman" w:eastAsia="Times New Roman" w:hAnsi="Times New Roman" w:cs="Times New Roman"/>
                <w:sz w:val="24"/>
                <w:szCs w:val="24"/>
                <w:vertAlign w:val="superscript"/>
              </w:rPr>
              <w:t>†</w:t>
            </w:r>
          </w:p>
        </w:tc>
        <w:tc>
          <w:tcPr>
            <w:tcW w:w="933" w:type="pct"/>
            <w:shd w:val="clear" w:color="auto" w:fill="FFFFFF"/>
          </w:tcPr>
          <w:p w14:paraId="7C58A02A" w14:textId="77777777"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Assumed</w:t>
            </w:r>
            <w:r w:rsidRPr="003A1943">
              <w:rPr>
                <w:rFonts w:ascii="Times New Roman" w:eastAsia="Times New Roman" w:hAnsi="Times New Roman" w:cs="Times New Roman"/>
                <w:sz w:val="24"/>
                <w:szCs w:val="24"/>
                <w:vertAlign w:val="superscript"/>
              </w:rPr>
              <w:t>‡</w:t>
            </w:r>
          </w:p>
        </w:tc>
      </w:tr>
      <w:tr w:rsidR="002750E1" w:rsidRPr="002750E1" w14:paraId="7C262B10" w14:textId="77777777" w:rsidTr="0042228A">
        <w:trPr>
          <w:cantSplit/>
        </w:trPr>
        <w:tc>
          <w:tcPr>
            <w:tcW w:w="1245" w:type="pct"/>
            <w:shd w:val="clear" w:color="auto" w:fill="FFFFFF"/>
          </w:tcPr>
          <w:p w14:paraId="3F684F10"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Annual probability of recurrent herpes zoster (per person-year)</w:t>
            </w:r>
          </w:p>
        </w:tc>
        <w:tc>
          <w:tcPr>
            <w:tcW w:w="651" w:type="pct"/>
            <w:shd w:val="clear" w:color="auto" w:fill="FFFFFF"/>
          </w:tcPr>
          <w:p w14:paraId="1FADDC7A"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0.00375</w:t>
            </w:r>
          </w:p>
        </w:tc>
        <w:tc>
          <w:tcPr>
            <w:tcW w:w="651" w:type="pct"/>
            <w:shd w:val="clear" w:color="auto" w:fill="FFFFFF"/>
          </w:tcPr>
          <w:p w14:paraId="6BEFE89E"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0.00110</w:t>
            </w:r>
          </w:p>
        </w:tc>
        <w:tc>
          <w:tcPr>
            <w:tcW w:w="651" w:type="pct"/>
            <w:shd w:val="clear" w:color="auto" w:fill="FFFFFF"/>
          </w:tcPr>
          <w:p w14:paraId="6DBBED5B"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0.00451</w:t>
            </w:r>
          </w:p>
        </w:tc>
        <w:tc>
          <w:tcPr>
            <w:tcW w:w="869" w:type="pct"/>
            <w:shd w:val="clear" w:color="auto" w:fill="FFFFFF"/>
          </w:tcPr>
          <w:p w14:paraId="5D8DB4EB" w14:textId="77777777"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Johnson et al.</w:t>
            </w:r>
            <w:r w:rsidRPr="002750E1">
              <w:rPr>
                <w:rFonts w:ascii="Times New Roman" w:eastAsia="Times New Roman" w:hAnsi="Times New Roman" w:cs="Times New Roman"/>
                <w:noProof/>
                <w:sz w:val="24"/>
                <w:szCs w:val="24"/>
                <w:vertAlign w:val="superscript"/>
              </w:rPr>
              <w:t>2</w:t>
            </w:r>
            <w:r w:rsidRPr="003A1943">
              <w:rPr>
                <w:rFonts w:ascii="Times New Roman" w:eastAsia="Times New Roman" w:hAnsi="Times New Roman" w:cs="Times New Roman"/>
                <w:sz w:val="24"/>
                <w:szCs w:val="24"/>
                <w:vertAlign w:val="superscript"/>
              </w:rPr>
              <w:t>§</w:t>
            </w:r>
          </w:p>
        </w:tc>
        <w:tc>
          <w:tcPr>
            <w:tcW w:w="933" w:type="pct"/>
            <w:shd w:val="clear" w:color="auto" w:fill="FFFFFF"/>
          </w:tcPr>
          <w:p w14:paraId="206274C3" w14:textId="64C3FD22"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Lower bound: Tseng et al.</w:t>
            </w:r>
            <w:r w:rsidR="00B1307A">
              <w:rPr>
                <w:rFonts w:ascii="Times New Roman" w:eastAsia="Times New Roman" w:hAnsi="Times New Roman" w:cs="Times New Roman"/>
                <w:sz w:val="24"/>
                <w:szCs w:val="24"/>
                <w:vertAlign w:val="superscript"/>
              </w:rPr>
              <w:t>50</w:t>
            </w:r>
            <w:r w:rsidRPr="002750E1">
              <w:rPr>
                <w:rFonts w:ascii="Times New Roman" w:eastAsia="Times New Roman" w:hAnsi="Times New Roman" w:cs="Times New Roman"/>
                <w:sz w:val="24"/>
                <w:szCs w:val="24"/>
              </w:rPr>
              <w:t>; Upper bound: assumed</w:t>
            </w:r>
            <w:r w:rsidRPr="003A1943">
              <w:rPr>
                <w:rFonts w:ascii="Times New Roman" w:eastAsia="Times New Roman" w:hAnsi="Times New Roman" w:cs="Times New Roman"/>
                <w:sz w:val="24"/>
                <w:szCs w:val="24"/>
                <w:vertAlign w:val="superscript"/>
              </w:rPr>
              <w:t>||</w:t>
            </w:r>
          </w:p>
        </w:tc>
      </w:tr>
      <w:tr w:rsidR="002750E1" w:rsidRPr="002750E1" w14:paraId="65738BE9" w14:textId="77777777" w:rsidTr="0042228A">
        <w:trPr>
          <w:cantSplit/>
        </w:trPr>
        <w:tc>
          <w:tcPr>
            <w:tcW w:w="1245" w:type="pct"/>
            <w:shd w:val="clear" w:color="auto" w:fill="FFFFFF"/>
          </w:tcPr>
          <w:p w14:paraId="5F4EF6ED"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Percentage of recurrent herpes zoster cases with postherpetic neuralgia</w:t>
            </w:r>
          </w:p>
        </w:tc>
        <w:tc>
          <w:tcPr>
            <w:tcW w:w="651" w:type="pct"/>
            <w:shd w:val="clear" w:color="auto" w:fill="FFFFFF"/>
          </w:tcPr>
          <w:p w14:paraId="7363D483"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6.20%</w:t>
            </w:r>
          </w:p>
        </w:tc>
        <w:tc>
          <w:tcPr>
            <w:tcW w:w="651" w:type="pct"/>
            <w:shd w:val="clear" w:color="auto" w:fill="FFFFFF"/>
          </w:tcPr>
          <w:p w14:paraId="57DC8D70"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3.72%</w:t>
            </w:r>
          </w:p>
        </w:tc>
        <w:tc>
          <w:tcPr>
            <w:tcW w:w="651" w:type="pct"/>
            <w:shd w:val="clear" w:color="auto" w:fill="FFFFFF"/>
          </w:tcPr>
          <w:p w14:paraId="432AF899"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8.68%</w:t>
            </w:r>
          </w:p>
        </w:tc>
        <w:tc>
          <w:tcPr>
            <w:tcW w:w="869" w:type="pct"/>
            <w:shd w:val="clear" w:color="auto" w:fill="FFFFFF"/>
          </w:tcPr>
          <w:p w14:paraId="628FE989" w14:textId="4DD2E229"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Yawn et al.</w:t>
            </w:r>
            <w:r w:rsidR="00B1307A">
              <w:rPr>
                <w:rFonts w:ascii="Times New Roman" w:eastAsia="Times New Roman" w:hAnsi="Times New Roman" w:cs="Times New Roman"/>
                <w:sz w:val="24"/>
                <w:szCs w:val="24"/>
                <w:vertAlign w:val="superscript"/>
              </w:rPr>
              <w:t>51</w:t>
            </w:r>
            <w:r w:rsidRPr="003A1943">
              <w:rPr>
                <w:rFonts w:ascii="Times New Roman" w:eastAsia="Times New Roman" w:hAnsi="Times New Roman" w:cs="Times New Roman"/>
                <w:sz w:val="24"/>
                <w:szCs w:val="24"/>
                <w:vertAlign w:val="superscript"/>
              </w:rPr>
              <w:t>¶</w:t>
            </w:r>
          </w:p>
        </w:tc>
        <w:tc>
          <w:tcPr>
            <w:tcW w:w="933" w:type="pct"/>
            <w:shd w:val="clear" w:color="auto" w:fill="FFFFFF"/>
          </w:tcPr>
          <w:p w14:paraId="45FF1272" w14:textId="77777777"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Assumed**</w:t>
            </w:r>
          </w:p>
        </w:tc>
      </w:tr>
      <w:tr w:rsidR="002750E1" w:rsidRPr="002750E1" w14:paraId="5A9360BD" w14:textId="77777777" w:rsidTr="0042228A">
        <w:trPr>
          <w:cantSplit/>
        </w:trPr>
        <w:tc>
          <w:tcPr>
            <w:tcW w:w="1245" w:type="pct"/>
            <w:shd w:val="clear" w:color="auto" w:fill="FFFFFF"/>
          </w:tcPr>
          <w:p w14:paraId="1CCB4416"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Herpes zoster case fatality (percentage per herpes zoster case)</w:t>
            </w:r>
          </w:p>
        </w:tc>
        <w:tc>
          <w:tcPr>
            <w:tcW w:w="651" w:type="pct"/>
            <w:shd w:val="clear" w:color="auto" w:fill="FFFFFF"/>
          </w:tcPr>
          <w:p w14:paraId="3CFFBCAF"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0.0000%</w:t>
            </w:r>
          </w:p>
        </w:tc>
        <w:tc>
          <w:tcPr>
            <w:tcW w:w="651" w:type="pct"/>
            <w:shd w:val="clear" w:color="auto" w:fill="FFFFFF"/>
          </w:tcPr>
          <w:p w14:paraId="39F6645C"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0.0000%</w:t>
            </w:r>
          </w:p>
        </w:tc>
        <w:tc>
          <w:tcPr>
            <w:tcW w:w="651" w:type="pct"/>
            <w:shd w:val="clear" w:color="auto" w:fill="FFFFFF"/>
          </w:tcPr>
          <w:p w14:paraId="3C74EEA5"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0.0013%</w:t>
            </w:r>
          </w:p>
        </w:tc>
        <w:tc>
          <w:tcPr>
            <w:tcW w:w="869" w:type="pct"/>
            <w:shd w:val="clear" w:color="auto" w:fill="FFFFFF"/>
          </w:tcPr>
          <w:p w14:paraId="6CF405E2" w14:textId="695948B2"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Le and Rothberg</w:t>
            </w:r>
            <w:r w:rsidRPr="002750E1">
              <w:rPr>
                <w:rFonts w:ascii="Times New Roman" w:eastAsia="Times New Roman" w:hAnsi="Times New Roman" w:cs="Times New Roman"/>
                <w:sz w:val="24"/>
                <w:szCs w:val="24"/>
                <w:vertAlign w:val="superscript"/>
              </w:rPr>
              <w:t>3</w:t>
            </w:r>
            <w:r w:rsidR="006060CA">
              <w:rPr>
                <w:rFonts w:ascii="Times New Roman" w:eastAsia="Times New Roman" w:hAnsi="Times New Roman" w:cs="Times New Roman"/>
                <w:sz w:val="24"/>
                <w:szCs w:val="24"/>
                <w:vertAlign w:val="superscript"/>
              </w:rPr>
              <w:t>7</w:t>
            </w:r>
          </w:p>
        </w:tc>
        <w:tc>
          <w:tcPr>
            <w:tcW w:w="933" w:type="pct"/>
            <w:shd w:val="clear" w:color="auto" w:fill="FFFFFF"/>
          </w:tcPr>
          <w:p w14:paraId="6892960D" w14:textId="77777777"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Assumed</w:t>
            </w:r>
            <w:r w:rsidRPr="003A1943">
              <w:rPr>
                <w:rFonts w:ascii="Times New Roman" w:eastAsia="Times New Roman" w:hAnsi="Times New Roman" w:cs="Times New Roman"/>
                <w:sz w:val="24"/>
                <w:szCs w:val="24"/>
                <w:vertAlign w:val="superscript"/>
              </w:rPr>
              <w:t>††</w:t>
            </w:r>
          </w:p>
        </w:tc>
      </w:tr>
      <w:tr w:rsidR="002750E1" w:rsidRPr="002750E1" w14:paraId="5E27AC75" w14:textId="77777777" w:rsidTr="0042228A">
        <w:trPr>
          <w:cantSplit/>
        </w:trPr>
        <w:tc>
          <w:tcPr>
            <w:tcW w:w="1245" w:type="pct"/>
            <w:shd w:val="clear" w:color="auto" w:fill="FFFFFF"/>
          </w:tcPr>
          <w:p w14:paraId="62F321B4"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Percentage of herpes zoster cases with ocular complications</w:t>
            </w:r>
          </w:p>
        </w:tc>
        <w:tc>
          <w:tcPr>
            <w:tcW w:w="651" w:type="pct"/>
            <w:shd w:val="clear" w:color="auto" w:fill="FFFFFF"/>
          </w:tcPr>
          <w:p w14:paraId="2460D793"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3.16%</w:t>
            </w:r>
          </w:p>
        </w:tc>
        <w:tc>
          <w:tcPr>
            <w:tcW w:w="651" w:type="pct"/>
            <w:shd w:val="clear" w:color="auto" w:fill="FFFFFF"/>
          </w:tcPr>
          <w:p w14:paraId="323AEC6F"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1.00%</w:t>
            </w:r>
          </w:p>
        </w:tc>
        <w:tc>
          <w:tcPr>
            <w:tcW w:w="651" w:type="pct"/>
            <w:shd w:val="clear" w:color="auto" w:fill="FFFFFF"/>
          </w:tcPr>
          <w:p w14:paraId="198D237C"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4.64%</w:t>
            </w:r>
          </w:p>
        </w:tc>
        <w:tc>
          <w:tcPr>
            <w:tcW w:w="869" w:type="pct"/>
            <w:shd w:val="clear" w:color="auto" w:fill="FFFFFF"/>
          </w:tcPr>
          <w:p w14:paraId="5697189F"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Yawn et al.</w:t>
            </w:r>
            <w:r w:rsidRPr="002750E1">
              <w:rPr>
                <w:rFonts w:ascii="Times New Roman" w:eastAsia="Times New Roman" w:hAnsi="Times New Roman" w:cs="Times New Roman"/>
                <w:sz w:val="24"/>
                <w:szCs w:val="24"/>
                <w:vertAlign w:val="superscript"/>
              </w:rPr>
              <w:t>3</w:t>
            </w:r>
          </w:p>
        </w:tc>
        <w:tc>
          <w:tcPr>
            <w:tcW w:w="933" w:type="pct"/>
            <w:shd w:val="clear" w:color="auto" w:fill="FFFFFF"/>
          </w:tcPr>
          <w:p w14:paraId="7D987E06" w14:textId="77777777"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Yawn et al.</w:t>
            </w:r>
            <w:r w:rsidRPr="002750E1">
              <w:rPr>
                <w:rFonts w:ascii="Times New Roman" w:eastAsia="Times New Roman" w:hAnsi="Times New Roman" w:cs="Times New Roman"/>
                <w:sz w:val="24"/>
                <w:szCs w:val="24"/>
                <w:vertAlign w:val="superscript"/>
              </w:rPr>
              <w:t>3</w:t>
            </w:r>
            <w:r w:rsidRPr="003A1943">
              <w:rPr>
                <w:rFonts w:ascii="Times New Roman" w:eastAsia="Times New Roman" w:hAnsi="Times New Roman" w:cs="Times New Roman"/>
                <w:sz w:val="24"/>
                <w:szCs w:val="24"/>
                <w:vertAlign w:val="superscript"/>
              </w:rPr>
              <w:t>‡‡</w:t>
            </w:r>
          </w:p>
        </w:tc>
      </w:tr>
      <w:tr w:rsidR="002750E1" w:rsidRPr="002750E1" w14:paraId="3DE438E1" w14:textId="77777777" w:rsidTr="0042228A">
        <w:trPr>
          <w:cantSplit/>
        </w:trPr>
        <w:tc>
          <w:tcPr>
            <w:tcW w:w="1245" w:type="pct"/>
            <w:shd w:val="clear" w:color="auto" w:fill="FFFFFF"/>
          </w:tcPr>
          <w:p w14:paraId="330FDD25"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Percentage of herpes zoster cases with neurological complications</w:t>
            </w:r>
          </w:p>
        </w:tc>
        <w:tc>
          <w:tcPr>
            <w:tcW w:w="651" w:type="pct"/>
            <w:shd w:val="clear" w:color="auto" w:fill="FFFFFF"/>
          </w:tcPr>
          <w:p w14:paraId="02A3A9B7"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1.67%</w:t>
            </w:r>
          </w:p>
        </w:tc>
        <w:tc>
          <w:tcPr>
            <w:tcW w:w="651" w:type="pct"/>
            <w:shd w:val="clear" w:color="auto" w:fill="FFFFFF"/>
          </w:tcPr>
          <w:p w14:paraId="5BB279B7"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0.59%</w:t>
            </w:r>
          </w:p>
        </w:tc>
        <w:tc>
          <w:tcPr>
            <w:tcW w:w="651" w:type="pct"/>
            <w:shd w:val="clear" w:color="auto" w:fill="FFFFFF"/>
          </w:tcPr>
          <w:p w14:paraId="68F45013"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2.76%</w:t>
            </w:r>
          </w:p>
        </w:tc>
        <w:tc>
          <w:tcPr>
            <w:tcW w:w="869" w:type="pct"/>
            <w:shd w:val="clear" w:color="auto" w:fill="FFFFFF"/>
          </w:tcPr>
          <w:p w14:paraId="7FB0DDA3"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Yawn et al.</w:t>
            </w:r>
            <w:r w:rsidRPr="002750E1">
              <w:rPr>
                <w:rFonts w:ascii="Times New Roman" w:eastAsia="Times New Roman" w:hAnsi="Times New Roman" w:cs="Times New Roman"/>
                <w:sz w:val="24"/>
                <w:szCs w:val="24"/>
                <w:vertAlign w:val="superscript"/>
              </w:rPr>
              <w:t>3</w:t>
            </w:r>
          </w:p>
        </w:tc>
        <w:tc>
          <w:tcPr>
            <w:tcW w:w="933" w:type="pct"/>
            <w:shd w:val="clear" w:color="auto" w:fill="FFFFFF"/>
          </w:tcPr>
          <w:p w14:paraId="3F33B645" w14:textId="77777777"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Yawn et al.</w:t>
            </w:r>
            <w:r w:rsidRPr="002750E1">
              <w:rPr>
                <w:rFonts w:ascii="Times New Roman" w:eastAsia="Times New Roman" w:hAnsi="Times New Roman" w:cs="Times New Roman"/>
                <w:sz w:val="24"/>
                <w:szCs w:val="24"/>
                <w:vertAlign w:val="superscript"/>
              </w:rPr>
              <w:t>3</w:t>
            </w:r>
            <w:r w:rsidRPr="003A1943">
              <w:rPr>
                <w:rFonts w:ascii="Times New Roman" w:eastAsia="Times New Roman" w:hAnsi="Times New Roman" w:cs="Times New Roman"/>
                <w:sz w:val="24"/>
                <w:szCs w:val="24"/>
                <w:vertAlign w:val="superscript"/>
              </w:rPr>
              <w:t>§§</w:t>
            </w:r>
          </w:p>
        </w:tc>
      </w:tr>
      <w:tr w:rsidR="002750E1" w:rsidRPr="002750E1" w14:paraId="50A75E49" w14:textId="77777777" w:rsidTr="0042228A">
        <w:trPr>
          <w:cantSplit/>
        </w:trPr>
        <w:tc>
          <w:tcPr>
            <w:tcW w:w="1245" w:type="pct"/>
            <w:shd w:val="clear" w:color="auto" w:fill="FFFFFF"/>
          </w:tcPr>
          <w:p w14:paraId="7766D1F9"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Percentage of herpes zoster cases with cutaneous complications</w:t>
            </w:r>
          </w:p>
        </w:tc>
        <w:tc>
          <w:tcPr>
            <w:tcW w:w="651" w:type="pct"/>
            <w:shd w:val="clear" w:color="auto" w:fill="FFFFFF"/>
          </w:tcPr>
          <w:p w14:paraId="3E922D2D"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1.12%</w:t>
            </w:r>
          </w:p>
        </w:tc>
        <w:tc>
          <w:tcPr>
            <w:tcW w:w="651" w:type="pct"/>
            <w:shd w:val="clear" w:color="auto" w:fill="FFFFFF"/>
          </w:tcPr>
          <w:p w14:paraId="08DBEA99"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0.23%</w:t>
            </w:r>
          </w:p>
        </w:tc>
        <w:tc>
          <w:tcPr>
            <w:tcW w:w="651" w:type="pct"/>
            <w:shd w:val="clear" w:color="auto" w:fill="FFFFFF"/>
          </w:tcPr>
          <w:p w14:paraId="77C39B7D"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2.00%</w:t>
            </w:r>
          </w:p>
        </w:tc>
        <w:tc>
          <w:tcPr>
            <w:tcW w:w="869" w:type="pct"/>
            <w:shd w:val="clear" w:color="auto" w:fill="FFFFFF"/>
          </w:tcPr>
          <w:p w14:paraId="2630F52F"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Yawn et al.</w:t>
            </w:r>
            <w:r w:rsidRPr="002750E1">
              <w:rPr>
                <w:rFonts w:ascii="Times New Roman" w:eastAsia="Times New Roman" w:hAnsi="Times New Roman" w:cs="Times New Roman"/>
                <w:sz w:val="24"/>
                <w:szCs w:val="24"/>
                <w:vertAlign w:val="superscript"/>
              </w:rPr>
              <w:t>3</w:t>
            </w:r>
          </w:p>
        </w:tc>
        <w:tc>
          <w:tcPr>
            <w:tcW w:w="933" w:type="pct"/>
            <w:shd w:val="clear" w:color="auto" w:fill="FFFFFF"/>
          </w:tcPr>
          <w:p w14:paraId="3F3ADFC5"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Yawn et al.</w:t>
            </w:r>
            <w:r w:rsidRPr="002750E1">
              <w:rPr>
                <w:rFonts w:ascii="Times New Roman" w:eastAsia="Times New Roman" w:hAnsi="Times New Roman" w:cs="Times New Roman"/>
                <w:sz w:val="24"/>
                <w:szCs w:val="24"/>
                <w:vertAlign w:val="superscript"/>
              </w:rPr>
              <w:t>3</w:t>
            </w:r>
            <w:r w:rsidRPr="003A1943">
              <w:rPr>
                <w:rFonts w:ascii="Times New Roman" w:eastAsia="Times New Roman" w:hAnsi="Times New Roman" w:cs="Times New Roman"/>
                <w:sz w:val="24"/>
                <w:szCs w:val="24"/>
                <w:vertAlign w:val="superscript"/>
              </w:rPr>
              <w:t>§§</w:t>
            </w:r>
          </w:p>
        </w:tc>
      </w:tr>
      <w:tr w:rsidR="002750E1" w:rsidRPr="002750E1" w14:paraId="4C3DEB42" w14:textId="77777777" w:rsidTr="0042228A">
        <w:trPr>
          <w:cantSplit/>
        </w:trPr>
        <w:tc>
          <w:tcPr>
            <w:tcW w:w="1245" w:type="pct"/>
            <w:shd w:val="clear" w:color="auto" w:fill="FFFFFF"/>
          </w:tcPr>
          <w:p w14:paraId="3FD8E891"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lastRenderedPageBreak/>
              <w:t>Percentage of herpes zoster cases with other non-pain complications</w:t>
            </w:r>
          </w:p>
        </w:tc>
        <w:tc>
          <w:tcPr>
            <w:tcW w:w="651" w:type="pct"/>
            <w:shd w:val="clear" w:color="auto" w:fill="FFFFFF"/>
          </w:tcPr>
          <w:p w14:paraId="7F5ED88A"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0.74%</w:t>
            </w:r>
          </w:p>
        </w:tc>
        <w:tc>
          <w:tcPr>
            <w:tcW w:w="651" w:type="pct"/>
            <w:shd w:val="clear" w:color="auto" w:fill="FFFFFF"/>
          </w:tcPr>
          <w:p w14:paraId="74A62C7A"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0.02%</w:t>
            </w:r>
          </w:p>
        </w:tc>
        <w:tc>
          <w:tcPr>
            <w:tcW w:w="651" w:type="pct"/>
            <w:shd w:val="clear" w:color="auto" w:fill="FFFFFF"/>
          </w:tcPr>
          <w:p w14:paraId="26053863"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1.47%</w:t>
            </w:r>
          </w:p>
        </w:tc>
        <w:tc>
          <w:tcPr>
            <w:tcW w:w="869" w:type="pct"/>
            <w:shd w:val="clear" w:color="auto" w:fill="FFFFFF"/>
          </w:tcPr>
          <w:p w14:paraId="3150EF61"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Yawn et al.</w:t>
            </w:r>
            <w:r w:rsidRPr="002750E1">
              <w:rPr>
                <w:rFonts w:ascii="Times New Roman" w:eastAsia="Times New Roman" w:hAnsi="Times New Roman" w:cs="Times New Roman"/>
                <w:sz w:val="24"/>
                <w:szCs w:val="24"/>
                <w:vertAlign w:val="superscript"/>
              </w:rPr>
              <w:t>3</w:t>
            </w:r>
          </w:p>
        </w:tc>
        <w:tc>
          <w:tcPr>
            <w:tcW w:w="933" w:type="pct"/>
            <w:shd w:val="clear" w:color="auto" w:fill="FFFFFF"/>
          </w:tcPr>
          <w:p w14:paraId="08FC25AC" w14:textId="77777777"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Yawn et al.</w:t>
            </w:r>
            <w:r w:rsidRPr="002750E1">
              <w:rPr>
                <w:rFonts w:ascii="Times New Roman" w:eastAsia="Times New Roman" w:hAnsi="Times New Roman" w:cs="Times New Roman"/>
                <w:sz w:val="24"/>
                <w:szCs w:val="24"/>
                <w:vertAlign w:val="superscript"/>
              </w:rPr>
              <w:t>3</w:t>
            </w:r>
            <w:r w:rsidRPr="003A1943">
              <w:rPr>
                <w:rFonts w:ascii="Times New Roman" w:eastAsia="Times New Roman" w:hAnsi="Times New Roman" w:cs="Times New Roman"/>
                <w:sz w:val="24"/>
                <w:szCs w:val="24"/>
                <w:vertAlign w:val="superscript"/>
              </w:rPr>
              <w:t>||||</w:t>
            </w:r>
          </w:p>
        </w:tc>
      </w:tr>
    </w:tbl>
    <w:p w14:paraId="7E773085" w14:textId="77777777" w:rsidR="002750E1" w:rsidRPr="002750E1" w:rsidRDefault="002750E1" w:rsidP="002750E1">
      <w:pPr>
        <w:keepLines/>
        <w:spacing w:before="120" w:after="0" w:line="240" w:lineRule="atLeast"/>
        <w:rPr>
          <w:rFonts w:ascii="Times New Roman" w:eastAsia="Times New Roman" w:hAnsi="Times New Roman" w:cs="Times New Roman"/>
          <w:sz w:val="16"/>
          <w:szCs w:val="18"/>
        </w:rPr>
      </w:pPr>
    </w:p>
    <w:p w14:paraId="3D8D4D96" w14:textId="2A594B2E"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w:t>
      </w:r>
      <w:r w:rsidRPr="002750E1">
        <w:rPr>
          <w:rFonts w:ascii="Times New Roman" w:eastAsia="Times New Roman" w:hAnsi="Times New Roman" w:cs="Times New Roman"/>
          <w:sz w:val="18"/>
          <w:szCs w:val="18"/>
          <w:vertAlign w:val="superscript"/>
        </w:rPr>
        <w:t xml:space="preserve"> </w:t>
      </w:r>
      <w:r w:rsidRPr="002750E1">
        <w:rPr>
          <w:rFonts w:ascii="Times New Roman" w:eastAsia="Times New Roman" w:hAnsi="Times New Roman" w:cs="Times New Roman"/>
          <w:sz w:val="18"/>
          <w:szCs w:val="18"/>
        </w:rPr>
        <w:t>Assumed –20% of the base incidence estimates for the lower bound; this was used instead of the published CIs to represent greater uncertainty around HZ incidence. The upper bound estimates were taken from Tseng et al.</w:t>
      </w:r>
      <w:r w:rsidRPr="002750E1">
        <w:rPr>
          <w:rFonts w:ascii="Times New Roman" w:eastAsia="Times New Roman" w:hAnsi="Times New Roman" w:cs="Times New Roman"/>
          <w:noProof/>
          <w:sz w:val="18"/>
          <w:szCs w:val="18"/>
          <w:vertAlign w:val="superscript"/>
        </w:rPr>
        <w:t>4</w:t>
      </w:r>
      <w:r w:rsidR="00B1307A">
        <w:rPr>
          <w:rFonts w:ascii="Times New Roman" w:eastAsia="Times New Roman" w:hAnsi="Times New Roman" w:cs="Times New Roman"/>
          <w:noProof/>
          <w:sz w:val="18"/>
          <w:szCs w:val="18"/>
          <w:vertAlign w:val="superscript"/>
        </w:rPr>
        <w:t>9</w:t>
      </w:r>
      <w:r w:rsidRPr="002750E1">
        <w:rPr>
          <w:rFonts w:ascii="Times New Roman" w:eastAsia="Times New Roman" w:hAnsi="Times New Roman" w:cs="Times New Roman"/>
          <w:sz w:val="18"/>
          <w:szCs w:val="18"/>
        </w:rPr>
        <w:t xml:space="preserve">, which reported incidence based on ICD-9-CM diagnoses of HZ for an unvaccinated and healthy population of Kaiser Permanente members from 2007 to 2009. </w:t>
      </w:r>
    </w:p>
    <w:p w14:paraId="70E6434A"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For ages 18 to 49, we assumed the same rate of PHN as ages 50 to 59, as</w:t>
      </w:r>
      <w:r w:rsidRPr="002750E1">
        <w:rPr>
          <w:rFonts w:ascii="Times New Roman" w:eastAsia="Times New Roman" w:hAnsi="Times New Roman" w:cs="Times New Roman"/>
          <w:sz w:val="18"/>
          <w:szCs w:val="18"/>
          <w:vertAlign w:val="superscript"/>
        </w:rPr>
        <w:t xml:space="preserve"> </w:t>
      </w:r>
      <w:r w:rsidRPr="002750E1">
        <w:rPr>
          <w:rFonts w:ascii="Times New Roman" w:eastAsia="Times New Roman" w:hAnsi="Times New Roman" w:cs="Times New Roman"/>
          <w:sz w:val="18"/>
          <w:szCs w:val="18"/>
        </w:rPr>
        <w:t>Yawn et al.</w:t>
      </w:r>
      <w:r w:rsidRPr="002750E1">
        <w:rPr>
          <w:rFonts w:ascii="Times New Roman" w:eastAsia="Times New Roman" w:hAnsi="Times New Roman" w:cs="Times New Roman"/>
          <w:sz w:val="18"/>
          <w:szCs w:val="18"/>
          <w:vertAlign w:val="superscript"/>
        </w:rPr>
        <w:t>3</w:t>
      </w:r>
      <w:r w:rsidRPr="002750E1">
        <w:rPr>
          <w:rFonts w:ascii="Times New Roman" w:eastAsia="Times New Roman" w:hAnsi="Times New Roman" w:cs="Times New Roman"/>
          <w:sz w:val="18"/>
          <w:szCs w:val="18"/>
        </w:rPr>
        <w:t xml:space="preserve"> observed rates of PHN (pain for 90 days or more) that were the same for both ages 22 to 49 and ages 50 to 59.</w:t>
      </w:r>
    </w:p>
    <w:p w14:paraId="4CB058E1"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Assumed a range of ±20% of the base-case values.</w:t>
      </w:r>
    </w:p>
    <w:p w14:paraId="244E9844" w14:textId="3EA5EE6A"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Yawn et al.</w:t>
      </w:r>
      <w:r w:rsidR="00B1307A">
        <w:rPr>
          <w:rFonts w:ascii="Times New Roman" w:eastAsia="Times New Roman" w:hAnsi="Times New Roman" w:cs="Times New Roman"/>
          <w:noProof/>
          <w:sz w:val="18"/>
          <w:szCs w:val="18"/>
          <w:vertAlign w:val="superscript"/>
        </w:rPr>
        <w:t>51</w:t>
      </w:r>
      <w:r w:rsidRPr="002750E1">
        <w:rPr>
          <w:rFonts w:ascii="Times New Roman" w:eastAsia="Times New Roman" w:hAnsi="Times New Roman" w:cs="Times New Roman"/>
          <w:sz w:val="18"/>
          <w:szCs w:val="18"/>
        </w:rPr>
        <w:t xml:space="preserve"> found that rates of recurrent HZ were as common as initial HZ. Based on that source, we assumed that annual probability of recurrent HZ case (and subsequent probability of PHN) is the same as the annual probability of an initial HZ case, which was estimated from</w:t>
      </w:r>
      <w:r w:rsidRPr="002750E1" w:rsidDel="00BE003D">
        <w:rPr>
          <w:rFonts w:ascii="Times New Roman" w:eastAsia="Times New Roman" w:hAnsi="Times New Roman" w:cs="Times New Roman"/>
          <w:sz w:val="18"/>
          <w:szCs w:val="18"/>
        </w:rPr>
        <w:t xml:space="preserve"> </w:t>
      </w:r>
      <w:r w:rsidRPr="002750E1">
        <w:rPr>
          <w:rFonts w:ascii="Times New Roman" w:eastAsia="Times New Roman" w:hAnsi="Times New Roman" w:cs="Times New Roman"/>
          <w:sz w:val="18"/>
          <w:szCs w:val="18"/>
        </w:rPr>
        <w:t>Johnson et al.</w:t>
      </w:r>
      <w:r w:rsidRPr="002750E1">
        <w:rPr>
          <w:rFonts w:ascii="Times New Roman" w:eastAsia="Times New Roman" w:hAnsi="Times New Roman" w:cs="Times New Roman"/>
          <w:noProof/>
          <w:sz w:val="18"/>
          <w:szCs w:val="18"/>
          <w:vertAlign w:val="superscript"/>
        </w:rPr>
        <w:t>2</w:t>
      </w:r>
    </w:p>
    <w:p w14:paraId="76342B16" w14:textId="7EB83604"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For the lower bound, we used values from Tseng et al.</w:t>
      </w:r>
      <w:r w:rsidR="00B1307A">
        <w:rPr>
          <w:rFonts w:ascii="Times New Roman" w:eastAsia="Times New Roman" w:hAnsi="Times New Roman" w:cs="Times New Roman"/>
          <w:noProof/>
          <w:sz w:val="18"/>
          <w:szCs w:val="18"/>
          <w:vertAlign w:val="superscript"/>
        </w:rPr>
        <w:t>50</w:t>
      </w:r>
      <w:r w:rsidRPr="002750E1">
        <w:rPr>
          <w:rFonts w:ascii="Times New Roman" w:eastAsia="Times New Roman" w:hAnsi="Times New Roman" w:cs="Times New Roman"/>
          <w:sz w:val="18"/>
          <w:szCs w:val="18"/>
        </w:rPr>
        <w:t>; values were taken from the lower bound of the CIs reported for recurrent HZ incidence in an unvaccinated cohort (based on a matched cohort study in Kaiser Permanente Southern California). The upper bound estimates were assumed to be the same as those for incidence of initial HZ.</w:t>
      </w:r>
    </w:p>
    <w:p w14:paraId="4A65E8A6" w14:textId="7BFD2BAA"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8776C8">
        <w:rPr>
          <w:rFonts w:ascii="Times New Roman" w:eastAsia="Times New Roman" w:hAnsi="Times New Roman" w:cs="Times New Roman"/>
          <w:sz w:val="18"/>
          <w:szCs w:val="18"/>
          <w:vertAlign w:val="superscript"/>
        </w:rPr>
        <w:t xml:space="preserve"> </w:t>
      </w:r>
      <w:r w:rsidRPr="002750E1">
        <w:rPr>
          <w:rFonts w:ascii="Times New Roman" w:eastAsia="Times New Roman" w:hAnsi="Times New Roman" w:cs="Times New Roman"/>
          <w:sz w:val="18"/>
          <w:szCs w:val="18"/>
        </w:rPr>
        <w:t>Based on Yawn et al.</w:t>
      </w:r>
      <w:r w:rsidR="00B1307A">
        <w:rPr>
          <w:rFonts w:ascii="Times New Roman" w:eastAsia="Times New Roman" w:hAnsi="Times New Roman" w:cs="Times New Roman"/>
          <w:noProof/>
          <w:sz w:val="18"/>
          <w:szCs w:val="18"/>
          <w:vertAlign w:val="superscript"/>
        </w:rPr>
        <w:t>51</w:t>
      </w:r>
      <w:r w:rsidRPr="002750E1">
        <w:rPr>
          <w:rFonts w:ascii="Times New Roman" w:eastAsia="Times New Roman" w:hAnsi="Times New Roman" w:cs="Times New Roman"/>
          <w:sz w:val="18"/>
          <w:szCs w:val="18"/>
        </w:rPr>
        <w:t>, which found that rates of recurrent HZ were as common as initial HZ, it was assumed that the probability of PHN during a recurrent HZ case was the same as the probability during an initial HZ case.</w:t>
      </w:r>
    </w:p>
    <w:p w14:paraId="429AF34F"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 Assumed a range two times the width of the range for the probability of PHN in an initial case of HZ.</w:t>
      </w:r>
    </w:p>
    <w:p w14:paraId="4D74F0B8" w14:textId="2146B16D"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For ages 18 to 49, assumed the base-case HZ-related death rate for ages 50 to 59 for the upper bound value (for ages 50 and older, published 95% CIs from Le and Rothberg</w:t>
      </w:r>
      <w:r w:rsidRPr="002750E1">
        <w:rPr>
          <w:rFonts w:ascii="Times New Roman" w:eastAsia="Times New Roman" w:hAnsi="Times New Roman" w:cs="Times New Roman"/>
          <w:noProof/>
          <w:sz w:val="18"/>
          <w:szCs w:val="18"/>
          <w:vertAlign w:val="superscript"/>
        </w:rPr>
        <w:t>3</w:t>
      </w:r>
      <w:r w:rsidR="00B60C7E">
        <w:rPr>
          <w:rFonts w:ascii="Times New Roman" w:eastAsia="Times New Roman" w:hAnsi="Times New Roman" w:cs="Times New Roman"/>
          <w:noProof/>
          <w:sz w:val="18"/>
          <w:szCs w:val="18"/>
          <w:vertAlign w:val="superscript"/>
        </w:rPr>
        <w:t>7</w:t>
      </w:r>
      <w:r w:rsidRPr="002750E1">
        <w:rPr>
          <w:rFonts w:ascii="Times New Roman" w:eastAsia="Times New Roman" w:hAnsi="Times New Roman" w:cs="Times New Roman"/>
          <w:sz w:val="18"/>
          <w:szCs w:val="18"/>
        </w:rPr>
        <w:t xml:space="preserve"> were used).</w:t>
      </w:r>
    </w:p>
    <w:p w14:paraId="1A43A693"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Derived a 95% CI based on a standard error that was calculated from the published data in Yawn et al.</w:t>
      </w:r>
      <w:r w:rsidRPr="002750E1">
        <w:rPr>
          <w:rFonts w:ascii="Times New Roman" w:eastAsia="Times New Roman" w:hAnsi="Times New Roman" w:cs="Times New Roman"/>
          <w:noProof/>
          <w:sz w:val="18"/>
          <w:szCs w:val="18"/>
          <w:vertAlign w:val="superscript"/>
        </w:rPr>
        <w:t>3</w:t>
      </w:r>
      <w:r w:rsidRPr="002750E1">
        <w:rPr>
          <w:rFonts w:ascii="Times New Roman" w:eastAsia="Times New Roman" w:hAnsi="Times New Roman" w:cs="Times New Roman"/>
          <w:sz w:val="18"/>
          <w:szCs w:val="18"/>
        </w:rPr>
        <w:t xml:space="preserve"> All lower bounds were set to a maximum of 1% for an estimate that would disfavor RZV cost-effectiveness. Standard errors were adjusted to account for the adjusted lower bounds.</w:t>
      </w:r>
    </w:p>
    <w:p w14:paraId="305A262D"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Derived a 95% CI based on a standard error that was calculated from the published data in Yawn et al.</w:t>
      </w:r>
      <w:r w:rsidRPr="002750E1">
        <w:rPr>
          <w:rFonts w:ascii="Times New Roman" w:eastAsia="Times New Roman" w:hAnsi="Times New Roman" w:cs="Times New Roman"/>
          <w:noProof/>
          <w:sz w:val="18"/>
          <w:szCs w:val="18"/>
          <w:vertAlign w:val="superscript"/>
        </w:rPr>
        <w:t>3</w:t>
      </w:r>
      <w:r w:rsidRPr="002750E1">
        <w:rPr>
          <w:rFonts w:ascii="Times New Roman" w:eastAsia="Times New Roman" w:hAnsi="Times New Roman" w:cs="Times New Roman"/>
          <w:sz w:val="18"/>
          <w:szCs w:val="18"/>
        </w:rPr>
        <w:t xml:space="preserve"> All lower bounds were set to a minimum of the published lower bound or 1% for an estimate that would disfavor RZV cost-effectiveness. Standard errors were adjusted to account for the adjusted lower bounds.</w:t>
      </w:r>
    </w:p>
    <w:p w14:paraId="0D775ED9" w14:textId="77777777" w:rsidR="002750E1" w:rsidRPr="002750E1" w:rsidRDefault="002750E1" w:rsidP="002750E1">
      <w:pPr>
        <w:keepLines/>
        <w:spacing w:before="120" w:after="0" w:line="240" w:lineRule="atLeast"/>
        <w:rPr>
          <w:rFonts w:ascii="Times New Roman" w:eastAsia="Times New Roman" w:hAnsi="Times New Roman" w:cs="Times New Roman"/>
          <w:b/>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Derived a 95% CI based on a standard error that was calculated from the published data in Yawn et al.</w:t>
      </w:r>
      <w:r w:rsidRPr="002750E1">
        <w:rPr>
          <w:rFonts w:ascii="Times New Roman" w:eastAsia="Times New Roman" w:hAnsi="Times New Roman" w:cs="Times New Roman"/>
          <w:noProof/>
          <w:sz w:val="18"/>
          <w:szCs w:val="18"/>
          <w:vertAlign w:val="superscript"/>
        </w:rPr>
        <w:t>3</w:t>
      </w:r>
    </w:p>
    <w:p w14:paraId="377E5DC9" w14:textId="77777777" w:rsidR="002750E1" w:rsidRPr="002750E1" w:rsidRDefault="002750E1" w:rsidP="002750E1">
      <w:pPr>
        <w:spacing w:after="0" w:line="240" w:lineRule="auto"/>
        <w:rPr>
          <w:rFonts w:ascii="Times New Roman" w:eastAsia="MS ??" w:hAnsi="Times New Roman" w:cs="Times New Roman"/>
          <w:b/>
          <w:sz w:val="18"/>
          <w:szCs w:val="18"/>
        </w:rPr>
      </w:pPr>
      <w:r w:rsidRPr="002750E1">
        <w:rPr>
          <w:rFonts w:ascii="Times New Roman" w:eastAsia="MS ??" w:hAnsi="Times New Roman" w:cs="Times New Roman"/>
          <w:sz w:val="18"/>
          <w:szCs w:val="18"/>
        </w:rPr>
        <w:br w:type="page"/>
      </w:r>
    </w:p>
    <w:p w14:paraId="05E0AF48" w14:textId="77777777" w:rsidR="002750E1" w:rsidRPr="002750E1" w:rsidRDefault="002750E1" w:rsidP="002750E1">
      <w:pPr>
        <w:keepNext/>
        <w:spacing w:after="0" w:line="480" w:lineRule="auto"/>
        <w:contextualSpacing/>
        <w:rPr>
          <w:rFonts w:ascii="Times New Roman" w:eastAsia="MS ??" w:hAnsi="Times New Roman" w:cs="Times New Roman"/>
          <w:b/>
          <w:sz w:val="24"/>
          <w:szCs w:val="24"/>
        </w:rPr>
      </w:pPr>
      <w:bookmarkStart w:id="17" w:name="_Toc112418266"/>
      <w:r w:rsidRPr="002750E1">
        <w:rPr>
          <w:rFonts w:ascii="Times New Roman" w:eastAsia="MS ??" w:hAnsi="Times New Roman" w:cs="Times New Roman"/>
          <w:b/>
          <w:sz w:val="24"/>
          <w:szCs w:val="24"/>
        </w:rPr>
        <w:lastRenderedPageBreak/>
        <w:t>Table A5</w:t>
      </w:r>
      <w:r w:rsidRPr="002750E1">
        <w:rPr>
          <w:rFonts w:ascii="Times New Roman" w:eastAsia="MS ??" w:hAnsi="Times New Roman" w:cs="Times New Roman"/>
          <w:b/>
          <w:bCs/>
          <w:sz w:val="24"/>
          <w:szCs w:val="24"/>
        </w:rPr>
        <w:t xml:space="preserve">. </w:t>
      </w:r>
      <w:r w:rsidRPr="002750E1">
        <w:rPr>
          <w:rFonts w:ascii="Times New Roman" w:eastAsia="MS ??" w:hAnsi="Times New Roman" w:cs="Times New Roman"/>
          <w:b/>
          <w:sz w:val="24"/>
          <w:szCs w:val="24"/>
        </w:rPr>
        <w:t>Values and sources applied for cost inputs in base-case and sensitivity analyses</w:t>
      </w:r>
      <w:bookmarkEnd w:id="16"/>
      <w:bookmarkEnd w:id="17"/>
    </w:p>
    <w:tbl>
      <w:tblPr>
        <w:tblW w:w="5000" w:type="pct"/>
        <w:tblBorders>
          <w:top w:val="single" w:sz="12" w:space="0" w:color="000000"/>
          <w:bottom w:val="single" w:sz="12" w:space="0" w:color="000000"/>
          <w:insideH w:val="single" w:sz="2" w:space="0" w:color="DDDDDD"/>
        </w:tblBorders>
        <w:tblLayout w:type="fixed"/>
        <w:tblLook w:val="0000" w:firstRow="0" w:lastRow="0" w:firstColumn="0" w:lastColumn="0" w:noHBand="0" w:noVBand="0"/>
      </w:tblPr>
      <w:tblGrid>
        <w:gridCol w:w="2520"/>
        <w:gridCol w:w="1529"/>
        <w:gridCol w:w="1620"/>
        <w:gridCol w:w="1703"/>
        <w:gridCol w:w="3157"/>
        <w:gridCol w:w="2431"/>
      </w:tblGrid>
      <w:tr w:rsidR="002750E1" w:rsidRPr="002750E1" w14:paraId="277D704C" w14:textId="77777777" w:rsidTr="0073288B">
        <w:trPr>
          <w:cantSplit/>
          <w:tblHeader/>
        </w:trPr>
        <w:tc>
          <w:tcPr>
            <w:tcW w:w="972" w:type="pct"/>
            <w:vMerge w:val="restart"/>
            <w:tcBorders>
              <w:top w:val="single" w:sz="12" w:space="0" w:color="000000"/>
              <w:bottom w:val="single" w:sz="2" w:space="0" w:color="000000"/>
            </w:tcBorders>
            <w:shd w:val="clear" w:color="auto" w:fill="E6E6E6"/>
            <w:vAlign w:val="bottom"/>
          </w:tcPr>
          <w:p w14:paraId="17B106AB"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Category/input</w:t>
            </w:r>
          </w:p>
        </w:tc>
        <w:tc>
          <w:tcPr>
            <w:tcW w:w="590" w:type="pct"/>
            <w:vMerge w:val="restart"/>
            <w:tcBorders>
              <w:top w:val="single" w:sz="12" w:space="0" w:color="000000"/>
              <w:bottom w:val="single" w:sz="2" w:space="0" w:color="000000"/>
            </w:tcBorders>
            <w:shd w:val="clear" w:color="auto" w:fill="E6E6E6"/>
            <w:vAlign w:val="bottom"/>
          </w:tcPr>
          <w:p w14:paraId="7D5999B8"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Base-case value</w:t>
            </w:r>
          </w:p>
        </w:tc>
        <w:tc>
          <w:tcPr>
            <w:tcW w:w="1282" w:type="pct"/>
            <w:gridSpan w:val="2"/>
            <w:tcBorders>
              <w:top w:val="single" w:sz="12" w:space="0" w:color="000000"/>
              <w:bottom w:val="single" w:sz="2" w:space="0" w:color="000000"/>
            </w:tcBorders>
            <w:shd w:val="clear" w:color="auto" w:fill="E6E6E6"/>
            <w:vAlign w:val="bottom"/>
          </w:tcPr>
          <w:p w14:paraId="716B329C"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Range*</w:t>
            </w:r>
          </w:p>
        </w:tc>
        <w:tc>
          <w:tcPr>
            <w:tcW w:w="1218" w:type="pct"/>
            <w:vMerge w:val="restart"/>
            <w:tcBorders>
              <w:top w:val="single" w:sz="12" w:space="0" w:color="000000"/>
              <w:bottom w:val="single" w:sz="2" w:space="0" w:color="000000"/>
            </w:tcBorders>
            <w:shd w:val="clear" w:color="auto" w:fill="E6E6E6"/>
            <w:vAlign w:val="bottom"/>
          </w:tcPr>
          <w:p w14:paraId="388173CC"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Base-case value source</w:t>
            </w:r>
          </w:p>
        </w:tc>
        <w:tc>
          <w:tcPr>
            <w:tcW w:w="938" w:type="pct"/>
            <w:vMerge w:val="restart"/>
            <w:tcBorders>
              <w:top w:val="single" w:sz="12" w:space="0" w:color="000000"/>
              <w:bottom w:val="single" w:sz="2" w:space="0" w:color="000000"/>
            </w:tcBorders>
            <w:shd w:val="clear" w:color="auto" w:fill="E6E6E6"/>
            <w:vAlign w:val="bottom"/>
          </w:tcPr>
          <w:p w14:paraId="59442CF4"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Range source</w:t>
            </w:r>
          </w:p>
        </w:tc>
      </w:tr>
      <w:tr w:rsidR="002750E1" w:rsidRPr="002750E1" w14:paraId="7FEBDB5A" w14:textId="77777777" w:rsidTr="0073288B">
        <w:trPr>
          <w:cantSplit/>
          <w:tblHeader/>
        </w:trPr>
        <w:tc>
          <w:tcPr>
            <w:tcW w:w="972" w:type="pct"/>
            <w:vMerge/>
            <w:tcBorders>
              <w:top w:val="single" w:sz="2" w:space="0" w:color="000000"/>
              <w:bottom w:val="single" w:sz="2" w:space="0" w:color="DDDDDD"/>
            </w:tcBorders>
            <w:shd w:val="clear" w:color="auto" w:fill="E6E6E6"/>
            <w:vAlign w:val="bottom"/>
          </w:tcPr>
          <w:p w14:paraId="1249DD6B"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590" w:type="pct"/>
            <w:vMerge/>
            <w:tcBorders>
              <w:top w:val="single" w:sz="2" w:space="0" w:color="000000"/>
              <w:bottom w:val="single" w:sz="2" w:space="0" w:color="DDDDDD"/>
            </w:tcBorders>
            <w:shd w:val="clear" w:color="auto" w:fill="E6E6E6"/>
            <w:vAlign w:val="bottom"/>
          </w:tcPr>
          <w:p w14:paraId="36C00220"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625" w:type="pct"/>
            <w:tcBorders>
              <w:top w:val="single" w:sz="2" w:space="0" w:color="000000"/>
              <w:bottom w:val="single" w:sz="2" w:space="0" w:color="DDDDDD"/>
            </w:tcBorders>
            <w:shd w:val="clear" w:color="auto" w:fill="E6E6E6"/>
            <w:vAlign w:val="bottom"/>
          </w:tcPr>
          <w:p w14:paraId="7F1E5E90"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Lower bound</w:t>
            </w:r>
          </w:p>
        </w:tc>
        <w:tc>
          <w:tcPr>
            <w:tcW w:w="657" w:type="pct"/>
            <w:tcBorders>
              <w:top w:val="single" w:sz="2" w:space="0" w:color="000000"/>
              <w:bottom w:val="single" w:sz="2" w:space="0" w:color="DDDDDD"/>
            </w:tcBorders>
            <w:shd w:val="clear" w:color="auto" w:fill="E6E6E6"/>
            <w:vAlign w:val="bottom"/>
          </w:tcPr>
          <w:p w14:paraId="4B1EAB74"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Upper bound</w:t>
            </w:r>
          </w:p>
        </w:tc>
        <w:tc>
          <w:tcPr>
            <w:tcW w:w="1218" w:type="pct"/>
            <w:vMerge/>
            <w:tcBorders>
              <w:top w:val="single" w:sz="2" w:space="0" w:color="000000"/>
              <w:bottom w:val="single" w:sz="2" w:space="0" w:color="DDDDDD"/>
            </w:tcBorders>
            <w:shd w:val="clear" w:color="auto" w:fill="E6E6E6"/>
            <w:vAlign w:val="bottom"/>
          </w:tcPr>
          <w:p w14:paraId="72A465C4"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938" w:type="pct"/>
            <w:vMerge/>
            <w:tcBorders>
              <w:top w:val="single" w:sz="2" w:space="0" w:color="000000"/>
              <w:bottom w:val="single" w:sz="2" w:space="0" w:color="DDDDDD"/>
            </w:tcBorders>
            <w:shd w:val="clear" w:color="auto" w:fill="E6E6E6"/>
            <w:vAlign w:val="bottom"/>
          </w:tcPr>
          <w:p w14:paraId="27E10E3C"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r>
      <w:tr w:rsidR="002750E1" w:rsidRPr="002750E1" w14:paraId="55038BAE" w14:textId="77777777" w:rsidTr="0042228A">
        <w:trPr>
          <w:cantSplit/>
        </w:trPr>
        <w:tc>
          <w:tcPr>
            <w:tcW w:w="5000" w:type="pct"/>
            <w:gridSpan w:val="6"/>
            <w:tcBorders>
              <w:top w:val="single" w:sz="2" w:space="0" w:color="DDDDDD"/>
            </w:tcBorders>
            <w:shd w:val="clear" w:color="auto" w:fill="FFFFFF"/>
          </w:tcPr>
          <w:p w14:paraId="164AF772" w14:textId="77777777" w:rsidR="002750E1" w:rsidRPr="002750E1" w:rsidRDefault="002750E1" w:rsidP="002750E1">
            <w:pPr>
              <w:keepNext/>
              <w:spacing w:before="40" w:after="40" w:line="240" w:lineRule="atLeast"/>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Direct medical costs</w:t>
            </w:r>
          </w:p>
        </w:tc>
      </w:tr>
      <w:tr w:rsidR="002750E1" w:rsidRPr="002750E1" w14:paraId="55AD7384" w14:textId="77777777" w:rsidTr="0042228A">
        <w:trPr>
          <w:cantSplit/>
        </w:trPr>
        <w:tc>
          <w:tcPr>
            <w:tcW w:w="5000" w:type="pct"/>
            <w:gridSpan w:val="6"/>
            <w:shd w:val="clear" w:color="auto" w:fill="FFFFFF"/>
          </w:tcPr>
          <w:p w14:paraId="0412860E"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Costs per HZ case</w:t>
            </w:r>
            <w:r w:rsidRPr="003A1943">
              <w:rPr>
                <w:rFonts w:ascii="Times New Roman" w:eastAsia="Times New Roman" w:hAnsi="Times New Roman" w:cs="Times New Roman"/>
                <w:sz w:val="24"/>
                <w:szCs w:val="24"/>
                <w:vertAlign w:val="superscript"/>
              </w:rPr>
              <w:t>†</w:t>
            </w:r>
          </w:p>
        </w:tc>
      </w:tr>
      <w:tr w:rsidR="002750E1" w:rsidRPr="002750E1" w14:paraId="3C295405" w14:textId="77777777" w:rsidTr="0073288B">
        <w:trPr>
          <w:cantSplit/>
          <w:trHeight w:val="652"/>
        </w:trPr>
        <w:tc>
          <w:tcPr>
            <w:tcW w:w="972" w:type="pct"/>
            <w:shd w:val="clear" w:color="auto" w:fill="FFFFFF"/>
          </w:tcPr>
          <w:p w14:paraId="7A358423"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Without PHN</w:t>
            </w:r>
          </w:p>
        </w:tc>
        <w:tc>
          <w:tcPr>
            <w:tcW w:w="590" w:type="pct"/>
            <w:shd w:val="clear" w:color="auto" w:fill="FFFFFF"/>
          </w:tcPr>
          <w:p w14:paraId="721B3636" w14:textId="311CF937"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3,577.75</w:t>
            </w:r>
          </w:p>
        </w:tc>
        <w:tc>
          <w:tcPr>
            <w:tcW w:w="625" w:type="pct"/>
            <w:shd w:val="clear" w:color="auto" w:fill="FFFFFF"/>
          </w:tcPr>
          <w:p w14:paraId="18FBAD6E" w14:textId="3F91858D"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2,163.22</w:t>
            </w:r>
          </w:p>
        </w:tc>
        <w:tc>
          <w:tcPr>
            <w:tcW w:w="657" w:type="pct"/>
            <w:shd w:val="clear" w:color="auto" w:fill="FFFFFF"/>
          </w:tcPr>
          <w:p w14:paraId="0A391986" w14:textId="4CBD5281"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5,155.87</w:t>
            </w:r>
          </w:p>
        </w:tc>
        <w:tc>
          <w:tcPr>
            <w:tcW w:w="1218" w:type="pct"/>
            <w:shd w:val="clear" w:color="auto" w:fill="FFFFFF"/>
          </w:tcPr>
          <w:p w14:paraId="4B94E4DF" w14:textId="1613085D"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Eriksson et al.</w:t>
            </w:r>
            <w:r w:rsidRPr="002750E1">
              <w:rPr>
                <w:rFonts w:ascii="Times New Roman" w:eastAsia="Times New Roman" w:hAnsi="Times New Roman" w:cs="Times New Roman"/>
                <w:noProof/>
                <w:sz w:val="24"/>
                <w:szCs w:val="24"/>
                <w:vertAlign w:val="superscript"/>
              </w:rPr>
              <w:t>2</w:t>
            </w:r>
            <w:r w:rsidR="00D046F8">
              <w:rPr>
                <w:rFonts w:ascii="Times New Roman" w:eastAsia="Times New Roman" w:hAnsi="Times New Roman" w:cs="Times New Roman"/>
                <w:noProof/>
                <w:sz w:val="24"/>
                <w:szCs w:val="24"/>
                <w:vertAlign w:val="superscript"/>
              </w:rPr>
              <w:t>2</w:t>
            </w:r>
            <w:r w:rsidRPr="003A1943">
              <w:rPr>
                <w:rFonts w:ascii="Times New Roman" w:eastAsia="Times New Roman" w:hAnsi="Times New Roman" w:cs="Times New Roman"/>
                <w:sz w:val="24"/>
                <w:szCs w:val="24"/>
                <w:vertAlign w:val="superscript"/>
              </w:rPr>
              <w:t>‡</w:t>
            </w:r>
          </w:p>
        </w:tc>
        <w:tc>
          <w:tcPr>
            <w:tcW w:w="938" w:type="pct"/>
            <w:shd w:val="clear" w:color="auto" w:fill="FFFFFF"/>
          </w:tcPr>
          <w:p w14:paraId="2A1D2BE2" w14:textId="7334A808"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Eriksson et al.</w:t>
            </w:r>
            <w:r w:rsidRPr="002750E1">
              <w:rPr>
                <w:rFonts w:ascii="Times New Roman" w:eastAsia="Times New Roman" w:hAnsi="Times New Roman" w:cs="Times New Roman"/>
                <w:noProof/>
                <w:sz w:val="24"/>
                <w:szCs w:val="24"/>
                <w:vertAlign w:val="superscript"/>
              </w:rPr>
              <w:t>2</w:t>
            </w:r>
            <w:r w:rsidR="00D046F8">
              <w:rPr>
                <w:rFonts w:ascii="Times New Roman" w:eastAsia="Times New Roman" w:hAnsi="Times New Roman" w:cs="Times New Roman"/>
                <w:noProof/>
                <w:sz w:val="24"/>
                <w:szCs w:val="24"/>
                <w:vertAlign w:val="superscript"/>
              </w:rPr>
              <w:t>2</w:t>
            </w:r>
            <w:r w:rsidRPr="003A1943">
              <w:rPr>
                <w:rFonts w:ascii="Times New Roman" w:eastAsia="Times New Roman" w:hAnsi="Times New Roman" w:cs="Times New Roman"/>
                <w:sz w:val="24"/>
                <w:szCs w:val="24"/>
                <w:vertAlign w:val="superscript"/>
              </w:rPr>
              <w:t>‡</w:t>
            </w:r>
          </w:p>
        </w:tc>
      </w:tr>
      <w:tr w:rsidR="002750E1" w:rsidRPr="002750E1" w14:paraId="2D45562D" w14:textId="77777777" w:rsidTr="0073288B">
        <w:trPr>
          <w:cantSplit/>
        </w:trPr>
        <w:tc>
          <w:tcPr>
            <w:tcW w:w="972" w:type="pct"/>
            <w:shd w:val="clear" w:color="auto" w:fill="FFFFFF"/>
          </w:tcPr>
          <w:p w14:paraId="18891245"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With PHN</w:t>
            </w:r>
          </w:p>
        </w:tc>
        <w:tc>
          <w:tcPr>
            <w:tcW w:w="590" w:type="pct"/>
            <w:shd w:val="clear" w:color="auto" w:fill="FFFFFF"/>
          </w:tcPr>
          <w:p w14:paraId="5D8E9B5C" w14:textId="461F295A"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8,512.86</w:t>
            </w:r>
          </w:p>
        </w:tc>
        <w:tc>
          <w:tcPr>
            <w:tcW w:w="625" w:type="pct"/>
            <w:shd w:val="clear" w:color="auto" w:fill="FFFFFF"/>
          </w:tcPr>
          <w:p w14:paraId="42EAFE66" w14:textId="348231A5"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3,891.28</w:t>
            </w:r>
          </w:p>
        </w:tc>
        <w:tc>
          <w:tcPr>
            <w:tcW w:w="657" w:type="pct"/>
            <w:shd w:val="clear" w:color="auto" w:fill="FFFFFF"/>
          </w:tcPr>
          <w:p w14:paraId="4C2E710F" w14:textId="01B75984"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12,428.34</w:t>
            </w:r>
          </w:p>
        </w:tc>
        <w:tc>
          <w:tcPr>
            <w:tcW w:w="1218" w:type="pct"/>
            <w:shd w:val="clear" w:color="auto" w:fill="FFFFFF"/>
          </w:tcPr>
          <w:p w14:paraId="2CB43CC5" w14:textId="074C12EB"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Eriksson et al.</w:t>
            </w:r>
            <w:r w:rsidRPr="002750E1">
              <w:rPr>
                <w:rFonts w:ascii="Times New Roman" w:eastAsia="Times New Roman" w:hAnsi="Times New Roman" w:cs="Times New Roman"/>
                <w:noProof/>
                <w:sz w:val="24"/>
                <w:szCs w:val="24"/>
                <w:vertAlign w:val="superscript"/>
              </w:rPr>
              <w:t>2</w:t>
            </w:r>
            <w:r w:rsidR="00D046F8">
              <w:rPr>
                <w:rFonts w:ascii="Times New Roman" w:eastAsia="Times New Roman" w:hAnsi="Times New Roman" w:cs="Times New Roman"/>
                <w:noProof/>
                <w:sz w:val="24"/>
                <w:szCs w:val="24"/>
                <w:vertAlign w:val="superscript"/>
              </w:rPr>
              <w:t>2</w:t>
            </w:r>
            <w:r w:rsidRPr="002750E1">
              <w:rPr>
                <w:rFonts w:ascii="Times New Roman" w:eastAsia="Times New Roman" w:hAnsi="Times New Roman" w:cs="Times New Roman"/>
                <w:sz w:val="24"/>
                <w:szCs w:val="24"/>
              </w:rPr>
              <w:t>, Moore et al.</w:t>
            </w:r>
            <w:r w:rsidR="00915E16">
              <w:rPr>
                <w:rFonts w:ascii="Times New Roman" w:eastAsia="Times New Roman" w:hAnsi="Times New Roman" w:cs="Times New Roman"/>
                <w:noProof/>
                <w:sz w:val="24"/>
                <w:szCs w:val="24"/>
                <w:vertAlign w:val="superscript"/>
              </w:rPr>
              <w:t>52</w:t>
            </w:r>
            <w:r w:rsidRPr="002750E1">
              <w:rPr>
                <w:rFonts w:ascii="Times New Roman" w:eastAsia="Times New Roman" w:hAnsi="Times New Roman" w:cs="Times New Roman"/>
                <w:sz w:val="24"/>
                <w:szCs w:val="24"/>
              </w:rPr>
              <w:t>, Oxman et al.</w:t>
            </w:r>
            <w:r w:rsidR="00B06AE2">
              <w:rPr>
                <w:rFonts w:ascii="Times New Roman" w:eastAsia="Times New Roman" w:hAnsi="Times New Roman" w:cs="Times New Roman"/>
                <w:noProof/>
                <w:sz w:val="24"/>
                <w:szCs w:val="24"/>
                <w:vertAlign w:val="superscript"/>
              </w:rPr>
              <w:t>53</w:t>
            </w:r>
            <w:r w:rsidRPr="003A1943">
              <w:rPr>
                <w:rFonts w:ascii="Times New Roman" w:eastAsia="Times New Roman" w:hAnsi="Times New Roman" w:cs="Times New Roman"/>
                <w:sz w:val="24"/>
                <w:szCs w:val="24"/>
                <w:vertAlign w:val="superscript"/>
              </w:rPr>
              <w:t>§</w:t>
            </w:r>
          </w:p>
        </w:tc>
        <w:tc>
          <w:tcPr>
            <w:tcW w:w="938" w:type="pct"/>
            <w:shd w:val="clear" w:color="auto" w:fill="FFFFFF"/>
          </w:tcPr>
          <w:p w14:paraId="198C0FC2" w14:textId="6D1B7A8F"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Eriksson et al.</w:t>
            </w:r>
            <w:r w:rsidRPr="002750E1">
              <w:rPr>
                <w:rFonts w:ascii="Times New Roman" w:eastAsia="Times New Roman" w:hAnsi="Times New Roman" w:cs="Times New Roman"/>
                <w:noProof/>
                <w:sz w:val="24"/>
                <w:szCs w:val="24"/>
                <w:vertAlign w:val="superscript"/>
              </w:rPr>
              <w:t>2</w:t>
            </w:r>
            <w:r w:rsidR="00D046F8">
              <w:rPr>
                <w:rFonts w:ascii="Times New Roman" w:eastAsia="Times New Roman" w:hAnsi="Times New Roman" w:cs="Times New Roman"/>
                <w:noProof/>
                <w:sz w:val="24"/>
                <w:szCs w:val="24"/>
                <w:vertAlign w:val="superscript"/>
              </w:rPr>
              <w:t>2</w:t>
            </w:r>
            <w:r w:rsidRPr="002750E1">
              <w:rPr>
                <w:rFonts w:ascii="Times New Roman" w:eastAsia="Times New Roman" w:hAnsi="Times New Roman" w:cs="Times New Roman"/>
                <w:sz w:val="24"/>
                <w:szCs w:val="24"/>
              </w:rPr>
              <w:t>, Lieu et al.</w:t>
            </w:r>
            <w:r w:rsidR="00B06AE2">
              <w:rPr>
                <w:rFonts w:ascii="Times New Roman" w:eastAsia="Times New Roman" w:hAnsi="Times New Roman" w:cs="Times New Roman"/>
                <w:noProof/>
                <w:sz w:val="24"/>
                <w:szCs w:val="24"/>
                <w:vertAlign w:val="superscript"/>
              </w:rPr>
              <w:t>54</w:t>
            </w:r>
            <w:r w:rsidRPr="003A1943">
              <w:rPr>
                <w:rFonts w:ascii="Times New Roman" w:eastAsia="Times New Roman" w:hAnsi="Times New Roman" w:cs="Times New Roman"/>
                <w:sz w:val="24"/>
                <w:szCs w:val="24"/>
                <w:vertAlign w:val="superscript"/>
              </w:rPr>
              <w:t>§</w:t>
            </w:r>
          </w:p>
        </w:tc>
      </w:tr>
      <w:tr w:rsidR="002750E1" w:rsidRPr="002750E1" w14:paraId="5512A0EF" w14:textId="77777777" w:rsidTr="0073288B">
        <w:trPr>
          <w:cantSplit/>
        </w:trPr>
        <w:tc>
          <w:tcPr>
            <w:tcW w:w="972" w:type="pct"/>
            <w:shd w:val="clear" w:color="auto" w:fill="FFFFFF"/>
          </w:tcPr>
          <w:p w14:paraId="5807C7E0"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Costs per HZ-related complication</w:t>
            </w:r>
            <w:r w:rsidRPr="003A1943">
              <w:rPr>
                <w:rFonts w:ascii="Times New Roman" w:eastAsia="Times New Roman" w:hAnsi="Times New Roman" w:cs="Times New Roman"/>
                <w:sz w:val="24"/>
                <w:szCs w:val="24"/>
                <w:vertAlign w:val="superscript"/>
              </w:rPr>
              <w:t>†</w:t>
            </w:r>
          </w:p>
        </w:tc>
        <w:tc>
          <w:tcPr>
            <w:tcW w:w="590" w:type="pct"/>
            <w:shd w:val="clear" w:color="auto" w:fill="FFFFFF"/>
          </w:tcPr>
          <w:p w14:paraId="3D8BB9D0" w14:textId="5239AB3F"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0.00</w:t>
            </w:r>
          </w:p>
        </w:tc>
        <w:tc>
          <w:tcPr>
            <w:tcW w:w="625" w:type="pct"/>
            <w:shd w:val="clear" w:color="auto" w:fill="FFFFFF"/>
          </w:tcPr>
          <w:p w14:paraId="34642772" w14:textId="096B6DED"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0.00</w:t>
            </w:r>
          </w:p>
        </w:tc>
        <w:tc>
          <w:tcPr>
            <w:tcW w:w="657" w:type="pct"/>
            <w:shd w:val="clear" w:color="auto" w:fill="FFFFFF"/>
          </w:tcPr>
          <w:p w14:paraId="014A13D0" w14:textId="7964CEFF"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0.00</w:t>
            </w:r>
          </w:p>
        </w:tc>
        <w:tc>
          <w:tcPr>
            <w:tcW w:w="1218" w:type="pct"/>
            <w:shd w:val="clear" w:color="auto" w:fill="FFFFFF"/>
          </w:tcPr>
          <w:p w14:paraId="11E6CC69"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Assumed</w:t>
            </w:r>
            <w:r w:rsidRPr="003A1943">
              <w:rPr>
                <w:rFonts w:ascii="Times New Roman" w:eastAsia="Times New Roman" w:hAnsi="Times New Roman" w:cs="Times New Roman"/>
                <w:sz w:val="24"/>
                <w:szCs w:val="24"/>
                <w:vertAlign w:val="superscript"/>
              </w:rPr>
              <w:t>||</w:t>
            </w:r>
          </w:p>
        </w:tc>
        <w:tc>
          <w:tcPr>
            <w:tcW w:w="938" w:type="pct"/>
            <w:shd w:val="clear" w:color="auto" w:fill="FFFFFF"/>
          </w:tcPr>
          <w:p w14:paraId="5E3C9450" w14:textId="77777777"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N/A</w:t>
            </w:r>
            <w:r w:rsidRPr="003A1943">
              <w:rPr>
                <w:rFonts w:ascii="Times New Roman" w:eastAsia="Times New Roman" w:hAnsi="Times New Roman" w:cs="Times New Roman"/>
                <w:sz w:val="24"/>
                <w:szCs w:val="24"/>
                <w:vertAlign w:val="superscript"/>
              </w:rPr>
              <w:t>||</w:t>
            </w:r>
          </w:p>
        </w:tc>
      </w:tr>
      <w:tr w:rsidR="002750E1" w:rsidRPr="002750E1" w14:paraId="365623C9" w14:textId="77777777" w:rsidTr="0073288B">
        <w:trPr>
          <w:cantSplit/>
        </w:trPr>
        <w:tc>
          <w:tcPr>
            <w:tcW w:w="1562" w:type="pct"/>
            <w:gridSpan w:val="2"/>
            <w:shd w:val="clear" w:color="auto" w:fill="FFFFFF"/>
          </w:tcPr>
          <w:p w14:paraId="46B4C724"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b/>
                <w:sz w:val="24"/>
                <w:szCs w:val="24"/>
              </w:rPr>
              <w:t>Direct vaccination costs</w:t>
            </w:r>
          </w:p>
        </w:tc>
        <w:tc>
          <w:tcPr>
            <w:tcW w:w="625" w:type="pct"/>
            <w:shd w:val="clear" w:color="auto" w:fill="FFFFFF"/>
          </w:tcPr>
          <w:p w14:paraId="20489383"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657" w:type="pct"/>
            <w:shd w:val="clear" w:color="auto" w:fill="FFFFFF"/>
          </w:tcPr>
          <w:p w14:paraId="1B4FBD7E"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1218" w:type="pct"/>
            <w:shd w:val="clear" w:color="auto" w:fill="FFFFFF"/>
          </w:tcPr>
          <w:p w14:paraId="5D254764"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938" w:type="pct"/>
            <w:shd w:val="clear" w:color="auto" w:fill="FFFFFF"/>
          </w:tcPr>
          <w:p w14:paraId="7A309F24"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2750E1" w:rsidRPr="002750E1" w14:paraId="74D7EC14" w14:textId="77777777" w:rsidTr="0073288B">
        <w:trPr>
          <w:cantSplit/>
        </w:trPr>
        <w:tc>
          <w:tcPr>
            <w:tcW w:w="972" w:type="pct"/>
            <w:shd w:val="clear" w:color="auto" w:fill="FFFFFF"/>
          </w:tcPr>
          <w:p w14:paraId="21A7ABAA"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RZV vaccine price per dose</w:t>
            </w:r>
            <w:r w:rsidRPr="003A1943">
              <w:rPr>
                <w:rFonts w:ascii="Times New Roman" w:eastAsia="Times New Roman" w:hAnsi="Times New Roman" w:cs="Times New Roman"/>
                <w:sz w:val="24"/>
                <w:szCs w:val="24"/>
                <w:vertAlign w:val="superscript"/>
              </w:rPr>
              <w:t>¶</w:t>
            </w:r>
          </w:p>
        </w:tc>
        <w:tc>
          <w:tcPr>
            <w:tcW w:w="590" w:type="pct"/>
            <w:shd w:val="clear" w:color="auto" w:fill="FFFFFF"/>
          </w:tcPr>
          <w:p w14:paraId="387163D6" w14:textId="2B660BCB"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162.01</w:t>
            </w:r>
          </w:p>
        </w:tc>
        <w:tc>
          <w:tcPr>
            <w:tcW w:w="625" w:type="pct"/>
            <w:shd w:val="clear" w:color="auto" w:fill="FFFFFF"/>
          </w:tcPr>
          <w:p w14:paraId="710FE2BA" w14:textId="04DF27AB"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162.01</w:t>
            </w:r>
          </w:p>
        </w:tc>
        <w:tc>
          <w:tcPr>
            <w:tcW w:w="657" w:type="pct"/>
            <w:shd w:val="clear" w:color="auto" w:fill="FFFFFF"/>
          </w:tcPr>
          <w:p w14:paraId="0979FF8C" w14:textId="00017217"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186.31</w:t>
            </w:r>
          </w:p>
        </w:tc>
        <w:tc>
          <w:tcPr>
            <w:tcW w:w="1218" w:type="pct"/>
            <w:shd w:val="clear" w:color="auto" w:fill="FFFFFF"/>
          </w:tcPr>
          <w:p w14:paraId="284D48A5" w14:textId="52827ADA"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noProof/>
                <w:sz w:val="24"/>
                <w:szCs w:val="24"/>
              </w:rPr>
              <w:t>Micromedex</w:t>
            </w:r>
            <w:r w:rsidR="00A35767">
              <w:rPr>
                <w:rFonts w:ascii="Times New Roman" w:eastAsia="Times New Roman" w:hAnsi="Times New Roman" w:cs="Times New Roman"/>
                <w:noProof/>
                <w:sz w:val="24"/>
                <w:szCs w:val="24"/>
                <w:vertAlign w:val="superscript"/>
              </w:rPr>
              <w:t>55</w:t>
            </w:r>
          </w:p>
        </w:tc>
        <w:tc>
          <w:tcPr>
            <w:tcW w:w="938" w:type="pct"/>
            <w:shd w:val="clear" w:color="auto" w:fill="FFFFFF"/>
          </w:tcPr>
          <w:p w14:paraId="37E8B0EB" w14:textId="77777777"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Assumed</w:t>
            </w:r>
          </w:p>
        </w:tc>
      </w:tr>
      <w:tr w:rsidR="002750E1" w:rsidRPr="002750E1" w14:paraId="29C37499" w14:textId="77777777" w:rsidTr="0073288B">
        <w:trPr>
          <w:cantSplit/>
        </w:trPr>
        <w:tc>
          <w:tcPr>
            <w:tcW w:w="972" w:type="pct"/>
            <w:shd w:val="clear" w:color="auto" w:fill="FFFFFF"/>
          </w:tcPr>
          <w:p w14:paraId="1A88AAC3"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Administration cost per dose**</w:t>
            </w:r>
          </w:p>
        </w:tc>
        <w:tc>
          <w:tcPr>
            <w:tcW w:w="590" w:type="pct"/>
            <w:shd w:val="clear" w:color="auto" w:fill="FFFFFF"/>
          </w:tcPr>
          <w:p w14:paraId="080BB91C" w14:textId="72AFD443"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27.73</w:t>
            </w:r>
          </w:p>
        </w:tc>
        <w:tc>
          <w:tcPr>
            <w:tcW w:w="625" w:type="pct"/>
            <w:shd w:val="clear" w:color="auto" w:fill="FFFFFF"/>
          </w:tcPr>
          <w:p w14:paraId="44C9187A" w14:textId="5E6EF896"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15.00</w:t>
            </w:r>
          </w:p>
        </w:tc>
        <w:tc>
          <w:tcPr>
            <w:tcW w:w="657" w:type="pct"/>
            <w:shd w:val="clear" w:color="auto" w:fill="FFFFFF"/>
          </w:tcPr>
          <w:p w14:paraId="71BCC7B9" w14:textId="62438235"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50.00</w:t>
            </w:r>
          </w:p>
        </w:tc>
        <w:tc>
          <w:tcPr>
            <w:tcW w:w="1218" w:type="pct"/>
            <w:shd w:val="clear" w:color="auto" w:fill="FFFFFF"/>
          </w:tcPr>
          <w:p w14:paraId="72470861" w14:textId="52E724C9"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Tsai et al.</w:t>
            </w:r>
            <w:r w:rsidR="0043245A">
              <w:rPr>
                <w:rFonts w:ascii="Times New Roman" w:eastAsia="Times New Roman" w:hAnsi="Times New Roman" w:cs="Times New Roman"/>
                <w:sz w:val="24"/>
                <w:szCs w:val="24"/>
                <w:vertAlign w:val="superscript"/>
              </w:rPr>
              <w:t>56</w:t>
            </w:r>
          </w:p>
        </w:tc>
        <w:tc>
          <w:tcPr>
            <w:tcW w:w="938" w:type="pct"/>
            <w:shd w:val="clear" w:color="auto" w:fill="FFFFFF"/>
          </w:tcPr>
          <w:p w14:paraId="2A195AF7" w14:textId="77777777"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Assumed</w:t>
            </w:r>
          </w:p>
        </w:tc>
      </w:tr>
      <w:tr w:rsidR="002750E1" w:rsidRPr="002750E1" w14:paraId="2B844B7F" w14:textId="77777777" w:rsidTr="0073288B">
        <w:trPr>
          <w:cantSplit/>
        </w:trPr>
        <w:tc>
          <w:tcPr>
            <w:tcW w:w="972" w:type="pct"/>
            <w:shd w:val="clear" w:color="auto" w:fill="FFFFFF"/>
          </w:tcPr>
          <w:p w14:paraId="4A5CD445"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AE costs</w:t>
            </w:r>
          </w:p>
        </w:tc>
        <w:tc>
          <w:tcPr>
            <w:tcW w:w="590" w:type="pct"/>
            <w:shd w:val="clear" w:color="auto" w:fill="FFFFFF"/>
          </w:tcPr>
          <w:p w14:paraId="664827DE"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625" w:type="pct"/>
            <w:shd w:val="clear" w:color="auto" w:fill="FFFFFF"/>
          </w:tcPr>
          <w:p w14:paraId="792E5074"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657" w:type="pct"/>
            <w:shd w:val="clear" w:color="auto" w:fill="FFFFFF"/>
          </w:tcPr>
          <w:p w14:paraId="00D1660F"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1218" w:type="pct"/>
            <w:shd w:val="clear" w:color="auto" w:fill="FFFFFF"/>
          </w:tcPr>
          <w:p w14:paraId="7C4500EC"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938" w:type="pct"/>
            <w:shd w:val="clear" w:color="auto" w:fill="FFFFFF"/>
          </w:tcPr>
          <w:p w14:paraId="7E4155C4"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2750E1" w:rsidRPr="002750E1" w14:paraId="7B1A96E9" w14:textId="77777777" w:rsidTr="0073288B">
        <w:trPr>
          <w:cantSplit/>
        </w:trPr>
        <w:tc>
          <w:tcPr>
            <w:tcW w:w="972" w:type="pct"/>
            <w:shd w:val="clear" w:color="auto" w:fill="FFFFFF"/>
          </w:tcPr>
          <w:p w14:paraId="0D511464"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Local/general</w:t>
            </w:r>
          </w:p>
        </w:tc>
        <w:tc>
          <w:tcPr>
            <w:tcW w:w="590" w:type="pct"/>
            <w:shd w:val="clear" w:color="auto" w:fill="FFFFFF"/>
          </w:tcPr>
          <w:p w14:paraId="7A87FE37" w14:textId="087B24B1"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17.59</w:t>
            </w:r>
          </w:p>
        </w:tc>
        <w:tc>
          <w:tcPr>
            <w:tcW w:w="625" w:type="pct"/>
            <w:shd w:val="clear" w:color="auto" w:fill="FFFFFF"/>
          </w:tcPr>
          <w:p w14:paraId="4E308588" w14:textId="77777777"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657" w:type="pct"/>
            <w:shd w:val="clear" w:color="auto" w:fill="FFFFFF"/>
          </w:tcPr>
          <w:p w14:paraId="367F8E7E" w14:textId="77777777"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1218" w:type="pct"/>
            <w:shd w:val="clear" w:color="auto" w:fill="FFFFFF"/>
          </w:tcPr>
          <w:p w14:paraId="568A5AAD" w14:textId="368B9AD7"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noProof/>
                <w:sz w:val="24"/>
                <w:szCs w:val="24"/>
              </w:rPr>
              <w:t>Ortega-Sanchez</w:t>
            </w:r>
            <w:r w:rsidRPr="002750E1">
              <w:rPr>
                <w:rFonts w:ascii="Times New Roman" w:eastAsia="Times New Roman" w:hAnsi="Times New Roman" w:cs="Times New Roman"/>
                <w:noProof/>
                <w:sz w:val="24"/>
                <w:szCs w:val="24"/>
                <w:vertAlign w:val="superscript"/>
              </w:rPr>
              <w:t>5</w:t>
            </w:r>
            <w:r w:rsidR="0043245A">
              <w:rPr>
                <w:rFonts w:ascii="Times New Roman" w:eastAsia="Times New Roman" w:hAnsi="Times New Roman" w:cs="Times New Roman"/>
                <w:noProof/>
                <w:sz w:val="24"/>
                <w:szCs w:val="24"/>
                <w:vertAlign w:val="superscript"/>
              </w:rPr>
              <w:t>7</w:t>
            </w:r>
            <w:r w:rsidRPr="003A1943">
              <w:rPr>
                <w:rFonts w:ascii="Times New Roman" w:eastAsia="Times New Roman" w:hAnsi="Times New Roman" w:cs="Times New Roman"/>
                <w:sz w:val="24"/>
                <w:szCs w:val="24"/>
                <w:vertAlign w:val="superscript"/>
              </w:rPr>
              <w:t>‡‡</w:t>
            </w:r>
          </w:p>
        </w:tc>
        <w:tc>
          <w:tcPr>
            <w:tcW w:w="938" w:type="pct"/>
            <w:shd w:val="clear" w:color="auto" w:fill="FFFFFF"/>
          </w:tcPr>
          <w:p w14:paraId="14C59610" w14:textId="77777777"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N/A</w:t>
            </w:r>
            <w:r w:rsidRPr="003A1943">
              <w:rPr>
                <w:rFonts w:ascii="Times New Roman" w:eastAsia="Times New Roman" w:hAnsi="Times New Roman" w:cs="Times New Roman"/>
                <w:sz w:val="24"/>
                <w:szCs w:val="24"/>
                <w:vertAlign w:val="superscript"/>
              </w:rPr>
              <w:t>††</w:t>
            </w:r>
          </w:p>
        </w:tc>
      </w:tr>
      <w:tr w:rsidR="002750E1" w:rsidRPr="002750E1" w14:paraId="77E64EC4" w14:textId="77777777" w:rsidTr="0073288B">
        <w:trPr>
          <w:cantSplit/>
        </w:trPr>
        <w:tc>
          <w:tcPr>
            <w:tcW w:w="972" w:type="pct"/>
            <w:shd w:val="clear" w:color="auto" w:fill="FFFFFF"/>
          </w:tcPr>
          <w:p w14:paraId="461C6434"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PCP</w:t>
            </w:r>
          </w:p>
        </w:tc>
        <w:tc>
          <w:tcPr>
            <w:tcW w:w="590" w:type="pct"/>
            <w:shd w:val="clear" w:color="auto" w:fill="FFFFFF"/>
          </w:tcPr>
          <w:p w14:paraId="4A3CE699" w14:textId="24BFFC74"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402.20</w:t>
            </w:r>
          </w:p>
        </w:tc>
        <w:tc>
          <w:tcPr>
            <w:tcW w:w="625" w:type="pct"/>
            <w:shd w:val="clear" w:color="auto" w:fill="FFFFFF"/>
          </w:tcPr>
          <w:p w14:paraId="1D674EE8"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657" w:type="pct"/>
            <w:shd w:val="clear" w:color="auto" w:fill="FFFFFF"/>
          </w:tcPr>
          <w:p w14:paraId="1F4ACD29"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1218" w:type="pct"/>
            <w:shd w:val="clear" w:color="auto" w:fill="FFFFFF"/>
          </w:tcPr>
          <w:p w14:paraId="13AD5E30" w14:textId="0B8DF2D2"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noProof/>
                <w:sz w:val="24"/>
                <w:szCs w:val="24"/>
              </w:rPr>
              <w:t xml:space="preserve">Agency for Healthcare Research and </w:t>
            </w:r>
            <w:r w:rsidR="0043245A" w:rsidRPr="002750E1">
              <w:rPr>
                <w:rFonts w:ascii="Times New Roman" w:eastAsia="Times New Roman" w:hAnsi="Times New Roman" w:cs="Times New Roman"/>
                <w:noProof/>
                <w:sz w:val="24"/>
                <w:szCs w:val="24"/>
              </w:rPr>
              <w:t>Quality</w:t>
            </w:r>
            <w:r w:rsidR="0043245A" w:rsidRPr="002750E1">
              <w:rPr>
                <w:rFonts w:ascii="Times New Roman" w:eastAsia="Times New Roman" w:hAnsi="Times New Roman" w:cs="Times New Roman"/>
                <w:noProof/>
                <w:sz w:val="24"/>
                <w:szCs w:val="24"/>
                <w:vertAlign w:val="superscript"/>
              </w:rPr>
              <w:t>5</w:t>
            </w:r>
            <w:r w:rsidR="0043245A">
              <w:rPr>
                <w:rFonts w:ascii="Times New Roman" w:eastAsia="Times New Roman" w:hAnsi="Times New Roman" w:cs="Times New Roman"/>
                <w:noProof/>
                <w:sz w:val="24"/>
                <w:szCs w:val="24"/>
                <w:vertAlign w:val="superscript"/>
              </w:rPr>
              <w:t>8</w:t>
            </w:r>
            <w:r w:rsidRPr="003A1943">
              <w:rPr>
                <w:rFonts w:ascii="Times New Roman" w:eastAsia="Times New Roman" w:hAnsi="Times New Roman" w:cs="Times New Roman"/>
                <w:sz w:val="24"/>
                <w:szCs w:val="24"/>
                <w:vertAlign w:val="superscript"/>
              </w:rPr>
              <w:t>††</w:t>
            </w:r>
          </w:p>
        </w:tc>
        <w:tc>
          <w:tcPr>
            <w:tcW w:w="938" w:type="pct"/>
            <w:shd w:val="clear" w:color="auto" w:fill="FFFFFF"/>
          </w:tcPr>
          <w:p w14:paraId="7D030511"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N/A</w:t>
            </w:r>
            <w:r w:rsidRPr="003A1943">
              <w:rPr>
                <w:rFonts w:ascii="Times New Roman" w:eastAsia="Times New Roman" w:hAnsi="Times New Roman" w:cs="Times New Roman"/>
                <w:sz w:val="24"/>
                <w:szCs w:val="24"/>
                <w:vertAlign w:val="superscript"/>
              </w:rPr>
              <w:t>††</w:t>
            </w:r>
          </w:p>
        </w:tc>
      </w:tr>
      <w:tr w:rsidR="002750E1" w:rsidRPr="002750E1" w14:paraId="1B9C5045" w14:textId="77777777" w:rsidTr="0073288B">
        <w:trPr>
          <w:cantSplit/>
        </w:trPr>
        <w:tc>
          <w:tcPr>
            <w:tcW w:w="972" w:type="pct"/>
            <w:shd w:val="clear" w:color="auto" w:fill="FFFFFF"/>
          </w:tcPr>
          <w:p w14:paraId="59689D21"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ER</w:t>
            </w:r>
          </w:p>
        </w:tc>
        <w:tc>
          <w:tcPr>
            <w:tcW w:w="590" w:type="pct"/>
            <w:shd w:val="clear" w:color="auto" w:fill="FFFFFF"/>
          </w:tcPr>
          <w:p w14:paraId="1D60D26F" w14:textId="5FA90B20"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926.91</w:t>
            </w:r>
          </w:p>
        </w:tc>
        <w:tc>
          <w:tcPr>
            <w:tcW w:w="625" w:type="pct"/>
            <w:shd w:val="clear" w:color="auto" w:fill="FFFFFF"/>
          </w:tcPr>
          <w:p w14:paraId="26759ED4"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657" w:type="pct"/>
            <w:shd w:val="clear" w:color="auto" w:fill="FFFFFF"/>
          </w:tcPr>
          <w:p w14:paraId="095AEED4"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1218" w:type="pct"/>
            <w:shd w:val="clear" w:color="auto" w:fill="FFFFFF"/>
          </w:tcPr>
          <w:p w14:paraId="0088FD42" w14:textId="2CD59B4B"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noProof/>
                <w:sz w:val="24"/>
                <w:szCs w:val="24"/>
              </w:rPr>
              <w:t xml:space="preserve">Agency for Healthcare Research and </w:t>
            </w:r>
            <w:r w:rsidR="0043245A" w:rsidRPr="002750E1">
              <w:rPr>
                <w:rFonts w:ascii="Times New Roman" w:eastAsia="Times New Roman" w:hAnsi="Times New Roman" w:cs="Times New Roman"/>
                <w:noProof/>
                <w:sz w:val="24"/>
                <w:szCs w:val="24"/>
              </w:rPr>
              <w:t>Quality</w:t>
            </w:r>
            <w:r w:rsidR="0043245A" w:rsidRPr="002750E1">
              <w:rPr>
                <w:rFonts w:ascii="Times New Roman" w:eastAsia="Times New Roman" w:hAnsi="Times New Roman" w:cs="Times New Roman"/>
                <w:noProof/>
                <w:sz w:val="24"/>
                <w:szCs w:val="24"/>
                <w:vertAlign w:val="superscript"/>
              </w:rPr>
              <w:t>5</w:t>
            </w:r>
            <w:r w:rsidR="0043245A">
              <w:rPr>
                <w:rFonts w:ascii="Times New Roman" w:eastAsia="Times New Roman" w:hAnsi="Times New Roman" w:cs="Times New Roman"/>
                <w:noProof/>
                <w:sz w:val="24"/>
                <w:szCs w:val="24"/>
                <w:vertAlign w:val="superscript"/>
              </w:rPr>
              <w:t>8</w:t>
            </w:r>
            <w:r w:rsidRPr="003A1943">
              <w:rPr>
                <w:rFonts w:ascii="Times New Roman" w:eastAsia="Times New Roman" w:hAnsi="Times New Roman" w:cs="Times New Roman"/>
                <w:sz w:val="24"/>
                <w:szCs w:val="24"/>
                <w:vertAlign w:val="superscript"/>
              </w:rPr>
              <w:t>§§</w:t>
            </w:r>
          </w:p>
        </w:tc>
        <w:tc>
          <w:tcPr>
            <w:tcW w:w="938" w:type="pct"/>
            <w:shd w:val="clear" w:color="auto" w:fill="FFFFFF"/>
          </w:tcPr>
          <w:p w14:paraId="22686FF8"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N/A</w:t>
            </w:r>
            <w:r w:rsidRPr="003A1943">
              <w:rPr>
                <w:rFonts w:ascii="Times New Roman" w:eastAsia="Times New Roman" w:hAnsi="Times New Roman" w:cs="Times New Roman"/>
                <w:sz w:val="24"/>
                <w:szCs w:val="24"/>
                <w:vertAlign w:val="superscript"/>
              </w:rPr>
              <w:t>††</w:t>
            </w:r>
          </w:p>
        </w:tc>
      </w:tr>
      <w:tr w:rsidR="002750E1" w:rsidRPr="002750E1" w14:paraId="4C44BDE1" w14:textId="77777777" w:rsidTr="0073288B">
        <w:trPr>
          <w:cantSplit/>
        </w:trPr>
        <w:tc>
          <w:tcPr>
            <w:tcW w:w="972" w:type="pct"/>
            <w:shd w:val="clear" w:color="auto" w:fill="FFFFFF"/>
          </w:tcPr>
          <w:p w14:paraId="56C01782"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Serious (hospitalization)</w:t>
            </w:r>
          </w:p>
        </w:tc>
        <w:tc>
          <w:tcPr>
            <w:tcW w:w="590" w:type="pct"/>
            <w:shd w:val="clear" w:color="auto" w:fill="FFFFFF"/>
          </w:tcPr>
          <w:p w14:paraId="2252AD68" w14:textId="19B34BB7"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8,291.69</w:t>
            </w:r>
          </w:p>
        </w:tc>
        <w:tc>
          <w:tcPr>
            <w:tcW w:w="625" w:type="pct"/>
            <w:shd w:val="clear" w:color="auto" w:fill="FFFFFF"/>
          </w:tcPr>
          <w:p w14:paraId="58D34266"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657" w:type="pct"/>
            <w:shd w:val="clear" w:color="auto" w:fill="FFFFFF"/>
          </w:tcPr>
          <w:p w14:paraId="3BA7382B"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1218" w:type="pct"/>
            <w:shd w:val="clear" w:color="auto" w:fill="FFFFFF"/>
          </w:tcPr>
          <w:p w14:paraId="19229FCB" w14:textId="21A322A9"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noProof/>
                <w:sz w:val="24"/>
                <w:szCs w:val="24"/>
              </w:rPr>
              <w:t>Le and Rothberg</w:t>
            </w:r>
            <w:r w:rsidRPr="002750E1">
              <w:rPr>
                <w:rFonts w:ascii="Times New Roman" w:eastAsia="Times New Roman" w:hAnsi="Times New Roman" w:cs="Times New Roman"/>
                <w:noProof/>
                <w:sz w:val="24"/>
                <w:szCs w:val="24"/>
                <w:vertAlign w:val="superscript"/>
              </w:rPr>
              <w:t>3</w:t>
            </w:r>
            <w:r w:rsidR="00E03ABD">
              <w:rPr>
                <w:rFonts w:ascii="Times New Roman" w:eastAsia="Times New Roman" w:hAnsi="Times New Roman" w:cs="Times New Roman"/>
                <w:noProof/>
                <w:sz w:val="24"/>
                <w:szCs w:val="24"/>
                <w:vertAlign w:val="superscript"/>
              </w:rPr>
              <w:t>6</w:t>
            </w:r>
            <w:r w:rsidRPr="003A1943">
              <w:rPr>
                <w:rFonts w:ascii="Times New Roman" w:eastAsia="Times New Roman" w:hAnsi="Times New Roman" w:cs="Times New Roman"/>
                <w:noProof/>
                <w:sz w:val="24"/>
                <w:szCs w:val="24"/>
              </w:rPr>
              <w:t>,</w:t>
            </w:r>
            <w:r w:rsidRPr="002750E1">
              <w:rPr>
                <w:rFonts w:ascii="Times New Roman" w:eastAsia="Times New Roman" w:hAnsi="Times New Roman" w:cs="Times New Roman"/>
                <w:noProof/>
                <w:sz w:val="24"/>
                <w:szCs w:val="24"/>
                <w:vertAlign w:val="superscript"/>
              </w:rPr>
              <w:t xml:space="preserve"> </w:t>
            </w:r>
            <w:r w:rsidRPr="002750E1">
              <w:rPr>
                <w:rFonts w:ascii="Times New Roman" w:eastAsia="Times New Roman" w:hAnsi="Times New Roman" w:cs="Times New Roman"/>
                <w:noProof/>
                <w:sz w:val="24"/>
                <w:szCs w:val="24"/>
              </w:rPr>
              <w:t xml:space="preserve">Healthcare Cost and Utilization </w:t>
            </w:r>
            <w:r w:rsidR="0043245A" w:rsidRPr="002750E1">
              <w:rPr>
                <w:rFonts w:ascii="Times New Roman" w:eastAsia="Times New Roman" w:hAnsi="Times New Roman" w:cs="Times New Roman"/>
                <w:noProof/>
                <w:sz w:val="24"/>
                <w:szCs w:val="24"/>
              </w:rPr>
              <w:t>Project</w:t>
            </w:r>
            <w:r w:rsidR="0043245A" w:rsidRPr="002750E1">
              <w:rPr>
                <w:rFonts w:ascii="Times New Roman" w:eastAsia="Times New Roman" w:hAnsi="Times New Roman" w:cs="Times New Roman"/>
                <w:noProof/>
                <w:sz w:val="24"/>
                <w:szCs w:val="24"/>
                <w:vertAlign w:val="superscript"/>
              </w:rPr>
              <w:t>5</w:t>
            </w:r>
            <w:r w:rsidR="0043245A">
              <w:rPr>
                <w:rFonts w:ascii="Times New Roman" w:eastAsia="Times New Roman" w:hAnsi="Times New Roman" w:cs="Times New Roman"/>
                <w:noProof/>
                <w:sz w:val="24"/>
                <w:szCs w:val="24"/>
                <w:vertAlign w:val="superscript"/>
              </w:rPr>
              <w:t>9</w:t>
            </w:r>
            <w:r w:rsidRPr="003A1943">
              <w:rPr>
                <w:rFonts w:ascii="Times New Roman" w:eastAsia="Times New Roman" w:hAnsi="Times New Roman" w:cs="Times New Roman"/>
                <w:sz w:val="24"/>
                <w:szCs w:val="24"/>
                <w:vertAlign w:val="superscript"/>
              </w:rPr>
              <w:t>||||</w:t>
            </w:r>
          </w:p>
        </w:tc>
        <w:tc>
          <w:tcPr>
            <w:tcW w:w="938" w:type="pct"/>
            <w:shd w:val="clear" w:color="auto" w:fill="FFFFFF"/>
          </w:tcPr>
          <w:p w14:paraId="6058DDE0"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N/A</w:t>
            </w:r>
            <w:r w:rsidRPr="003A1943">
              <w:rPr>
                <w:rFonts w:ascii="Times New Roman" w:eastAsia="Times New Roman" w:hAnsi="Times New Roman" w:cs="Times New Roman"/>
                <w:sz w:val="24"/>
                <w:szCs w:val="24"/>
                <w:vertAlign w:val="superscript"/>
              </w:rPr>
              <w:t>¶¶</w:t>
            </w:r>
          </w:p>
        </w:tc>
      </w:tr>
      <w:tr w:rsidR="002750E1" w:rsidRPr="002750E1" w14:paraId="0C961200" w14:textId="77777777" w:rsidTr="0073288B">
        <w:trPr>
          <w:cantSplit/>
        </w:trPr>
        <w:tc>
          <w:tcPr>
            <w:tcW w:w="972" w:type="pct"/>
            <w:shd w:val="clear" w:color="auto" w:fill="FFFFFF"/>
          </w:tcPr>
          <w:p w14:paraId="043542F9"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lastRenderedPageBreak/>
              <w:t>Weighted AE cost per dose</w:t>
            </w:r>
          </w:p>
        </w:tc>
        <w:tc>
          <w:tcPr>
            <w:tcW w:w="590" w:type="pct"/>
            <w:shd w:val="clear" w:color="auto" w:fill="FFFFFF"/>
          </w:tcPr>
          <w:p w14:paraId="0A5702F5" w14:textId="0A755EC7"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64.51</w:t>
            </w:r>
          </w:p>
        </w:tc>
        <w:tc>
          <w:tcPr>
            <w:tcW w:w="625" w:type="pct"/>
            <w:shd w:val="clear" w:color="auto" w:fill="FFFFFF"/>
          </w:tcPr>
          <w:p w14:paraId="471922D5" w14:textId="53C1A04E"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32.25</w:t>
            </w:r>
          </w:p>
        </w:tc>
        <w:tc>
          <w:tcPr>
            <w:tcW w:w="657" w:type="pct"/>
            <w:shd w:val="clear" w:color="auto" w:fill="FFFFFF"/>
          </w:tcPr>
          <w:p w14:paraId="2A5A1734" w14:textId="462FAA06"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129.02</w:t>
            </w:r>
          </w:p>
        </w:tc>
        <w:tc>
          <w:tcPr>
            <w:tcW w:w="1218" w:type="pct"/>
            <w:shd w:val="clear" w:color="auto" w:fill="FFFFFF"/>
          </w:tcPr>
          <w:p w14:paraId="5D38E6DA" w14:textId="77777777"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Calculation***</w:t>
            </w:r>
          </w:p>
        </w:tc>
        <w:tc>
          <w:tcPr>
            <w:tcW w:w="938" w:type="pct"/>
            <w:shd w:val="clear" w:color="auto" w:fill="FFFFFF"/>
          </w:tcPr>
          <w:p w14:paraId="6AFD258A" w14:textId="77777777"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Calculation***</w:t>
            </w:r>
          </w:p>
        </w:tc>
      </w:tr>
      <w:tr w:rsidR="002750E1" w:rsidRPr="002750E1" w14:paraId="74671D81" w14:textId="77777777" w:rsidTr="0073288B">
        <w:trPr>
          <w:cantSplit/>
        </w:trPr>
        <w:tc>
          <w:tcPr>
            <w:tcW w:w="972" w:type="pct"/>
            <w:shd w:val="clear" w:color="auto" w:fill="FFFFFF"/>
          </w:tcPr>
          <w:p w14:paraId="743D4F02" w14:textId="77777777" w:rsidR="002750E1" w:rsidRPr="002750E1" w:rsidRDefault="002750E1" w:rsidP="002750E1">
            <w:pPr>
              <w:keepNext/>
              <w:spacing w:before="40" w:after="40" w:line="240" w:lineRule="atLeast"/>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Indirect costs</w:t>
            </w:r>
          </w:p>
        </w:tc>
        <w:tc>
          <w:tcPr>
            <w:tcW w:w="590" w:type="pct"/>
            <w:shd w:val="clear" w:color="auto" w:fill="FFFFFF"/>
          </w:tcPr>
          <w:p w14:paraId="6F0CE4BA" w14:textId="77777777" w:rsidR="002750E1" w:rsidRPr="002750E1" w:rsidRDefault="002750E1" w:rsidP="002750E1">
            <w:pPr>
              <w:keepNext/>
              <w:spacing w:before="40" w:after="40" w:line="240" w:lineRule="atLeast"/>
              <w:rPr>
                <w:rFonts w:ascii="Times New Roman" w:eastAsia="Times New Roman" w:hAnsi="Times New Roman" w:cs="Times New Roman"/>
                <w:b/>
                <w:sz w:val="24"/>
                <w:szCs w:val="24"/>
              </w:rPr>
            </w:pPr>
          </w:p>
        </w:tc>
        <w:tc>
          <w:tcPr>
            <w:tcW w:w="625" w:type="pct"/>
            <w:shd w:val="clear" w:color="auto" w:fill="FFFFFF"/>
          </w:tcPr>
          <w:p w14:paraId="5CAFAE14" w14:textId="77777777" w:rsidR="002750E1" w:rsidRPr="002750E1" w:rsidRDefault="002750E1" w:rsidP="002750E1">
            <w:pPr>
              <w:keepNext/>
              <w:spacing w:before="40" w:after="40" w:line="240" w:lineRule="atLeast"/>
              <w:rPr>
                <w:rFonts w:ascii="Times New Roman" w:eastAsia="Times New Roman" w:hAnsi="Times New Roman" w:cs="Times New Roman"/>
                <w:b/>
                <w:sz w:val="24"/>
                <w:szCs w:val="24"/>
              </w:rPr>
            </w:pPr>
          </w:p>
        </w:tc>
        <w:tc>
          <w:tcPr>
            <w:tcW w:w="657" w:type="pct"/>
            <w:shd w:val="clear" w:color="auto" w:fill="FFFFFF"/>
          </w:tcPr>
          <w:p w14:paraId="5AB60E81" w14:textId="77777777" w:rsidR="002750E1" w:rsidRPr="002750E1" w:rsidRDefault="002750E1" w:rsidP="002750E1">
            <w:pPr>
              <w:keepNext/>
              <w:spacing w:before="40" w:after="40" w:line="240" w:lineRule="atLeast"/>
              <w:rPr>
                <w:rFonts w:ascii="Times New Roman" w:eastAsia="Times New Roman" w:hAnsi="Times New Roman" w:cs="Times New Roman"/>
                <w:b/>
                <w:sz w:val="24"/>
                <w:szCs w:val="24"/>
              </w:rPr>
            </w:pPr>
          </w:p>
        </w:tc>
        <w:tc>
          <w:tcPr>
            <w:tcW w:w="1218" w:type="pct"/>
            <w:shd w:val="clear" w:color="auto" w:fill="FFFFFF"/>
          </w:tcPr>
          <w:p w14:paraId="15575185" w14:textId="77777777" w:rsidR="002750E1" w:rsidRPr="002750E1" w:rsidRDefault="002750E1" w:rsidP="002750E1">
            <w:pPr>
              <w:keepNext/>
              <w:spacing w:before="40" w:after="40" w:line="240" w:lineRule="atLeast"/>
              <w:rPr>
                <w:rFonts w:ascii="Times New Roman" w:eastAsia="Times New Roman" w:hAnsi="Times New Roman" w:cs="Times New Roman"/>
                <w:b/>
                <w:sz w:val="24"/>
                <w:szCs w:val="24"/>
              </w:rPr>
            </w:pPr>
          </w:p>
        </w:tc>
        <w:tc>
          <w:tcPr>
            <w:tcW w:w="938" w:type="pct"/>
            <w:shd w:val="clear" w:color="auto" w:fill="FFFFFF"/>
          </w:tcPr>
          <w:p w14:paraId="51DF08F2" w14:textId="77777777" w:rsidR="002750E1" w:rsidRPr="002750E1" w:rsidRDefault="002750E1" w:rsidP="002750E1">
            <w:pPr>
              <w:keepNext/>
              <w:spacing w:before="40" w:after="40" w:line="240" w:lineRule="atLeast"/>
              <w:rPr>
                <w:rFonts w:ascii="Times New Roman" w:eastAsia="Times New Roman" w:hAnsi="Times New Roman" w:cs="Times New Roman"/>
                <w:b/>
                <w:sz w:val="24"/>
                <w:szCs w:val="24"/>
              </w:rPr>
            </w:pPr>
          </w:p>
        </w:tc>
      </w:tr>
      <w:tr w:rsidR="002750E1" w:rsidRPr="002750E1" w14:paraId="23C2E288" w14:textId="77777777" w:rsidTr="0073288B">
        <w:trPr>
          <w:cantSplit/>
        </w:trPr>
        <w:tc>
          <w:tcPr>
            <w:tcW w:w="972" w:type="pct"/>
            <w:shd w:val="clear" w:color="auto" w:fill="FFFFFF"/>
          </w:tcPr>
          <w:p w14:paraId="32E3C5CA"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Indirect costs per HZ case</w:t>
            </w:r>
            <w:r w:rsidRPr="003A1943">
              <w:rPr>
                <w:rFonts w:ascii="Times New Roman" w:eastAsia="Times New Roman" w:hAnsi="Times New Roman" w:cs="Times New Roman"/>
                <w:sz w:val="24"/>
                <w:szCs w:val="24"/>
                <w:vertAlign w:val="superscript"/>
              </w:rPr>
              <w:t>†</w:t>
            </w:r>
          </w:p>
        </w:tc>
        <w:tc>
          <w:tcPr>
            <w:tcW w:w="590" w:type="pct"/>
            <w:shd w:val="clear" w:color="auto" w:fill="FFFFFF"/>
          </w:tcPr>
          <w:p w14:paraId="6727ADD2" w14:textId="2D9A9248"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199.50</w:t>
            </w:r>
          </w:p>
        </w:tc>
        <w:tc>
          <w:tcPr>
            <w:tcW w:w="625" w:type="pct"/>
            <w:shd w:val="clear" w:color="auto" w:fill="FFFFFF"/>
          </w:tcPr>
          <w:p w14:paraId="78445084" w14:textId="1DEA8F6D"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69.27</w:t>
            </w:r>
          </w:p>
        </w:tc>
        <w:tc>
          <w:tcPr>
            <w:tcW w:w="657" w:type="pct"/>
            <w:shd w:val="clear" w:color="auto" w:fill="FFFFFF"/>
          </w:tcPr>
          <w:p w14:paraId="6FD1C220" w14:textId="4A8D1613" w:rsidR="002750E1" w:rsidRPr="002750E1" w:rsidRDefault="008B6782" w:rsidP="002750E1">
            <w:pPr>
              <w:spacing w:before="40" w:after="4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384.28</w:t>
            </w:r>
          </w:p>
        </w:tc>
        <w:tc>
          <w:tcPr>
            <w:tcW w:w="1218" w:type="pct"/>
            <w:shd w:val="clear" w:color="auto" w:fill="FFFFFF"/>
          </w:tcPr>
          <w:p w14:paraId="5D112E4C" w14:textId="2194A9B3" w:rsidR="002750E1" w:rsidRPr="002750E1" w:rsidRDefault="002750E1" w:rsidP="002750E1">
            <w:pPr>
              <w:spacing w:before="40" w:after="40" w:line="240" w:lineRule="atLeast"/>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Eriksson et al.</w:t>
            </w:r>
            <w:r w:rsidRPr="002750E1">
              <w:rPr>
                <w:rFonts w:ascii="Times New Roman" w:eastAsia="Times New Roman" w:hAnsi="Times New Roman" w:cs="Times New Roman"/>
                <w:noProof/>
                <w:sz w:val="24"/>
                <w:szCs w:val="24"/>
                <w:vertAlign w:val="superscript"/>
              </w:rPr>
              <w:t>2</w:t>
            </w:r>
            <w:r w:rsidR="00D046F8">
              <w:rPr>
                <w:rFonts w:ascii="Times New Roman" w:eastAsia="Times New Roman" w:hAnsi="Times New Roman" w:cs="Times New Roman"/>
                <w:noProof/>
                <w:sz w:val="24"/>
                <w:szCs w:val="24"/>
                <w:vertAlign w:val="superscript"/>
              </w:rPr>
              <w:t>2</w:t>
            </w:r>
            <w:r w:rsidRPr="003A1943">
              <w:rPr>
                <w:rFonts w:ascii="Times New Roman" w:eastAsia="Times New Roman" w:hAnsi="Times New Roman" w:cs="Times New Roman"/>
                <w:sz w:val="24"/>
                <w:szCs w:val="24"/>
                <w:vertAlign w:val="superscript"/>
              </w:rPr>
              <w:t>†††</w:t>
            </w:r>
          </w:p>
        </w:tc>
        <w:tc>
          <w:tcPr>
            <w:tcW w:w="938" w:type="pct"/>
            <w:shd w:val="clear" w:color="auto" w:fill="FFFFFF"/>
          </w:tcPr>
          <w:p w14:paraId="772A105E" w14:textId="5F3F06DA"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Eriksson et al.</w:t>
            </w:r>
            <w:r w:rsidRPr="002750E1">
              <w:rPr>
                <w:rFonts w:ascii="Times New Roman" w:eastAsia="Times New Roman" w:hAnsi="Times New Roman" w:cs="Times New Roman"/>
                <w:noProof/>
                <w:sz w:val="24"/>
                <w:szCs w:val="24"/>
                <w:vertAlign w:val="superscript"/>
              </w:rPr>
              <w:t>2</w:t>
            </w:r>
            <w:r w:rsidR="00D046F8">
              <w:rPr>
                <w:rFonts w:ascii="Times New Roman" w:eastAsia="Times New Roman" w:hAnsi="Times New Roman" w:cs="Times New Roman"/>
                <w:noProof/>
                <w:sz w:val="24"/>
                <w:szCs w:val="24"/>
                <w:vertAlign w:val="superscript"/>
              </w:rPr>
              <w:t>2</w:t>
            </w:r>
            <w:r w:rsidRPr="003A1943">
              <w:rPr>
                <w:rFonts w:ascii="Times New Roman" w:eastAsia="Times New Roman" w:hAnsi="Times New Roman" w:cs="Times New Roman"/>
                <w:sz w:val="24"/>
                <w:szCs w:val="24"/>
                <w:vertAlign w:val="superscript"/>
              </w:rPr>
              <w:t>†††</w:t>
            </w:r>
          </w:p>
        </w:tc>
      </w:tr>
      <w:tr w:rsidR="002750E1" w:rsidRPr="002750E1" w14:paraId="142FB5EB" w14:textId="77777777" w:rsidTr="0073288B">
        <w:trPr>
          <w:cantSplit/>
        </w:trPr>
        <w:tc>
          <w:tcPr>
            <w:tcW w:w="972" w:type="pct"/>
            <w:shd w:val="clear" w:color="auto" w:fill="FFFFFF"/>
          </w:tcPr>
          <w:p w14:paraId="067942F7" w14:textId="77777777" w:rsidR="002750E1" w:rsidRPr="002750E1" w:rsidRDefault="002750E1" w:rsidP="002750E1">
            <w:pPr>
              <w:spacing w:before="40" w:after="40" w:line="240" w:lineRule="atLeast"/>
              <w:rPr>
                <w:rFonts w:ascii="Times New Roman" w:eastAsia="Times New Roman" w:hAnsi="Times New Roman" w:cs="Times New Roman"/>
                <w:b/>
                <w:bCs/>
                <w:sz w:val="24"/>
                <w:szCs w:val="24"/>
              </w:rPr>
            </w:pPr>
            <w:r w:rsidRPr="002750E1">
              <w:rPr>
                <w:rFonts w:ascii="Times New Roman" w:eastAsia="Times New Roman" w:hAnsi="Times New Roman" w:cs="Times New Roman"/>
                <w:b/>
                <w:bCs/>
                <w:sz w:val="24"/>
                <w:szCs w:val="24"/>
              </w:rPr>
              <w:t xml:space="preserve">Discount rate </w:t>
            </w:r>
          </w:p>
        </w:tc>
        <w:tc>
          <w:tcPr>
            <w:tcW w:w="590" w:type="pct"/>
            <w:shd w:val="clear" w:color="auto" w:fill="FFFFFF"/>
          </w:tcPr>
          <w:p w14:paraId="750AC31C"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625" w:type="pct"/>
            <w:shd w:val="clear" w:color="auto" w:fill="FFFFFF"/>
          </w:tcPr>
          <w:p w14:paraId="38EC1105"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657" w:type="pct"/>
            <w:shd w:val="clear" w:color="auto" w:fill="FFFFFF"/>
          </w:tcPr>
          <w:p w14:paraId="5355AC6E"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1218" w:type="pct"/>
            <w:shd w:val="clear" w:color="auto" w:fill="FFFFFF"/>
          </w:tcPr>
          <w:p w14:paraId="18C4D9F8"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938" w:type="pct"/>
            <w:shd w:val="clear" w:color="auto" w:fill="FFFFFF"/>
          </w:tcPr>
          <w:p w14:paraId="52EAC90C"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2750E1" w:rsidRPr="002750E1" w14:paraId="69EF8D97" w14:textId="77777777" w:rsidTr="0073288B">
        <w:trPr>
          <w:cantSplit/>
          <w:trHeight w:val="69"/>
        </w:trPr>
        <w:tc>
          <w:tcPr>
            <w:tcW w:w="972" w:type="pct"/>
            <w:shd w:val="clear" w:color="auto" w:fill="FFFFFF"/>
          </w:tcPr>
          <w:p w14:paraId="0562A2B6"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Costs</w:t>
            </w:r>
          </w:p>
        </w:tc>
        <w:tc>
          <w:tcPr>
            <w:tcW w:w="590" w:type="pct"/>
            <w:shd w:val="clear" w:color="auto" w:fill="FFFFFF"/>
          </w:tcPr>
          <w:p w14:paraId="3408C548"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3.0%</w:t>
            </w:r>
          </w:p>
        </w:tc>
        <w:tc>
          <w:tcPr>
            <w:tcW w:w="625" w:type="pct"/>
            <w:shd w:val="clear" w:color="auto" w:fill="FFFFFF"/>
          </w:tcPr>
          <w:p w14:paraId="4F853897"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w:t>
            </w:r>
          </w:p>
        </w:tc>
        <w:tc>
          <w:tcPr>
            <w:tcW w:w="657" w:type="pct"/>
            <w:shd w:val="clear" w:color="auto" w:fill="FFFFFF"/>
          </w:tcPr>
          <w:p w14:paraId="44D8E61A"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6.0%</w:t>
            </w:r>
          </w:p>
        </w:tc>
        <w:tc>
          <w:tcPr>
            <w:tcW w:w="1218" w:type="pct"/>
            <w:shd w:val="clear" w:color="auto" w:fill="FFFFFF"/>
          </w:tcPr>
          <w:p w14:paraId="500046D7" w14:textId="0FF6B656"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Sanders et al.</w:t>
            </w:r>
            <w:r w:rsidRPr="002750E1">
              <w:rPr>
                <w:rFonts w:ascii="Times New Roman" w:eastAsia="Times New Roman" w:hAnsi="Times New Roman" w:cs="Times New Roman"/>
                <w:noProof/>
                <w:sz w:val="24"/>
                <w:szCs w:val="24"/>
                <w:vertAlign w:val="superscript"/>
              </w:rPr>
              <w:t>1</w:t>
            </w:r>
            <w:r w:rsidR="0043245A">
              <w:rPr>
                <w:rFonts w:ascii="Times New Roman" w:eastAsia="Times New Roman" w:hAnsi="Times New Roman" w:cs="Times New Roman"/>
                <w:noProof/>
                <w:sz w:val="24"/>
                <w:szCs w:val="24"/>
                <w:vertAlign w:val="superscript"/>
              </w:rPr>
              <w:t>3</w:t>
            </w:r>
          </w:p>
        </w:tc>
        <w:tc>
          <w:tcPr>
            <w:tcW w:w="938" w:type="pct"/>
            <w:shd w:val="clear" w:color="auto" w:fill="FFFFFF"/>
          </w:tcPr>
          <w:p w14:paraId="35AA8650"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Assumed</w:t>
            </w:r>
          </w:p>
        </w:tc>
      </w:tr>
    </w:tbl>
    <w:p w14:paraId="2617D497" w14:textId="3585F721"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 xml:space="preserve">AE = adverse event; ER = emergency </w:t>
      </w:r>
      <w:r w:rsidR="002B0C8D">
        <w:rPr>
          <w:rFonts w:ascii="Times New Roman" w:eastAsia="Times New Roman" w:hAnsi="Times New Roman" w:cs="Times New Roman"/>
          <w:sz w:val="18"/>
          <w:szCs w:val="18"/>
        </w:rPr>
        <w:t>room</w:t>
      </w:r>
      <w:r w:rsidRPr="002750E1">
        <w:rPr>
          <w:rFonts w:ascii="Times New Roman" w:eastAsia="Times New Roman" w:hAnsi="Times New Roman" w:cs="Times New Roman"/>
          <w:sz w:val="18"/>
          <w:szCs w:val="18"/>
        </w:rPr>
        <w:t>; HSCT = hematopoietic stem</w:t>
      </w:r>
      <w:r w:rsidR="008B7CC8">
        <w:rPr>
          <w:rFonts w:ascii="Times New Roman" w:eastAsia="Times New Roman" w:hAnsi="Times New Roman" w:cs="Times New Roman"/>
          <w:sz w:val="18"/>
          <w:szCs w:val="18"/>
        </w:rPr>
        <w:t xml:space="preserve"> </w:t>
      </w:r>
      <w:r w:rsidRPr="002750E1">
        <w:rPr>
          <w:rFonts w:ascii="Times New Roman" w:eastAsia="Times New Roman" w:hAnsi="Times New Roman" w:cs="Times New Roman"/>
          <w:sz w:val="18"/>
          <w:szCs w:val="18"/>
        </w:rPr>
        <w:t>cell transplant; HZ = herpes zoster; IC = immunocompromised; N/A = not applicable; PCP = primary care provider; PHN = postherpetic neuralgia; QALY = quality-adjusted life-year; RZV = recombinant zoster vaccine; US = United States; ZVL = zoster vaccine live.</w:t>
      </w:r>
    </w:p>
    <w:p w14:paraId="7B436C8F"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Note: -- = not varied in sensitivity or scenario analyses.</w:t>
      </w:r>
    </w:p>
    <w:p w14:paraId="64A8A3A1"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 For the probabilistic sensitivity analysis, the gamma distribution has been assumed for all cost-related inputs. The standard errors applied in the gamma distribution parameters are consistent with the reported uncertainty ranges representing 95% confidence intervals.</w:t>
      </w:r>
    </w:p>
    <w:p w14:paraId="349A5718"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This applies to individuals with IC status only. </w:t>
      </w:r>
    </w:p>
    <w:p w14:paraId="200BF402" w14:textId="3AEBD04C"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Eriksson et al.</w:t>
      </w:r>
      <w:r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r w:rsidRPr="002750E1">
        <w:rPr>
          <w:rFonts w:ascii="Times New Roman" w:eastAsia="Times New Roman" w:hAnsi="Times New Roman" w:cs="Times New Roman"/>
          <w:sz w:val="18"/>
          <w:szCs w:val="18"/>
        </w:rPr>
        <w:t xml:space="preserve"> reported direct cost of HZ cases without PHN among 134 HSCT patients (reported in 2017 US dollars). About 90% of the costs were due to inpatient care. Costs were inflated to 2019 US dollars using the </w:t>
      </w:r>
      <w:r w:rsidRPr="002750E1">
        <w:rPr>
          <w:rFonts w:ascii="Times New Roman" w:eastAsia="Times New Roman" w:hAnsi="Times New Roman" w:cs="Times New Roman"/>
          <w:noProof/>
          <w:sz w:val="18"/>
          <w:szCs w:val="18"/>
        </w:rPr>
        <w:t>United States Bureau of Labor Statistics</w:t>
      </w:r>
      <w:r w:rsidRPr="002750E1">
        <w:rPr>
          <w:rFonts w:ascii="Times New Roman" w:eastAsia="Times New Roman" w:hAnsi="Times New Roman" w:cs="Times New Roman"/>
          <w:noProof/>
          <w:sz w:val="18"/>
          <w:szCs w:val="18"/>
          <w:vertAlign w:val="superscript"/>
        </w:rPr>
        <w:t>1</w:t>
      </w:r>
      <w:r w:rsidR="005B3C04">
        <w:rPr>
          <w:rFonts w:ascii="Times New Roman" w:eastAsia="Times New Roman" w:hAnsi="Times New Roman" w:cs="Times New Roman"/>
          <w:noProof/>
          <w:sz w:val="18"/>
          <w:szCs w:val="18"/>
          <w:vertAlign w:val="superscript"/>
        </w:rPr>
        <w:t>5</w:t>
      </w:r>
      <w:r w:rsidRPr="002750E1">
        <w:rPr>
          <w:rFonts w:ascii="Times New Roman" w:eastAsia="Times New Roman" w:hAnsi="Times New Roman" w:cs="Times New Roman"/>
          <w:sz w:val="18"/>
          <w:szCs w:val="18"/>
        </w:rPr>
        <w:t xml:space="preserve"> Consumer Price Index for Medical Care. The uncertainty range was obtained from the 95% confidence intervals from Eriksson et al.</w:t>
      </w:r>
      <w:r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p>
    <w:p w14:paraId="059CC4BA" w14:textId="4A2AD62D"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Eriksson et al.</w:t>
      </w:r>
      <w:r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r w:rsidRPr="002750E1">
        <w:rPr>
          <w:rFonts w:ascii="Times New Roman" w:eastAsia="Times New Roman" w:hAnsi="Times New Roman" w:cs="Times New Roman"/>
          <w:sz w:val="18"/>
          <w:szCs w:val="18"/>
        </w:rPr>
        <w:t xml:space="preserve"> reported direct cost of HZ cases with PHN among 21 HSCT patients (reported in 2017 US dollars). About 90% of the costs were due to inpatient care. Eriksson et al.</w:t>
      </w:r>
      <w:r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r w:rsidRPr="002750E1">
        <w:rPr>
          <w:rFonts w:ascii="Times New Roman" w:eastAsia="Times New Roman" w:hAnsi="Times New Roman" w:cs="Times New Roman"/>
          <w:sz w:val="18"/>
          <w:szCs w:val="18"/>
        </w:rPr>
        <w:t xml:space="preserve"> noted several limitations in their estimate of costs for HZ cases with PHN, including limited follow-up for measuring resource utilization (6 months), missing data on the length of hospitalizations, and censoring of some PHN patients. Therefore, an average monthly cost of PHN was derived by dividing the cost estimate from Eriksson et al.</w:t>
      </w:r>
      <w:r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r w:rsidRPr="002750E1">
        <w:rPr>
          <w:rFonts w:ascii="Times New Roman" w:eastAsia="Times New Roman" w:hAnsi="Times New Roman" w:cs="Times New Roman"/>
          <w:sz w:val="18"/>
          <w:szCs w:val="18"/>
        </w:rPr>
        <w:t xml:space="preserve"> by the duration of PHN reported in the study (approximately 6 months). The average monthly cost then was multiplied by the duration of PHN in months. The mean length of PHN was taken from Moore et al.,</w:t>
      </w:r>
      <w:r w:rsidR="009263B2">
        <w:rPr>
          <w:rFonts w:ascii="Times New Roman" w:eastAsia="Times New Roman" w:hAnsi="Times New Roman" w:cs="Times New Roman"/>
          <w:noProof/>
          <w:sz w:val="18"/>
          <w:szCs w:val="18"/>
          <w:vertAlign w:val="superscript"/>
        </w:rPr>
        <w:t>52</w:t>
      </w:r>
      <w:r w:rsidRPr="002750E1">
        <w:rPr>
          <w:rFonts w:ascii="Times New Roman" w:eastAsia="Times New Roman" w:hAnsi="Times New Roman" w:cs="Times New Roman"/>
          <w:sz w:val="18"/>
          <w:szCs w:val="18"/>
        </w:rPr>
        <w:t xml:space="preserve"> citing Oxman et al.,</w:t>
      </w:r>
      <w:r w:rsidR="009263B2">
        <w:rPr>
          <w:rFonts w:ascii="Times New Roman" w:eastAsia="Times New Roman" w:hAnsi="Times New Roman" w:cs="Times New Roman"/>
          <w:noProof/>
          <w:sz w:val="18"/>
          <w:szCs w:val="18"/>
          <w:vertAlign w:val="superscript"/>
        </w:rPr>
        <w:t>53</w:t>
      </w:r>
      <w:r w:rsidRPr="002750E1">
        <w:rPr>
          <w:rFonts w:ascii="Times New Roman" w:eastAsia="Times New Roman" w:hAnsi="Times New Roman" w:cs="Times New Roman"/>
          <w:sz w:val="18"/>
          <w:szCs w:val="18"/>
        </w:rPr>
        <w:t xml:space="preserve"> which reported a mean duration of PHN of 12.9 months for immunocompetent individuals aged 70 years and older; the use of these data implicitly assumed that the duration of PHN was similar between individuals with IC status and immunocompetent individuals aged 70 years and older. Costs were inflated to 2019 US dollars using the </w:t>
      </w:r>
      <w:r w:rsidRPr="002750E1">
        <w:rPr>
          <w:rFonts w:ascii="Times New Roman" w:eastAsia="Times New Roman" w:hAnsi="Times New Roman" w:cs="Times New Roman"/>
          <w:noProof/>
          <w:sz w:val="18"/>
          <w:szCs w:val="18"/>
        </w:rPr>
        <w:t>United States Bureau of Labor Statistics</w:t>
      </w:r>
      <w:r w:rsidRPr="002750E1">
        <w:rPr>
          <w:rFonts w:ascii="Times New Roman" w:eastAsia="Times New Roman" w:hAnsi="Times New Roman" w:cs="Times New Roman"/>
          <w:sz w:val="18"/>
          <w:szCs w:val="18"/>
        </w:rPr>
        <w:t xml:space="preserve"> Consumer Price Index for Medical Care.</w:t>
      </w:r>
      <w:r w:rsidR="004B4071">
        <w:rPr>
          <w:rFonts w:ascii="Times New Roman" w:eastAsia="Times New Roman" w:hAnsi="Times New Roman" w:cs="Times New Roman"/>
          <w:sz w:val="18"/>
          <w:szCs w:val="18"/>
          <w:vertAlign w:val="superscript"/>
        </w:rPr>
        <w:t>15</w:t>
      </w:r>
      <w:r w:rsidRPr="002750E1">
        <w:rPr>
          <w:rFonts w:ascii="Times New Roman" w:eastAsia="Times New Roman" w:hAnsi="Times New Roman" w:cs="Times New Roman"/>
          <w:sz w:val="18"/>
          <w:szCs w:val="18"/>
        </w:rPr>
        <w:t xml:space="preserve"> The lower-bound estimate was based on the estimate of direct costs of HZ cases with PHN from Eriksson et al.</w:t>
      </w:r>
      <w:r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r w:rsidRPr="002750E1">
        <w:rPr>
          <w:rFonts w:ascii="Times New Roman" w:eastAsia="Times New Roman" w:hAnsi="Times New Roman" w:cs="Times New Roman"/>
          <w:sz w:val="18"/>
          <w:szCs w:val="18"/>
        </w:rPr>
        <w:t xml:space="preserve"> The upper bound was calculated as the same monthly cost as that used to calculate the base-case value but applied over a longer estimated duration of PHN (18.8 months) from Lieu et al.</w:t>
      </w:r>
      <w:r w:rsidR="00B06AE2">
        <w:rPr>
          <w:rFonts w:ascii="Times New Roman" w:eastAsia="Times New Roman" w:hAnsi="Times New Roman" w:cs="Times New Roman"/>
          <w:noProof/>
          <w:sz w:val="18"/>
          <w:szCs w:val="18"/>
          <w:vertAlign w:val="superscript"/>
        </w:rPr>
        <w:t>54</w:t>
      </w:r>
    </w:p>
    <w:p w14:paraId="6A33B86F" w14:textId="08E6BFDF"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We have assumed no direct costs specific to non-PHN complications in order to avoid potential double-counting with costs related to HZ with and without PHN from Eriksson et al.</w:t>
      </w:r>
      <w:r w:rsidR="00824288">
        <w:rPr>
          <w:rFonts w:ascii="Times New Roman" w:eastAsia="Times New Roman" w:hAnsi="Times New Roman" w:cs="Times New Roman"/>
          <w:sz w:val="18"/>
          <w:szCs w:val="18"/>
        </w:rPr>
        <w:t>,</w:t>
      </w:r>
      <w:r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r w:rsidRPr="002750E1">
        <w:rPr>
          <w:rFonts w:ascii="Times New Roman" w:eastAsia="Times New Roman" w:hAnsi="Times New Roman" w:cs="Times New Roman"/>
          <w:sz w:val="18"/>
          <w:szCs w:val="18"/>
        </w:rPr>
        <w:t xml:space="preserve"> which did not report costs specific to non-PHN complications. </w:t>
      </w:r>
      <w:r w:rsidR="008B6782">
        <w:rPr>
          <w:rFonts w:ascii="Times New Roman" w:eastAsia="Times New Roman" w:hAnsi="Times New Roman" w:cs="Times New Roman"/>
          <w:sz w:val="18"/>
          <w:szCs w:val="18"/>
        </w:rPr>
        <w:t>US$</w:t>
      </w:r>
      <w:r w:rsidRPr="002750E1">
        <w:rPr>
          <w:rFonts w:ascii="Times New Roman" w:eastAsia="Times New Roman" w:hAnsi="Times New Roman" w:cs="Times New Roman"/>
          <w:sz w:val="18"/>
          <w:szCs w:val="18"/>
        </w:rPr>
        <w:t>0 was applied for the lower and upper bound for all analyses.</w:t>
      </w:r>
    </w:p>
    <w:p w14:paraId="5D376240" w14:textId="1505688B"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lastRenderedPageBreak/>
        <w:t>¶</w:t>
      </w:r>
      <w:r w:rsidRPr="002750E1">
        <w:rPr>
          <w:rFonts w:ascii="Times New Roman" w:eastAsia="Times New Roman" w:hAnsi="Times New Roman" w:cs="Times New Roman"/>
          <w:sz w:val="18"/>
          <w:szCs w:val="18"/>
        </w:rPr>
        <w:t xml:space="preserve"> The base-case and lower-bound values are set to the </w:t>
      </w:r>
      <w:bookmarkStart w:id="18" w:name="_Hlk64389597"/>
      <w:r w:rsidRPr="002750E1">
        <w:rPr>
          <w:rFonts w:ascii="Times New Roman" w:eastAsia="Times New Roman" w:hAnsi="Times New Roman" w:cs="Times New Roman"/>
          <w:sz w:val="18"/>
          <w:szCs w:val="18"/>
        </w:rPr>
        <w:t>Red Book price per dose of Shingrix as of January 1, 2021</w:t>
      </w:r>
      <w:r w:rsidRPr="002750E1">
        <w:rPr>
          <w:rFonts w:ascii="Times New Roman" w:eastAsia="Times New Roman" w:hAnsi="Times New Roman" w:cs="Times New Roman"/>
          <w:noProof/>
          <w:sz w:val="18"/>
          <w:szCs w:val="18"/>
        </w:rPr>
        <w:t>.</w:t>
      </w:r>
      <w:bookmarkEnd w:id="18"/>
      <w:r w:rsidR="005F1C42">
        <w:rPr>
          <w:rFonts w:ascii="Times New Roman" w:eastAsia="Times New Roman" w:hAnsi="Times New Roman" w:cs="Times New Roman"/>
          <w:noProof/>
          <w:sz w:val="18"/>
          <w:szCs w:val="18"/>
          <w:vertAlign w:val="superscript"/>
        </w:rPr>
        <w:t>55</w:t>
      </w:r>
      <w:r w:rsidRPr="002750E1">
        <w:rPr>
          <w:rFonts w:ascii="Times New Roman" w:eastAsia="Times New Roman" w:hAnsi="Times New Roman" w:cs="Times New Roman"/>
          <w:sz w:val="18"/>
          <w:szCs w:val="18"/>
        </w:rPr>
        <w:t xml:space="preserve"> </w:t>
      </w:r>
      <w:bookmarkStart w:id="19" w:name="_Hlk64389654"/>
      <w:r w:rsidRPr="002750E1">
        <w:rPr>
          <w:rFonts w:ascii="Times New Roman" w:eastAsia="Times New Roman" w:hAnsi="Times New Roman" w:cs="Times New Roman"/>
          <w:sz w:val="18"/>
          <w:szCs w:val="18"/>
        </w:rPr>
        <w:t>A 15% price increase was assumed for the upper bound based on Tsai et al.</w:t>
      </w:r>
      <w:r w:rsidR="0043245A">
        <w:rPr>
          <w:rFonts w:ascii="Times New Roman" w:eastAsia="Times New Roman" w:hAnsi="Times New Roman" w:cs="Times New Roman"/>
          <w:noProof/>
          <w:sz w:val="18"/>
          <w:szCs w:val="18"/>
          <w:vertAlign w:val="superscript"/>
        </w:rPr>
        <w:t>56</w:t>
      </w:r>
      <w:r w:rsidRPr="002750E1">
        <w:rPr>
          <w:rFonts w:ascii="Times New Roman" w:eastAsia="Times New Roman" w:hAnsi="Times New Roman" w:cs="Times New Roman"/>
          <w:sz w:val="18"/>
          <w:szCs w:val="18"/>
        </w:rPr>
        <w:t>, which found that reimbursements for purchase of ZVL in a commercially</w:t>
      </w:r>
      <w:r w:rsidR="00045B15">
        <w:rPr>
          <w:rFonts w:ascii="Times New Roman" w:eastAsia="Times New Roman" w:hAnsi="Times New Roman" w:cs="Times New Roman"/>
          <w:sz w:val="18"/>
          <w:szCs w:val="18"/>
        </w:rPr>
        <w:t xml:space="preserve"> </w:t>
      </w:r>
      <w:r w:rsidRPr="002750E1">
        <w:rPr>
          <w:rFonts w:ascii="Times New Roman" w:eastAsia="Times New Roman" w:hAnsi="Times New Roman" w:cs="Times New Roman"/>
          <w:sz w:val="18"/>
          <w:szCs w:val="18"/>
        </w:rPr>
        <w:t>insured population were approximately 15% higher than the private sector price for the vaccine.</w:t>
      </w:r>
      <w:bookmarkEnd w:id="19"/>
    </w:p>
    <w:p w14:paraId="30C1089E" w14:textId="3903A51C" w:rsidR="002750E1" w:rsidRPr="002750E1" w:rsidRDefault="002750E1" w:rsidP="002750E1">
      <w:pPr>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 xml:space="preserve">** </w:t>
      </w:r>
      <w:bookmarkStart w:id="20" w:name="_Hlk64393088"/>
      <w:r w:rsidRPr="002750E1">
        <w:rPr>
          <w:rFonts w:ascii="Times New Roman" w:eastAsia="Times New Roman" w:hAnsi="Times New Roman" w:cs="Times New Roman"/>
          <w:sz w:val="18"/>
          <w:szCs w:val="18"/>
        </w:rPr>
        <w:t>The base-case administration cost per RZV dose was obtained from Tsai et al.,</w:t>
      </w:r>
      <w:r w:rsidR="00100B57">
        <w:rPr>
          <w:rFonts w:ascii="Times New Roman" w:eastAsia="Times New Roman" w:hAnsi="Times New Roman" w:cs="Times New Roman"/>
          <w:noProof/>
          <w:sz w:val="18"/>
          <w:szCs w:val="18"/>
          <w:vertAlign w:val="superscript"/>
        </w:rPr>
        <w:t>56</w:t>
      </w:r>
      <w:r w:rsidRPr="002750E1">
        <w:rPr>
          <w:rFonts w:ascii="Times New Roman" w:eastAsia="Times New Roman" w:hAnsi="Times New Roman" w:cs="Times New Roman"/>
          <w:sz w:val="18"/>
          <w:szCs w:val="18"/>
        </w:rPr>
        <w:t xml:space="preserve"> which estimated mean private reimbursements for vaccine administration in the US in 2016, based on an analysis of the MarketScan Commercial Claims and Encounters Database. The cost was inflated to 2019 US dollars, using the</w:t>
      </w:r>
      <w:bookmarkEnd w:id="20"/>
      <w:r w:rsidRPr="002750E1">
        <w:rPr>
          <w:rFonts w:ascii="Times New Roman" w:eastAsia="Times New Roman" w:hAnsi="Times New Roman" w:cs="Times New Roman"/>
          <w:sz w:val="18"/>
          <w:szCs w:val="18"/>
        </w:rPr>
        <w:t xml:space="preserve"> </w:t>
      </w:r>
      <w:r w:rsidRPr="002750E1">
        <w:rPr>
          <w:rFonts w:ascii="Times New Roman" w:eastAsia="Times New Roman" w:hAnsi="Times New Roman" w:cs="Times New Roman"/>
          <w:noProof/>
          <w:sz w:val="18"/>
          <w:szCs w:val="18"/>
        </w:rPr>
        <w:t>United States Bureau of Labor Statistics</w:t>
      </w:r>
      <w:r w:rsidRPr="002750E1">
        <w:rPr>
          <w:rFonts w:ascii="Times New Roman" w:eastAsia="Times New Roman" w:hAnsi="Times New Roman" w:cs="Times New Roman"/>
          <w:sz w:val="18"/>
          <w:szCs w:val="18"/>
        </w:rPr>
        <w:t xml:space="preserve"> Consumer Price Index for Medical Care.</w:t>
      </w:r>
      <w:r w:rsidR="00A35686" w:rsidRPr="002750E1">
        <w:rPr>
          <w:rFonts w:ascii="Times New Roman" w:eastAsia="Times New Roman" w:hAnsi="Times New Roman" w:cs="Times New Roman"/>
          <w:noProof/>
          <w:sz w:val="18"/>
          <w:szCs w:val="18"/>
          <w:vertAlign w:val="superscript"/>
        </w:rPr>
        <w:t>1</w:t>
      </w:r>
      <w:r w:rsidR="00A35686">
        <w:rPr>
          <w:rFonts w:ascii="Times New Roman" w:eastAsia="Times New Roman" w:hAnsi="Times New Roman" w:cs="Times New Roman"/>
          <w:noProof/>
          <w:sz w:val="18"/>
          <w:szCs w:val="18"/>
          <w:vertAlign w:val="superscript"/>
        </w:rPr>
        <w:t>5</w:t>
      </w:r>
      <w:r w:rsidRPr="002750E1">
        <w:rPr>
          <w:rFonts w:ascii="Times New Roman" w:eastAsia="Times New Roman" w:hAnsi="Times New Roman" w:cs="Times New Roman"/>
          <w:sz w:val="18"/>
          <w:szCs w:val="18"/>
        </w:rPr>
        <w:t xml:space="preserve"> We assumed a lower-bound value of </w:t>
      </w:r>
      <w:r w:rsidR="008B6782">
        <w:rPr>
          <w:rFonts w:ascii="Times New Roman" w:eastAsia="Times New Roman" w:hAnsi="Times New Roman" w:cs="Times New Roman"/>
          <w:sz w:val="18"/>
          <w:szCs w:val="18"/>
        </w:rPr>
        <w:t>US$</w:t>
      </w:r>
      <w:r w:rsidRPr="002750E1">
        <w:rPr>
          <w:rFonts w:ascii="Times New Roman" w:eastAsia="Times New Roman" w:hAnsi="Times New Roman" w:cs="Times New Roman"/>
          <w:sz w:val="18"/>
          <w:szCs w:val="18"/>
        </w:rPr>
        <w:t xml:space="preserve">15 in the deterministic sensitivity analysis. An upper bound value of </w:t>
      </w:r>
      <w:r w:rsidR="008B6782">
        <w:rPr>
          <w:rFonts w:ascii="Times New Roman" w:eastAsia="Times New Roman" w:hAnsi="Times New Roman" w:cs="Times New Roman"/>
          <w:sz w:val="18"/>
          <w:szCs w:val="18"/>
        </w:rPr>
        <w:t>US$</w:t>
      </w:r>
      <w:r w:rsidRPr="002750E1">
        <w:rPr>
          <w:rFonts w:ascii="Times New Roman" w:eastAsia="Times New Roman" w:hAnsi="Times New Roman" w:cs="Times New Roman"/>
          <w:sz w:val="18"/>
          <w:szCs w:val="18"/>
        </w:rPr>
        <w:t>50 was assumed, as RZV administration costs may be significantly higher if the vaccine is administered in a specialty practice setting. We assumed no indirect costs related to patient time for vaccination because the vaccine was assumed to be administered during routine medical follow-up for a patient's underlying condition.</w:t>
      </w:r>
    </w:p>
    <w:p w14:paraId="7874674B"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vertAlign w:val="superscript"/>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Not applicable. The individual costs of AEs were not varied in sensitivity analysis. The weighted AE cost per dose, which was calculated from these values, was varied instead.</w:t>
      </w:r>
    </w:p>
    <w:p w14:paraId="24AB968B" w14:textId="4CCCCD6A"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w:t>
      </w:r>
      <w:r w:rsidRPr="002750E1">
        <w:rPr>
          <w:rFonts w:ascii="Times New Roman" w:eastAsia="Times New Roman" w:hAnsi="Times New Roman" w:cs="Times New Roman"/>
          <w:noProof/>
          <w:sz w:val="18"/>
          <w:szCs w:val="18"/>
        </w:rPr>
        <w:t>Ortega-Sanchez</w:t>
      </w:r>
      <w:r w:rsidRPr="002750E1">
        <w:rPr>
          <w:rFonts w:ascii="Times New Roman" w:eastAsia="Times New Roman" w:hAnsi="Times New Roman" w:cs="Times New Roman"/>
          <w:sz w:val="18"/>
          <w:szCs w:val="18"/>
        </w:rPr>
        <w:t xml:space="preserve"> reported </w:t>
      </w:r>
      <w:r w:rsidR="008B6782">
        <w:rPr>
          <w:rFonts w:ascii="Times New Roman" w:eastAsia="Times New Roman" w:hAnsi="Times New Roman" w:cs="Times New Roman"/>
          <w:sz w:val="18"/>
          <w:szCs w:val="18"/>
        </w:rPr>
        <w:t>US$</w:t>
      </w:r>
      <w:r w:rsidRPr="002750E1">
        <w:rPr>
          <w:rFonts w:ascii="Times New Roman" w:eastAsia="Times New Roman" w:hAnsi="Times New Roman" w:cs="Times New Roman"/>
          <w:sz w:val="18"/>
          <w:szCs w:val="18"/>
        </w:rPr>
        <w:t>11 per local reaction per expert opinion.</w:t>
      </w:r>
      <w:r w:rsidR="00805A6B" w:rsidRPr="002750E1">
        <w:rPr>
          <w:rFonts w:ascii="Times New Roman" w:eastAsia="Times New Roman" w:hAnsi="Times New Roman" w:cs="Times New Roman"/>
          <w:noProof/>
          <w:sz w:val="18"/>
          <w:szCs w:val="18"/>
          <w:vertAlign w:val="superscript"/>
        </w:rPr>
        <w:t>5</w:t>
      </w:r>
      <w:r w:rsidR="00805A6B">
        <w:rPr>
          <w:rFonts w:ascii="Times New Roman" w:eastAsia="Times New Roman" w:hAnsi="Times New Roman" w:cs="Times New Roman"/>
          <w:noProof/>
          <w:sz w:val="18"/>
          <w:szCs w:val="18"/>
          <w:vertAlign w:val="superscript"/>
        </w:rPr>
        <w:t>7</w:t>
      </w:r>
      <w:r w:rsidRPr="002750E1">
        <w:rPr>
          <w:rFonts w:ascii="Times New Roman" w:eastAsia="Times New Roman" w:hAnsi="Times New Roman" w:cs="Times New Roman"/>
          <w:sz w:val="18"/>
          <w:szCs w:val="18"/>
        </w:rPr>
        <w:t xml:space="preserve"> This cost was assumed to represent the cost of an over-the-counter analgesic. We adjusted this cost estimate to </w:t>
      </w:r>
      <w:r w:rsidR="008B6782">
        <w:rPr>
          <w:rFonts w:ascii="Times New Roman" w:eastAsia="Times New Roman" w:hAnsi="Times New Roman" w:cs="Times New Roman"/>
          <w:sz w:val="18"/>
          <w:szCs w:val="18"/>
        </w:rPr>
        <w:t>US$</w:t>
      </w:r>
      <w:r w:rsidRPr="002750E1">
        <w:rPr>
          <w:rFonts w:ascii="Times New Roman" w:eastAsia="Times New Roman" w:hAnsi="Times New Roman" w:cs="Times New Roman"/>
          <w:sz w:val="18"/>
          <w:szCs w:val="18"/>
        </w:rPr>
        <w:t xml:space="preserve">15 to account for any required travel to acquire the analgesic and inflated it to 2019 US dollars using the </w:t>
      </w:r>
      <w:r w:rsidRPr="002750E1">
        <w:rPr>
          <w:rFonts w:ascii="Times New Roman" w:eastAsia="Times New Roman" w:hAnsi="Times New Roman" w:cs="Times New Roman"/>
          <w:noProof/>
          <w:sz w:val="18"/>
          <w:szCs w:val="18"/>
        </w:rPr>
        <w:t>United States Bureau of Labor Statistics</w:t>
      </w:r>
      <w:r w:rsidRPr="002750E1">
        <w:rPr>
          <w:rFonts w:ascii="Times New Roman" w:eastAsia="Times New Roman" w:hAnsi="Times New Roman" w:cs="Times New Roman"/>
          <w:noProof/>
          <w:sz w:val="18"/>
          <w:szCs w:val="18"/>
          <w:vertAlign w:val="superscript"/>
        </w:rPr>
        <w:t>1</w:t>
      </w:r>
      <w:r w:rsidR="005B3C04">
        <w:rPr>
          <w:rFonts w:ascii="Times New Roman" w:eastAsia="Times New Roman" w:hAnsi="Times New Roman" w:cs="Times New Roman"/>
          <w:noProof/>
          <w:sz w:val="18"/>
          <w:szCs w:val="18"/>
          <w:vertAlign w:val="superscript"/>
        </w:rPr>
        <w:t>5</w:t>
      </w:r>
      <w:r w:rsidRPr="002750E1">
        <w:rPr>
          <w:rFonts w:ascii="Times New Roman" w:eastAsia="Times New Roman" w:hAnsi="Times New Roman" w:cs="Times New Roman"/>
          <w:sz w:val="18"/>
          <w:szCs w:val="18"/>
        </w:rPr>
        <w:t xml:space="preserve"> Consumer Price Index for Medical Care.</w:t>
      </w:r>
    </w:p>
    <w:p w14:paraId="65BB145B" w14:textId="0488094F"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Medical Expenditure Panel Survey reported the mean expense per person with a hospital outpatient or office-based provider visit due to an allergic reaction (average between 2013</w:t>
      </w:r>
      <w:r w:rsidR="00C640C0">
        <w:rPr>
          <w:rFonts w:ascii="Times New Roman" w:eastAsia="Times New Roman" w:hAnsi="Times New Roman" w:cs="Times New Roman"/>
          <w:sz w:val="18"/>
          <w:szCs w:val="18"/>
        </w:rPr>
        <w:t>–</w:t>
      </w:r>
      <w:r w:rsidRPr="002750E1">
        <w:rPr>
          <w:rFonts w:ascii="Times New Roman" w:eastAsia="Times New Roman" w:hAnsi="Times New Roman" w:cs="Times New Roman"/>
          <w:sz w:val="18"/>
          <w:szCs w:val="18"/>
        </w:rPr>
        <w:t>2014).</w:t>
      </w:r>
      <w:r w:rsidRPr="002750E1">
        <w:rPr>
          <w:rFonts w:ascii="Times New Roman" w:eastAsia="Times New Roman" w:hAnsi="Times New Roman" w:cs="Times New Roman"/>
          <w:noProof/>
          <w:sz w:val="18"/>
          <w:szCs w:val="18"/>
          <w:vertAlign w:val="superscript"/>
        </w:rPr>
        <w:t>5</w:t>
      </w:r>
      <w:r w:rsidR="0043245A">
        <w:rPr>
          <w:rFonts w:ascii="Times New Roman" w:eastAsia="Times New Roman" w:hAnsi="Times New Roman" w:cs="Times New Roman"/>
          <w:noProof/>
          <w:sz w:val="18"/>
          <w:szCs w:val="18"/>
          <w:vertAlign w:val="superscript"/>
        </w:rPr>
        <w:t>8</w:t>
      </w:r>
      <w:r w:rsidRPr="002750E1">
        <w:rPr>
          <w:rFonts w:ascii="Times New Roman" w:eastAsia="Times New Roman" w:hAnsi="Times New Roman" w:cs="Times New Roman"/>
          <w:sz w:val="18"/>
          <w:szCs w:val="18"/>
        </w:rPr>
        <w:t xml:space="preserve"> It was assumed that 4 hours of patient productivity are lost due to a PCP visit; these work loss hours were multiplied by hourly wage estimates for individuals aged 18 to 49 years from the </w:t>
      </w:r>
      <w:r w:rsidRPr="002750E1">
        <w:rPr>
          <w:rFonts w:ascii="Times New Roman" w:eastAsia="Times New Roman" w:hAnsi="Times New Roman" w:cs="Times New Roman"/>
          <w:noProof/>
          <w:sz w:val="18"/>
          <w:szCs w:val="18"/>
        </w:rPr>
        <w:t>United States Bureau of Labor Statistics</w:t>
      </w:r>
      <w:r w:rsidR="00CD61C4">
        <w:rPr>
          <w:rFonts w:ascii="Times New Roman" w:eastAsia="Times New Roman" w:hAnsi="Times New Roman" w:cs="Times New Roman"/>
          <w:noProof/>
          <w:sz w:val="18"/>
          <w:szCs w:val="18"/>
          <w:vertAlign w:val="superscript"/>
        </w:rPr>
        <w:t>60</w:t>
      </w:r>
      <w:r w:rsidRPr="002750E1">
        <w:rPr>
          <w:rFonts w:ascii="Times New Roman" w:eastAsia="Times New Roman" w:hAnsi="Times New Roman" w:cs="Times New Roman"/>
          <w:sz w:val="18"/>
          <w:szCs w:val="18"/>
        </w:rPr>
        <w:t xml:space="preserve"> and were adjusted for employment percentage estimates for individuals aged 18 to 49 years by the </w:t>
      </w:r>
      <w:r w:rsidRPr="002750E1">
        <w:rPr>
          <w:rFonts w:ascii="Times New Roman" w:eastAsia="Times New Roman" w:hAnsi="Times New Roman" w:cs="Times New Roman"/>
          <w:noProof/>
          <w:sz w:val="18"/>
          <w:szCs w:val="18"/>
        </w:rPr>
        <w:t>United States Bureau of Labor Statistics</w:t>
      </w:r>
      <w:r w:rsidR="00D2280F">
        <w:rPr>
          <w:rFonts w:ascii="Times New Roman" w:eastAsia="Times New Roman" w:hAnsi="Times New Roman" w:cs="Times New Roman"/>
          <w:noProof/>
          <w:sz w:val="18"/>
          <w:szCs w:val="18"/>
        </w:rPr>
        <w:t>.</w:t>
      </w:r>
      <w:r w:rsidR="00CD61C4">
        <w:rPr>
          <w:rFonts w:ascii="Times New Roman" w:eastAsia="Times New Roman" w:hAnsi="Times New Roman" w:cs="Times New Roman"/>
          <w:noProof/>
          <w:sz w:val="18"/>
          <w:szCs w:val="18"/>
          <w:vertAlign w:val="superscript"/>
        </w:rPr>
        <w:t>61</w:t>
      </w:r>
      <w:r w:rsidRPr="002750E1">
        <w:rPr>
          <w:rFonts w:ascii="Times New Roman" w:eastAsia="Times New Roman" w:hAnsi="Times New Roman" w:cs="Times New Roman"/>
          <w:sz w:val="18"/>
          <w:szCs w:val="18"/>
        </w:rPr>
        <w:t xml:space="preserve"> Costs were inflated to 2019 US dollars using the </w:t>
      </w:r>
      <w:r w:rsidRPr="002750E1">
        <w:rPr>
          <w:rFonts w:ascii="Times New Roman" w:eastAsia="Times New Roman" w:hAnsi="Times New Roman" w:cs="Times New Roman"/>
          <w:noProof/>
          <w:sz w:val="18"/>
          <w:szCs w:val="18"/>
        </w:rPr>
        <w:t>United States Bureau of Labor Statistics</w:t>
      </w:r>
      <w:r w:rsidRPr="002750E1">
        <w:rPr>
          <w:rFonts w:ascii="Times New Roman" w:eastAsia="Times New Roman" w:hAnsi="Times New Roman" w:cs="Times New Roman"/>
          <w:sz w:val="18"/>
          <w:szCs w:val="18"/>
        </w:rPr>
        <w:t xml:space="preserve"> Consumer Price Index for Medical Care.</w:t>
      </w:r>
      <w:r w:rsidR="00EB1183" w:rsidRPr="002750E1">
        <w:rPr>
          <w:rFonts w:ascii="Times New Roman" w:eastAsia="Times New Roman" w:hAnsi="Times New Roman" w:cs="Times New Roman"/>
          <w:noProof/>
          <w:sz w:val="18"/>
          <w:szCs w:val="18"/>
          <w:vertAlign w:val="superscript"/>
        </w:rPr>
        <w:t>1</w:t>
      </w:r>
      <w:r w:rsidR="00CD61C4">
        <w:rPr>
          <w:rFonts w:ascii="Times New Roman" w:eastAsia="Times New Roman" w:hAnsi="Times New Roman" w:cs="Times New Roman"/>
          <w:noProof/>
          <w:sz w:val="18"/>
          <w:szCs w:val="18"/>
          <w:vertAlign w:val="superscript"/>
        </w:rPr>
        <w:t>5</w:t>
      </w:r>
      <w:r w:rsidRPr="002750E1">
        <w:rPr>
          <w:rFonts w:ascii="Times New Roman" w:eastAsia="Times New Roman" w:hAnsi="Times New Roman" w:cs="Times New Roman"/>
          <w:sz w:val="18"/>
          <w:szCs w:val="18"/>
        </w:rPr>
        <w:t xml:space="preserve"> The cost was assumed to be the same for patients with IC status and patients with healthy status. However, these values may be an overestimate for IC patients, since average employment for HSCT individuals is likely lower than for the immunocompetent population.</w:t>
      </w:r>
      <w:r w:rsidR="00B13116">
        <w:rPr>
          <w:rFonts w:ascii="Times New Roman" w:eastAsia="Times New Roman" w:hAnsi="Times New Roman" w:cs="Times New Roman"/>
          <w:noProof/>
          <w:sz w:val="18"/>
          <w:szCs w:val="18"/>
          <w:vertAlign w:val="superscript"/>
        </w:rPr>
        <w:t>62, 63</w:t>
      </w:r>
    </w:p>
    <w:p w14:paraId="5508DA4C" w14:textId="78346FC7" w:rsidR="002750E1" w:rsidRPr="002750E1" w:rsidRDefault="002750E1" w:rsidP="002750E1">
      <w:pPr>
        <w:keepLines/>
        <w:spacing w:before="120" w:after="0" w:line="240" w:lineRule="atLeast"/>
        <w:rPr>
          <w:rFonts w:ascii="Times New Roman" w:eastAsia="Times New Roman" w:hAnsi="Times New Roman" w:cs="Times New Roman"/>
          <w:noProof/>
          <w:sz w:val="18"/>
          <w:szCs w:val="18"/>
          <w:vertAlign w:val="superscript"/>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w:t>
      </w:r>
      <w:r w:rsidRPr="002750E1">
        <w:rPr>
          <w:rFonts w:ascii="Times New Roman" w:eastAsia="Times New Roman" w:hAnsi="Times New Roman" w:cs="Times New Roman"/>
          <w:noProof/>
          <w:sz w:val="18"/>
          <w:szCs w:val="18"/>
        </w:rPr>
        <w:t>Le and Rothberg</w:t>
      </w:r>
      <w:r w:rsidRPr="002750E1">
        <w:rPr>
          <w:rFonts w:ascii="Times New Roman" w:eastAsia="Times New Roman" w:hAnsi="Times New Roman" w:cs="Times New Roman"/>
          <w:noProof/>
          <w:sz w:val="18"/>
          <w:szCs w:val="18"/>
          <w:vertAlign w:val="superscript"/>
        </w:rPr>
        <w:t>3</w:t>
      </w:r>
      <w:r w:rsidR="004B4C9C">
        <w:rPr>
          <w:rFonts w:ascii="Times New Roman" w:eastAsia="Times New Roman" w:hAnsi="Times New Roman" w:cs="Times New Roman"/>
          <w:noProof/>
          <w:sz w:val="18"/>
          <w:szCs w:val="18"/>
          <w:vertAlign w:val="superscript"/>
        </w:rPr>
        <w:t>7</w:t>
      </w:r>
      <w:r w:rsidRPr="002750E1">
        <w:rPr>
          <w:rFonts w:ascii="Times New Roman" w:eastAsia="Times New Roman" w:hAnsi="Times New Roman" w:cs="Times New Roman"/>
          <w:sz w:val="18"/>
          <w:szCs w:val="18"/>
        </w:rPr>
        <w:t xml:space="preserve"> reported the cost of serious reaction from an HZ vaccine (assumed to be the same as an allergic reaction requiring hospitalization) based on the 2012 Health Care Utilization Project. We have assumed that 40 hours (5 working days) of patient productivity are lost due to a hospitalization, per the Healthcare Cost and </w:t>
      </w:r>
      <w:r w:rsidRPr="002750E1">
        <w:rPr>
          <w:rFonts w:ascii="Times New Roman" w:eastAsia="Times New Roman" w:hAnsi="Times New Roman" w:cs="Times New Roman"/>
          <w:noProof/>
          <w:sz w:val="18"/>
          <w:szCs w:val="18"/>
        </w:rPr>
        <w:t>Healthcare Cost and Utilization Project</w:t>
      </w:r>
      <w:r w:rsidRPr="002750E1">
        <w:rPr>
          <w:rFonts w:ascii="Times New Roman" w:eastAsia="Times New Roman" w:hAnsi="Times New Roman" w:cs="Times New Roman"/>
          <w:noProof/>
          <w:sz w:val="18"/>
          <w:szCs w:val="18"/>
          <w:vertAlign w:val="superscript"/>
        </w:rPr>
        <w:t>5</w:t>
      </w:r>
      <w:r w:rsidR="0043245A">
        <w:rPr>
          <w:rFonts w:ascii="Times New Roman" w:eastAsia="Times New Roman" w:hAnsi="Times New Roman" w:cs="Times New Roman"/>
          <w:noProof/>
          <w:sz w:val="18"/>
          <w:szCs w:val="18"/>
          <w:vertAlign w:val="superscript"/>
        </w:rPr>
        <w:t>9</w:t>
      </w:r>
      <w:r w:rsidRPr="002750E1">
        <w:rPr>
          <w:rFonts w:ascii="Times New Roman" w:eastAsia="Times New Roman" w:hAnsi="Times New Roman" w:cs="Times New Roman"/>
          <w:sz w:val="18"/>
          <w:szCs w:val="18"/>
        </w:rPr>
        <w:t xml:space="preserve"> which reported an average length of stay of 4.6 days across all inpatient stays in 2014. These work loss hours were multiplied by hourly wage estimates for individuals aged 18 to 49 years from the </w:t>
      </w:r>
      <w:r w:rsidRPr="002750E1">
        <w:rPr>
          <w:rFonts w:ascii="Times New Roman" w:eastAsia="Times New Roman" w:hAnsi="Times New Roman" w:cs="Times New Roman"/>
          <w:noProof/>
          <w:sz w:val="18"/>
          <w:szCs w:val="18"/>
        </w:rPr>
        <w:t>United States Bureau of Labor Statistics</w:t>
      </w:r>
      <w:r w:rsidR="001800EB">
        <w:rPr>
          <w:rFonts w:ascii="Times New Roman" w:eastAsia="Times New Roman" w:hAnsi="Times New Roman" w:cs="Times New Roman"/>
          <w:noProof/>
          <w:sz w:val="18"/>
          <w:szCs w:val="18"/>
          <w:vertAlign w:val="superscript"/>
        </w:rPr>
        <w:t>60</w:t>
      </w:r>
      <w:r w:rsidRPr="002750E1">
        <w:rPr>
          <w:rFonts w:ascii="Times New Roman" w:eastAsia="Times New Roman" w:hAnsi="Times New Roman" w:cs="Times New Roman"/>
          <w:sz w:val="18"/>
          <w:szCs w:val="18"/>
        </w:rPr>
        <w:t xml:space="preserve"> and were adjusted for employment percentage estimates for individuals aged 18 to 49 years by the </w:t>
      </w:r>
      <w:r w:rsidRPr="002750E1">
        <w:rPr>
          <w:rFonts w:ascii="Times New Roman" w:eastAsia="Times New Roman" w:hAnsi="Times New Roman" w:cs="Times New Roman"/>
          <w:noProof/>
          <w:sz w:val="18"/>
          <w:szCs w:val="18"/>
        </w:rPr>
        <w:t>United States Bureau of Labor Statistics.</w:t>
      </w:r>
      <w:r w:rsidR="001800EB">
        <w:rPr>
          <w:rFonts w:ascii="Times New Roman" w:eastAsia="Times New Roman" w:hAnsi="Times New Roman" w:cs="Times New Roman"/>
          <w:noProof/>
          <w:sz w:val="18"/>
          <w:szCs w:val="18"/>
          <w:vertAlign w:val="superscript"/>
        </w:rPr>
        <w:t>61</w:t>
      </w:r>
      <w:r w:rsidRPr="002750E1">
        <w:rPr>
          <w:rFonts w:ascii="Times New Roman" w:eastAsia="Times New Roman" w:hAnsi="Times New Roman" w:cs="Times New Roman"/>
          <w:sz w:val="18"/>
          <w:szCs w:val="18"/>
        </w:rPr>
        <w:t xml:space="preserve"> Costs were inflated to 2019 US dollars using the </w:t>
      </w:r>
      <w:r w:rsidRPr="002750E1">
        <w:rPr>
          <w:rFonts w:ascii="Times New Roman" w:eastAsia="Times New Roman" w:hAnsi="Times New Roman" w:cs="Times New Roman"/>
          <w:noProof/>
          <w:sz w:val="18"/>
          <w:szCs w:val="18"/>
        </w:rPr>
        <w:t>United States Bureau of Labor Statistics</w:t>
      </w:r>
      <w:r w:rsidRPr="002750E1">
        <w:rPr>
          <w:rFonts w:ascii="Times New Roman" w:eastAsia="Times New Roman" w:hAnsi="Times New Roman" w:cs="Times New Roman"/>
          <w:sz w:val="18"/>
          <w:szCs w:val="18"/>
        </w:rPr>
        <w:t xml:space="preserve"> Consumer Price Index for Medical Care.</w:t>
      </w:r>
      <w:r w:rsidR="001800EB">
        <w:rPr>
          <w:rFonts w:ascii="Times New Roman" w:eastAsia="Times New Roman" w:hAnsi="Times New Roman" w:cs="Times New Roman"/>
          <w:sz w:val="18"/>
          <w:szCs w:val="18"/>
          <w:vertAlign w:val="superscript"/>
        </w:rPr>
        <w:t>15</w:t>
      </w:r>
      <w:r w:rsidRPr="002750E1">
        <w:rPr>
          <w:rFonts w:ascii="Times New Roman" w:eastAsia="Times New Roman" w:hAnsi="Times New Roman" w:cs="Times New Roman"/>
          <w:sz w:val="18"/>
          <w:szCs w:val="18"/>
        </w:rPr>
        <w:t xml:space="preserve"> The cost was assumed to be the same for patients with IC status and patients with healthy status. However, these values may be an overestimate for IC patients, since average employment for HSCT individuals is likely lower than for the immunocompetent population.</w:t>
      </w:r>
      <w:r w:rsidR="00AD58BA">
        <w:rPr>
          <w:rFonts w:ascii="Times New Roman" w:eastAsia="Times New Roman" w:hAnsi="Times New Roman" w:cs="Times New Roman"/>
          <w:noProof/>
          <w:sz w:val="18"/>
          <w:szCs w:val="18"/>
          <w:vertAlign w:val="superscript"/>
        </w:rPr>
        <w:t>62, 63</w:t>
      </w:r>
    </w:p>
    <w:p w14:paraId="4FAB7D62" w14:textId="10ED9A4F"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Medical Expenditure Panel Survey reported the mean expense per person with an ER visit due to an allergic reaction (average between 2013-2014).</w:t>
      </w:r>
      <w:r w:rsidRPr="002750E1">
        <w:rPr>
          <w:rFonts w:ascii="Times New Roman" w:eastAsia="Times New Roman" w:hAnsi="Times New Roman" w:cs="Times New Roman"/>
          <w:noProof/>
          <w:sz w:val="18"/>
          <w:szCs w:val="18"/>
          <w:vertAlign w:val="superscript"/>
        </w:rPr>
        <w:t>5</w:t>
      </w:r>
      <w:r w:rsidR="0043245A">
        <w:rPr>
          <w:rFonts w:ascii="Times New Roman" w:eastAsia="Times New Roman" w:hAnsi="Times New Roman" w:cs="Times New Roman"/>
          <w:noProof/>
          <w:sz w:val="18"/>
          <w:szCs w:val="18"/>
          <w:vertAlign w:val="superscript"/>
        </w:rPr>
        <w:t>8</w:t>
      </w:r>
      <w:r w:rsidRPr="002750E1">
        <w:rPr>
          <w:rFonts w:ascii="Times New Roman" w:eastAsia="Times New Roman" w:hAnsi="Times New Roman" w:cs="Times New Roman"/>
          <w:sz w:val="18"/>
          <w:szCs w:val="18"/>
        </w:rPr>
        <w:t xml:space="preserve"> We have assumed that 8 hours (1 working day) of patient productivity are lost due to an ER visit; these work loss hours were multiplied by hourly wage estimates for individuals aged 18 to 49 years from the </w:t>
      </w:r>
      <w:r w:rsidRPr="002750E1">
        <w:rPr>
          <w:rFonts w:ascii="Times New Roman" w:eastAsia="Times New Roman" w:hAnsi="Times New Roman" w:cs="Times New Roman"/>
          <w:noProof/>
          <w:sz w:val="18"/>
          <w:szCs w:val="18"/>
        </w:rPr>
        <w:t>United States Bureau of Labor Statistics</w:t>
      </w:r>
      <w:r w:rsidR="00300312">
        <w:rPr>
          <w:rFonts w:ascii="Times New Roman" w:eastAsia="Times New Roman" w:hAnsi="Times New Roman" w:cs="Times New Roman"/>
          <w:noProof/>
          <w:sz w:val="18"/>
          <w:szCs w:val="18"/>
          <w:vertAlign w:val="superscript"/>
        </w:rPr>
        <w:t>60</w:t>
      </w:r>
      <w:r w:rsidRPr="002750E1">
        <w:rPr>
          <w:rFonts w:ascii="Times New Roman" w:eastAsia="Times New Roman" w:hAnsi="Times New Roman" w:cs="Times New Roman"/>
          <w:sz w:val="18"/>
          <w:szCs w:val="18"/>
        </w:rPr>
        <w:t xml:space="preserve"> and were adjusted for employment percentage estimates for individuals aged 18 to 49 years by the </w:t>
      </w:r>
      <w:r w:rsidRPr="002750E1">
        <w:rPr>
          <w:rFonts w:ascii="Times New Roman" w:eastAsia="Times New Roman" w:hAnsi="Times New Roman" w:cs="Times New Roman"/>
          <w:noProof/>
          <w:sz w:val="18"/>
          <w:szCs w:val="18"/>
        </w:rPr>
        <w:t>United States Bureau of Labor Statistics.</w:t>
      </w:r>
      <w:r w:rsidR="00300312">
        <w:rPr>
          <w:rFonts w:ascii="Times New Roman" w:eastAsia="Times New Roman" w:hAnsi="Times New Roman" w:cs="Times New Roman"/>
          <w:noProof/>
          <w:sz w:val="18"/>
          <w:szCs w:val="18"/>
          <w:vertAlign w:val="superscript"/>
        </w:rPr>
        <w:t>61</w:t>
      </w:r>
      <w:r w:rsidRPr="002750E1">
        <w:rPr>
          <w:rFonts w:ascii="Times New Roman" w:eastAsia="Times New Roman" w:hAnsi="Times New Roman" w:cs="Times New Roman"/>
          <w:sz w:val="18"/>
          <w:szCs w:val="18"/>
        </w:rPr>
        <w:t xml:space="preserve"> Costs were inflated to 2019 US dollars using the </w:t>
      </w:r>
      <w:r w:rsidRPr="002750E1">
        <w:rPr>
          <w:rFonts w:ascii="Times New Roman" w:eastAsia="Times New Roman" w:hAnsi="Times New Roman" w:cs="Times New Roman"/>
          <w:noProof/>
          <w:sz w:val="18"/>
          <w:szCs w:val="18"/>
        </w:rPr>
        <w:t>United States Bureau of Labor Statistics</w:t>
      </w:r>
      <w:r w:rsidRPr="002750E1">
        <w:rPr>
          <w:rFonts w:ascii="Times New Roman" w:eastAsia="Times New Roman" w:hAnsi="Times New Roman" w:cs="Times New Roman"/>
          <w:sz w:val="18"/>
          <w:szCs w:val="18"/>
        </w:rPr>
        <w:t xml:space="preserve"> Consumer Price Index for Medical Care.</w:t>
      </w:r>
      <w:r w:rsidR="005354CB">
        <w:rPr>
          <w:rFonts w:ascii="Times New Roman" w:eastAsia="Times New Roman" w:hAnsi="Times New Roman" w:cs="Times New Roman"/>
          <w:sz w:val="18"/>
          <w:szCs w:val="18"/>
          <w:vertAlign w:val="superscript"/>
        </w:rPr>
        <w:t>15</w:t>
      </w:r>
      <w:r w:rsidRPr="002750E1">
        <w:rPr>
          <w:rFonts w:ascii="Times New Roman" w:eastAsia="Times New Roman" w:hAnsi="Times New Roman" w:cs="Times New Roman"/>
          <w:sz w:val="18"/>
          <w:szCs w:val="18"/>
        </w:rPr>
        <w:t xml:space="preserve"> The cost was assumed to be the same for patients with IC status and patients with healthy status. However, these values may be an overestimate for IC patients, since average employment for HSCT individuals is likely lower than for the immunocompetent population.</w:t>
      </w:r>
      <w:r w:rsidR="00AD58BA">
        <w:rPr>
          <w:rFonts w:ascii="Times New Roman" w:eastAsia="Times New Roman" w:hAnsi="Times New Roman" w:cs="Times New Roman"/>
          <w:noProof/>
          <w:sz w:val="18"/>
          <w:szCs w:val="18"/>
          <w:vertAlign w:val="superscript"/>
        </w:rPr>
        <w:t>62, 63</w:t>
      </w:r>
    </w:p>
    <w:p w14:paraId="00F60866"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 This was calculated as a weighted average based on the incidence of each AE and the QALY loss per AE. Uncertainty ranges of –50% to +100% of base-case values were considered.</w:t>
      </w:r>
    </w:p>
    <w:p w14:paraId="79ACE4D4" w14:textId="7D3EA233" w:rsidR="002750E1" w:rsidRPr="003A1943" w:rsidRDefault="002750E1" w:rsidP="002750E1">
      <w:pPr>
        <w:spacing w:before="120" w:after="0" w:line="240" w:lineRule="atLeast"/>
        <w:rPr>
          <w:rFonts w:ascii="Times New Roman" w:eastAsia="Times New Roman" w:hAnsi="Times New Roman" w:cs="Times New Roman"/>
          <w:sz w:val="18"/>
          <w:szCs w:val="18"/>
          <w:vertAlign w:val="superscript"/>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Eriksson et al.</w:t>
      </w:r>
      <w:r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r w:rsidRPr="002750E1">
        <w:rPr>
          <w:rFonts w:ascii="Times New Roman" w:eastAsia="Times New Roman" w:hAnsi="Times New Roman" w:cs="Times New Roman"/>
          <w:sz w:val="18"/>
          <w:szCs w:val="18"/>
        </w:rPr>
        <w:t xml:space="preserve"> reported mean indirect costs by HZ without PHN and HZ with PHN for an HSCT population. A weighted average indirect cost among all HZ cases was calculated based on the rate of PHN among HZ cases in the associated clinical trial.</w:t>
      </w:r>
      <w:r w:rsidRPr="002750E1">
        <w:rPr>
          <w:rFonts w:ascii="Times New Roman" w:eastAsia="Times New Roman" w:hAnsi="Times New Roman" w:cs="Times New Roman"/>
          <w:noProof/>
          <w:sz w:val="18"/>
          <w:szCs w:val="18"/>
          <w:vertAlign w:val="superscript"/>
        </w:rPr>
        <w:t>3</w:t>
      </w:r>
      <w:r w:rsidR="00C97772">
        <w:rPr>
          <w:rFonts w:ascii="Times New Roman" w:eastAsia="Times New Roman" w:hAnsi="Times New Roman" w:cs="Times New Roman"/>
          <w:noProof/>
          <w:sz w:val="18"/>
          <w:szCs w:val="18"/>
          <w:vertAlign w:val="superscript"/>
        </w:rPr>
        <w:t>5</w:t>
      </w:r>
      <w:r w:rsidRPr="002750E1">
        <w:rPr>
          <w:rFonts w:ascii="Times New Roman" w:eastAsia="Times New Roman" w:hAnsi="Times New Roman" w:cs="Times New Roman"/>
          <w:sz w:val="18"/>
          <w:szCs w:val="18"/>
        </w:rPr>
        <w:t xml:space="preserve"> Costs were inflated to 2019 US dollars using the </w:t>
      </w:r>
      <w:r w:rsidRPr="002750E1">
        <w:rPr>
          <w:rFonts w:ascii="Times New Roman" w:eastAsia="Times New Roman" w:hAnsi="Times New Roman" w:cs="Times New Roman"/>
          <w:noProof/>
          <w:sz w:val="18"/>
          <w:szCs w:val="18"/>
        </w:rPr>
        <w:t>United States Bureau of Labor Statistics</w:t>
      </w:r>
      <w:r w:rsidRPr="002750E1">
        <w:rPr>
          <w:rFonts w:ascii="Times New Roman" w:eastAsia="Times New Roman" w:hAnsi="Times New Roman" w:cs="Times New Roman"/>
          <w:sz w:val="18"/>
          <w:szCs w:val="18"/>
        </w:rPr>
        <w:t xml:space="preserve"> </w:t>
      </w:r>
      <w:r w:rsidRPr="002750E1">
        <w:rPr>
          <w:rFonts w:ascii="Times New Roman" w:eastAsia="Times New Roman" w:hAnsi="Times New Roman" w:cs="Times New Roman"/>
          <w:sz w:val="18"/>
          <w:szCs w:val="18"/>
        </w:rPr>
        <w:lastRenderedPageBreak/>
        <w:t>general Consumer Price Index.</w:t>
      </w:r>
      <w:r w:rsidR="00F8037F">
        <w:rPr>
          <w:rFonts w:ascii="Times New Roman" w:eastAsia="Times New Roman" w:hAnsi="Times New Roman" w:cs="Times New Roman"/>
          <w:sz w:val="18"/>
          <w:szCs w:val="18"/>
          <w:vertAlign w:val="superscript"/>
        </w:rPr>
        <w:t>14</w:t>
      </w:r>
      <w:r w:rsidRPr="002750E1">
        <w:rPr>
          <w:rFonts w:ascii="Times New Roman" w:eastAsia="Times New Roman" w:hAnsi="Times New Roman" w:cs="Times New Roman"/>
          <w:sz w:val="18"/>
          <w:szCs w:val="18"/>
        </w:rPr>
        <w:t xml:space="preserve"> Weighted values for the lower and upper bound were calculated based on the 95% confidence intervals in Eriksson et al.</w:t>
      </w:r>
      <w:r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r w:rsidRPr="002750E1">
        <w:rPr>
          <w:rFonts w:ascii="Times New Roman" w:eastAsia="Times New Roman" w:hAnsi="Times New Roman" w:cs="Times New Roman"/>
          <w:sz w:val="18"/>
          <w:szCs w:val="18"/>
        </w:rPr>
        <w:t xml:space="preserve"> for indirect costs for HZ without PHN and HZ with PHN cases, which were weighted based on the rate of PHN among HZ cases in the associated clinical trial.</w:t>
      </w:r>
      <w:r w:rsidRPr="002750E1">
        <w:rPr>
          <w:rFonts w:ascii="Times New Roman" w:eastAsia="Times New Roman" w:hAnsi="Times New Roman" w:cs="Times New Roman"/>
          <w:noProof/>
          <w:sz w:val="18"/>
          <w:szCs w:val="18"/>
          <w:vertAlign w:val="superscript"/>
        </w:rPr>
        <w:t>3</w:t>
      </w:r>
      <w:r w:rsidR="00E00896">
        <w:rPr>
          <w:rFonts w:ascii="Times New Roman" w:eastAsia="Times New Roman" w:hAnsi="Times New Roman" w:cs="Times New Roman"/>
          <w:noProof/>
          <w:sz w:val="18"/>
          <w:szCs w:val="18"/>
          <w:vertAlign w:val="superscript"/>
        </w:rPr>
        <w:t>5</w:t>
      </w:r>
      <w:r w:rsidRPr="002750E1">
        <w:rPr>
          <w:rFonts w:ascii="Times New Roman" w:eastAsia="Times New Roman" w:hAnsi="Times New Roman" w:cs="Times New Roman"/>
          <w:sz w:val="18"/>
          <w:szCs w:val="18"/>
        </w:rPr>
        <w:t xml:space="preserve"> Costs were inflated to 2019 US dollars using the </w:t>
      </w:r>
      <w:r w:rsidRPr="002750E1">
        <w:rPr>
          <w:rFonts w:ascii="Times New Roman" w:eastAsia="Times New Roman" w:hAnsi="Times New Roman" w:cs="Times New Roman"/>
          <w:noProof/>
          <w:sz w:val="18"/>
          <w:szCs w:val="18"/>
        </w:rPr>
        <w:t>United States Bureau of Labor Statistics</w:t>
      </w:r>
      <w:r w:rsidRPr="002750E1">
        <w:rPr>
          <w:rFonts w:ascii="Times New Roman" w:eastAsia="Times New Roman" w:hAnsi="Times New Roman" w:cs="Times New Roman"/>
          <w:sz w:val="18"/>
          <w:szCs w:val="18"/>
        </w:rPr>
        <w:t xml:space="preserve"> general Consumer Price Index.</w:t>
      </w:r>
      <w:r w:rsidR="009D2960">
        <w:rPr>
          <w:rFonts w:ascii="Times New Roman" w:eastAsia="Times New Roman" w:hAnsi="Times New Roman" w:cs="Times New Roman"/>
          <w:sz w:val="18"/>
          <w:szCs w:val="18"/>
          <w:vertAlign w:val="superscript"/>
        </w:rPr>
        <w:t>14</w:t>
      </w:r>
    </w:p>
    <w:p w14:paraId="78D3868F" w14:textId="77777777" w:rsidR="002750E1" w:rsidRPr="002750E1" w:rsidRDefault="002750E1" w:rsidP="002750E1">
      <w:pPr>
        <w:spacing w:after="0" w:line="240" w:lineRule="auto"/>
        <w:rPr>
          <w:rFonts w:ascii="Cambria" w:eastAsia="MS ??" w:hAnsi="Cambria" w:cs="Times New Roman"/>
          <w:sz w:val="24"/>
          <w:szCs w:val="24"/>
        </w:rPr>
      </w:pPr>
    </w:p>
    <w:p w14:paraId="65DE16C1" w14:textId="77777777" w:rsidR="002750E1" w:rsidRPr="002750E1" w:rsidRDefault="002750E1" w:rsidP="002750E1">
      <w:pPr>
        <w:spacing w:before="120" w:after="0" w:line="240" w:lineRule="atLeast"/>
        <w:rPr>
          <w:rFonts w:ascii="Verdana" w:eastAsia="Times New Roman" w:hAnsi="Verdana" w:cs="Courier New"/>
          <w:sz w:val="16"/>
          <w:szCs w:val="18"/>
        </w:rPr>
      </w:pPr>
    </w:p>
    <w:p w14:paraId="141BDF3B" w14:textId="77777777" w:rsidR="002750E1" w:rsidRPr="002750E1" w:rsidRDefault="002750E1" w:rsidP="002750E1">
      <w:pPr>
        <w:spacing w:after="0" w:line="240" w:lineRule="auto"/>
        <w:rPr>
          <w:rFonts w:ascii="Cambria" w:eastAsia="MS ??" w:hAnsi="Cambria" w:cs="Times New Roman"/>
          <w:sz w:val="24"/>
          <w:szCs w:val="24"/>
        </w:rPr>
      </w:pPr>
    </w:p>
    <w:p w14:paraId="0C4F8A3E" w14:textId="77777777" w:rsidR="002750E1" w:rsidRPr="002750E1" w:rsidRDefault="002750E1" w:rsidP="002750E1">
      <w:pPr>
        <w:spacing w:after="0" w:line="240" w:lineRule="auto"/>
        <w:rPr>
          <w:rFonts w:ascii="Tahoma" w:eastAsia="MS ??" w:hAnsi="Tahoma" w:cs="Tahoma"/>
          <w:b/>
          <w:bCs/>
        </w:rPr>
      </w:pPr>
      <w:r w:rsidRPr="002750E1">
        <w:rPr>
          <w:rFonts w:ascii="Cambria" w:eastAsia="MS ??" w:hAnsi="Cambria" w:cs="Times New Roman"/>
          <w:bCs/>
          <w:sz w:val="24"/>
          <w:szCs w:val="24"/>
        </w:rPr>
        <w:br w:type="page"/>
      </w:r>
    </w:p>
    <w:p w14:paraId="62771BA7" w14:textId="77777777" w:rsidR="002750E1" w:rsidRPr="002750E1" w:rsidRDefault="002750E1" w:rsidP="002750E1">
      <w:pPr>
        <w:keepNext/>
        <w:spacing w:after="0" w:line="480" w:lineRule="auto"/>
        <w:contextualSpacing/>
        <w:rPr>
          <w:rFonts w:ascii="Times New Roman" w:eastAsia="MS ??" w:hAnsi="Times New Roman" w:cs="Times New Roman"/>
          <w:b/>
          <w:sz w:val="24"/>
          <w:szCs w:val="24"/>
        </w:rPr>
      </w:pPr>
      <w:bookmarkStart w:id="21" w:name="_Ref100573130"/>
      <w:bookmarkStart w:id="22" w:name="_Toc112418267"/>
      <w:r w:rsidRPr="002750E1">
        <w:rPr>
          <w:rFonts w:ascii="Times New Roman" w:eastAsia="MS ??" w:hAnsi="Times New Roman" w:cs="Times New Roman"/>
          <w:b/>
          <w:sz w:val="24"/>
          <w:szCs w:val="24"/>
        </w:rPr>
        <w:lastRenderedPageBreak/>
        <w:t>Table A6</w:t>
      </w:r>
      <w:r w:rsidRPr="002750E1">
        <w:rPr>
          <w:rFonts w:ascii="Times New Roman" w:eastAsia="MS ??" w:hAnsi="Times New Roman" w:cs="Times New Roman"/>
          <w:b/>
          <w:bCs/>
          <w:sz w:val="24"/>
          <w:szCs w:val="24"/>
        </w:rPr>
        <w:t>.</w:t>
      </w:r>
      <w:r w:rsidRPr="002750E1">
        <w:rPr>
          <w:rFonts w:ascii="Times New Roman" w:eastAsia="MS ??" w:hAnsi="Times New Roman" w:cs="Times New Roman"/>
          <w:b/>
          <w:sz w:val="24"/>
          <w:szCs w:val="24"/>
        </w:rPr>
        <w:t xml:space="preserve"> Values and sources applied for utility inputs in base-case and sensitivity analyses</w:t>
      </w:r>
      <w:bookmarkEnd w:id="21"/>
      <w:bookmarkEnd w:id="22"/>
    </w:p>
    <w:tbl>
      <w:tblPr>
        <w:tblW w:w="5050" w:type="pct"/>
        <w:tblBorders>
          <w:top w:val="single" w:sz="12" w:space="0" w:color="000000"/>
          <w:bottom w:val="single" w:sz="12" w:space="0" w:color="000000"/>
          <w:insideH w:val="single" w:sz="2" w:space="0" w:color="DDDDDD"/>
        </w:tblBorders>
        <w:tblLayout w:type="fixed"/>
        <w:tblLook w:val="0000" w:firstRow="0" w:lastRow="0" w:firstColumn="0" w:lastColumn="0" w:noHBand="0" w:noVBand="0"/>
      </w:tblPr>
      <w:tblGrid>
        <w:gridCol w:w="2341"/>
        <w:gridCol w:w="1259"/>
        <w:gridCol w:w="1170"/>
        <w:gridCol w:w="1170"/>
        <w:gridCol w:w="181"/>
        <w:gridCol w:w="3906"/>
        <w:gridCol w:w="3063"/>
      </w:tblGrid>
      <w:tr w:rsidR="002750E1" w:rsidRPr="002750E1" w14:paraId="2D515304" w14:textId="77777777" w:rsidTr="003A1943">
        <w:trPr>
          <w:cantSplit/>
          <w:tblHeader/>
        </w:trPr>
        <w:tc>
          <w:tcPr>
            <w:tcW w:w="894" w:type="pct"/>
            <w:vMerge w:val="restart"/>
            <w:tcBorders>
              <w:top w:val="single" w:sz="12" w:space="0" w:color="000000"/>
              <w:bottom w:val="single" w:sz="2" w:space="0" w:color="000000"/>
            </w:tcBorders>
            <w:shd w:val="clear" w:color="auto" w:fill="E6E6E6"/>
            <w:vAlign w:val="bottom"/>
          </w:tcPr>
          <w:p w14:paraId="0E6CB92D" w14:textId="77777777" w:rsidR="002750E1" w:rsidRPr="002750E1" w:rsidRDefault="002750E1" w:rsidP="002750E1">
            <w:pPr>
              <w:keepNext/>
              <w:spacing w:before="160" w:after="0" w:line="320" w:lineRule="exact"/>
              <w:rPr>
                <w:rFonts w:ascii="Times New Roman" w:eastAsia="Times New Roman" w:hAnsi="Times New Roman" w:cs="Times New Roman"/>
                <w:b/>
                <w:sz w:val="24"/>
                <w:szCs w:val="24"/>
              </w:rPr>
            </w:pPr>
            <w:bookmarkStart w:id="23" w:name="_Ref100231644"/>
            <w:bookmarkStart w:id="24" w:name="_Ref100573135"/>
            <w:bookmarkStart w:id="25" w:name="_Toc112418268"/>
            <w:r w:rsidRPr="002750E1">
              <w:rPr>
                <w:rFonts w:ascii="Times New Roman" w:eastAsia="Times New Roman" w:hAnsi="Times New Roman" w:cs="Times New Roman"/>
                <w:b/>
                <w:sz w:val="24"/>
                <w:szCs w:val="24"/>
              </w:rPr>
              <w:t>Category/input</w:t>
            </w:r>
          </w:p>
        </w:tc>
        <w:tc>
          <w:tcPr>
            <w:tcW w:w="481" w:type="pct"/>
            <w:vMerge w:val="restart"/>
            <w:tcBorders>
              <w:top w:val="single" w:sz="12" w:space="0" w:color="000000"/>
              <w:bottom w:val="single" w:sz="2" w:space="0" w:color="000000"/>
            </w:tcBorders>
            <w:shd w:val="clear" w:color="auto" w:fill="E6E6E6"/>
            <w:vAlign w:val="bottom"/>
          </w:tcPr>
          <w:p w14:paraId="7C08AF36"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Base-case value</w:t>
            </w:r>
          </w:p>
        </w:tc>
        <w:tc>
          <w:tcPr>
            <w:tcW w:w="894" w:type="pct"/>
            <w:gridSpan w:val="2"/>
            <w:tcBorders>
              <w:top w:val="single" w:sz="12" w:space="0" w:color="000000"/>
              <w:bottom w:val="single" w:sz="2" w:space="0" w:color="000000"/>
            </w:tcBorders>
            <w:shd w:val="clear" w:color="auto" w:fill="E6E6E6"/>
            <w:vAlign w:val="bottom"/>
          </w:tcPr>
          <w:p w14:paraId="7436AFD6"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Range*</w:t>
            </w:r>
          </w:p>
        </w:tc>
        <w:tc>
          <w:tcPr>
            <w:tcW w:w="1561" w:type="pct"/>
            <w:gridSpan w:val="2"/>
            <w:vMerge w:val="restart"/>
            <w:tcBorders>
              <w:top w:val="single" w:sz="12" w:space="0" w:color="000000"/>
              <w:bottom w:val="single" w:sz="2" w:space="0" w:color="000000"/>
            </w:tcBorders>
            <w:shd w:val="clear" w:color="auto" w:fill="E6E6E6"/>
            <w:vAlign w:val="bottom"/>
          </w:tcPr>
          <w:p w14:paraId="7104A371"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Base-case value source</w:t>
            </w:r>
          </w:p>
        </w:tc>
        <w:tc>
          <w:tcPr>
            <w:tcW w:w="1170" w:type="pct"/>
            <w:vMerge w:val="restart"/>
            <w:tcBorders>
              <w:top w:val="single" w:sz="12" w:space="0" w:color="000000"/>
              <w:bottom w:val="single" w:sz="2" w:space="0" w:color="000000"/>
            </w:tcBorders>
            <w:shd w:val="clear" w:color="auto" w:fill="E6E6E6"/>
            <w:vAlign w:val="bottom"/>
          </w:tcPr>
          <w:p w14:paraId="59FF2C3F"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Range source</w:t>
            </w:r>
          </w:p>
        </w:tc>
      </w:tr>
      <w:tr w:rsidR="006A01C2" w:rsidRPr="002750E1" w14:paraId="6379280D" w14:textId="77777777" w:rsidTr="003A1943">
        <w:trPr>
          <w:cantSplit/>
          <w:tblHeader/>
        </w:trPr>
        <w:tc>
          <w:tcPr>
            <w:tcW w:w="894" w:type="pct"/>
            <w:vMerge/>
            <w:tcBorders>
              <w:top w:val="single" w:sz="2" w:space="0" w:color="000000"/>
              <w:bottom w:val="single" w:sz="2" w:space="0" w:color="DDDDDD"/>
            </w:tcBorders>
            <w:shd w:val="clear" w:color="auto" w:fill="E6E6E6"/>
            <w:vAlign w:val="bottom"/>
          </w:tcPr>
          <w:p w14:paraId="23EA8A09"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481" w:type="pct"/>
            <w:vMerge/>
            <w:tcBorders>
              <w:top w:val="single" w:sz="2" w:space="0" w:color="000000"/>
              <w:bottom w:val="single" w:sz="2" w:space="0" w:color="DDDDDD"/>
            </w:tcBorders>
            <w:shd w:val="clear" w:color="auto" w:fill="E6E6E6"/>
            <w:vAlign w:val="bottom"/>
          </w:tcPr>
          <w:p w14:paraId="77BE3CFB"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447" w:type="pct"/>
            <w:tcBorders>
              <w:top w:val="single" w:sz="2" w:space="0" w:color="000000"/>
              <w:bottom w:val="single" w:sz="2" w:space="0" w:color="DDDDDD"/>
            </w:tcBorders>
            <w:shd w:val="clear" w:color="auto" w:fill="E6E6E6"/>
            <w:vAlign w:val="bottom"/>
          </w:tcPr>
          <w:p w14:paraId="58364E7C"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Lower bound</w:t>
            </w:r>
          </w:p>
        </w:tc>
        <w:tc>
          <w:tcPr>
            <w:tcW w:w="447" w:type="pct"/>
            <w:tcBorders>
              <w:top w:val="single" w:sz="2" w:space="0" w:color="000000"/>
              <w:bottom w:val="single" w:sz="2" w:space="0" w:color="DDDDDD"/>
            </w:tcBorders>
            <w:shd w:val="clear" w:color="auto" w:fill="E6E6E6"/>
            <w:vAlign w:val="bottom"/>
          </w:tcPr>
          <w:p w14:paraId="366DDB11"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Upper bound</w:t>
            </w:r>
          </w:p>
        </w:tc>
        <w:tc>
          <w:tcPr>
            <w:tcW w:w="1561" w:type="pct"/>
            <w:gridSpan w:val="2"/>
            <w:vMerge/>
            <w:tcBorders>
              <w:top w:val="single" w:sz="2" w:space="0" w:color="000000"/>
              <w:bottom w:val="single" w:sz="2" w:space="0" w:color="DDDDDD"/>
            </w:tcBorders>
            <w:shd w:val="clear" w:color="auto" w:fill="E6E6E6"/>
            <w:vAlign w:val="bottom"/>
          </w:tcPr>
          <w:p w14:paraId="2F79E3DC"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c>
          <w:tcPr>
            <w:tcW w:w="1170" w:type="pct"/>
            <w:vMerge/>
            <w:tcBorders>
              <w:top w:val="single" w:sz="2" w:space="0" w:color="000000"/>
              <w:bottom w:val="single" w:sz="2" w:space="0" w:color="DDDDDD"/>
            </w:tcBorders>
            <w:shd w:val="clear" w:color="auto" w:fill="E6E6E6"/>
            <w:vAlign w:val="bottom"/>
          </w:tcPr>
          <w:p w14:paraId="722729BD"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p>
        </w:tc>
      </w:tr>
      <w:tr w:rsidR="006A01C2" w:rsidRPr="002750E1" w14:paraId="60B36EC2" w14:textId="77777777" w:rsidTr="003A1943">
        <w:trPr>
          <w:cantSplit/>
        </w:trPr>
        <w:tc>
          <w:tcPr>
            <w:tcW w:w="894" w:type="pct"/>
            <w:tcBorders>
              <w:top w:val="single" w:sz="2" w:space="0" w:color="DDDDDD"/>
            </w:tcBorders>
            <w:shd w:val="clear" w:color="auto" w:fill="FFFFFF"/>
          </w:tcPr>
          <w:p w14:paraId="3A02663F" w14:textId="77777777" w:rsidR="002750E1" w:rsidRPr="002750E1" w:rsidRDefault="002750E1" w:rsidP="002750E1">
            <w:pPr>
              <w:keepNext/>
              <w:spacing w:before="40" w:after="40" w:line="240" w:lineRule="atLeast"/>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General</w:t>
            </w:r>
          </w:p>
        </w:tc>
        <w:tc>
          <w:tcPr>
            <w:tcW w:w="481" w:type="pct"/>
            <w:tcBorders>
              <w:top w:val="single" w:sz="2" w:space="0" w:color="DDDDDD"/>
            </w:tcBorders>
            <w:shd w:val="clear" w:color="auto" w:fill="FFFFFF"/>
          </w:tcPr>
          <w:p w14:paraId="09194B78" w14:textId="77777777" w:rsidR="002750E1" w:rsidRPr="002750E1" w:rsidRDefault="002750E1" w:rsidP="002750E1">
            <w:pPr>
              <w:keepNext/>
              <w:spacing w:before="40" w:after="40" w:line="240" w:lineRule="atLeast"/>
              <w:rPr>
                <w:rFonts w:ascii="Times New Roman" w:eastAsia="Times New Roman" w:hAnsi="Times New Roman" w:cs="Times New Roman"/>
                <w:b/>
                <w:sz w:val="24"/>
                <w:szCs w:val="24"/>
              </w:rPr>
            </w:pPr>
          </w:p>
        </w:tc>
        <w:tc>
          <w:tcPr>
            <w:tcW w:w="447" w:type="pct"/>
            <w:tcBorders>
              <w:top w:val="single" w:sz="2" w:space="0" w:color="DDDDDD"/>
            </w:tcBorders>
            <w:shd w:val="clear" w:color="auto" w:fill="FFFFFF"/>
          </w:tcPr>
          <w:p w14:paraId="2A70E022" w14:textId="77777777" w:rsidR="002750E1" w:rsidRPr="002750E1" w:rsidRDefault="002750E1" w:rsidP="002750E1">
            <w:pPr>
              <w:keepNext/>
              <w:spacing w:before="40" w:after="40" w:line="240" w:lineRule="atLeast"/>
              <w:rPr>
                <w:rFonts w:ascii="Times New Roman" w:eastAsia="Times New Roman" w:hAnsi="Times New Roman" w:cs="Times New Roman"/>
                <w:b/>
                <w:sz w:val="24"/>
                <w:szCs w:val="24"/>
              </w:rPr>
            </w:pPr>
          </w:p>
        </w:tc>
        <w:tc>
          <w:tcPr>
            <w:tcW w:w="447" w:type="pct"/>
            <w:tcBorders>
              <w:top w:val="single" w:sz="2" w:space="0" w:color="DDDDDD"/>
            </w:tcBorders>
            <w:shd w:val="clear" w:color="auto" w:fill="FFFFFF"/>
          </w:tcPr>
          <w:p w14:paraId="47535244" w14:textId="77777777" w:rsidR="002750E1" w:rsidRPr="002750E1" w:rsidRDefault="002750E1" w:rsidP="002750E1">
            <w:pPr>
              <w:keepNext/>
              <w:spacing w:before="40" w:after="40" w:line="240" w:lineRule="atLeast"/>
              <w:rPr>
                <w:rFonts w:ascii="Times New Roman" w:eastAsia="Times New Roman" w:hAnsi="Times New Roman" w:cs="Times New Roman"/>
                <w:b/>
                <w:sz w:val="24"/>
                <w:szCs w:val="24"/>
              </w:rPr>
            </w:pPr>
          </w:p>
        </w:tc>
        <w:tc>
          <w:tcPr>
            <w:tcW w:w="1561" w:type="pct"/>
            <w:gridSpan w:val="2"/>
            <w:tcBorders>
              <w:top w:val="single" w:sz="2" w:space="0" w:color="DDDDDD"/>
            </w:tcBorders>
            <w:shd w:val="clear" w:color="auto" w:fill="FFFFFF"/>
          </w:tcPr>
          <w:p w14:paraId="6287D357" w14:textId="77777777" w:rsidR="002750E1" w:rsidRPr="002750E1" w:rsidRDefault="002750E1" w:rsidP="002750E1">
            <w:pPr>
              <w:keepNext/>
              <w:spacing w:before="40" w:after="40" w:line="240" w:lineRule="atLeast"/>
              <w:rPr>
                <w:rFonts w:ascii="Times New Roman" w:eastAsia="Times New Roman" w:hAnsi="Times New Roman" w:cs="Times New Roman"/>
                <w:b/>
                <w:sz w:val="24"/>
                <w:szCs w:val="24"/>
              </w:rPr>
            </w:pPr>
          </w:p>
        </w:tc>
        <w:tc>
          <w:tcPr>
            <w:tcW w:w="1170" w:type="pct"/>
            <w:tcBorders>
              <w:top w:val="single" w:sz="2" w:space="0" w:color="DDDDDD"/>
            </w:tcBorders>
            <w:shd w:val="clear" w:color="auto" w:fill="FFFFFF"/>
          </w:tcPr>
          <w:p w14:paraId="0FC3AC3E" w14:textId="77777777" w:rsidR="002750E1" w:rsidRPr="002750E1" w:rsidRDefault="002750E1" w:rsidP="002750E1">
            <w:pPr>
              <w:keepNext/>
              <w:spacing w:before="40" w:after="40" w:line="240" w:lineRule="atLeast"/>
              <w:rPr>
                <w:rFonts w:ascii="Times New Roman" w:eastAsia="Times New Roman" w:hAnsi="Times New Roman" w:cs="Times New Roman"/>
                <w:b/>
                <w:sz w:val="24"/>
                <w:szCs w:val="24"/>
              </w:rPr>
            </w:pPr>
          </w:p>
        </w:tc>
      </w:tr>
      <w:tr w:rsidR="006A01C2" w:rsidRPr="002750E1" w14:paraId="301FDCF1" w14:textId="77777777" w:rsidTr="003A1943">
        <w:trPr>
          <w:cantSplit/>
        </w:trPr>
        <w:tc>
          <w:tcPr>
            <w:tcW w:w="894" w:type="pct"/>
            <w:shd w:val="clear" w:color="auto" w:fill="FFFFFF"/>
          </w:tcPr>
          <w:p w14:paraId="5EACF712"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Baseline utility</w:t>
            </w:r>
            <w:r w:rsidRPr="003A1943">
              <w:rPr>
                <w:rFonts w:ascii="Times New Roman" w:eastAsia="Times New Roman" w:hAnsi="Times New Roman" w:cs="Times New Roman"/>
                <w:sz w:val="24"/>
                <w:szCs w:val="24"/>
                <w:vertAlign w:val="superscript"/>
              </w:rPr>
              <w:t>†</w:t>
            </w:r>
          </w:p>
        </w:tc>
        <w:tc>
          <w:tcPr>
            <w:tcW w:w="481" w:type="pct"/>
            <w:shd w:val="clear" w:color="auto" w:fill="FFFFFF"/>
          </w:tcPr>
          <w:p w14:paraId="2C8F4B47"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447" w:type="pct"/>
            <w:shd w:val="clear" w:color="auto" w:fill="FFFFFF"/>
          </w:tcPr>
          <w:p w14:paraId="10479F30"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447" w:type="pct"/>
            <w:shd w:val="clear" w:color="auto" w:fill="FFFFFF"/>
          </w:tcPr>
          <w:p w14:paraId="26B2B75A"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1561" w:type="pct"/>
            <w:gridSpan w:val="2"/>
            <w:shd w:val="clear" w:color="auto" w:fill="FFFFFF"/>
          </w:tcPr>
          <w:p w14:paraId="3130B30A"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1170" w:type="pct"/>
            <w:shd w:val="clear" w:color="auto" w:fill="FFFFFF"/>
          </w:tcPr>
          <w:p w14:paraId="34515B14"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6A01C2" w:rsidRPr="002750E1" w14:paraId="5591C6F3" w14:textId="77777777" w:rsidTr="003A1943">
        <w:trPr>
          <w:cantSplit/>
        </w:trPr>
        <w:tc>
          <w:tcPr>
            <w:tcW w:w="894" w:type="pct"/>
            <w:shd w:val="clear" w:color="auto" w:fill="FFFFFF"/>
          </w:tcPr>
          <w:p w14:paraId="516BD8C0" w14:textId="66E17E6E"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Ages 18</w:t>
            </w:r>
            <w:r w:rsidR="00B47895">
              <w:rPr>
                <w:rFonts w:ascii="Times New Roman" w:eastAsia="Times New Roman" w:hAnsi="Times New Roman" w:cs="Times New Roman"/>
                <w:sz w:val="24"/>
                <w:szCs w:val="24"/>
              </w:rPr>
              <w:t>–</w:t>
            </w:r>
            <w:r w:rsidRPr="002750E1">
              <w:rPr>
                <w:rFonts w:ascii="Times New Roman" w:eastAsia="Times New Roman" w:hAnsi="Times New Roman" w:cs="Times New Roman"/>
                <w:sz w:val="24"/>
                <w:szCs w:val="24"/>
              </w:rPr>
              <w:t>49</w:t>
            </w:r>
          </w:p>
        </w:tc>
        <w:tc>
          <w:tcPr>
            <w:tcW w:w="481" w:type="pct"/>
            <w:shd w:val="clear" w:color="auto" w:fill="FFFFFF"/>
          </w:tcPr>
          <w:p w14:paraId="3167175E"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0.8523</w:t>
            </w:r>
          </w:p>
        </w:tc>
        <w:tc>
          <w:tcPr>
            <w:tcW w:w="447" w:type="pct"/>
            <w:shd w:val="clear" w:color="auto" w:fill="FFFFFF"/>
          </w:tcPr>
          <w:p w14:paraId="5AF82DEA"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0.6818</w:t>
            </w:r>
          </w:p>
        </w:tc>
        <w:tc>
          <w:tcPr>
            <w:tcW w:w="447" w:type="pct"/>
            <w:shd w:val="clear" w:color="auto" w:fill="FFFFFF"/>
          </w:tcPr>
          <w:p w14:paraId="7E064FC2"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1.0000</w:t>
            </w:r>
          </w:p>
        </w:tc>
        <w:tc>
          <w:tcPr>
            <w:tcW w:w="1561" w:type="pct"/>
            <w:gridSpan w:val="2"/>
            <w:vMerge w:val="restart"/>
            <w:shd w:val="clear" w:color="auto" w:fill="FFFFFF"/>
          </w:tcPr>
          <w:p w14:paraId="532EB8F1" w14:textId="73BC1E32" w:rsidR="002750E1" w:rsidRPr="002750E1"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Curran et al.</w:t>
            </w:r>
            <w:r w:rsidR="004D5965">
              <w:rPr>
                <w:rFonts w:ascii="Times New Roman" w:eastAsia="Times New Roman" w:hAnsi="Times New Roman" w:cs="Times New Roman"/>
                <w:noProof/>
                <w:sz w:val="24"/>
                <w:szCs w:val="24"/>
                <w:vertAlign w:val="superscript"/>
              </w:rPr>
              <w:t>21</w:t>
            </w:r>
            <w:r w:rsidRPr="003A1943">
              <w:rPr>
                <w:rFonts w:ascii="Times New Roman" w:eastAsia="Times New Roman" w:hAnsi="Times New Roman" w:cs="Times New Roman"/>
                <w:sz w:val="24"/>
                <w:szCs w:val="24"/>
                <w:vertAlign w:val="superscript"/>
              </w:rPr>
              <w:t>‡</w:t>
            </w:r>
          </w:p>
        </w:tc>
        <w:tc>
          <w:tcPr>
            <w:tcW w:w="1170" w:type="pct"/>
            <w:vMerge w:val="restart"/>
            <w:shd w:val="clear" w:color="auto" w:fill="FFFFFF"/>
          </w:tcPr>
          <w:p w14:paraId="4279CBF1"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Assumed</w:t>
            </w:r>
            <w:r w:rsidRPr="003A1943">
              <w:rPr>
                <w:rFonts w:ascii="Times New Roman" w:eastAsia="Times New Roman" w:hAnsi="Times New Roman" w:cs="Times New Roman"/>
                <w:sz w:val="24"/>
                <w:szCs w:val="24"/>
                <w:vertAlign w:val="superscript"/>
              </w:rPr>
              <w:t>‡</w:t>
            </w:r>
          </w:p>
        </w:tc>
      </w:tr>
      <w:tr w:rsidR="006A01C2" w:rsidRPr="002750E1" w14:paraId="58B547C3" w14:textId="77777777" w:rsidTr="003A1943">
        <w:trPr>
          <w:cantSplit/>
        </w:trPr>
        <w:tc>
          <w:tcPr>
            <w:tcW w:w="894" w:type="pct"/>
            <w:shd w:val="clear" w:color="auto" w:fill="FFFFFF"/>
          </w:tcPr>
          <w:p w14:paraId="548A2F6B"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Ages 50+</w:t>
            </w:r>
          </w:p>
        </w:tc>
        <w:tc>
          <w:tcPr>
            <w:tcW w:w="481" w:type="pct"/>
            <w:shd w:val="clear" w:color="auto" w:fill="FFFFFF"/>
          </w:tcPr>
          <w:p w14:paraId="5449FF3A"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0.8003</w:t>
            </w:r>
          </w:p>
        </w:tc>
        <w:tc>
          <w:tcPr>
            <w:tcW w:w="447" w:type="pct"/>
            <w:shd w:val="clear" w:color="auto" w:fill="FFFFFF"/>
          </w:tcPr>
          <w:p w14:paraId="35D1285E"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0.6402</w:t>
            </w:r>
          </w:p>
        </w:tc>
        <w:tc>
          <w:tcPr>
            <w:tcW w:w="447" w:type="pct"/>
            <w:shd w:val="clear" w:color="auto" w:fill="FFFFFF"/>
          </w:tcPr>
          <w:p w14:paraId="34065EE3"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0.9604</w:t>
            </w:r>
          </w:p>
        </w:tc>
        <w:tc>
          <w:tcPr>
            <w:tcW w:w="1561" w:type="pct"/>
            <w:gridSpan w:val="2"/>
            <w:vMerge/>
            <w:shd w:val="clear" w:color="auto" w:fill="FFFFFF"/>
          </w:tcPr>
          <w:p w14:paraId="737301E7"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1170" w:type="pct"/>
            <w:vMerge/>
            <w:shd w:val="clear" w:color="auto" w:fill="FFFFFF"/>
          </w:tcPr>
          <w:p w14:paraId="1E1CFA26"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r>
      <w:tr w:rsidR="006A01C2" w:rsidRPr="002750E1" w14:paraId="289ED328" w14:textId="77777777" w:rsidTr="003A1943">
        <w:trPr>
          <w:cantSplit/>
        </w:trPr>
        <w:tc>
          <w:tcPr>
            <w:tcW w:w="894" w:type="pct"/>
            <w:shd w:val="clear" w:color="auto" w:fill="FFFFFF"/>
          </w:tcPr>
          <w:p w14:paraId="3D8EFA60"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Discount rate</w:t>
            </w:r>
          </w:p>
        </w:tc>
        <w:tc>
          <w:tcPr>
            <w:tcW w:w="481" w:type="pct"/>
            <w:shd w:val="clear" w:color="auto" w:fill="FFFFFF"/>
          </w:tcPr>
          <w:p w14:paraId="31281C5A"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447" w:type="pct"/>
            <w:shd w:val="clear" w:color="auto" w:fill="FFFFFF"/>
          </w:tcPr>
          <w:p w14:paraId="6AD47C9D"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447" w:type="pct"/>
            <w:shd w:val="clear" w:color="auto" w:fill="FFFFFF"/>
          </w:tcPr>
          <w:p w14:paraId="74BD7DA8"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1561" w:type="pct"/>
            <w:gridSpan w:val="2"/>
            <w:shd w:val="clear" w:color="auto" w:fill="FFFFFF"/>
          </w:tcPr>
          <w:p w14:paraId="248A8228"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1170" w:type="pct"/>
            <w:shd w:val="clear" w:color="auto" w:fill="FFFFFF"/>
          </w:tcPr>
          <w:p w14:paraId="70AFF033"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r>
      <w:tr w:rsidR="006A01C2" w:rsidRPr="002750E1" w14:paraId="5E3F5568" w14:textId="77777777" w:rsidTr="003A1943">
        <w:trPr>
          <w:cantSplit/>
        </w:trPr>
        <w:tc>
          <w:tcPr>
            <w:tcW w:w="894" w:type="pct"/>
            <w:shd w:val="clear" w:color="auto" w:fill="FFFFFF"/>
          </w:tcPr>
          <w:p w14:paraId="70177E78"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Life-years</w:t>
            </w:r>
          </w:p>
        </w:tc>
        <w:tc>
          <w:tcPr>
            <w:tcW w:w="481" w:type="pct"/>
            <w:shd w:val="clear" w:color="auto" w:fill="FFFFFF"/>
          </w:tcPr>
          <w:p w14:paraId="505BB2BC"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3.0%</w:t>
            </w:r>
          </w:p>
        </w:tc>
        <w:tc>
          <w:tcPr>
            <w:tcW w:w="447" w:type="pct"/>
            <w:shd w:val="clear" w:color="auto" w:fill="FFFFFF"/>
          </w:tcPr>
          <w:p w14:paraId="68E4BAEC"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w:t>
            </w:r>
          </w:p>
        </w:tc>
        <w:tc>
          <w:tcPr>
            <w:tcW w:w="447" w:type="pct"/>
            <w:shd w:val="clear" w:color="auto" w:fill="FFFFFF"/>
          </w:tcPr>
          <w:p w14:paraId="29E3EDC4"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6.0%</w:t>
            </w:r>
          </w:p>
        </w:tc>
        <w:tc>
          <w:tcPr>
            <w:tcW w:w="1561" w:type="pct"/>
            <w:gridSpan w:val="2"/>
            <w:shd w:val="clear" w:color="auto" w:fill="FFFFFF"/>
          </w:tcPr>
          <w:p w14:paraId="28253F9D" w14:textId="12DF5502"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Sanders et al.</w:t>
            </w:r>
            <w:r w:rsidRPr="002750E1">
              <w:rPr>
                <w:rFonts w:ascii="Times New Roman" w:eastAsia="Times New Roman" w:hAnsi="Times New Roman" w:cs="Times New Roman"/>
                <w:noProof/>
                <w:sz w:val="24"/>
                <w:szCs w:val="24"/>
                <w:vertAlign w:val="superscript"/>
              </w:rPr>
              <w:t>1</w:t>
            </w:r>
            <w:r w:rsidR="0043245A">
              <w:rPr>
                <w:rFonts w:ascii="Times New Roman" w:eastAsia="Times New Roman" w:hAnsi="Times New Roman" w:cs="Times New Roman"/>
                <w:noProof/>
                <w:sz w:val="24"/>
                <w:szCs w:val="24"/>
                <w:vertAlign w:val="superscript"/>
              </w:rPr>
              <w:t>3</w:t>
            </w:r>
          </w:p>
        </w:tc>
        <w:tc>
          <w:tcPr>
            <w:tcW w:w="1170" w:type="pct"/>
            <w:shd w:val="clear" w:color="auto" w:fill="FFFFFF"/>
          </w:tcPr>
          <w:p w14:paraId="3806217C"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Assumed</w:t>
            </w:r>
          </w:p>
        </w:tc>
      </w:tr>
      <w:tr w:rsidR="006A01C2" w:rsidRPr="002750E1" w14:paraId="6BD6D8FC" w14:textId="77777777" w:rsidTr="003A1943">
        <w:trPr>
          <w:cantSplit/>
        </w:trPr>
        <w:tc>
          <w:tcPr>
            <w:tcW w:w="894" w:type="pct"/>
            <w:shd w:val="clear" w:color="auto" w:fill="FFFFFF"/>
          </w:tcPr>
          <w:p w14:paraId="3EBC5BEF"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QALYs</w:t>
            </w:r>
          </w:p>
        </w:tc>
        <w:tc>
          <w:tcPr>
            <w:tcW w:w="481" w:type="pct"/>
            <w:shd w:val="clear" w:color="auto" w:fill="FFFFFF"/>
          </w:tcPr>
          <w:p w14:paraId="5B1FC1E7"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3.0%</w:t>
            </w:r>
          </w:p>
        </w:tc>
        <w:tc>
          <w:tcPr>
            <w:tcW w:w="447" w:type="pct"/>
            <w:shd w:val="clear" w:color="auto" w:fill="FFFFFF"/>
          </w:tcPr>
          <w:p w14:paraId="6C5EB234"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w:t>
            </w:r>
          </w:p>
        </w:tc>
        <w:tc>
          <w:tcPr>
            <w:tcW w:w="447" w:type="pct"/>
            <w:shd w:val="clear" w:color="auto" w:fill="FFFFFF"/>
          </w:tcPr>
          <w:p w14:paraId="07E75554"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6.0%</w:t>
            </w:r>
          </w:p>
        </w:tc>
        <w:tc>
          <w:tcPr>
            <w:tcW w:w="1561" w:type="pct"/>
            <w:gridSpan w:val="2"/>
            <w:shd w:val="clear" w:color="auto" w:fill="FFFFFF"/>
          </w:tcPr>
          <w:p w14:paraId="50C1224D" w14:textId="1CCCF67C"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Sanders et al.</w:t>
            </w:r>
            <w:r w:rsidRPr="002750E1">
              <w:rPr>
                <w:rFonts w:ascii="Times New Roman" w:eastAsia="Times New Roman" w:hAnsi="Times New Roman" w:cs="Times New Roman"/>
                <w:noProof/>
                <w:sz w:val="24"/>
                <w:szCs w:val="24"/>
                <w:vertAlign w:val="superscript"/>
              </w:rPr>
              <w:t>1</w:t>
            </w:r>
            <w:r w:rsidR="0043245A">
              <w:rPr>
                <w:rFonts w:ascii="Times New Roman" w:eastAsia="Times New Roman" w:hAnsi="Times New Roman" w:cs="Times New Roman"/>
                <w:noProof/>
                <w:sz w:val="24"/>
                <w:szCs w:val="24"/>
                <w:vertAlign w:val="superscript"/>
              </w:rPr>
              <w:t>3</w:t>
            </w:r>
          </w:p>
        </w:tc>
        <w:tc>
          <w:tcPr>
            <w:tcW w:w="1170" w:type="pct"/>
            <w:shd w:val="clear" w:color="auto" w:fill="FFFFFF"/>
          </w:tcPr>
          <w:p w14:paraId="1C4DB2F3"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Assumed</w:t>
            </w:r>
          </w:p>
        </w:tc>
      </w:tr>
      <w:tr w:rsidR="006A01C2" w:rsidRPr="002750E1" w14:paraId="3A66DBB3" w14:textId="77777777" w:rsidTr="003A1943">
        <w:trPr>
          <w:cantSplit/>
        </w:trPr>
        <w:tc>
          <w:tcPr>
            <w:tcW w:w="894" w:type="pct"/>
            <w:shd w:val="clear" w:color="auto" w:fill="FFFFFF"/>
          </w:tcPr>
          <w:p w14:paraId="2C4F2B0B" w14:textId="77777777" w:rsidR="002750E1" w:rsidRPr="002750E1" w:rsidRDefault="002750E1" w:rsidP="002750E1">
            <w:pPr>
              <w:keepNext/>
              <w:spacing w:before="40" w:after="40" w:line="240" w:lineRule="atLeast"/>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Disease</w:t>
            </w:r>
          </w:p>
        </w:tc>
        <w:tc>
          <w:tcPr>
            <w:tcW w:w="481" w:type="pct"/>
            <w:shd w:val="clear" w:color="auto" w:fill="FFFFFF"/>
          </w:tcPr>
          <w:p w14:paraId="74330342" w14:textId="77777777" w:rsidR="002750E1" w:rsidRPr="002750E1" w:rsidRDefault="002750E1" w:rsidP="002750E1">
            <w:pPr>
              <w:keepNext/>
              <w:spacing w:before="40" w:after="40" w:line="240" w:lineRule="atLeast"/>
              <w:jc w:val="center"/>
              <w:rPr>
                <w:rFonts w:ascii="Times New Roman" w:eastAsia="Times New Roman" w:hAnsi="Times New Roman" w:cs="Times New Roman"/>
                <w:b/>
                <w:sz w:val="24"/>
                <w:szCs w:val="24"/>
              </w:rPr>
            </w:pPr>
          </w:p>
        </w:tc>
        <w:tc>
          <w:tcPr>
            <w:tcW w:w="447" w:type="pct"/>
            <w:shd w:val="clear" w:color="auto" w:fill="FFFFFF"/>
          </w:tcPr>
          <w:p w14:paraId="6410F901" w14:textId="77777777" w:rsidR="002750E1" w:rsidRPr="002750E1" w:rsidRDefault="002750E1" w:rsidP="002750E1">
            <w:pPr>
              <w:keepNext/>
              <w:spacing w:before="40" w:after="40" w:line="240" w:lineRule="atLeast"/>
              <w:jc w:val="center"/>
              <w:rPr>
                <w:rFonts w:ascii="Times New Roman" w:eastAsia="Times New Roman" w:hAnsi="Times New Roman" w:cs="Times New Roman"/>
                <w:b/>
                <w:sz w:val="24"/>
                <w:szCs w:val="24"/>
              </w:rPr>
            </w:pPr>
          </w:p>
        </w:tc>
        <w:tc>
          <w:tcPr>
            <w:tcW w:w="447" w:type="pct"/>
            <w:shd w:val="clear" w:color="auto" w:fill="FFFFFF"/>
          </w:tcPr>
          <w:p w14:paraId="7A2D8948" w14:textId="77777777" w:rsidR="002750E1" w:rsidRPr="002750E1" w:rsidRDefault="002750E1" w:rsidP="002750E1">
            <w:pPr>
              <w:keepNext/>
              <w:spacing w:before="40" w:after="40" w:line="240" w:lineRule="atLeast"/>
              <w:jc w:val="center"/>
              <w:rPr>
                <w:rFonts w:ascii="Times New Roman" w:eastAsia="Times New Roman" w:hAnsi="Times New Roman" w:cs="Times New Roman"/>
                <w:b/>
                <w:sz w:val="24"/>
                <w:szCs w:val="24"/>
              </w:rPr>
            </w:pPr>
          </w:p>
        </w:tc>
        <w:tc>
          <w:tcPr>
            <w:tcW w:w="1561" w:type="pct"/>
            <w:gridSpan w:val="2"/>
            <w:shd w:val="clear" w:color="auto" w:fill="FFFFFF"/>
          </w:tcPr>
          <w:p w14:paraId="3FF87AE7" w14:textId="77777777" w:rsidR="002750E1" w:rsidRPr="002750E1" w:rsidRDefault="002750E1" w:rsidP="002750E1">
            <w:pPr>
              <w:keepNext/>
              <w:spacing w:before="40" w:after="40" w:line="240" w:lineRule="atLeast"/>
              <w:jc w:val="center"/>
              <w:rPr>
                <w:rFonts w:ascii="Times New Roman" w:eastAsia="Times New Roman" w:hAnsi="Times New Roman" w:cs="Times New Roman"/>
                <w:b/>
                <w:sz w:val="24"/>
                <w:szCs w:val="24"/>
              </w:rPr>
            </w:pPr>
          </w:p>
        </w:tc>
        <w:tc>
          <w:tcPr>
            <w:tcW w:w="1170" w:type="pct"/>
            <w:shd w:val="clear" w:color="auto" w:fill="FFFFFF"/>
          </w:tcPr>
          <w:p w14:paraId="3A8FD18D" w14:textId="77777777" w:rsidR="002750E1" w:rsidRPr="002750E1" w:rsidRDefault="002750E1" w:rsidP="002750E1">
            <w:pPr>
              <w:keepNext/>
              <w:spacing w:before="40" w:after="40" w:line="240" w:lineRule="atLeast"/>
              <w:jc w:val="center"/>
              <w:rPr>
                <w:rFonts w:ascii="Times New Roman" w:eastAsia="Times New Roman" w:hAnsi="Times New Roman" w:cs="Times New Roman"/>
                <w:b/>
                <w:sz w:val="24"/>
                <w:szCs w:val="24"/>
              </w:rPr>
            </w:pPr>
          </w:p>
        </w:tc>
      </w:tr>
      <w:tr w:rsidR="006A01C2" w:rsidRPr="002750E1" w14:paraId="1CE69248" w14:textId="77777777" w:rsidTr="003A1943">
        <w:trPr>
          <w:cantSplit/>
        </w:trPr>
        <w:tc>
          <w:tcPr>
            <w:tcW w:w="894" w:type="pct"/>
            <w:shd w:val="clear" w:color="auto" w:fill="FFFFFF"/>
          </w:tcPr>
          <w:p w14:paraId="170734D3"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QALY loss per HZ case without PHN</w:t>
            </w:r>
            <w:r w:rsidRPr="003A1943">
              <w:rPr>
                <w:rFonts w:ascii="Times New Roman" w:eastAsia="Times New Roman" w:hAnsi="Times New Roman" w:cs="Times New Roman"/>
                <w:sz w:val="24"/>
                <w:szCs w:val="24"/>
                <w:vertAlign w:val="superscript"/>
              </w:rPr>
              <w:t>†</w:t>
            </w:r>
          </w:p>
        </w:tc>
        <w:tc>
          <w:tcPr>
            <w:tcW w:w="481" w:type="pct"/>
            <w:shd w:val="clear" w:color="auto" w:fill="FFFFFF"/>
          </w:tcPr>
          <w:p w14:paraId="0A82517B"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447" w:type="pct"/>
            <w:shd w:val="clear" w:color="auto" w:fill="FFFFFF"/>
          </w:tcPr>
          <w:p w14:paraId="447C9275"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447" w:type="pct"/>
            <w:shd w:val="clear" w:color="auto" w:fill="FFFFFF"/>
          </w:tcPr>
          <w:p w14:paraId="7A0B63DF"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1561" w:type="pct"/>
            <w:gridSpan w:val="2"/>
            <w:shd w:val="clear" w:color="auto" w:fill="FFFFFF"/>
          </w:tcPr>
          <w:p w14:paraId="22036C42"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1170" w:type="pct"/>
            <w:shd w:val="clear" w:color="auto" w:fill="FFFFFF"/>
          </w:tcPr>
          <w:p w14:paraId="785CD865"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r>
      <w:tr w:rsidR="006A01C2" w:rsidRPr="002750E1" w14:paraId="4A1CDF09" w14:textId="77777777" w:rsidTr="003A1943">
        <w:trPr>
          <w:cantSplit/>
        </w:trPr>
        <w:tc>
          <w:tcPr>
            <w:tcW w:w="894" w:type="pct"/>
            <w:shd w:val="clear" w:color="auto" w:fill="FFFFFF"/>
          </w:tcPr>
          <w:p w14:paraId="548683BC"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Unvaccinated</w:t>
            </w:r>
          </w:p>
        </w:tc>
        <w:tc>
          <w:tcPr>
            <w:tcW w:w="481" w:type="pct"/>
            <w:shd w:val="clear" w:color="auto" w:fill="FFFFFF"/>
          </w:tcPr>
          <w:p w14:paraId="4778AA40"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0.0144</w:t>
            </w:r>
          </w:p>
        </w:tc>
        <w:tc>
          <w:tcPr>
            <w:tcW w:w="447" w:type="pct"/>
            <w:shd w:val="clear" w:color="auto" w:fill="FFFFFF"/>
          </w:tcPr>
          <w:p w14:paraId="7B2822C0"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0.0106</w:t>
            </w:r>
          </w:p>
        </w:tc>
        <w:tc>
          <w:tcPr>
            <w:tcW w:w="447" w:type="pct"/>
            <w:shd w:val="clear" w:color="auto" w:fill="FFFFFF"/>
          </w:tcPr>
          <w:p w14:paraId="4DCA2738"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0.0181</w:t>
            </w:r>
          </w:p>
        </w:tc>
        <w:tc>
          <w:tcPr>
            <w:tcW w:w="1561" w:type="pct"/>
            <w:gridSpan w:val="2"/>
            <w:shd w:val="clear" w:color="auto" w:fill="FFFFFF"/>
          </w:tcPr>
          <w:p w14:paraId="5F4F78C4" w14:textId="7E18B4D5" w:rsidR="002750E1" w:rsidRPr="002750E1" w:rsidRDefault="002750E1" w:rsidP="002750E1">
            <w:pPr>
              <w:tabs>
                <w:tab w:val="center" w:pos="1980"/>
              </w:tabs>
              <w:spacing w:before="40" w:after="40" w:line="240" w:lineRule="atLeast"/>
              <w:jc w:val="center"/>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Eriksson et al.</w:t>
            </w:r>
            <w:r w:rsidRPr="002750E1">
              <w:rPr>
                <w:rFonts w:ascii="Times New Roman" w:eastAsia="Times New Roman" w:hAnsi="Times New Roman" w:cs="Times New Roman"/>
                <w:noProof/>
                <w:sz w:val="24"/>
                <w:szCs w:val="24"/>
                <w:vertAlign w:val="superscript"/>
              </w:rPr>
              <w:t>2</w:t>
            </w:r>
            <w:r w:rsidR="00D046F8">
              <w:rPr>
                <w:rFonts w:ascii="Times New Roman" w:eastAsia="Times New Roman" w:hAnsi="Times New Roman" w:cs="Times New Roman"/>
                <w:noProof/>
                <w:sz w:val="24"/>
                <w:szCs w:val="24"/>
                <w:vertAlign w:val="superscript"/>
              </w:rPr>
              <w:t>2</w:t>
            </w:r>
            <w:r w:rsidRPr="003A1943">
              <w:rPr>
                <w:rFonts w:ascii="Times New Roman" w:eastAsia="Times New Roman" w:hAnsi="Times New Roman" w:cs="Times New Roman"/>
                <w:sz w:val="24"/>
                <w:szCs w:val="24"/>
                <w:vertAlign w:val="superscript"/>
              </w:rPr>
              <w:t>§</w:t>
            </w:r>
          </w:p>
        </w:tc>
        <w:tc>
          <w:tcPr>
            <w:tcW w:w="1170" w:type="pct"/>
            <w:shd w:val="clear" w:color="auto" w:fill="FFFFFF"/>
          </w:tcPr>
          <w:p w14:paraId="06D8E6DA" w14:textId="14DE3BA7" w:rsidR="002750E1" w:rsidRPr="002750E1"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Eriksson et al.</w:t>
            </w:r>
            <w:r w:rsidR="00D046F8" w:rsidRPr="002750E1">
              <w:rPr>
                <w:rFonts w:ascii="Times New Roman" w:eastAsia="Times New Roman" w:hAnsi="Times New Roman" w:cs="Times New Roman"/>
                <w:noProof/>
                <w:sz w:val="24"/>
                <w:szCs w:val="24"/>
                <w:vertAlign w:val="superscript"/>
              </w:rPr>
              <w:t>2</w:t>
            </w:r>
            <w:r w:rsidR="00D046F8">
              <w:rPr>
                <w:rFonts w:ascii="Times New Roman" w:eastAsia="Times New Roman" w:hAnsi="Times New Roman" w:cs="Times New Roman"/>
                <w:noProof/>
                <w:sz w:val="24"/>
                <w:szCs w:val="24"/>
                <w:vertAlign w:val="superscript"/>
              </w:rPr>
              <w:t>2</w:t>
            </w:r>
            <w:r w:rsidRPr="003A1943">
              <w:rPr>
                <w:rFonts w:ascii="Times New Roman" w:eastAsia="Times New Roman" w:hAnsi="Times New Roman" w:cs="Times New Roman"/>
                <w:sz w:val="24"/>
                <w:szCs w:val="24"/>
                <w:vertAlign w:val="superscript"/>
              </w:rPr>
              <w:t>§</w:t>
            </w:r>
          </w:p>
        </w:tc>
      </w:tr>
      <w:tr w:rsidR="006A01C2" w:rsidRPr="002750E1" w14:paraId="66CC5BEA" w14:textId="77777777" w:rsidTr="003A1943">
        <w:trPr>
          <w:cantSplit/>
        </w:trPr>
        <w:tc>
          <w:tcPr>
            <w:tcW w:w="894" w:type="pct"/>
            <w:shd w:val="clear" w:color="auto" w:fill="FFFFFF"/>
          </w:tcPr>
          <w:p w14:paraId="50A52BB1"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Vaccinated</w:t>
            </w:r>
          </w:p>
        </w:tc>
        <w:tc>
          <w:tcPr>
            <w:tcW w:w="481" w:type="pct"/>
            <w:shd w:val="clear" w:color="auto" w:fill="FFFFFF"/>
          </w:tcPr>
          <w:p w14:paraId="6B8A13D1"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0.0047</w:t>
            </w:r>
          </w:p>
        </w:tc>
        <w:tc>
          <w:tcPr>
            <w:tcW w:w="447" w:type="pct"/>
            <w:shd w:val="clear" w:color="auto" w:fill="FFFFFF"/>
          </w:tcPr>
          <w:p w14:paraId="2B27360F"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0.0034</w:t>
            </w:r>
          </w:p>
        </w:tc>
        <w:tc>
          <w:tcPr>
            <w:tcW w:w="447" w:type="pct"/>
            <w:shd w:val="clear" w:color="auto" w:fill="FFFFFF"/>
          </w:tcPr>
          <w:p w14:paraId="1A519E1D"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0.0144</w:t>
            </w:r>
          </w:p>
        </w:tc>
        <w:tc>
          <w:tcPr>
            <w:tcW w:w="1561" w:type="pct"/>
            <w:gridSpan w:val="2"/>
            <w:shd w:val="clear" w:color="auto" w:fill="FFFFFF"/>
          </w:tcPr>
          <w:p w14:paraId="482B8F02" w14:textId="7124C264" w:rsidR="002750E1" w:rsidRPr="002750E1"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Bastidas et al.</w:t>
            </w:r>
            <w:r w:rsidRPr="002750E1">
              <w:rPr>
                <w:rFonts w:ascii="Times New Roman" w:eastAsia="Times New Roman" w:hAnsi="Times New Roman" w:cs="Times New Roman"/>
                <w:noProof/>
                <w:sz w:val="24"/>
                <w:szCs w:val="24"/>
                <w:vertAlign w:val="superscript"/>
              </w:rPr>
              <w:t>1</w:t>
            </w:r>
            <w:r w:rsidR="00AE259C">
              <w:rPr>
                <w:rFonts w:ascii="Times New Roman" w:eastAsia="Times New Roman" w:hAnsi="Times New Roman" w:cs="Times New Roman"/>
                <w:noProof/>
                <w:sz w:val="24"/>
                <w:szCs w:val="24"/>
                <w:vertAlign w:val="superscript"/>
              </w:rPr>
              <w:t>9</w:t>
            </w:r>
            <w:r w:rsidRPr="002750E1">
              <w:rPr>
                <w:rFonts w:ascii="Times New Roman" w:eastAsia="Times New Roman" w:hAnsi="Times New Roman" w:cs="Times New Roman"/>
                <w:sz w:val="24"/>
                <w:szCs w:val="24"/>
              </w:rPr>
              <w:t>, Eriksson et al.</w:t>
            </w:r>
            <w:r w:rsidR="00D046F8" w:rsidRPr="002750E1">
              <w:rPr>
                <w:rFonts w:ascii="Times New Roman" w:eastAsia="Times New Roman" w:hAnsi="Times New Roman" w:cs="Times New Roman"/>
                <w:noProof/>
                <w:sz w:val="24"/>
                <w:szCs w:val="24"/>
                <w:vertAlign w:val="superscript"/>
              </w:rPr>
              <w:t>2</w:t>
            </w:r>
            <w:r w:rsidR="00D046F8">
              <w:rPr>
                <w:rFonts w:ascii="Times New Roman" w:eastAsia="Times New Roman" w:hAnsi="Times New Roman" w:cs="Times New Roman"/>
                <w:noProof/>
                <w:sz w:val="24"/>
                <w:szCs w:val="24"/>
                <w:vertAlign w:val="superscript"/>
              </w:rPr>
              <w:t>2</w:t>
            </w:r>
            <w:r w:rsidRPr="002750E1">
              <w:rPr>
                <w:rFonts w:ascii="Times New Roman" w:eastAsia="Times New Roman" w:hAnsi="Times New Roman" w:cs="Times New Roman"/>
                <w:sz w:val="24"/>
                <w:szCs w:val="24"/>
              </w:rPr>
              <w:t>, Curran et al.</w:t>
            </w:r>
            <w:r w:rsidR="004D5965">
              <w:rPr>
                <w:rFonts w:ascii="Times New Roman" w:eastAsia="Times New Roman" w:hAnsi="Times New Roman" w:cs="Times New Roman"/>
                <w:noProof/>
                <w:sz w:val="24"/>
                <w:szCs w:val="24"/>
                <w:vertAlign w:val="superscript"/>
              </w:rPr>
              <w:t>21</w:t>
            </w:r>
          </w:p>
        </w:tc>
        <w:tc>
          <w:tcPr>
            <w:tcW w:w="1170" w:type="pct"/>
            <w:shd w:val="clear" w:color="auto" w:fill="FFFFFF"/>
          </w:tcPr>
          <w:p w14:paraId="4A1A1CB6" w14:textId="4F71833B" w:rsidR="002750E1" w:rsidRPr="002750E1"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Curran et al.</w:t>
            </w:r>
            <w:r w:rsidR="004D5965">
              <w:rPr>
                <w:rFonts w:ascii="Times New Roman" w:eastAsia="Times New Roman" w:hAnsi="Times New Roman" w:cs="Times New Roman"/>
                <w:noProof/>
                <w:sz w:val="24"/>
                <w:szCs w:val="24"/>
                <w:vertAlign w:val="superscript"/>
              </w:rPr>
              <w:t>21</w:t>
            </w:r>
            <w:r w:rsidRPr="002750E1">
              <w:rPr>
                <w:rFonts w:ascii="Times New Roman" w:eastAsia="Times New Roman" w:hAnsi="Times New Roman" w:cs="Times New Roman"/>
                <w:noProof/>
                <w:sz w:val="24"/>
                <w:szCs w:val="24"/>
              </w:rPr>
              <w:t xml:space="preserve">, </w:t>
            </w:r>
            <w:r w:rsidRPr="002750E1">
              <w:rPr>
                <w:rFonts w:ascii="Times New Roman" w:eastAsia="Times New Roman" w:hAnsi="Times New Roman" w:cs="Times New Roman"/>
                <w:sz w:val="24"/>
                <w:szCs w:val="24"/>
              </w:rPr>
              <w:t>Eriksson et al.</w:t>
            </w:r>
            <w:r w:rsidR="00D046F8" w:rsidRPr="002750E1">
              <w:rPr>
                <w:rFonts w:ascii="Times New Roman" w:eastAsia="Times New Roman" w:hAnsi="Times New Roman" w:cs="Times New Roman"/>
                <w:noProof/>
                <w:sz w:val="24"/>
                <w:szCs w:val="24"/>
                <w:vertAlign w:val="superscript"/>
              </w:rPr>
              <w:t>2</w:t>
            </w:r>
            <w:r w:rsidR="00D046F8">
              <w:rPr>
                <w:rFonts w:ascii="Times New Roman" w:eastAsia="Times New Roman" w:hAnsi="Times New Roman" w:cs="Times New Roman"/>
                <w:noProof/>
                <w:sz w:val="24"/>
                <w:szCs w:val="24"/>
                <w:vertAlign w:val="superscript"/>
              </w:rPr>
              <w:t>2</w:t>
            </w:r>
            <w:r w:rsidRPr="003A1943">
              <w:rPr>
                <w:rFonts w:ascii="Times New Roman" w:eastAsia="Times New Roman" w:hAnsi="Times New Roman" w:cs="Times New Roman"/>
                <w:sz w:val="24"/>
                <w:szCs w:val="24"/>
                <w:vertAlign w:val="superscript"/>
              </w:rPr>
              <w:t>||</w:t>
            </w:r>
          </w:p>
        </w:tc>
      </w:tr>
      <w:tr w:rsidR="006A01C2" w:rsidRPr="002750E1" w14:paraId="7FADE41F" w14:textId="77777777" w:rsidTr="003A1943">
        <w:trPr>
          <w:cantSplit/>
        </w:trPr>
        <w:tc>
          <w:tcPr>
            <w:tcW w:w="894" w:type="pct"/>
            <w:shd w:val="clear" w:color="auto" w:fill="FFFFFF"/>
          </w:tcPr>
          <w:p w14:paraId="48EF0C21"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QALY loss per HZ case with PHN</w:t>
            </w:r>
            <w:r w:rsidRPr="003A1943">
              <w:rPr>
                <w:rFonts w:ascii="Times New Roman" w:eastAsia="Times New Roman" w:hAnsi="Times New Roman" w:cs="Times New Roman"/>
                <w:sz w:val="24"/>
                <w:szCs w:val="24"/>
                <w:vertAlign w:val="superscript"/>
              </w:rPr>
              <w:t>†</w:t>
            </w:r>
          </w:p>
        </w:tc>
        <w:tc>
          <w:tcPr>
            <w:tcW w:w="481" w:type="pct"/>
            <w:shd w:val="clear" w:color="auto" w:fill="FFFFFF"/>
          </w:tcPr>
          <w:p w14:paraId="15B12BF4"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447" w:type="pct"/>
            <w:shd w:val="clear" w:color="auto" w:fill="FFFFFF"/>
          </w:tcPr>
          <w:p w14:paraId="48EFDA93"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447" w:type="pct"/>
            <w:shd w:val="clear" w:color="auto" w:fill="FFFFFF"/>
          </w:tcPr>
          <w:p w14:paraId="34A11650"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1561" w:type="pct"/>
            <w:gridSpan w:val="2"/>
            <w:shd w:val="clear" w:color="auto" w:fill="FFFFFF"/>
          </w:tcPr>
          <w:p w14:paraId="22E1DDE5"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1170" w:type="pct"/>
            <w:shd w:val="clear" w:color="auto" w:fill="FFFFFF"/>
          </w:tcPr>
          <w:p w14:paraId="4E0A6412"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r>
      <w:tr w:rsidR="006A01C2" w:rsidRPr="002750E1" w14:paraId="5E014A84" w14:textId="77777777" w:rsidTr="003A1943">
        <w:trPr>
          <w:cantSplit/>
        </w:trPr>
        <w:tc>
          <w:tcPr>
            <w:tcW w:w="894" w:type="pct"/>
            <w:shd w:val="clear" w:color="auto" w:fill="FFFFFF"/>
          </w:tcPr>
          <w:p w14:paraId="4D157471"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Unvaccinated</w:t>
            </w:r>
          </w:p>
        </w:tc>
        <w:tc>
          <w:tcPr>
            <w:tcW w:w="481" w:type="pct"/>
            <w:shd w:val="clear" w:color="auto" w:fill="FFFFFF"/>
          </w:tcPr>
          <w:p w14:paraId="4B210491"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0.1972</w:t>
            </w:r>
          </w:p>
        </w:tc>
        <w:tc>
          <w:tcPr>
            <w:tcW w:w="447" w:type="pct"/>
            <w:shd w:val="clear" w:color="auto" w:fill="FFFFFF"/>
          </w:tcPr>
          <w:p w14:paraId="4CB90FA2"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0.0901</w:t>
            </w:r>
          </w:p>
        </w:tc>
        <w:tc>
          <w:tcPr>
            <w:tcW w:w="447" w:type="pct"/>
            <w:shd w:val="clear" w:color="auto" w:fill="FFFFFF"/>
          </w:tcPr>
          <w:p w14:paraId="72999556"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0.2879</w:t>
            </w:r>
          </w:p>
        </w:tc>
        <w:tc>
          <w:tcPr>
            <w:tcW w:w="1561" w:type="pct"/>
            <w:gridSpan w:val="2"/>
            <w:shd w:val="clear" w:color="auto" w:fill="FFFFFF"/>
          </w:tcPr>
          <w:p w14:paraId="0902FC22" w14:textId="7B41A732"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Eriksson et al.</w:t>
            </w:r>
            <w:r w:rsidR="00D046F8" w:rsidRPr="002750E1">
              <w:rPr>
                <w:rFonts w:ascii="Times New Roman" w:eastAsia="Times New Roman" w:hAnsi="Times New Roman" w:cs="Times New Roman"/>
                <w:noProof/>
                <w:sz w:val="24"/>
                <w:szCs w:val="24"/>
                <w:vertAlign w:val="superscript"/>
              </w:rPr>
              <w:t>2</w:t>
            </w:r>
            <w:r w:rsidR="00D046F8">
              <w:rPr>
                <w:rFonts w:ascii="Times New Roman" w:eastAsia="Times New Roman" w:hAnsi="Times New Roman" w:cs="Times New Roman"/>
                <w:noProof/>
                <w:sz w:val="24"/>
                <w:szCs w:val="24"/>
                <w:vertAlign w:val="superscript"/>
              </w:rPr>
              <w:t>2</w:t>
            </w:r>
            <w:r w:rsidRPr="002750E1">
              <w:rPr>
                <w:rFonts w:ascii="Times New Roman" w:eastAsia="Times New Roman" w:hAnsi="Times New Roman" w:cs="Times New Roman"/>
                <w:sz w:val="24"/>
                <w:szCs w:val="24"/>
              </w:rPr>
              <w:t>, Moore et al.</w:t>
            </w:r>
            <w:r w:rsidR="00915E16" w:rsidRPr="003A1943">
              <w:rPr>
                <w:rFonts w:ascii="Times New Roman" w:eastAsia="Times New Roman" w:hAnsi="Times New Roman" w:cs="Times New Roman"/>
                <w:sz w:val="24"/>
                <w:szCs w:val="24"/>
                <w:vertAlign w:val="superscript"/>
              </w:rPr>
              <w:t>52</w:t>
            </w:r>
            <w:r w:rsidRPr="002750E1">
              <w:rPr>
                <w:rFonts w:ascii="Times New Roman" w:eastAsia="Times New Roman" w:hAnsi="Times New Roman" w:cs="Times New Roman"/>
                <w:sz w:val="24"/>
                <w:szCs w:val="24"/>
              </w:rPr>
              <w:t>, Oxman et al.</w:t>
            </w:r>
            <w:r w:rsidR="00B06AE2">
              <w:rPr>
                <w:rFonts w:ascii="Times New Roman" w:eastAsia="Times New Roman" w:hAnsi="Times New Roman" w:cs="Times New Roman"/>
                <w:noProof/>
                <w:sz w:val="24"/>
                <w:szCs w:val="24"/>
                <w:vertAlign w:val="superscript"/>
              </w:rPr>
              <w:t>53</w:t>
            </w:r>
            <w:r w:rsidRPr="003A1943">
              <w:rPr>
                <w:rFonts w:ascii="Times New Roman" w:eastAsia="Times New Roman" w:hAnsi="Times New Roman" w:cs="Times New Roman"/>
                <w:sz w:val="24"/>
                <w:szCs w:val="24"/>
                <w:vertAlign w:val="superscript"/>
              </w:rPr>
              <w:t>¶</w:t>
            </w:r>
          </w:p>
        </w:tc>
        <w:tc>
          <w:tcPr>
            <w:tcW w:w="1170" w:type="pct"/>
            <w:shd w:val="clear" w:color="auto" w:fill="FFFFFF"/>
          </w:tcPr>
          <w:p w14:paraId="528F4971" w14:textId="5109F012"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Eriksson et al.</w:t>
            </w:r>
            <w:r w:rsidR="00D046F8" w:rsidRPr="002750E1">
              <w:rPr>
                <w:rFonts w:ascii="Times New Roman" w:eastAsia="Times New Roman" w:hAnsi="Times New Roman" w:cs="Times New Roman"/>
                <w:noProof/>
                <w:sz w:val="24"/>
                <w:szCs w:val="24"/>
                <w:vertAlign w:val="superscript"/>
              </w:rPr>
              <w:t>2</w:t>
            </w:r>
            <w:r w:rsidR="00D046F8">
              <w:rPr>
                <w:rFonts w:ascii="Times New Roman" w:eastAsia="Times New Roman" w:hAnsi="Times New Roman" w:cs="Times New Roman"/>
                <w:noProof/>
                <w:sz w:val="24"/>
                <w:szCs w:val="24"/>
                <w:vertAlign w:val="superscript"/>
              </w:rPr>
              <w:t>2</w:t>
            </w:r>
            <w:r w:rsidRPr="002750E1">
              <w:rPr>
                <w:rFonts w:ascii="Times New Roman" w:eastAsia="Times New Roman" w:hAnsi="Times New Roman" w:cs="Times New Roman"/>
                <w:sz w:val="24"/>
                <w:szCs w:val="24"/>
              </w:rPr>
              <w:t>, Lieu et al.</w:t>
            </w:r>
            <w:r w:rsidR="00B06AE2">
              <w:rPr>
                <w:rFonts w:ascii="Times New Roman" w:eastAsia="Times New Roman" w:hAnsi="Times New Roman" w:cs="Times New Roman"/>
                <w:noProof/>
                <w:sz w:val="24"/>
                <w:szCs w:val="24"/>
                <w:vertAlign w:val="superscript"/>
              </w:rPr>
              <w:t>54</w:t>
            </w:r>
            <w:r w:rsidRPr="003A1943">
              <w:rPr>
                <w:rFonts w:ascii="Times New Roman" w:eastAsia="Times New Roman" w:hAnsi="Times New Roman" w:cs="Times New Roman"/>
                <w:sz w:val="24"/>
                <w:szCs w:val="24"/>
                <w:vertAlign w:val="superscript"/>
              </w:rPr>
              <w:t>¶</w:t>
            </w:r>
          </w:p>
        </w:tc>
      </w:tr>
      <w:tr w:rsidR="006A01C2" w:rsidRPr="002750E1" w14:paraId="17E05B81" w14:textId="77777777" w:rsidTr="003A1943">
        <w:trPr>
          <w:cantSplit/>
        </w:trPr>
        <w:tc>
          <w:tcPr>
            <w:tcW w:w="894" w:type="pct"/>
            <w:shd w:val="clear" w:color="auto" w:fill="FFFFFF"/>
          </w:tcPr>
          <w:p w14:paraId="72949B51"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Vaccinated</w:t>
            </w:r>
          </w:p>
        </w:tc>
        <w:tc>
          <w:tcPr>
            <w:tcW w:w="481" w:type="pct"/>
            <w:shd w:val="clear" w:color="auto" w:fill="FFFFFF"/>
          </w:tcPr>
          <w:p w14:paraId="4A176BCF"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0.1972</w:t>
            </w:r>
          </w:p>
        </w:tc>
        <w:tc>
          <w:tcPr>
            <w:tcW w:w="447" w:type="pct"/>
            <w:shd w:val="clear" w:color="auto" w:fill="FFFFFF"/>
          </w:tcPr>
          <w:p w14:paraId="7F8FC7ED"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0.1578</w:t>
            </w:r>
          </w:p>
        </w:tc>
        <w:tc>
          <w:tcPr>
            <w:tcW w:w="447" w:type="pct"/>
            <w:shd w:val="clear" w:color="auto" w:fill="FFFFFF"/>
          </w:tcPr>
          <w:p w14:paraId="49F5C63C"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0.1972</w:t>
            </w:r>
          </w:p>
        </w:tc>
        <w:tc>
          <w:tcPr>
            <w:tcW w:w="1561" w:type="pct"/>
            <w:gridSpan w:val="2"/>
            <w:shd w:val="clear" w:color="auto" w:fill="FFFFFF"/>
          </w:tcPr>
          <w:p w14:paraId="74C2BE71" w14:textId="054BCB4B" w:rsidR="002750E1" w:rsidRPr="002750E1"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Eriksson et al.</w:t>
            </w:r>
            <w:r w:rsidR="00D046F8" w:rsidRPr="002750E1">
              <w:rPr>
                <w:rFonts w:ascii="Times New Roman" w:eastAsia="Times New Roman" w:hAnsi="Times New Roman" w:cs="Times New Roman"/>
                <w:noProof/>
                <w:sz w:val="24"/>
                <w:szCs w:val="24"/>
                <w:vertAlign w:val="superscript"/>
              </w:rPr>
              <w:t>2</w:t>
            </w:r>
            <w:r w:rsidR="00D046F8">
              <w:rPr>
                <w:rFonts w:ascii="Times New Roman" w:eastAsia="Times New Roman" w:hAnsi="Times New Roman" w:cs="Times New Roman"/>
                <w:noProof/>
                <w:sz w:val="24"/>
                <w:szCs w:val="24"/>
                <w:vertAlign w:val="superscript"/>
              </w:rPr>
              <w:t>2</w:t>
            </w:r>
            <w:r w:rsidRPr="002750E1">
              <w:rPr>
                <w:rFonts w:ascii="Times New Roman" w:eastAsia="Times New Roman" w:hAnsi="Times New Roman" w:cs="Times New Roman"/>
                <w:sz w:val="24"/>
                <w:szCs w:val="24"/>
              </w:rPr>
              <w:t>**</w:t>
            </w:r>
          </w:p>
        </w:tc>
        <w:tc>
          <w:tcPr>
            <w:tcW w:w="1170" w:type="pct"/>
            <w:shd w:val="clear" w:color="auto" w:fill="FFFFFF"/>
          </w:tcPr>
          <w:p w14:paraId="6E10DC4D"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Assumed**</w:t>
            </w:r>
          </w:p>
        </w:tc>
      </w:tr>
      <w:tr w:rsidR="006A01C2" w:rsidRPr="002750E1" w14:paraId="7BE659D4" w14:textId="77777777" w:rsidTr="003A1943">
        <w:trPr>
          <w:cantSplit/>
        </w:trPr>
        <w:tc>
          <w:tcPr>
            <w:tcW w:w="894" w:type="pct"/>
            <w:shd w:val="clear" w:color="auto" w:fill="FFFFFF"/>
          </w:tcPr>
          <w:p w14:paraId="15231C23" w14:textId="77777777" w:rsidR="002750E1" w:rsidRPr="002750E1" w:rsidRDefault="002750E1" w:rsidP="002750E1">
            <w:pPr>
              <w:keepNext/>
              <w:spacing w:before="40" w:after="40" w:line="240" w:lineRule="atLeast"/>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Adverse events</w:t>
            </w:r>
          </w:p>
        </w:tc>
        <w:tc>
          <w:tcPr>
            <w:tcW w:w="481" w:type="pct"/>
            <w:shd w:val="clear" w:color="auto" w:fill="FFFFFF"/>
          </w:tcPr>
          <w:p w14:paraId="7EFB2DFF" w14:textId="77777777" w:rsidR="002750E1" w:rsidRPr="002750E1" w:rsidRDefault="002750E1" w:rsidP="002750E1">
            <w:pPr>
              <w:keepNext/>
              <w:spacing w:before="40" w:after="40" w:line="240" w:lineRule="atLeast"/>
              <w:jc w:val="center"/>
              <w:rPr>
                <w:rFonts w:ascii="Times New Roman" w:eastAsia="Times New Roman" w:hAnsi="Times New Roman" w:cs="Times New Roman"/>
                <w:b/>
                <w:sz w:val="24"/>
                <w:szCs w:val="24"/>
              </w:rPr>
            </w:pPr>
          </w:p>
        </w:tc>
        <w:tc>
          <w:tcPr>
            <w:tcW w:w="447" w:type="pct"/>
            <w:shd w:val="clear" w:color="auto" w:fill="FFFFFF"/>
          </w:tcPr>
          <w:p w14:paraId="05209430" w14:textId="77777777" w:rsidR="002750E1" w:rsidRPr="002750E1" w:rsidRDefault="002750E1" w:rsidP="002750E1">
            <w:pPr>
              <w:keepNext/>
              <w:spacing w:before="40" w:after="40" w:line="240" w:lineRule="atLeast"/>
              <w:jc w:val="center"/>
              <w:rPr>
                <w:rFonts w:ascii="Times New Roman" w:eastAsia="Times New Roman" w:hAnsi="Times New Roman" w:cs="Times New Roman"/>
                <w:b/>
                <w:sz w:val="24"/>
                <w:szCs w:val="24"/>
              </w:rPr>
            </w:pPr>
          </w:p>
        </w:tc>
        <w:tc>
          <w:tcPr>
            <w:tcW w:w="447" w:type="pct"/>
            <w:shd w:val="clear" w:color="auto" w:fill="FFFFFF"/>
          </w:tcPr>
          <w:p w14:paraId="4DE1B55A" w14:textId="77777777" w:rsidR="002750E1" w:rsidRPr="002750E1" w:rsidRDefault="002750E1" w:rsidP="002750E1">
            <w:pPr>
              <w:keepNext/>
              <w:spacing w:before="40" w:after="40" w:line="240" w:lineRule="atLeast"/>
              <w:jc w:val="center"/>
              <w:rPr>
                <w:rFonts w:ascii="Times New Roman" w:eastAsia="Times New Roman" w:hAnsi="Times New Roman" w:cs="Times New Roman"/>
                <w:b/>
                <w:sz w:val="24"/>
                <w:szCs w:val="24"/>
              </w:rPr>
            </w:pPr>
          </w:p>
        </w:tc>
        <w:tc>
          <w:tcPr>
            <w:tcW w:w="1561" w:type="pct"/>
            <w:gridSpan w:val="2"/>
            <w:shd w:val="clear" w:color="auto" w:fill="FFFFFF"/>
          </w:tcPr>
          <w:p w14:paraId="66F71536" w14:textId="77777777" w:rsidR="002750E1" w:rsidRPr="002750E1" w:rsidRDefault="002750E1" w:rsidP="002750E1">
            <w:pPr>
              <w:keepNext/>
              <w:spacing w:before="40" w:after="40" w:line="240" w:lineRule="atLeast"/>
              <w:jc w:val="center"/>
              <w:rPr>
                <w:rFonts w:ascii="Times New Roman" w:eastAsia="Times New Roman" w:hAnsi="Times New Roman" w:cs="Times New Roman"/>
                <w:b/>
                <w:sz w:val="24"/>
                <w:szCs w:val="24"/>
              </w:rPr>
            </w:pPr>
          </w:p>
        </w:tc>
        <w:tc>
          <w:tcPr>
            <w:tcW w:w="1170" w:type="pct"/>
            <w:shd w:val="clear" w:color="auto" w:fill="FFFFFF"/>
          </w:tcPr>
          <w:p w14:paraId="2FF59874" w14:textId="77777777" w:rsidR="002750E1" w:rsidRPr="002750E1" w:rsidRDefault="002750E1" w:rsidP="002750E1">
            <w:pPr>
              <w:keepNext/>
              <w:spacing w:before="40" w:after="40" w:line="240" w:lineRule="atLeast"/>
              <w:jc w:val="center"/>
              <w:rPr>
                <w:rFonts w:ascii="Times New Roman" w:eastAsia="Times New Roman" w:hAnsi="Times New Roman" w:cs="Times New Roman"/>
                <w:b/>
                <w:sz w:val="24"/>
                <w:szCs w:val="24"/>
              </w:rPr>
            </w:pPr>
          </w:p>
        </w:tc>
      </w:tr>
      <w:tr w:rsidR="006A01C2" w:rsidRPr="002750E1" w14:paraId="4629AABD" w14:textId="77777777" w:rsidTr="003A1943">
        <w:trPr>
          <w:cantSplit/>
        </w:trPr>
        <w:tc>
          <w:tcPr>
            <w:tcW w:w="894" w:type="pct"/>
            <w:shd w:val="clear" w:color="auto" w:fill="FFFFFF"/>
          </w:tcPr>
          <w:p w14:paraId="4F1102FD"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QALY loss from AE</w:t>
            </w:r>
          </w:p>
        </w:tc>
        <w:tc>
          <w:tcPr>
            <w:tcW w:w="481" w:type="pct"/>
            <w:shd w:val="clear" w:color="auto" w:fill="FFFFFF"/>
          </w:tcPr>
          <w:p w14:paraId="5AAC902E"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447" w:type="pct"/>
            <w:shd w:val="clear" w:color="auto" w:fill="FFFFFF"/>
          </w:tcPr>
          <w:p w14:paraId="2924209C"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447" w:type="pct"/>
            <w:shd w:val="clear" w:color="auto" w:fill="FFFFFF"/>
          </w:tcPr>
          <w:p w14:paraId="6A03C9BA"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1561" w:type="pct"/>
            <w:gridSpan w:val="2"/>
            <w:shd w:val="clear" w:color="auto" w:fill="FFFFFF"/>
          </w:tcPr>
          <w:p w14:paraId="2E5EC23B"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1170" w:type="pct"/>
            <w:shd w:val="clear" w:color="auto" w:fill="FFFFFF"/>
          </w:tcPr>
          <w:p w14:paraId="044E2D3A"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r>
      <w:tr w:rsidR="006A01C2" w:rsidRPr="002750E1" w14:paraId="167C6232" w14:textId="77777777" w:rsidTr="003A1943">
        <w:trPr>
          <w:cantSplit/>
        </w:trPr>
        <w:tc>
          <w:tcPr>
            <w:tcW w:w="894" w:type="pct"/>
            <w:shd w:val="clear" w:color="auto" w:fill="FFFFFF"/>
          </w:tcPr>
          <w:p w14:paraId="4787F5FE"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Local/general</w:t>
            </w:r>
          </w:p>
        </w:tc>
        <w:tc>
          <w:tcPr>
            <w:tcW w:w="481" w:type="pct"/>
            <w:shd w:val="clear" w:color="auto" w:fill="FFFFFF"/>
          </w:tcPr>
          <w:p w14:paraId="45F4E93D"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0.00010</w:t>
            </w:r>
          </w:p>
        </w:tc>
        <w:tc>
          <w:tcPr>
            <w:tcW w:w="447" w:type="pct"/>
            <w:shd w:val="clear" w:color="auto" w:fill="FFFFFF"/>
          </w:tcPr>
          <w:p w14:paraId="5FA4AC70"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447" w:type="pct"/>
            <w:shd w:val="clear" w:color="auto" w:fill="FFFFFF"/>
          </w:tcPr>
          <w:p w14:paraId="4B783860"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p>
        </w:tc>
        <w:tc>
          <w:tcPr>
            <w:tcW w:w="1561" w:type="pct"/>
            <w:gridSpan w:val="2"/>
            <w:vMerge w:val="restart"/>
            <w:shd w:val="clear" w:color="auto" w:fill="FFFFFF"/>
          </w:tcPr>
          <w:p w14:paraId="5E17A619" w14:textId="0EB128DF"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noProof/>
                <w:sz w:val="24"/>
                <w:szCs w:val="24"/>
              </w:rPr>
              <w:t>Le and Rothberg</w:t>
            </w:r>
            <w:r w:rsidRPr="002750E1">
              <w:rPr>
                <w:rFonts w:ascii="Times New Roman" w:eastAsia="Times New Roman" w:hAnsi="Times New Roman" w:cs="Times New Roman"/>
                <w:noProof/>
                <w:sz w:val="24"/>
                <w:szCs w:val="24"/>
                <w:vertAlign w:val="superscript"/>
              </w:rPr>
              <w:t>3</w:t>
            </w:r>
            <w:r w:rsidR="00F128FF">
              <w:rPr>
                <w:rFonts w:ascii="Times New Roman" w:eastAsia="Times New Roman" w:hAnsi="Times New Roman" w:cs="Times New Roman"/>
                <w:noProof/>
                <w:sz w:val="24"/>
                <w:szCs w:val="24"/>
                <w:vertAlign w:val="superscript"/>
              </w:rPr>
              <w:t>7</w:t>
            </w:r>
            <w:r w:rsidRPr="003A1943">
              <w:rPr>
                <w:rFonts w:ascii="Times New Roman" w:eastAsia="Times New Roman" w:hAnsi="Times New Roman" w:cs="Times New Roman"/>
                <w:sz w:val="24"/>
                <w:szCs w:val="24"/>
                <w:vertAlign w:val="superscript"/>
              </w:rPr>
              <w:t>††</w:t>
            </w:r>
          </w:p>
        </w:tc>
        <w:tc>
          <w:tcPr>
            <w:tcW w:w="1170" w:type="pct"/>
            <w:vMerge w:val="restart"/>
            <w:shd w:val="clear" w:color="auto" w:fill="FFFFFF"/>
          </w:tcPr>
          <w:p w14:paraId="4C4BE426"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vertAlign w:val="superscript"/>
              </w:rPr>
            </w:pPr>
            <w:r w:rsidRPr="002750E1">
              <w:rPr>
                <w:rFonts w:ascii="Times New Roman" w:eastAsia="Times New Roman" w:hAnsi="Times New Roman" w:cs="Times New Roman"/>
                <w:sz w:val="24"/>
                <w:szCs w:val="24"/>
              </w:rPr>
              <w:t>N/A</w:t>
            </w:r>
            <w:r w:rsidRPr="003A1943">
              <w:rPr>
                <w:rFonts w:ascii="Times New Roman" w:eastAsia="Times New Roman" w:hAnsi="Times New Roman" w:cs="Times New Roman"/>
                <w:sz w:val="24"/>
                <w:szCs w:val="24"/>
                <w:vertAlign w:val="superscript"/>
              </w:rPr>
              <w:t>‡‡</w:t>
            </w:r>
          </w:p>
        </w:tc>
      </w:tr>
      <w:tr w:rsidR="006A01C2" w:rsidRPr="002750E1" w14:paraId="39835238" w14:textId="77777777" w:rsidTr="003A1943">
        <w:trPr>
          <w:cantSplit/>
        </w:trPr>
        <w:tc>
          <w:tcPr>
            <w:tcW w:w="894" w:type="pct"/>
            <w:shd w:val="clear" w:color="auto" w:fill="FFFFFF"/>
          </w:tcPr>
          <w:p w14:paraId="3CCFCA37"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lastRenderedPageBreak/>
              <w:t>AE requiring PCP visit</w:t>
            </w:r>
          </w:p>
        </w:tc>
        <w:tc>
          <w:tcPr>
            <w:tcW w:w="481" w:type="pct"/>
            <w:shd w:val="clear" w:color="auto" w:fill="FFFFFF"/>
          </w:tcPr>
          <w:p w14:paraId="0A8D86B6"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0.00010</w:t>
            </w:r>
          </w:p>
        </w:tc>
        <w:tc>
          <w:tcPr>
            <w:tcW w:w="447" w:type="pct"/>
            <w:shd w:val="clear" w:color="auto" w:fill="FFFFFF"/>
          </w:tcPr>
          <w:p w14:paraId="7275A8B7"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447" w:type="pct"/>
            <w:shd w:val="clear" w:color="auto" w:fill="FFFFFF"/>
          </w:tcPr>
          <w:p w14:paraId="26D661F4"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1561" w:type="pct"/>
            <w:gridSpan w:val="2"/>
            <w:vMerge/>
            <w:shd w:val="clear" w:color="auto" w:fill="FFFFFF"/>
          </w:tcPr>
          <w:p w14:paraId="09788FA8"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1170" w:type="pct"/>
            <w:vMerge/>
            <w:shd w:val="clear" w:color="auto" w:fill="FFFFFF"/>
          </w:tcPr>
          <w:p w14:paraId="712BD47A"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6A01C2" w:rsidRPr="002750E1" w14:paraId="20509373" w14:textId="77777777" w:rsidTr="003A1943">
        <w:trPr>
          <w:cantSplit/>
        </w:trPr>
        <w:tc>
          <w:tcPr>
            <w:tcW w:w="894" w:type="pct"/>
            <w:shd w:val="clear" w:color="auto" w:fill="FFFFFF"/>
          </w:tcPr>
          <w:p w14:paraId="7DF5F898"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AE requiring ER visit</w:t>
            </w:r>
          </w:p>
        </w:tc>
        <w:tc>
          <w:tcPr>
            <w:tcW w:w="481" w:type="pct"/>
            <w:shd w:val="clear" w:color="auto" w:fill="FFFFFF"/>
          </w:tcPr>
          <w:p w14:paraId="604EDFA5"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0.00010</w:t>
            </w:r>
          </w:p>
        </w:tc>
        <w:tc>
          <w:tcPr>
            <w:tcW w:w="447" w:type="pct"/>
            <w:shd w:val="clear" w:color="auto" w:fill="FFFFFF"/>
          </w:tcPr>
          <w:p w14:paraId="4CE6A3AB"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447" w:type="pct"/>
            <w:shd w:val="clear" w:color="auto" w:fill="FFFFFF"/>
          </w:tcPr>
          <w:p w14:paraId="4721B215"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1561" w:type="pct"/>
            <w:gridSpan w:val="2"/>
            <w:vMerge/>
            <w:shd w:val="clear" w:color="auto" w:fill="FFFFFF"/>
          </w:tcPr>
          <w:p w14:paraId="72B9BD19"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1170" w:type="pct"/>
            <w:vMerge/>
            <w:shd w:val="clear" w:color="auto" w:fill="FFFFFF"/>
          </w:tcPr>
          <w:p w14:paraId="5A985062"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6A01C2" w:rsidRPr="002750E1" w14:paraId="3C8098D4" w14:textId="77777777" w:rsidTr="003A1943">
        <w:trPr>
          <w:cantSplit/>
        </w:trPr>
        <w:tc>
          <w:tcPr>
            <w:tcW w:w="894" w:type="pct"/>
            <w:shd w:val="clear" w:color="auto" w:fill="FFFFFF"/>
          </w:tcPr>
          <w:p w14:paraId="4E356011"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AE requiring hospitalization</w:t>
            </w:r>
          </w:p>
        </w:tc>
        <w:tc>
          <w:tcPr>
            <w:tcW w:w="481" w:type="pct"/>
            <w:shd w:val="clear" w:color="auto" w:fill="FFFFFF"/>
          </w:tcPr>
          <w:p w14:paraId="70B35C57" w14:textId="77777777" w:rsidR="002750E1" w:rsidRPr="002750E1" w:rsidRDefault="002750E1" w:rsidP="003A1943">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0.00820</w:t>
            </w:r>
          </w:p>
        </w:tc>
        <w:tc>
          <w:tcPr>
            <w:tcW w:w="447" w:type="pct"/>
            <w:shd w:val="clear" w:color="auto" w:fill="FFFFFF"/>
          </w:tcPr>
          <w:p w14:paraId="2BEA7296" w14:textId="77777777" w:rsidR="002750E1" w:rsidRPr="002750E1" w:rsidRDefault="002750E1" w:rsidP="003A1943">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447" w:type="pct"/>
            <w:shd w:val="clear" w:color="auto" w:fill="FFFFFF"/>
          </w:tcPr>
          <w:p w14:paraId="5C3ABD6E" w14:textId="77777777" w:rsidR="002750E1" w:rsidRPr="002750E1" w:rsidRDefault="002750E1" w:rsidP="003A1943">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t>
            </w:r>
            <w:r w:rsidRPr="003A1943">
              <w:rPr>
                <w:rFonts w:ascii="Times New Roman" w:eastAsia="Times New Roman" w:hAnsi="Times New Roman" w:cs="Times New Roman"/>
                <w:sz w:val="24"/>
                <w:szCs w:val="24"/>
                <w:vertAlign w:val="superscript"/>
              </w:rPr>
              <w:t>‡‡</w:t>
            </w:r>
          </w:p>
        </w:tc>
        <w:tc>
          <w:tcPr>
            <w:tcW w:w="1561" w:type="pct"/>
            <w:gridSpan w:val="2"/>
            <w:vMerge/>
            <w:shd w:val="clear" w:color="auto" w:fill="FFFFFF"/>
          </w:tcPr>
          <w:p w14:paraId="5482161A"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1170" w:type="pct"/>
            <w:vMerge/>
            <w:shd w:val="clear" w:color="auto" w:fill="FFFFFF"/>
          </w:tcPr>
          <w:p w14:paraId="1D96C7ED"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2750E1" w:rsidRPr="002750E1" w14:paraId="65C22ED4" w14:textId="77777777" w:rsidTr="003A1943">
        <w:trPr>
          <w:cantSplit/>
        </w:trPr>
        <w:tc>
          <w:tcPr>
            <w:tcW w:w="894" w:type="pct"/>
            <w:shd w:val="clear" w:color="auto" w:fill="FFFFFF"/>
          </w:tcPr>
          <w:p w14:paraId="2C73CCAA"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Weighted QALY loss per RZV dose</w:t>
            </w:r>
          </w:p>
        </w:tc>
        <w:tc>
          <w:tcPr>
            <w:tcW w:w="481" w:type="pct"/>
            <w:shd w:val="clear" w:color="auto" w:fill="FFFFFF"/>
          </w:tcPr>
          <w:p w14:paraId="717F72D1"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447" w:type="pct"/>
            <w:shd w:val="clear" w:color="auto" w:fill="FFFFFF"/>
          </w:tcPr>
          <w:p w14:paraId="4164ACB1"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516" w:type="pct"/>
            <w:gridSpan w:val="2"/>
            <w:shd w:val="clear" w:color="auto" w:fill="FFFFFF"/>
          </w:tcPr>
          <w:p w14:paraId="4E41EA60"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1492" w:type="pct"/>
            <w:shd w:val="clear" w:color="auto" w:fill="FFFFFF"/>
          </w:tcPr>
          <w:p w14:paraId="51C94A2D"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1170" w:type="pct"/>
            <w:shd w:val="clear" w:color="auto" w:fill="FFFFFF"/>
          </w:tcPr>
          <w:p w14:paraId="322F905E"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r w:rsidR="006A01C2" w:rsidRPr="002750E1" w14:paraId="0318D0C6" w14:textId="77777777" w:rsidTr="003A1943">
        <w:trPr>
          <w:cantSplit/>
        </w:trPr>
        <w:tc>
          <w:tcPr>
            <w:tcW w:w="894" w:type="pct"/>
            <w:shd w:val="clear" w:color="auto" w:fill="FFFFFF"/>
          </w:tcPr>
          <w:p w14:paraId="658B5C32" w14:textId="127A624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Ages 18</w:t>
            </w:r>
            <w:r w:rsidR="003758FD">
              <w:rPr>
                <w:rFonts w:ascii="Times New Roman" w:eastAsia="Times New Roman" w:hAnsi="Times New Roman" w:cs="Times New Roman"/>
                <w:sz w:val="24"/>
                <w:szCs w:val="24"/>
              </w:rPr>
              <w:t>–</w:t>
            </w:r>
            <w:r w:rsidRPr="002750E1">
              <w:rPr>
                <w:rFonts w:ascii="Times New Roman" w:eastAsia="Times New Roman" w:hAnsi="Times New Roman" w:cs="Times New Roman"/>
                <w:sz w:val="24"/>
                <w:szCs w:val="24"/>
              </w:rPr>
              <w:t>49</w:t>
            </w:r>
          </w:p>
        </w:tc>
        <w:tc>
          <w:tcPr>
            <w:tcW w:w="481" w:type="pct"/>
            <w:shd w:val="clear" w:color="auto" w:fill="FFFFFF"/>
          </w:tcPr>
          <w:p w14:paraId="2E5CDA8F"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0.000124</w:t>
            </w:r>
          </w:p>
        </w:tc>
        <w:tc>
          <w:tcPr>
            <w:tcW w:w="447" w:type="pct"/>
            <w:shd w:val="clear" w:color="auto" w:fill="FFFFFF"/>
          </w:tcPr>
          <w:p w14:paraId="3B39651C"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0.000062</w:t>
            </w:r>
          </w:p>
        </w:tc>
        <w:tc>
          <w:tcPr>
            <w:tcW w:w="447" w:type="pct"/>
            <w:shd w:val="clear" w:color="auto" w:fill="FFFFFF"/>
          </w:tcPr>
          <w:p w14:paraId="23E8AFC0"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0.000248</w:t>
            </w:r>
          </w:p>
        </w:tc>
        <w:tc>
          <w:tcPr>
            <w:tcW w:w="1561" w:type="pct"/>
            <w:gridSpan w:val="2"/>
            <w:tcBorders>
              <w:bottom w:val="single" w:sz="4" w:space="0" w:color="FFFFFF" w:themeColor="background1"/>
            </w:tcBorders>
            <w:shd w:val="clear" w:color="auto" w:fill="FFFFFF"/>
          </w:tcPr>
          <w:p w14:paraId="30AB24A7" w14:textId="77777777" w:rsidR="002750E1" w:rsidRPr="002750E1" w:rsidRDefault="002750E1" w:rsidP="003A1943">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Calculation</w:t>
            </w:r>
            <w:r w:rsidRPr="003A1943">
              <w:rPr>
                <w:rFonts w:ascii="Times New Roman" w:eastAsia="Times New Roman" w:hAnsi="Times New Roman" w:cs="Times New Roman"/>
                <w:sz w:val="24"/>
                <w:szCs w:val="24"/>
                <w:vertAlign w:val="superscript"/>
              </w:rPr>
              <w:t>§§</w:t>
            </w:r>
          </w:p>
        </w:tc>
        <w:tc>
          <w:tcPr>
            <w:tcW w:w="1170" w:type="pct"/>
            <w:tcBorders>
              <w:bottom w:val="single" w:sz="4" w:space="0" w:color="FFFFFF" w:themeColor="background1"/>
            </w:tcBorders>
            <w:shd w:val="clear" w:color="auto" w:fill="FFFFFF"/>
          </w:tcPr>
          <w:p w14:paraId="30A9F495" w14:textId="77777777" w:rsidR="002750E1" w:rsidRPr="002750E1" w:rsidRDefault="002750E1" w:rsidP="003A1943">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Calculation</w:t>
            </w:r>
            <w:r w:rsidRPr="003A1943">
              <w:rPr>
                <w:rFonts w:ascii="Times New Roman" w:eastAsia="Times New Roman" w:hAnsi="Times New Roman" w:cs="Times New Roman"/>
                <w:sz w:val="24"/>
                <w:szCs w:val="24"/>
                <w:vertAlign w:val="superscript"/>
              </w:rPr>
              <w:t>§§</w:t>
            </w:r>
          </w:p>
        </w:tc>
      </w:tr>
      <w:tr w:rsidR="006A01C2" w:rsidRPr="002750E1" w14:paraId="39AC6643" w14:textId="77777777" w:rsidTr="003A1943">
        <w:trPr>
          <w:cantSplit/>
        </w:trPr>
        <w:tc>
          <w:tcPr>
            <w:tcW w:w="894" w:type="pct"/>
            <w:shd w:val="clear" w:color="auto" w:fill="FFFFFF"/>
          </w:tcPr>
          <w:p w14:paraId="6A0DEAD5" w14:textId="77777777" w:rsidR="002750E1" w:rsidRPr="002750E1" w:rsidRDefault="002750E1" w:rsidP="002750E1">
            <w:pPr>
              <w:spacing w:before="40" w:after="40" w:line="240" w:lineRule="atLeast"/>
              <w:ind w:left="187"/>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Ages 50+</w:t>
            </w:r>
          </w:p>
        </w:tc>
        <w:tc>
          <w:tcPr>
            <w:tcW w:w="481" w:type="pct"/>
            <w:shd w:val="clear" w:color="auto" w:fill="FFFFFF"/>
          </w:tcPr>
          <w:p w14:paraId="32F6E258"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0.000102</w:t>
            </w:r>
          </w:p>
        </w:tc>
        <w:tc>
          <w:tcPr>
            <w:tcW w:w="447" w:type="pct"/>
            <w:shd w:val="clear" w:color="auto" w:fill="FFFFFF"/>
          </w:tcPr>
          <w:p w14:paraId="44562934"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0.000051</w:t>
            </w:r>
          </w:p>
        </w:tc>
        <w:tc>
          <w:tcPr>
            <w:tcW w:w="447" w:type="pct"/>
            <w:shd w:val="clear" w:color="auto" w:fill="FFFFFF"/>
          </w:tcPr>
          <w:p w14:paraId="3877848F"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0.000205</w:t>
            </w:r>
          </w:p>
        </w:tc>
        <w:tc>
          <w:tcPr>
            <w:tcW w:w="1561" w:type="pct"/>
            <w:gridSpan w:val="2"/>
            <w:tcBorders>
              <w:top w:val="single" w:sz="4" w:space="0" w:color="FFFFFF" w:themeColor="background1"/>
            </w:tcBorders>
            <w:shd w:val="clear" w:color="auto" w:fill="FFFFFF"/>
          </w:tcPr>
          <w:p w14:paraId="5C254587"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c>
          <w:tcPr>
            <w:tcW w:w="1170" w:type="pct"/>
            <w:tcBorders>
              <w:top w:val="single" w:sz="4" w:space="0" w:color="FFFFFF" w:themeColor="background1"/>
            </w:tcBorders>
            <w:shd w:val="clear" w:color="auto" w:fill="FFFFFF"/>
          </w:tcPr>
          <w:p w14:paraId="1CE9353F"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p>
        </w:tc>
      </w:tr>
    </w:tbl>
    <w:p w14:paraId="25DBF0E8" w14:textId="679B8B51"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 xml:space="preserve">AE = adverse event; ER = emergency </w:t>
      </w:r>
      <w:r w:rsidR="00C700CC">
        <w:rPr>
          <w:rFonts w:ascii="Times New Roman" w:eastAsia="Times New Roman" w:hAnsi="Times New Roman" w:cs="Times New Roman"/>
          <w:sz w:val="18"/>
          <w:szCs w:val="18"/>
        </w:rPr>
        <w:t>room</w:t>
      </w:r>
      <w:r w:rsidRPr="002750E1">
        <w:rPr>
          <w:rFonts w:ascii="Times New Roman" w:eastAsia="Times New Roman" w:hAnsi="Times New Roman" w:cs="Times New Roman"/>
          <w:sz w:val="18"/>
          <w:szCs w:val="18"/>
        </w:rPr>
        <w:t>; HSCT = hematopoietic stem</w:t>
      </w:r>
      <w:r w:rsidR="003758FD">
        <w:rPr>
          <w:rFonts w:ascii="Times New Roman" w:eastAsia="Times New Roman" w:hAnsi="Times New Roman" w:cs="Times New Roman"/>
          <w:sz w:val="18"/>
          <w:szCs w:val="18"/>
        </w:rPr>
        <w:t xml:space="preserve"> </w:t>
      </w:r>
      <w:r w:rsidRPr="002750E1">
        <w:rPr>
          <w:rFonts w:ascii="Times New Roman" w:eastAsia="Times New Roman" w:hAnsi="Times New Roman" w:cs="Times New Roman"/>
          <w:sz w:val="18"/>
          <w:szCs w:val="18"/>
        </w:rPr>
        <w:t>cell transplant; HZ = herpes zoster; IC = immunocompromised; N/A = not applicable; PCP = primary care provider; PHN = postherpetic neuralgia; QALY = quality</w:t>
      </w:r>
      <w:r w:rsidRPr="002750E1">
        <w:rPr>
          <w:rFonts w:ascii="Times New Roman" w:eastAsia="Times New Roman" w:hAnsi="Times New Roman" w:cs="Times New Roman"/>
          <w:sz w:val="18"/>
          <w:szCs w:val="18"/>
        </w:rPr>
        <w:noBreakHyphen/>
        <w:t>adjusted life-year; RZV = recombinant zoster vaccine.</w:t>
      </w:r>
    </w:p>
    <w:p w14:paraId="01B5C296"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Note: -- = not varied in sensitivity or scenario analyses.</w:t>
      </w:r>
    </w:p>
    <w:p w14:paraId="34F6A0DA"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 The beta distribution has been assumed for all utility inputs included in the probabilistic sensitivity analysis. The standard errors applied in the beta distribution parameters are consistent with the reported uncertainty ranges representing 95% confidence intervals.</w:t>
      </w:r>
    </w:p>
    <w:p w14:paraId="7485930D"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Applies to individuals with IC status only. </w:t>
      </w:r>
    </w:p>
    <w:p w14:paraId="436751FC" w14:textId="553C9956"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Curran et al.</w:t>
      </w:r>
      <w:r w:rsidR="004D5965">
        <w:rPr>
          <w:rFonts w:ascii="Times New Roman" w:eastAsia="Times New Roman" w:hAnsi="Times New Roman" w:cs="Times New Roman"/>
          <w:noProof/>
          <w:sz w:val="18"/>
          <w:szCs w:val="18"/>
          <w:vertAlign w:val="superscript"/>
        </w:rPr>
        <w:t>21</w:t>
      </w:r>
      <w:r w:rsidRPr="002750E1">
        <w:rPr>
          <w:rFonts w:ascii="Times New Roman" w:eastAsia="Times New Roman" w:hAnsi="Times New Roman" w:cs="Times New Roman"/>
          <w:sz w:val="18"/>
          <w:szCs w:val="18"/>
        </w:rPr>
        <w:t xml:space="preserve"> reported pre-HZ EQ-5D utilities for an HSCT population. We have assumed ±20% relative change from base-case values for sensitivity analysis bounds.</w:t>
      </w:r>
    </w:p>
    <w:p w14:paraId="6DC0F88D" w14:textId="22FB8963"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Eriksson et al.</w:t>
      </w:r>
      <w:r w:rsidR="00D046F8"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r w:rsidR="00D046F8" w:rsidRPr="002750E1">
        <w:rPr>
          <w:rFonts w:ascii="Times New Roman" w:eastAsia="Times New Roman" w:hAnsi="Times New Roman" w:cs="Times New Roman"/>
          <w:sz w:val="18"/>
          <w:szCs w:val="18"/>
        </w:rPr>
        <w:t xml:space="preserve"> </w:t>
      </w:r>
      <w:r w:rsidRPr="002750E1">
        <w:rPr>
          <w:rFonts w:ascii="Times New Roman" w:eastAsia="Times New Roman" w:hAnsi="Times New Roman" w:cs="Times New Roman"/>
          <w:sz w:val="18"/>
          <w:szCs w:val="18"/>
        </w:rPr>
        <w:t>estimated mean utility loss for HZ cases among HSCT patients without PHN based on assumed maximum time to HZ relief of 45 days. Loss of QALY was calculated by applying that mean utility loss (0.117) over 45 days and dividing by number of days in year (365). Derived lower bounds and upper bounds for QALY losses and from the 95% confidence intervals for mean utility loss were reported in Eriksson et al.</w:t>
      </w:r>
      <w:r w:rsidR="00D046F8"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r w:rsidR="00D046F8" w:rsidRPr="002750E1">
        <w:rPr>
          <w:rFonts w:ascii="Times New Roman" w:eastAsia="Times New Roman" w:hAnsi="Times New Roman" w:cs="Times New Roman"/>
          <w:sz w:val="18"/>
          <w:szCs w:val="18"/>
        </w:rPr>
        <w:t xml:space="preserve"> </w:t>
      </w:r>
      <w:r w:rsidRPr="002750E1">
        <w:rPr>
          <w:rFonts w:ascii="Times New Roman" w:eastAsia="Times New Roman" w:hAnsi="Times New Roman" w:cs="Times New Roman"/>
          <w:sz w:val="18"/>
          <w:szCs w:val="18"/>
        </w:rPr>
        <w:t>Utility losses were converted to QALY losses using the approach described for the base-case values.</w:t>
      </w:r>
    </w:p>
    <w:p w14:paraId="1F0C286B" w14:textId="45CB9405"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lastRenderedPageBreak/>
        <w:t>||</w:t>
      </w:r>
      <w:r w:rsidRPr="002750E1">
        <w:rPr>
          <w:rFonts w:ascii="Times New Roman" w:eastAsia="Times New Roman" w:hAnsi="Times New Roman" w:cs="Times New Roman"/>
          <w:sz w:val="18"/>
          <w:szCs w:val="18"/>
        </w:rPr>
        <w:t xml:space="preserve"> The QALY loss per acute unvaccinated HZ case among HSCT individuals derived from Eriksson et al.</w:t>
      </w:r>
      <w:r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r w:rsidRPr="002750E1">
        <w:rPr>
          <w:rFonts w:ascii="Times New Roman" w:eastAsia="Times New Roman" w:hAnsi="Times New Roman" w:cs="Times New Roman"/>
          <w:sz w:val="18"/>
          <w:szCs w:val="18"/>
        </w:rPr>
        <w:t xml:space="preserve"> was adjusted by the reduction in QALY loss for HZ cases in individuals vaccinated with RZV versus unvaccinated HZ cases observed in an HSCT population in Curran et al.</w:t>
      </w:r>
      <w:r w:rsidR="004D5965">
        <w:rPr>
          <w:rFonts w:ascii="Times New Roman" w:eastAsia="Times New Roman" w:hAnsi="Times New Roman" w:cs="Times New Roman"/>
          <w:noProof/>
          <w:sz w:val="18"/>
          <w:szCs w:val="18"/>
          <w:vertAlign w:val="superscript"/>
        </w:rPr>
        <w:t>21</w:t>
      </w:r>
      <w:r w:rsidRPr="002750E1">
        <w:rPr>
          <w:rFonts w:ascii="Times New Roman" w:eastAsia="Times New Roman" w:hAnsi="Times New Roman" w:cs="Times New Roman"/>
          <w:sz w:val="18"/>
          <w:szCs w:val="18"/>
        </w:rPr>
        <w:t xml:space="preserve"> and Bastidas et al.</w:t>
      </w:r>
      <w:r w:rsidRPr="002750E1">
        <w:rPr>
          <w:rFonts w:ascii="Times New Roman" w:eastAsia="Times New Roman" w:hAnsi="Times New Roman" w:cs="Times New Roman"/>
          <w:noProof/>
          <w:sz w:val="18"/>
          <w:szCs w:val="18"/>
          <w:vertAlign w:val="superscript"/>
        </w:rPr>
        <w:t>1</w:t>
      </w:r>
      <w:r w:rsidR="00AE259C">
        <w:rPr>
          <w:rFonts w:ascii="Times New Roman" w:eastAsia="Times New Roman" w:hAnsi="Times New Roman" w:cs="Times New Roman"/>
          <w:noProof/>
          <w:sz w:val="18"/>
          <w:szCs w:val="18"/>
          <w:vertAlign w:val="superscript"/>
        </w:rPr>
        <w:t>9</w:t>
      </w:r>
      <w:r w:rsidRPr="002750E1">
        <w:rPr>
          <w:rFonts w:ascii="Times New Roman" w:eastAsia="Times New Roman" w:hAnsi="Times New Roman" w:cs="Times New Roman"/>
          <w:sz w:val="18"/>
          <w:szCs w:val="18"/>
        </w:rPr>
        <w:t>. EQ-5D utility scores were reported pre-HZ and for HZ cases among RZV recipients and unvaccinated individuals from rash onset through 10 weeks after diagnosis. Average EQ-5D was calculated based on an average of the utility for the given week and the utility from the previous week (e.g., average EQ-5D for week 2 was calculated based on an average of the week 2 and week 1 utility values). Utility loss was calculated by comparing the average utility for the given week to the pre-HZ utility value. QALY losses were calculated for RZV (0.005) and placebo (0.0155), based on the utility losses estimated in each week. QALY losses were 68% lower for HZ cases among RZV recipients than for HZ cases in unvaccinated individuals. For the lower bound, we assumed that the 68% reduction in QALY loss from Curran et al.</w:t>
      </w:r>
      <w:r w:rsidR="004D5965">
        <w:rPr>
          <w:rFonts w:ascii="Times New Roman" w:eastAsia="Times New Roman" w:hAnsi="Times New Roman" w:cs="Times New Roman"/>
          <w:noProof/>
          <w:sz w:val="18"/>
          <w:szCs w:val="18"/>
          <w:vertAlign w:val="superscript"/>
        </w:rPr>
        <w:t>21</w:t>
      </w:r>
      <w:r w:rsidRPr="002750E1">
        <w:rPr>
          <w:rFonts w:ascii="Times New Roman" w:eastAsia="Times New Roman" w:hAnsi="Times New Roman" w:cs="Times New Roman"/>
          <w:sz w:val="18"/>
          <w:szCs w:val="18"/>
        </w:rPr>
        <w:t xml:space="preserve"> was applied to the lower-bound QALY loss derived from Eriksson et al.</w:t>
      </w:r>
      <w:r w:rsidR="00D046F8"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r w:rsidRPr="002750E1">
        <w:rPr>
          <w:rFonts w:ascii="Times New Roman" w:eastAsia="Times New Roman" w:hAnsi="Times New Roman" w:cs="Times New Roman"/>
          <w:sz w:val="18"/>
          <w:szCs w:val="18"/>
        </w:rPr>
        <w:t>. For the upper bound, it was assumed that the QALY loss for an acute vaccinated HZ case was the same as the QALY loss for an acute unvaccinated case as derived from Eriksson et al.</w:t>
      </w:r>
      <w:r w:rsidR="00D046F8"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r w:rsidR="00D046F8" w:rsidRPr="002750E1">
        <w:rPr>
          <w:rFonts w:ascii="Times New Roman" w:eastAsia="Times New Roman" w:hAnsi="Times New Roman" w:cs="Times New Roman"/>
          <w:sz w:val="18"/>
          <w:szCs w:val="18"/>
        </w:rPr>
        <w:t xml:space="preserve"> </w:t>
      </w:r>
      <w:r w:rsidRPr="002750E1">
        <w:rPr>
          <w:rFonts w:ascii="Times New Roman" w:eastAsia="Times New Roman" w:hAnsi="Times New Roman" w:cs="Times New Roman"/>
          <w:sz w:val="18"/>
          <w:szCs w:val="18"/>
        </w:rPr>
        <w:t>(i.e., the vaccine was assumed to have no effect on QALY loss).</w:t>
      </w:r>
    </w:p>
    <w:p w14:paraId="307759A1" w14:textId="1AE3A62D"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w:t>
      </w:r>
      <w:bookmarkStart w:id="26" w:name="_Hlk51590882"/>
      <w:r w:rsidRPr="002750E1">
        <w:rPr>
          <w:rFonts w:ascii="Times New Roman" w:eastAsia="Times New Roman" w:hAnsi="Times New Roman" w:cs="Times New Roman"/>
          <w:sz w:val="18"/>
          <w:szCs w:val="18"/>
        </w:rPr>
        <w:t>Eriksson et al.</w:t>
      </w:r>
      <w:r w:rsidR="00D046F8"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r w:rsidR="00D046F8" w:rsidRPr="002750E1">
        <w:rPr>
          <w:rFonts w:ascii="Times New Roman" w:eastAsia="Times New Roman" w:hAnsi="Times New Roman" w:cs="Times New Roman"/>
          <w:sz w:val="18"/>
          <w:szCs w:val="18"/>
        </w:rPr>
        <w:t xml:space="preserve"> </w:t>
      </w:r>
      <w:r w:rsidRPr="002750E1">
        <w:rPr>
          <w:rFonts w:ascii="Times New Roman" w:eastAsia="Times New Roman" w:hAnsi="Times New Roman" w:cs="Times New Roman"/>
          <w:sz w:val="18"/>
          <w:szCs w:val="18"/>
        </w:rPr>
        <w:t>estimated mean utility loss for HZ cases among HSCT patients with PHN, based on mean utility before PHN end date and mean utility after PHN end date. Loss of QALY was calculated by applying mean utility loss (0.186) over mean duration of PHN and dividing by the number of days in a year (365). The mean duration of PHN was from Moore et al.</w:t>
      </w:r>
      <w:r w:rsidR="00874D19">
        <w:rPr>
          <w:rFonts w:ascii="Times New Roman" w:eastAsia="Times New Roman" w:hAnsi="Times New Roman" w:cs="Times New Roman"/>
          <w:noProof/>
          <w:sz w:val="18"/>
          <w:szCs w:val="18"/>
          <w:vertAlign w:val="superscript"/>
        </w:rPr>
        <w:t>52</w:t>
      </w:r>
      <w:r w:rsidRPr="002750E1">
        <w:rPr>
          <w:rFonts w:ascii="Times New Roman" w:eastAsia="Times New Roman" w:hAnsi="Times New Roman" w:cs="Times New Roman"/>
          <w:sz w:val="18"/>
          <w:szCs w:val="18"/>
        </w:rPr>
        <w:t>, citing Oxman et al.</w:t>
      </w:r>
      <w:r w:rsidR="00B06AE2">
        <w:rPr>
          <w:rFonts w:ascii="Times New Roman" w:eastAsia="Times New Roman" w:hAnsi="Times New Roman" w:cs="Times New Roman"/>
          <w:noProof/>
          <w:sz w:val="18"/>
          <w:szCs w:val="18"/>
          <w:vertAlign w:val="superscript"/>
        </w:rPr>
        <w:t>53</w:t>
      </w:r>
      <w:r w:rsidRPr="002750E1">
        <w:rPr>
          <w:rFonts w:ascii="Times New Roman" w:eastAsia="Times New Roman" w:hAnsi="Times New Roman" w:cs="Times New Roman"/>
          <w:sz w:val="18"/>
          <w:szCs w:val="18"/>
        </w:rPr>
        <w:t xml:space="preserve">, which reported a mean duration of PHN of 12.9 months for immunocompetent individuals aged 70 years and older. </w:t>
      </w:r>
      <w:bookmarkStart w:id="27" w:name="_Hlk51590889"/>
      <w:r w:rsidRPr="002750E1">
        <w:rPr>
          <w:rFonts w:ascii="Times New Roman" w:eastAsia="Times New Roman" w:hAnsi="Times New Roman" w:cs="Times New Roman"/>
          <w:sz w:val="18"/>
          <w:szCs w:val="18"/>
        </w:rPr>
        <w:t>Lower and upper bounds were estimated using the same mean daily utility loss from Eriksson et al.</w:t>
      </w:r>
      <w:r w:rsidR="00D046F8"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r w:rsidR="00D046F8" w:rsidRPr="002750E1">
        <w:rPr>
          <w:rFonts w:ascii="Times New Roman" w:eastAsia="Times New Roman" w:hAnsi="Times New Roman" w:cs="Times New Roman"/>
          <w:sz w:val="18"/>
          <w:szCs w:val="18"/>
        </w:rPr>
        <w:t xml:space="preserve"> </w:t>
      </w:r>
      <w:r w:rsidRPr="002750E1">
        <w:rPr>
          <w:rFonts w:ascii="Times New Roman" w:eastAsia="Times New Roman" w:hAnsi="Times New Roman" w:cs="Times New Roman"/>
          <w:sz w:val="18"/>
          <w:szCs w:val="18"/>
        </w:rPr>
        <w:t>used to estimate the base-case value but applied over shorter and longer durations of PHN: 5.9 months from Eriksson et al.</w:t>
      </w:r>
      <w:r w:rsidR="00D046F8" w:rsidRPr="002750E1">
        <w:rPr>
          <w:rFonts w:ascii="Times New Roman" w:eastAsia="Times New Roman" w:hAnsi="Times New Roman" w:cs="Times New Roman"/>
          <w:noProof/>
          <w:sz w:val="18"/>
          <w:szCs w:val="18"/>
          <w:vertAlign w:val="superscript"/>
        </w:rPr>
        <w:t>2</w:t>
      </w:r>
      <w:r w:rsidR="00D046F8">
        <w:rPr>
          <w:rFonts w:ascii="Times New Roman" w:eastAsia="Times New Roman" w:hAnsi="Times New Roman" w:cs="Times New Roman"/>
          <w:noProof/>
          <w:sz w:val="18"/>
          <w:szCs w:val="18"/>
          <w:vertAlign w:val="superscript"/>
        </w:rPr>
        <w:t>2</w:t>
      </w:r>
      <w:r w:rsidR="00D046F8" w:rsidRPr="002750E1">
        <w:rPr>
          <w:rFonts w:ascii="Times New Roman" w:eastAsia="Times New Roman" w:hAnsi="Times New Roman" w:cs="Times New Roman"/>
          <w:sz w:val="18"/>
          <w:szCs w:val="18"/>
        </w:rPr>
        <w:t xml:space="preserve"> </w:t>
      </w:r>
      <w:r w:rsidRPr="002750E1">
        <w:rPr>
          <w:rFonts w:ascii="Times New Roman" w:eastAsia="Times New Roman" w:hAnsi="Times New Roman" w:cs="Times New Roman"/>
          <w:sz w:val="18"/>
          <w:szCs w:val="18"/>
        </w:rPr>
        <w:t>and 18.8 months from Lieu et al.</w:t>
      </w:r>
      <w:r w:rsidR="00B06AE2">
        <w:rPr>
          <w:rFonts w:ascii="Times New Roman" w:eastAsia="Times New Roman" w:hAnsi="Times New Roman" w:cs="Times New Roman"/>
          <w:noProof/>
          <w:sz w:val="18"/>
          <w:szCs w:val="18"/>
          <w:vertAlign w:val="superscript"/>
        </w:rPr>
        <w:t>54</w:t>
      </w:r>
      <w:r w:rsidRPr="002750E1">
        <w:rPr>
          <w:rFonts w:ascii="Times New Roman" w:eastAsia="Times New Roman" w:hAnsi="Times New Roman" w:cs="Times New Roman"/>
          <w:sz w:val="18"/>
          <w:szCs w:val="18"/>
        </w:rPr>
        <w:t>, respectively.</w:t>
      </w:r>
      <w:bookmarkEnd w:id="26"/>
      <w:bookmarkEnd w:id="27"/>
    </w:p>
    <w:p w14:paraId="6DB63746"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 We conservatively assumed that QALY loss for vaccinated cases that develop PHN is the same as QALY loss for unvaccinated cases that develop PHN. The uncertainty range specified was from a lower bound of –20% of base-case value to an upper bound equal to the same QALY loss as unvaccinated HZ case (the same as the base-case value).</w:t>
      </w:r>
    </w:p>
    <w:p w14:paraId="027364B5" w14:textId="3D79A4FD"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Base-case values were obtained from </w:t>
      </w:r>
      <w:r w:rsidRPr="002750E1">
        <w:rPr>
          <w:rFonts w:ascii="Times New Roman" w:eastAsia="Times New Roman" w:hAnsi="Times New Roman" w:cs="Times New Roman"/>
          <w:noProof/>
          <w:sz w:val="18"/>
          <w:szCs w:val="18"/>
        </w:rPr>
        <w:t>Le and Rothberg</w:t>
      </w:r>
      <w:r w:rsidRPr="002750E1">
        <w:rPr>
          <w:rFonts w:ascii="Times New Roman" w:eastAsia="Times New Roman" w:hAnsi="Times New Roman" w:cs="Times New Roman"/>
          <w:noProof/>
          <w:sz w:val="18"/>
          <w:szCs w:val="18"/>
          <w:vertAlign w:val="superscript"/>
        </w:rPr>
        <w:t>3</w:t>
      </w:r>
      <w:r w:rsidR="008F5280">
        <w:rPr>
          <w:rFonts w:ascii="Times New Roman" w:eastAsia="Times New Roman" w:hAnsi="Times New Roman" w:cs="Times New Roman"/>
          <w:noProof/>
          <w:sz w:val="18"/>
          <w:szCs w:val="18"/>
          <w:vertAlign w:val="superscript"/>
        </w:rPr>
        <w:t>7</w:t>
      </w:r>
      <w:r w:rsidRPr="002750E1">
        <w:rPr>
          <w:rFonts w:ascii="Times New Roman" w:eastAsia="Times New Roman" w:hAnsi="Times New Roman" w:cs="Times New Roman"/>
          <w:sz w:val="18"/>
          <w:szCs w:val="18"/>
        </w:rPr>
        <w:t>; it is implicitly assumed that persons requiring a PCP or ER visit from AEs experienced the QALY loss related to a local/general reaction.</w:t>
      </w:r>
    </w:p>
    <w:p w14:paraId="1FEB1300"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Not applicable; the individual QALY losses per AE were not varied in sensitivity analysis. Instead, the weighted QALY loss per vaccine dose, which was calculated from these values, was varied.</w:t>
      </w:r>
    </w:p>
    <w:p w14:paraId="1844B707"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3A1943">
        <w:rPr>
          <w:rFonts w:ascii="Times New Roman" w:eastAsia="Times New Roman" w:hAnsi="Times New Roman" w:cs="Times New Roman"/>
          <w:sz w:val="18"/>
          <w:szCs w:val="18"/>
          <w:vertAlign w:val="superscript"/>
        </w:rPr>
        <w:t>§§</w:t>
      </w:r>
      <w:r w:rsidRPr="002750E1">
        <w:rPr>
          <w:rFonts w:ascii="Times New Roman" w:eastAsia="Times New Roman" w:hAnsi="Times New Roman" w:cs="Times New Roman"/>
          <w:sz w:val="18"/>
          <w:szCs w:val="18"/>
        </w:rPr>
        <w:t xml:space="preserve"> Calculated as a weighted average based on the incidence of each AE and the QALY loss per AE. Uncertainty ranges of –50% to +100% of base-case values were considered.</w:t>
      </w:r>
    </w:p>
    <w:p w14:paraId="1F2E51B9" w14:textId="77777777" w:rsidR="002750E1" w:rsidRPr="002750E1" w:rsidRDefault="002750E1" w:rsidP="002750E1">
      <w:pPr>
        <w:spacing w:after="0" w:line="240" w:lineRule="auto"/>
        <w:rPr>
          <w:rFonts w:ascii="Times New Roman" w:eastAsia="MS ??" w:hAnsi="Times New Roman" w:cs="Times New Roman"/>
          <w:b/>
          <w:sz w:val="18"/>
          <w:szCs w:val="18"/>
        </w:rPr>
      </w:pPr>
      <w:r w:rsidRPr="002750E1">
        <w:rPr>
          <w:rFonts w:ascii="Times New Roman" w:eastAsia="MS ??" w:hAnsi="Times New Roman" w:cs="Times New Roman"/>
          <w:sz w:val="18"/>
          <w:szCs w:val="18"/>
        </w:rPr>
        <w:br w:type="page"/>
      </w:r>
    </w:p>
    <w:p w14:paraId="4F01F94D" w14:textId="77777777" w:rsidR="002750E1" w:rsidRPr="002750E1" w:rsidRDefault="002750E1" w:rsidP="002750E1">
      <w:pPr>
        <w:keepNext/>
        <w:spacing w:after="0" w:line="480" w:lineRule="auto"/>
        <w:contextualSpacing/>
        <w:rPr>
          <w:rFonts w:ascii="Times New Roman" w:eastAsia="MS ??" w:hAnsi="Times New Roman" w:cs="Times New Roman"/>
          <w:b/>
          <w:sz w:val="24"/>
          <w:szCs w:val="24"/>
        </w:rPr>
      </w:pPr>
      <w:r w:rsidRPr="002750E1">
        <w:rPr>
          <w:rFonts w:ascii="Times New Roman" w:eastAsia="MS ??" w:hAnsi="Times New Roman" w:cs="Times New Roman"/>
          <w:b/>
          <w:sz w:val="24"/>
          <w:szCs w:val="24"/>
        </w:rPr>
        <w:lastRenderedPageBreak/>
        <w:t>Table A7</w:t>
      </w:r>
      <w:bookmarkEnd w:id="23"/>
      <w:r w:rsidRPr="002750E1">
        <w:rPr>
          <w:rFonts w:ascii="Times New Roman" w:eastAsia="MS ??" w:hAnsi="Times New Roman" w:cs="Times New Roman"/>
          <w:b/>
          <w:bCs/>
          <w:sz w:val="24"/>
          <w:szCs w:val="24"/>
        </w:rPr>
        <w:t xml:space="preserve">. </w:t>
      </w:r>
      <w:r w:rsidRPr="002750E1">
        <w:rPr>
          <w:rFonts w:ascii="Times New Roman" w:eastAsia="MS ??" w:hAnsi="Times New Roman" w:cs="Times New Roman"/>
          <w:b/>
          <w:sz w:val="24"/>
          <w:szCs w:val="24"/>
        </w:rPr>
        <w:t>Base-case and extreme values of key inputs observed in threshold analysis</w:t>
      </w:r>
      <w:bookmarkEnd w:id="24"/>
      <w:bookmarkEnd w:id="25"/>
    </w:p>
    <w:tbl>
      <w:tblPr>
        <w:tblW w:w="5000" w:type="pct"/>
        <w:tblBorders>
          <w:top w:val="single" w:sz="12" w:space="0" w:color="000000"/>
          <w:bottom w:val="single" w:sz="12" w:space="0" w:color="000000"/>
          <w:insideH w:val="single" w:sz="2" w:space="0" w:color="DDDDDD"/>
        </w:tblBorders>
        <w:tblLayout w:type="fixed"/>
        <w:tblLook w:val="04A0" w:firstRow="1" w:lastRow="0" w:firstColumn="1" w:lastColumn="0" w:noHBand="0" w:noVBand="1"/>
      </w:tblPr>
      <w:tblGrid>
        <w:gridCol w:w="2413"/>
        <w:gridCol w:w="3515"/>
        <w:gridCol w:w="3517"/>
        <w:gridCol w:w="3515"/>
      </w:tblGrid>
      <w:tr w:rsidR="002750E1" w:rsidRPr="002750E1" w14:paraId="1A734A89" w14:textId="77777777" w:rsidTr="0042228A">
        <w:trPr>
          <w:cantSplit/>
          <w:tblHeader/>
        </w:trPr>
        <w:tc>
          <w:tcPr>
            <w:tcW w:w="931" w:type="pct"/>
            <w:tcBorders>
              <w:top w:val="single" w:sz="12" w:space="0" w:color="000000"/>
              <w:bottom w:val="single" w:sz="2" w:space="0" w:color="DDDDDD"/>
            </w:tcBorders>
            <w:shd w:val="clear" w:color="auto" w:fill="E6E6E6"/>
            <w:vAlign w:val="bottom"/>
          </w:tcPr>
          <w:p w14:paraId="19C5E9AC" w14:textId="77777777" w:rsidR="002750E1" w:rsidRPr="002750E1" w:rsidRDefault="002750E1" w:rsidP="002750E1">
            <w:pPr>
              <w:keepNext/>
              <w:spacing w:before="160" w:after="0" w:line="320" w:lineRule="exact"/>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Input</w:t>
            </w:r>
          </w:p>
        </w:tc>
        <w:tc>
          <w:tcPr>
            <w:tcW w:w="1356" w:type="pct"/>
            <w:tcBorders>
              <w:top w:val="single" w:sz="12" w:space="0" w:color="000000"/>
              <w:bottom w:val="single" w:sz="2" w:space="0" w:color="DDDDDD"/>
            </w:tcBorders>
            <w:shd w:val="clear" w:color="auto" w:fill="E6E6E6"/>
            <w:vAlign w:val="bottom"/>
          </w:tcPr>
          <w:p w14:paraId="58A23823"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Base-case value</w:t>
            </w:r>
          </w:p>
        </w:tc>
        <w:tc>
          <w:tcPr>
            <w:tcW w:w="1357" w:type="pct"/>
            <w:tcBorders>
              <w:top w:val="single" w:sz="12" w:space="0" w:color="000000"/>
              <w:bottom w:val="single" w:sz="2" w:space="0" w:color="DDDDDD"/>
            </w:tcBorders>
            <w:shd w:val="clear" w:color="auto" w:fill="E6E6E6"/>
            <w:vAlign w:val="bottom"/>
          </w:tcPr>
          <w:p w14:paraId="62506995"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Minimum value considered in threshold analysis*</w:t>
            </w:r>
          </w:p>
        </w:tc>
        <w:tc>
          <w:tcPr>
            <w:tcW w:w="1356" w:type="pct"/>
            <w:tcBorders>
              <w:top w:val="single" w:sz="12" w:space="0" w:color="000000"/>
              <w:bottom w:val="single" w:sz="2" w:space="0" w:color="DDDDDD"/>
            </w:tcBorders>
            <w:shd w:val="clear" w:color="auto" w:fill="E6E6E6"/>
            <w:vAlign w:val="bottom"/>
          </w:tcPr>
          <w:p w14:paraId="41EF7549" w14:textId="77777777" w:rsidR="002750E1" w:rsidRPr="002750E1" w:rsidRDefault="002750E1" w:rsidP="002750E1">
            <w:pPr>
              <w:keepNext/>
              <w:spacing w:before="160" w:after="0" w:line="320" w:lineRule="exac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Maximum value considered in threshold analysis*</w:t>
            </w:r>
          </w:p>
        </w:tc>
      </w:tr>
      <w:tr w:rsidR="002750E1" w:rsidRPr="002750E1" w14:paraId="7D9374AB" w14:textId="77777777" w:rsidTr="0042228A">
        <w:trPr>
          <w:cantSplit/>
        </w:trPr>
        <w:tc>
          <w:tcPr>
            <w:tcW w:w="931" w:type="pct"/>
            <w:tcBorders>
              <w:top w:val="single" w:sz="2" w:space="0" w:color="DDDDDD"/>
            </w:tcBorders>
            <w:shd w:val="clear" w:color="auto" w:fill="auto"/>
          </w:tcPr>
          <w:p w14:paraId="53FF3B84"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Annual incidence of initial and recurrent HZ (per 1,000 person-year)</w:t>
            </w:r>
          </w:p>
        </w:tc>
        <w:tc>
          <w:tcPr>
            <w:tcW w:w="1356" w:type="pct"/>
            <w:tcBorders>
              <w:top w:val="single" w:sz="2" w:space="0" w:color="DDDDDD"/>
            </w:tcBorders>
            <w:shd w:val="clear" w:color="auto" w:fill="auto"/>
          </w:tcPr>
          <w:p w14:paraId="019B1751"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60</w:t>
            </w:r>
          </w:p>
        </w:tc>
        <w:tc>
          <w:tcPr>
            <w:tcW w:w="1357" w:type="pct"/>
            <w:tcBorders>
              <w:top w:val="single" w:sz="2" w:space="0" w:color="DDDDDD"/>
            </w:tcBorders>
            <w:shd w:val="clear" w:color="auto" w:fill="auto"/>
          </w:tcPr>
          <w:p w14:paraId="35DA222B"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18</w:t>
            </w:r>
          </w:p>
        </w:tc>
        <w:tc>
          <w:tcPr>
            <w:tcW w:w="1356" w:type="pct"/>
            <w:tcBorders>
              <w:top w:val="single" w:sz="2" w:space="0" w:color="DDDDDD"/>
            </w:tcBorders>
            <w:shd w:val="clear" w:color="auto" w:fill="auto"/>
          </w:tcPr>
          <w:p w14:paraId="0C5D97C1"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72</w:t>
            </w:r>
          </w:p>
        </w:tc>
      </w:tr>
      <w:tr w:rsidR="002750E1" w:rsidRPr="002750E1" w14:paraId="424B0164" w14:textId="77777777" w:rsidTr="0042228A">
        <w:trPr>
          <w:cantSplit/>
        </w:trPr>
        <w:tc>
          <w:tcPr>
            <w:tcW w:w="931" w:type="pct"/>
            <w:tcBorders>
              <w:top w:val="single" w:sz="2" w:space="0" w:color="DDDDDD"/>
            </w:tcBorders>
            <w:shd w:val="clear" w:color="auto" w:fill="auto"/>
          </w:tcPr>
          <w:p w14:paraId="1CEFAEBF"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IC status duration (years)</w:t>
            </w:r>
          </w:p>
        </w:tc>
        <w:tc>
          <w:tcPr>
            <w:tcW w:w="1356" w:type="pct"/>
            <w:tcBorders>
              <w:top w:val="single" w:sz="2" w:space="0" w:color="DDDDDD"/>
            </w:tcBorders>
            <w:shd w:val="clear" w:color="auto" w:fill="auto"/>
          </w:tcPr>
          <w:p w14:paraId="320F9B25"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5</w:t>
            </w:r>
          </w:p>
        </w:tc>
        <w:tc>
          <w:tcPr>
            <w:tcW w:w="1357" w:type="pct"/>
            <w:tcBorders>
              <w:top w:val="single" w:sz="2" w:space="0" w:color="DDDDDD"/>
            </w:tcBorders>
            <w:shd w:val="clear" w:color="auto" w:fill="auto"/>
          </w:tcPr>
          <w:p w14:paraId="1BBFB867"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1</w:t>
            </w:r>
          </w:p>
        </w:tc>
        <w:tc>
          <w:tcPr>
            <w:tcW w:w="1356" w:type="pct"/>
            <w:tcBorders>
              <w:top w:val="single" w:sz="2" w:space="0" w:color="DDDDDD"/>
            </w:tcBorders>
            <w:shd w:val="clear" w:color="auto" w:fill="auto"/>
          </w:tcPr>
          <w:p w14:paraId="251218B8"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10</w:t>
            </w:r>
          </w:p>
        </w:tc>
      </w:tr>
      <w:tr w:rsidR="002750E1" w:rsidRPr="002750E1" w14:paraId="08EAC9FE" w14:textId="77777777" w:rsidTr="0042228A">
        <w:trPr>
          <w:cantSplit/>
        </w:trPr>
        <w:tc>
          <w:tcPr>
            <w:tcW w:w="931" w:type="pct"/>
            <w:shd w:val="clear" w:color="auto" w:fill="auto"/>
          </w:tcPr>
          <w:p w14:paraId="52813C28"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 xml:space="preserve">Initial RZV efficacy </w:t>
            </w:r>
            <w:r w:rsidRPr="002750E1">
              <w:rPr>
                <w:rFonts w:ascii="Times New Roman" w:eastAsia="Times New Roman" w:hAnsi="Times New Roman" w:cs="Times New Roman"/>
                <w:sz w:val="24"/>
                <w:szCs w:val="24"/>
              </w:rPr>
              <w:br/>
              <w:t>(2 doses)</w:t>
            </w:r>
          </w:p>
        </w:tc>
        <w:tc>
          <w:tcPr>
            <w:tcW w:w="1356" w:type="pct"/>
            <w:shd w:val="clear" w:color="auto" w:fill="auto"/>
          </w:tcPr>
          <w:tbl>
            <w:tblPr>
              <w:tblW w:w="0" w:type="auto"/>
              <w:tblBorders>
                <w:top w:val="single" w:sz="12" w:space="0" w:color="000000"/>
                <w:bottom w:val="single" w:sz="12" w:space="0" w:color="000000"/>
                <w:insideH w:val="single" w:sz="2" w:space="0" w:color="DDDDDD"/>
              </w:tblBorders>
              <w:tblLayout w:type="fixed"/>
              <w:tblLook w:val="04A0" w:firstRow="1" w:lastRow="0" w:firstColumn="1" w:lastColumn="0" w:noHBand="0" w:noVBand="1"/>
            </w:tblPr>
            <w:tblGrid>
              <w:gridCol w:w="886"/>
              <w:gridCol w:w="1544"/>
            </w:tblGrid>
            <w:tr w:rsidR="002750E1" w:rsidRPr="002750E1" w14:paraId="1EE36BC6" w14:textId="77777777" w:rsidTr="003A1943">
              <w:trPr>
                <w:cantSplit/>
                <w:tblHeader/>
              </w:trPr>
              <w:tc>
                <w:tcPr>
                  <w:tcW w:w="886" w:type="dxa"/>
                  <w:tcBorders>
                    <w:top w:val="single" w:sz="12" w:space="0" w:color="000000"/>
                    <w:bottom w:val="single" w:sz="2" w:space="0" w:color="DDDDDD"/>
                  </w:tcBorders>
                  <w:shd w:val="clear" w:color="auto" w:fill="E6E6E6"/>
                  <w:noWrap/>
                  <w:vAlign w:val="bottom"/>
                </w:tcPr>
                <w:p w14:paraId="42EDBAC6" w14:textId="77777777" w:rsidR="002750E1" w:rsidRPr="002750E1" w:rsidRDefault="002750E1" w:rsidP="002750E1">
                  <w:pPr>
                    <w:keepNext/>
                    <w:spacing w:before="40" w:after="40" w:line="240" w:lineRule="atLeast"/>
                    <w:jc w:val="center"/>
                    <w:rPr>
                      <w:rFonts w:ascii="Times New Roman" w:eastAsia="Times New Roman" w:hAnsi="Times New Roman" w:cs="Times New Roman"/>
                      <w:b/>
                      <w:sz w:val="24"/>
                      <w:szCs w:val="24"/>
                    </w:rPr>
                  </w:pPr>
                </w:p>
              </w:tc>
              <w:tc>
                <w:tcPr>
                  <w:tcW w:w="1544" w:type="dxa"/>
                  <w:tcBorders>
                    <w:top w:val="single" w:sz="12" w:space="0" w:color="000000"/>
                    <w:bottom w:val="single" w:sz="2" w:space="0" w:color="DDDDDD"/>
                  </w:tcBorders>
                  <w:shd w:val="clear" w:color="auto" w:fill="E6E6E6"/>
                  <w:vAlign w:val="bottom"/>
                </w:tcPr>
                <w:p w14:paraId="35231B84" w14:textId="77777777" w:rsidR="002750E1" w:rsidRPr="002750E1" w:rsidRDefault="002750E1" w:rsidP="002750E1">
                  <w:pPr>
                    <w:keepNext/>
                    <w:spacing w:before="40" w:after="40" w:line="240" w:lineRule="atLeas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Value</w:t>
                  </w:r>
                </w:p>
              </w:tc>
            </w:tr>
            <w:tr w:rsidR="002750E1" w:rsidRPr="002750E1" w14:paraId="3F1509FB" w14:textId="77777777" w:rsidTr="003A1943">
              <w:trPr>
                <w:cantSplit/>
              </w:trPr>
              <w:tc>
                <w:tcPr>
                  <w:tcW w:w="886" w:type="dxa"/>
                  <w:shd w:val="clear" w:color="auto" w:fill="auto"/>
                  <w:noWrap/>
                </w:tcPr>
                <w:p w14:paraId="15AA5616"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HZ</w:t>
                  </w:r>
                </w:p>
              </w:tc>
              <w:tc>
                <w:tcPr>
                  <w:tcW w:w="1544" w:type="dxa"/>
                  <w:shd w:val="clear" w:color="auto" w:fill="auto"/>
                </w:tcPr>
                <w:p w14:paraId="42B54496"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72.5%</w:t>
                  </w:r>
                </w:p>
              </w:tc>
            </w:tr>
            <w:tr w:rsidR="002750E1" w:rsidRPr="002750E1" w14:paraId="22B6B1B9" w14:textId="77777777" w:rsidTr="003A1943">
              <w:trPr>
                <w:cantSplit/>
              </w:trPr>
              <w:tc>
                <w:tcPr>
                  <w:tcW w:w="886" w:type="dxa"/>
                  <w:shd w:val="clear" w:color="auto" w:fill="auto"/>
                  <w:noWrap/>
                </w:tcPr>
                <w:p w14:paraId="252CB3B5"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PHN</w:t>
                  </w:r>
                </w:p>
              </w:tc>
              <w:tc>
                <w:tcPr>
                  <w:tcW w:w="1544" w:type="dxa"/>
                  <w:shd w:val="clear" w:color="auto" w:fill="auto"/>
                </w:tcPr>
                <w:p w14:paraId="3EF6F235"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94.8%</w:t>
                  </w:r>
                </w:p>
              </w:tc>
            </w:tr>
          </w:tbl>
          <w:p w14:paraId="55CCD136"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1357" w:type="pct"/>
            <w:shd w:val="clear" w:color="auto" w:fill="auto"/>
          </w:tcPr>
          <w:tbl>
            <w:tblPr>
              <w:tblW w:w="0" w:type="auto"/>
              <w:tblBorders>
                <w:top w:val="single" w:sz="12" w:space="0" w:color="000000"/>
                <w:bottom w:val="single" w:sz="12" w:space="0" w:color="000000"/>
                <w:insideH w:val="single" w:sz="2" w:space="0" w:color="DDDDDD"/>
              </w:tblBorders>
              <w:tblLayout w:type="fixed"/>
              <w:tblLook w:val="04A0" w:firstRow="1" w:lastRow="0" w:firstColumn="1" w:lastColumn="0" w:noHBand="0" w:noVBand="1"/>
            </w:tblPr>
            <w:tblGrid>
              <w:gridCol w:w="886"/>
              <w:gridCol w:w="1624"/>
            </w:tblGrid>
            <w:tr w:rsidR="002750E1" w:rsidRPr="002750E1" w14:paraId="3F14F3B0" w14:textId="77777777" w:rsidTr="003A1943">
              <w:trPr>
                <w:cantSplit/>
                <w:tblHeader/>
              </w:trPr>
              <w:tc>
                <w:tcPr>
                  <w:tcW w:w="886" w:type="dxa"/>
                  <w:tcBorders>
                    <w:top w:val="single" w:sz="12" w:space="0" w:color="000000"/>
                    <w:bottom w:val="single" w:sz="2" w:space="0" w:color="DDDDDD"/>
                  </w:tcBorders>
                  <w:shd w:val="clear" w:color="auto" w:fill="E6E6E6"/>
                  <w:noWrap/>
                  <w:vAlign w:val="bottom"/>
                </w:tcPr>
                <w:p w14:paraId="2D82D7A4" w14:textId="77777777" w:rsidR="002750E1" w:rsidRPr="002750E1" w:rsidRDefault="002750E1" w:rsidP="002750E1">
                  <w:pPr>
                    <w:keepNext/>
                    <w:spacing w:before="40" w:after="40" w:line="240" w:lineRule="atLeast"/>
                    <w:jc w:val="center"/>
                    <w:rPr>
                      <w:rFonts w:ascii="Times New Roman" w:eastAsia="Times New Roman" w:hAnsi="Times New Roman" w:cs="Times New Roman"/>
                      <w:b/>
                      <w:sz w:val="24"/>
                      <w:szCs w:val="24"/>
                    </w:rPr>
                  </w:pPr>
                </w:p>
              </w:tc>
              <w:tc>
                <w:tcPr>
                  <w:tcW w:w="1624" w:type="dxa"/>
                  <w:tcBorders>
                    <w:top w:val="single" w:sz="12" w:space="0" w:color="000000"/>
                    <w:bottom w:val="single" w:sz="2" w:space="0" w:color="DDDDDD"/>
                  </w:tcBorders>
                  <w:shd w:val="clear" w:color="auto" w:fill="E6E6E6"/>
                  <w:vAlign w:val="bottom"/>
                </w:tcPr>
                <w:p w14:paraId="0F976BF3" w14:textId="77777777" w:rsidR="002750E1" w:rsidRPr="002750E1" w:rsidRDefault="002750E1" w:rsidP="002750E1">
                  <w:pPr>
                    <w:keepNext/>
                    <w:spacing w:before="40" w:after="40" w:line="240" w:lineRule="atLeas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Value</w:t>
                  </w:r>
                </w:p>
              </w:tc>
            </w:tr>
            <w:tr w:rsidR="002750E1" w:rsidRPr="002750E1" w14:paraId="470E0AD6" w14:textId="77777777" w:rsidTr="003A1943">
              <w:trPr>
                <w:cantSplit/>
              </w:trPr>
              <w:tc>
                <w:tcPr>
                  <w:tcW w:w="886" w:type="dxa"/>
                  <w:shd w:val="clear" w:color="auto" w:fill="auto"/>
                  <w:noWrap/>
                </w:tcPr>
                <w:p w14:paraId="21D57970"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HZ</w:t>
                  </w:r>
                </w:p>
              </w:tc>
              <w:tc>
                <w:tcPr>
                  <w:tcW w:w="1624" w:type="dxa"/>
                  <w:shd w:val="clear" w:color="auto" w:fill="auto"/>
                </w:tcPr>
                <w:p w14:paraId="15A070A4"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29.0%</w:t>
                  </w:r>
                </w:p>
              </w:tc>
            </w:tr>
            <w:tr w:rsidR="002750E1" w:rsidRPr="002750E1" w14:paraId="51B2B468" w14:textId="77777777" w:rsidTr="003A1943">
              <w:trPr>
                <w:cantSplit/>
              </w:trPr>
              <w:tc>
                <w:tcPr>
                  <w:tcW w:w="886" w:type="dxa"/>
                  <w:shd w:val="clear" w:color="auto" w:fill="auto"/>
                  <w:noWrap/>
                </w:tcPr>
                <w:p w14:paraId="00C2839F"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PHN</w:t>
                  </w:r>
                </w:p>
              </w:tc>
              <w:tc>
                <w:tcPr>
                  <w:tcW w:w="1624" w:type="dxa"/>
                  <w:shd w:val="clear" w:color="auto" w:fill="auto"/>
                </w:tcPr>
                <w:p w14:paraId="41401000"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37.9%</w:t>
                  </w:r>
                </w:p>
              </w:tc>
            </w:tr>
          </w:tbl>
          <w:p w14:paraId="4FBFC801"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c>
          <w:tcPr>
            <w:tcW w:w="1356" w:type="pct"/>
            <w:shd w:val="clear" w:color="auto" w:fill="auto"/>
          </w:tcPr>
          <w:tbl>
            <w:tblPr>
              <w:tblW w:w="0" w:type="auto"/>
              <w:tblBorders>
                <w:top w:val="single" w:sz="12" w:space="0" w:color="000000"/>
                <w:bottom w:val="single" w:sz="12" w:space="0" w:color="000000"/>
                <w:insideH w:val="single" w:sz="2" w:space="0" w:color="DDDDDD"/>
              </w:tblBorders>
              <w:tblLayout w:type="fixed"/>
              <w:tblLook w:val="04A0" w:firstRow="1" w:lastRow="0" w:firstColumn="1" w:lastColumn="0" w:noHBand="0" w:noVBand="1"/>
            </w:tblPr>
            <w:tblGrid>
              <w:gridCol w:w="886"/>
              <w:gridCol w:w="1624"/>
            </w:tblGrid>
            <w:tr w:rsidR="002750E1" w:rsidRPr="002750E1" w14:paraId="23190647" w14:textId="77777777" w:rsidTr="003A1943">
              <w:trPr>
                <w:cantSplit/>
                <w:tblHeader/>
              </w:trPr>
              <w:tc>
                <w:tcPr>
                  <w:tcW w:w="886" w:type="dxa"/>
                  <w:tcBorders>
                    <w:top w:val="single" w:sz="12" w:space="0" w:color="000000"/>
                    <w:bottom w:val="single" w:sz="2" w:space="0" w:color="DDDDDD"/>
                  </w:tcBorders>
                  <w:shd w:val="clear" w:color="auto" w:fill="E6E6E6"/>
                  <w:noWrap/>
                  <w:vAlign w:val="bottom"/>
                </w:tcPr>
                <w:p w14:paraId="0B68C07C" w14:textId="77777777" w:rsidR="002750E1" w:rsidRPr="002750E1" w:rsidRDefault="002750E1" w:rsidP="002750E1">
                  <w:pPr>
                    <w:keepNext/>
                    <w:spacing w:before="40" w:after="40" w:line="240" w:lineRule="atLeast"/>
                    <w:jc w:val="center"/>
                    <w:rPr>
                      <w:rFonts w:ascii="Times New Roman" w:eastAsia="Times New Roman" w:hAnsi="Times New Roman" w:cs="Times New Roman"/>
                      <w:b/>
                      <w:sz w:val="24"/>
                      <w:szCs w:val="24"/>
                    </w:rPr>
                  </w:pPr>
                </w:p>
              </w:tc>
              <w:tc>
                <w:tcPr>
                  <w:tcW w:w="1624" w:type="dxa"/>
                  <w:tcBorders>
                    <w:top w:val="single" w:sz="12" w:space="0" w:color="000000"/>
                    <w:bottom w:val="single" w:sz="2" w:space="0" w:color="DDDDDD"/>
                  </w:tcBorders>
                  <w:shd w:val="clear" w:color="auto" w:fill="E6E6E6"/>
                  <w:vAlign w:val="bottom"/>
                </w:tcPr>
                <w:p w14:paraId="4CACFAA9" w14:textId="77777777" w:rsidR="002750E1" w:rsidRPr="002750E1" w:rsidRDefault="002750E1" w:rsidP="002750E1">
                  <w:pPr>
                    <w:keepNext/>
                    <w:spacing w:before="40" w:after="40" w:line="240" w:lineRule="atLeast"/>
                    <w:jc w:val="center"/>
                    <w:rPr>
                      <w:rFonts w:ascii="Times New Roman" w:eastAsia="Times New Roman" w:hAnsi="Times New Roman" w:cs="Times New Roman"/>
                      <w:b/>
                      <w:sz w:val="24"/>
                      <w:szCs w:val="24"/>
                    </w:rPr>
                  </w:pPr>
                  <w:r w:rsidRPr="002750E1">
                    <w:rPr>
                      <w:rFonts w:ascii="Times New Roman" w:eastAsia="Times New Roman" w:hAnsi="Times New Roman" w:cs="Times New Roman"/>
                      <w:b/>
                      <w:sz w:val="24"/>
                      <w:szCs w:val="24"/>
                    </w:rPr>
                    <w:t>Value</w:t>
                  </w:r>
                </w:p>
              </w:tc>
            </w:tr>
            <w:tr w:rsidR="002750E1" w:rsidRPr="002750E1" w14:paraId="718A8AD4" w14:textId="77777777" w:rsidTr="003A1943">
              <w:trPr>
                <w:cantSplit/>
              </w:trPr>
              <w:tc>
                <w:tcPr>
                  <w:tcW w:w="886" w:type="dxa"/>
                  <w:shd w:val="clear" w:color="auto" w:fill="auto"/>
                  <w:noWrap/>
                </w:tcPr>
                <w:p w14:paraId="1212A651"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HZ</w:t>
                  </w:r>
                </w:p>
              </w:tc>
              <w:tc>
                <w:tcPr>
                  <w:tcW w:w="1624" w:type="dxa"/>
                  <w:shd w:val="clear" w:color="auto" w:fill="auto"/>
                </w:tcPr>
                <w:p w14:paraId="708320B4"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87.0%</w:t>
                  </w:r>
                </w:p>
              </w:tc>
            </w:tr>
            <w:tr w:rsidR="002750E1" w:rsidRPr="002750E1" w14:paraId="60FEF759" w14:textId="77777777" w:rsidTr="003A1943">
              <w:trPr>
                <w:cantSplit/>
              </w:trPr>
              <w:tc>
                <w:tcPr>
                  <w:tcW w:w="886" w:type="dxa"/>
                  <w:shd w:val="clear" w:color="auto" w:fill="auto"/>
                  <w:noWrap/>
                </w:tcPr>
                <w:p w14:paraId="6AFCE784"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PHN</w:t>
                  </w:r>
                </w:p>
              </w:tc>
              <w:tc>
                <w:tcPr>
                  <w:tcW w:w="1624" w:type="dxa"/>
                  <w:shd w:val="clear" w:color="auto" w:fill="auto"/>
                </w:tcPr>
                <w:p w14:paraId="034AA094"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100.0%</w:t>
                  </w:r>
                </w:p>
              </w:tc>
            </w:tr>
          </w:tbl>
          <w:p w14:paraId="30640A45"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p>
        </w:tc>
      </w:tr>
      <w:tr w:rsidR="002750E1" w:rsidRPr="002750E1" w14:paraId="2BCA7BEC" w14:textId="77777777" w:rsidTr="0042228A">
        <w:trPr>
          <w:cantSplit/>
        </w:trPr>
        <w:tc>
          <w:tcPr>
            <w:tcW w:w="931" w:type="pct"/>
            <w:shd w:val="clear" w:color="auto" w:fill="auto"/>
          </w:tcPr>
          <w:p w14:paraId="3253CF58"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 xml:space="preserve">Waning of RZV efficacy </w:t>
            </w:r>
            <w:r w:rsidRPr="002750E1">
              <w:rPr>
                <w:rFonts w:ascii="Times New Roman" w:eastAsia="Times New Roman" w:hAnsi="Times New Roman" w:cs="Times New Roman"/>
                <w:sz w:val="24"/>
                <w:szCs w:val="24"/>
              </w:rPr>
              <w:br/>
              <w:t>(2 doses)</w:t>
            </w:r>
          </w:p>
        </w:tc>
        <w:tc>
          <w:tcPr>
            <w:tcW w:w="1356" w:type="pct"/>
            <w:shd w:val="clear" w:color="auto" w:fill="auto"/>
          </w:tcPr>
          <w:p w14:paraId="5446340A"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9.1%</w:t>
            </w:r>
          </w:p>
        </w:tc>
        <w:tc>
          <w:tcPr>
            <w:tcW w:w="1357" w:type="pct"/>
            <w:shd w:val="clear" w:color="auto" w:fill="auto"/>
          </w:tcPr>
          <w:p w14:paraId="24475201"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5.5%</w:t>
            </w:r>
          </w:p>
        </w:tc>
        <w:tc>
          <w:tcPr>
            <w:tcW w:w="1356" w:type="pct"/>
            <w:shd w:val="clear" w:color="auto" w:fill="auto"/>
          </w:tcPr>
          <w:p w14:paraId="5F21B931"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18.2%</w:t>
            </w:r>
          </w:p>
        </w:tc>
      </w:tr>
      <w:tr w:rsidR="002750E1" w:rsidRPr="002750E1" w14:paraId="4407A443" w14:textId="77777777" w:rsidTr="0042228A">
        <w:trPr>
          <w:cantSplit/>
        </w:trPr>
        <w:tc>
          <w:tcPr>
            <w:tcW w:w="931" w:type="pct"/>
            <w:shd w:val="clear" w:color="auto" w:fill="auto"/>
          </w:tcPr>
          <w:p w14:paraId="1200CE86"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Second-dose compliance for RZV</w:t>
            </w:r>
          </w:p>
        </w:tc>
        <w:tc>
          <w:tcPr>
            <w:tcW w:w="1356" w:type="pct"/>
            <w:shd w:val="clear" w:color="auto" w:fill="auto"/>
          </w:tcPr>
          <w:p w14:paraId="43FFB096"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100.0%</w:t>
            </w:r>
          </w:p>
        </w:tc>
        <w:tc>
          <w:tcPr>
            <w:tcW w:w="1357" w:type="pct"/>
            <w:shd w:val="clear" w:color="auto" w:fill="auto"/>
          </w:tcPr>
          <w:p w14:paraId="43265664"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10.0%</w:t>
            </w:r>
          </w:p>
        </w:tc>
        <w:tc>
          <w:tcPr>
            <w:tcW w:w="1356" w:type="pct"/>
            <w:shd w:val="clear" w:color="auto" w:fill="auto"/>
          </w:tcPr>
          <w:p w14:paraId="30CD0362" w14:textId="77777777" w:rsidR="002750E1" w:rsidRPr="002750E1" w:rsidRDefault="002750E1" w:rsidP="002750E1">
            <w:pPr>
              <w:spacing w:before="40" w:after="40" w:line="240" w:lineRule="atLeast"/>
              <w:jc w:val="center"/>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100.0%</w:t>
            </w:r>
          </w:p>
        </w:tc>
      </w:tr>
      <w:tr w:rsidR="002750E1" w:rsidRPr="002750E1" w14:paraId="1C6BCDD9" w14:textId="77777777" w:rsidTr="0042228A">
        <w:trPr>
          <w:cantSplit/>
        </w:trPr>
        <w:tc>
          <w:tcPr>
            <w:tcW w:w="931" w:type="pct"/>
            <w:shd w:val="clear" w:color="auto" w:fill="auto"/>
          </w:tcPr>
          <w:p w14:paraId="74357A20"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Weighted AE cost per RZV dose</w:t>
            </w:r>
          </w:p>
        </w:tc>
        <w:tc>
          <w:tcPr>
            <w:tcW w:w="1356" w:type="pct"/>
            <w:shd w:val="clear" w:color="auto" w:fill="auto"/>
          </w:tcPr>
          <w:p w14:paraId="429B0B05" w14:textId="641B6D2A" w:rsidR="002750E1" w:rsidRPr="002750E1" w:rsidRDefault="008B6782" w:rsidP="002750E1">
            <w:pPr>
              <w:spacing w:before="40" w:after="4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64.51</w:t>
            </w:r>
          </w:p>
        </w:tc>
        <w:tc>
          <w:tcPr>
            <w:tcW w:w="1357" w:type="pct"/>
            <w:shd w:val="clear" w:color="auto" w:fill="auto"/>
          </w:tcPr>
          <w:p w14:paraId="5102A026" w14:textId="0B37C25F" w:rsidR="002750E1" w:rsidRPr="002750E1" w:rsidRDefault="008B6782" w:rsidP="002750E1">
            <w:pPr>
              <w:spacing w:before="40" w:after="4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32.25</w:t>
            </w:r>
          </w:p>
        </w:tc>
        <w:tc>
          <w:tcPr>
            <w:tcW w:w="1356" w:type="pct"/>
            <w:shd w:val="clear" w:color="auto" w:fill="auto"/>
          </w:tcPr>
          <w:p w14:paraId="6CC6A9C5" w14:textId="75286F61" w:rsidR="002750E1" w:rsidRPr="002750E1" w:rsidRDefault="008B6782" w:rsidP="002750E1">
            <w:pPr>
              <w:spacing w:before="40" w:after="4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129.02</w:t>
            </w:r>
          </w:p>
        </w:tc>
      </w:tr>
      <w:tr w:rsidR="002750E1" w:rsidRPr="002750E1" w14:paraId="6102EEDD" w14:textId="77777777" w:rsidTr="0042228A">
        <w:trPr>
          <w:cantSplit/>
        </w:trPr>
        <w:tc>
          <w:tcPr>
            <w:tcW w:w="931" w:type="pct"/>
            <w:shd w:val="clear" w:color="auto" w:fill="auto"/>
          </w:tcPr>
          <w:p w14:paraId="6EC4CB3B"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Direct medical costs per HZ case without PHN</w:t>
            </w:r>
          </w:p>
        </w:tc>
        <w:tc>
          <w:tcPr>
            <w:tcW w:w="1356" w:type="pct"/>
            <w:shd w:val="clear" w:color="auto" w:fill="auto"/>
          </w:tcPr>
          <w:p w14:paraId="0EB588A1" w14:textId="2B45D746" w:rsidR="002750E1" w:rsidRPr="002750E1" w:rsidRDefault="008B6782" w:rsidP="002750E1">
            <w:pPr>
              <w:spacing w:before="40" w:after="4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3,577.75</w:t>
            </w:r>
          </w:p>
        </w:tc>
        <w:tc>
          <w:tcPr>
            <w:tcW w:w="1357" w:type="pct"/>
            <w:shd w:val="clear" w:color="auto" w:fill="auto"/>
          </w:tcPr>
          <w:p w14:paraId="65473512" w14:textId="316055CC" w:rsidR="002750E1" w:rsidRPr="002750E1" w:rsidRDefault="008B6782" w:rsidP="002750E1">
            <w:pPr>
              <w:spacing w:before="40" w:after="4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357.78</w:t>
            </w:r>
          </w:p>
        </w:tc>
        <w:tc>
          <w:tcPr>
            <w:tcW w:w="1356" w:type="pct"/>
            <w:shd w:val="clear" w:color="auto" w:fill="auto"/>
          </w:tcPr>
          <w:p w14:paraId="77CBD04C" w14:textId="57C843E2" w:rsidR="002750E1" w:rsidRPr="002750E1" w:rsidRDefault="008B6782" w:rsidP="002750E1">
            <w:pPr>
              <w:spacing w:before="40" w:after="4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4,293.30</w:t>
            </w:r>
          </w:p>
        </w:tc>
      </w:tr>
      <w:tr w:rsidR="002750E1" w:rsidRPr="002750E1" w14:paraId="3BC8041D" w14:textId="77777777" w:rsidTr="003A1943">
        <w:trPr>
          <w:cantSplit/>
          <w:trHeight w:val="373"/>
        </w:trPr>
        <w:tc>
          <w:tcPr>
            <w:tcW w:w="931" w:type="pct"/>
            <w:shd w:val="clear" w:color="auto" w:fill="auto"/>
          </w:tcPr>
          <w:p w14:paraId="48928CD8" w14:textId="77777777" w:rsidR="002750E1" w:rsidRPr="002750E1" w:rsidRDefault="002750E1" w:rsidP="002750E1">
            <w:pPr>
              <w:spacing w:before="40" w:after="40" w:line="240" w:lineRule="atLeast"/>
              <w:rPr>
                <w:rFonts w:ascii="Times New Roman" w:eastAsia="Times New Roman" w:hAnsi="Times New Roman" w:cs="Times New Roman"/>
                <w:sz w:val="24"/>
                <w:szCs w:val="24"/>
              </w:rPr>
            </w:pPr>
            <w:r w:rsidRPr="002750E1">
              <w:rPr>
                <w:rFonts w:ascii="Times New Roman" w:eastAsia="Times New Roman" w:hAnsi="Times New Roman" w:cs="Times New Roman"/>
                <w:sz w:val="24"/>
                <w:szCs w:val="24"/>
              </w:rPr>
              <w:t>Direct medical costs per HZ case with PHN</w:t>
            </w:r>
          </w:p>
        </w:tc>
        <w:tc>
          <w:tcPr>
            <w:tcW w:w="1356" w:type="pct"/>
            <w:shd w:val="clear" w:color="auto" w:fill="auto"/>
          </w:tcPr>
          <w:p w14:paraId="39321E46" w14:textId="38E10799" w:rsidR="002750E1" w:rsidRPr="002750E1" w:rsidRDefault="008B6782" w:rsidP="002750E1">
            <w:pPr>
              <w:spacing w:before="40" w:after="4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8,512.86</w:t>
            </w:r>
          </w:p>
        </w:tc>
        <w:tc>
          <w:tcPr>
            <w:tcW w:w="1357" w:type="pct"/>
            <w:shd w:val="clear" w:color="auto" w:fill="auto"/>
          </w:tcPr>
          <w:p w14:paraId="52C03B2B" w14:textId="2BED51E6" w:rsidR="002750E1" w:rsidRPr="002750E1" w:rsidRDefault="008B6782" w:rsidP="002750E1">
            <w:pPr>
              <w:spacing w:before="40" w:after="4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851.29</w:t>
            </w:r>
          </w:p>
        </w:tc>
        <w:tc>
          <w:tcPr>
            <w:tcW w:w="1356" w:type="pct"/>
            <w:shd w:val="clear" w:color="auto" w:fill="auto"/>
          </w:tcPr>
          <w:p w14:paraId="33AAD55C" w14:textId="4A6BABD0" w:rsidR="002750E1" w:rsidRPr="002750E1" w:rsidRDefault="008B6782" w:rsidP="002750E1">
            <w:pPr>
              <w:spacing w:before="40" w:after="4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r w:rsidR="002750E1" w:rsidRPr="002750E1">
              <w:rPr>
                <w:rFonts w:ascii="Times New Roman" w:eastAsia="Times New Roman" w:hAnsi="Times New Roman" w:cs="Times New Roman"/>
                <w:sz w:val="24"/>
                <w:szCs w:val="24"/>
              </w:rPr>
              <w:t>10,215.43</w:t>
            </w:r>
          </w:p>
        </w:tc>
      </w:tr>
    </w:tbl>
    <w:p w14:paraId="03529046" w14:textId="77777777"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imes New Roman" w:hAnsi="Times New Roman" w:cs="Times New Roman"/>
          <w:sz w:val="18"/>
          <w:szCs w:val="18"/>
        </w:rPr>
        <w:t>AE = adverse event; HZ = herpes zoster; IC = immunocompromised; ICER = incremental cost-effectiveness ratio; PHN = postherpetic neuralgia; QALY = quality-adjusted life-year; RZV = recombinant zoster vaccine.</w:t>
      </w:r>
    </w:p>
    <w:p w14:paraId="117588B3" w14:textId="0222064B" w:rsidR="002750E1" w:rsidRPr="002750E1" w:rsidRDefault="002750E1" w:rsidP="002750E1">
      <w:pPr>
        <w:keepLines/>
        <w:spacing w:before="120" w:after="0" w:line="240" w:lineRule="atLeast"/>
        <w:rPr>
          <w:rFonts w:ascii="Times New Roman" w:eastAsia="Times New Roman" w:hAnsi="Times New Roman" w:cs="Times New Roman"/>
          <w:sz w:val="16"/>
          <w:szCs w:val="18"/>
        </w:rPr>
      </w:pPr>
      <w:r w:rsidRPr="002750E1">
        <w:rPr>
          <w:rFonts w:ascii="Times New Roman" w:eastAsia="Times New Roman" w:hAnsi="Times New Roman" w:cs="Times New Roman"/>
          <w:sz w:val="18"/>
          <w:szCs w:val="18"/>
        </w:rPr>
        <w:lastRenderedPageBreak/>
        <w:t>* The ranges explored in this analysis are not necessarily the same ranges explored in sensitivity analyses that were reported in Table 1 through Table 6. Inputs were varied from –90% to +100% relative changes in the input’s base-case value(s) or until the resulting ICER crossed the minimum and maximum thresholds of –</w:t>
      </w:r>
      <w:r w:rsidR="008B6782">
        <w:rPr>
          <w:rFonts w:ascii="Times New Roman" w:eastAsia="Times New Roman" w:hAnsi="Times New Roman" w:cs="Times New Roman"/>
          <w:sz w:val="18"/>
          <w:szCs w:val="18"/>
        </w:rPr>
        <w:t>US$</w:t>
      </w:r>
      <w:r w:rsidRPr="002750E1">
        <w:rPr>
          <w:rFonts w:ascii="Times New Roman" w:eastAsia="Times New Roman" w:hAnsi="Times New Roman" w:cs="Times New Roman"/>
          <w:sz w:val="18"/>
          <w:szCs w:val="18"/>
        </w:rPr>
        <w:t xml:space="preserve">20,000 and </w:t>
      </w:r>
      <w:r w:rsidR="008B6782">
        <w:rPr>
          <w:rFonts w:ascii="Times New Roman" w:eastAsia="Times New Roman" w:hAnsi="Times New Roman" w:cs="Times New Roman"/>
          <w:sz w:val="18"/>
          <w:szCs w:val="18"/>
        </w:rPr>
        <w:t>US$</w:t>
      </w:r>
      <w:r w:rsidRPr="002750E1">
        <w:rPr>
          <w:rFonts w:ascii="Times New Roman" w:eastAsia="Times New Roman" w:hAnsi="Times New Roman" w:cs="Times New Roman"/>
          <w:sz w:val="18"/>
          <w:szCs w:val="18"/>
        </w:rPr>
        <w:t>160,000 per QALY, respectively.</w:t>
      </w:r>
    </w:p>
    <w:p w14:paraId="650A0881" w14:textId="77777777" w:rsidR="002750E1" w:rsidRPr="002750E1" w:rsidRDefault="002750E1" w:rsidP="002750E1">
      <w:pPr>
        <w:spacing w:after="0" w:line="240" w:lineRule="auto"/>
        <w:rPr>
          <w:rFonts w:ascii="Times New Roman" w:eastAsia="MS ??" w:hAnsi="Times New Roman" w:cs="Times New Roman"/>
          <w:b/>
          <w:bCs/>
        </w:rPr>
      </w:pPr>
    </w:p>
    <w:p w14:paraId="4CF526A9" w14:textId="77777777" w:rsidR="002750E1" w:rsidRPr="002750E1" w:rsidRDefault="002750E1" w:rsidP="002750E1">
      <w:pPr>
        <w:spacing w:after="0" w:line="240" w:lineRule="auto"/>
        <w:rPr>
          <w:rFonts w:ascii="Times New Roman" w:eastAsia="MS ??" w:hAnsi="Times New Roman" w:cs="Times New Roman"/>
          <w:b/>
          <w:bCs/>
        </w:rPr>
      </w:pPr>
    </w:p>
    <w:p w14:paraId="520DBCB2" w14:textId="0692D963" w:rsidR="002750E1" w:rsidRPr="002750E1" w:rsidRDefault="002750E1" w:rsidP="003A1943">
      <w:pPr>
        <w:rPr>
          <w:rFonts w:ascii="Times New Roman" w:eastAsia="Times New Roman" w:hAnsi="Times New Roman" w:cs="Times New Roman"/>
          <w:sz w:val="18"/>
          <w:szCs w:val="18"/>
        </w:rPr>
        <w:sectPr w:rsidR="002750E1" w:rsidRPr="002750E1" w:rsidSect="00947E43">
          <w:headerReference w:type="default" r:id="rId7"/>
          <w:footerReference w:type="default" r:id="rId8"/>
          <w:type w:val="continuous"/>
          <w:pgSz w:w="15840" w:h="12240" w:orient="landscape"/>
          <w:pgMar w:top="1440" w:right="1440" w:bottom="1440" w:left="1440" w:header="720" w:footer="720" w:gutter="0"/>
          <w:cols w:space="720"/>
          <w:docGrid w:linePitch="360"/>
        </w:sectPr>
      </w:pPr>
      <w:bookmarkStart w:id="28" w:name="_Hlk137572401"/>
      <w:bookmarkStart w:id="29" w:name="_Toc112418270"/>
    </w:p>
    <w:bookmarkEnd w:id="28"/>
    <w:p w14:paraId="0E6632E3" w14:textId="6D1C7AA1" w:rsidR="002750E1" w:rsidRPr="002750E1" w:rsidRDefault="002750E1" w:rsidP="002750E1">
      <w:pPr>
        <w:keepNext/>
        <w:spacing w:after="0" w:line="480" w:lineRule="auto"/>
        <w:contextualSpacing/>
        <w:rPr>
          <w:rFonts w:ascii="Times New Roman" w:eastAsia="MS ??" w:hAnsi="Times New Roman" w:cs="Times New Roman"/>
          <w:b/>
          <w:sz w:val="24"/>
          <w:szCs w:val="24"/>
        </w:rPr>
      </w:pPr>
      <w:r w:rsidRPr="002750E1">
        <w:rPr>
          <w:rFonts w:ascii="Times New Roman" w:eastAsia="MS ??" w:hAnsi="Times New Roman" w:cs="Times New Roman"/>
          <w:b/>
          <w:sz w:val="24"/>
          <w:szCs w:val="24"/>
        </w:rPr>
        <w:lastRenderedPageBreak/>
        <w:t xml:space="preserve">Figure </w:t>
      </w:r>
      <w:r w:rsidR="00062475" w:rsidRPr="002750E1">
        <w:rPr>
          <w:rFonts w:ascii="Times New Roman" w:eastAsia="MS ??" w:hAnsi="Times New Roman" w:cs="Times New Roman"/>
          <w:b/>
          <w:sz w:val="24"/>
          <w:szCs w:val="24"/>
        </w:rPr>
        <w:t>A</w:t>
      </w:r>
      <w:r w:rsidR="00062475">
        <w:rPr>
          <w:rFonts w:ascii="Times New Roman" w:eastAsia="MS ??" w:hAnsi="Times New Roman" w:cs="Times New Roman"/>
          <w:b/>
          <w:sz w:val="24"/>
          <w:szCs w:val="24"/>
        </w:rPr>
        <w:t>1</w:t>
      </w:r>
      <w:r w:rsidRPr="002750E1">
        <w:rPr>
          <w:rFonts w:ascii="Times New Roman" w:eastAsia="MS ??" w:hAnsi="Times New Roman" w:cs="Times New Roman"/>
          <w:b/>
          <w:sz w:val="24"/>
          <w:szCs w:val="24"/>
        </w:rPr>
        <w:t xml:space="preserve">. Plain language summary of this cost-effectiveness study of recombinant zoster vaccine for use in immunocompromised adults against herpes zoster in the United States </w:t>
      </w:r>
    </w:p>
    <w:p w14:paraId="100747A2" w14:textId="78997157" w:rsidR="009454A6" w:rsidRDefault="002750E1" w:rsidP="002750E1">
      <w:pPr>
        <w:spacing w:after="0" w:line="240" w:lineRule="auto"/>
        <w:rPr>
          <w:noProof/>
        </w:rPr>
      </w:pPr>
      <w:r w:rsidRPr="002750E1" w:rsidDel="00786A9A">
        <w:rPr>
          <w:rFonts w:ascii="Cambria" w:eastAsia="MS ??" w:hAnsi="Cambria" w:cs="Times New Roman"/>
          <w:sz w:val="24"/>
          <w:szCs w:val="24"/>
        </w:rPr>
        <w:t xml:space="preserve"> </w:t>
      </w:r>
      <w:r w:rsidR="0006252D" w:rsidRPr="0006252D">
        <w:rPr>
          <w:noProof/>
        </w:rPr>
        <w:t xml:space="preserve"> </w:t>
      </w:r>
      <w:r w:rsidR="0006252D" w:rsidRPr="0006252D">
        <w:rPr>
          <w:rFonts w:ascii="Cambria" w:eastAsia="MS ??" w:hAnsi="Cambria" w:cs="Times New Roman"/>
          <w:noProof/>
          <w:sz w:val="24"/>
          <w:szCs w:val="24"/>
        </w:rPr>
        <w:drawing>
          <wp:inline distT="0" distB="0" distL="0" distR="0" wp14:anchorId="1B658CE7" wp14:editId="11F47D1C">
            <wp:extent cx="4691270" cy="7483544"/>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99700" cy="7496991"/>
                    </a:xfrm>
                    <a:prstGeom prst="rect">
                      <a:avLst/>
                    </a:prstGeom>
                  </pic:spPr>
                </pic:pic>
              </a:graphicData>
            </a:graphic>
          </wp:inline>
        </w:drawing>
      </w:r>
      <w:r w:rsidR="009454A6" w:rsidRPr="009454A6">
        <w:rPr>
          <w:noProof/>
        </w:rPr>
        <w:t xml:space="preserve"> </w:t>
      </w:r>
    </w:p>
    <w:p w14:paraId="01BADAAE" w14:textId="319E0460" w:rsidR="002750E1" w:rsidRPr="002750E1" w:rsidRDefault="0006252D" w:rsidP="002750E1">
      <w:pPr>
        <w:spacing w:after="0" w:line="240" w:lineRule="auto"/>
        <w:rPr>
          <w:rFonts w:ascii="Cambria" w:eastAsia="MS ??" w:hAnsi="Cambria" w:cs="Times New Roman"/>
          <w:sz w:val="24"/>
          <w:szCs w:val="24"/>
        </w:rPr>
      </w:pPr>
      <w:r w:rsidRPr="0006252D">
        <w:rPr>
          <w:rFonts w:ascii="Cambria" w:eastAsia="MS ??" w:hAnsi="Cambria" w:cs="Times New Roman"/>
          <w:noProof/>
          <w:sz w:val="24"/>
          <w:szCs w:val="24"/>
        </w:rPr>
        <w:lastRenderedPageBreak/>
        <w:drawing>
          <wp:inline distT="0" distB="0" distL="0" distR="0" wp14:anchorId="35288BC4" wp14:editId="541A1E98">
            <wp:extent cx="4699221" cy="8658297"/>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20520" cy="8697540"/>
                    </a:xfrm>
                    <a:prstGeom prst="rect">
                      <a:avLst/>
                    </a:prstGeom>
                  </pic:spPr>
                </pic:pic>
              </a:graphicData>
            </a:graphic>
          </wp:inline>
        </w:drawing>
      </w:r>
      <w:r w:rsidRPr="0006252D" w:rsidDel="009454A6">
        <w:rPr>
          <w:rFonts w:ascii="Cambria" w:eastAsia="MS ??" w:hAnsi="Cambria" w:cs="Times New Roman"/>
          <w:sz w:val="24"/>
          <w:szCs w:val="24"/>
        </w:rPr>
        <w:t xml:space="preserve"> </w:t>
      </w:r>
      <w:r w:rsidR="002750E1" w:rsidRPr="002750E1" w:rsidDel="00786A9A">
        <w:rPr>
          <w:rFonts w:ascii="Cambria" w:eastAsia="MS ??" w:hAnsi="Cambria" w:cs="Times New Roman"/>
          <w:sz w:val="24"/>
          <w:szCs w:val="24"/>
        </w:rPr>
        <w:t xml:space="preserve"> </w:t>
      </w:r>
      <w:r w:rsidR="002750E1" w:rsidRPr="002750E1">
        <w:rPr>
          <w:rFonts w:ascii="Cambria" w:eastAsia="MS ??" w:hAnsi="Cambria" w:cs="Times New Roman"/>
          <w:sz w:val="24"/>
          <w:szCs w:val="24"/>
        </w:rPr>
        <w:br w:type="page"/>
      </w:r>
    </w:p>
    <w:p w14:paraId="7863E697" w14:textId="1995672C" w:rsidR="002750E1" w:rsidRPr="002750E1" w:rsidRDefault="002750E1" w:rsidP="002750E1">
      <w:pPr>
        <w:keepNext/>
        <w:spacing w:after="0" w:line="480" w:lineRule="auto"/>
        <w:contextualSpacing/>
        <w:rPr>
          <w:rFonts w:ascii="Times New Roman" w:eastAsia="MS ??" w:hAnsi="Times New Roman" w:cs="Times New Roman"/>
          <w:b/>
          <w:sz w:val="24"/>
          <w:szCs w:val="24"/>
        </w:rPr>
      </w:pPr>
      <w:r w:rsidRPr="002750E1">
        <w:rPr>
          <w:rFonts w:ascii="Times New Roman" w:eastAsia="MS ??" w:hAnsi="Times New Roman" w:cs="Times New Roman"/>
          <w:b/>
          <w:sz w:val="24"/>
          <w:szCs w:val="24"/>
        </w:rPr>
        <w:lastRenderedPageBreak/>
        <w:t xml:space="preserve">Figure </w:t>
      </w:r>
      <w:r w:rsidR="00062475" w:rsidRPr="002750E1">
        <w:rPr>
          <w:rFonts w:ascii="Times New Roman" w:eastAsia="MS ??" w:hAnsi="Times New Roman" w:cs="Times New Roman"/>
          <w:b/>
          <w:sz w:val="24"/>
          <w:szCs w:val="24"/>
        </w:rPr>
        <w:t>A</w:t>
      </w:r>
      <w:r w:rsidR="00062475">
        <w:rPr>
          <w:rFonts w:ascii="Times New Roman" w:eastAsia="MS ??" w:hAnsi="Times New Roman" w:cs="Times New Roman"/>
          <w:b/>
          <w:sz w:val="24"/>
          <w:szCs w:val="24"/>
        </w:rPr>
        <w:t>2</w:t>
      </w:r>
      <w:r w:rsidRPr="002750E1">
        <w:rPr>
          <w:rFonts w:ascii="Times New Roman" w:eastAsia="MS ??" w:hAnsi="Times New Roman" w:cs="Times New Roman"/>
          <w:b/>
          <w:sz w:val="24"/>
          <w:szCs w:val="24"/>
        </w:rPr>
        <w:t xml:space="preserve">. Incremental cost-effectiveness ratios for RZV versus </w:t>
      </w:r>
      <w:r w:rsidR="00051403">
        <w:rPr>
          <w:rFonts w:ascii="Times New Roman" w:eastAsia="MS ??" w:hAnsi="Times New Roman" w:cs="Times New Roman"/>
          <w:b/>
          <w:sz w:val="24"/>
          <w:szCs w:val="24"/>
        </w:rPr>
        <w:t>no vaccine</w:t>
      </w:r>
      <w:r w:rsidRPr="002750E1">
        <w:rPr>
          <w:rFonts w:ascii="Times New Roman" w:eastAsia="MS ??" w:hAnsi="Times New Roman" w:cs="Times New Roman"/>
          <w:b/>
          <w:sz w:val="24"/>
          <w:szCs w:val="24"/>
        </w:rPr>
        <w:t xml:space="preserve"> for US HSCT adults aged 35 years, when values of key inputs are varied from –90% to +100% of base-case values </w:t>
      </w:r>
      <w:bookmarkEnd w:id="29"/>
    </w:p>
    <w:p w14:paraId="2B9218D8" w14:textId="56387C20" w:rsidR="002750E1" w:rsidRPr="002750E1" w:rsidRDefault="00CA4BE2" w:rsidP="002750E1">
      <w:pPr>
        <w:spacing w:after="0" w:line="240" w:lineRule="auto"/>
        <w:rPr>
          <w:rFonts w:ascii="Cambria" w:eastAsia="MS ??" w:hAnsi="Cambria" w:cs="Times New Roman"/>
          <w:sz w:val="24"/>
          <w:szCs w:val="24"/>
        </w:rPr>
      </w:pPr>
      <w:r>
        <w:rPr>
          <w:noProof/>
        </w:rPr>
        <w:drawing>
          <wp:inline distT="0" distB="0" distL="0" distR="0" wp14:anchorId="5040B935" wp14:editId="64957F10">
            <wp:extent cx="4927600" cy="390525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27600" cy="3905250"/>
                    </a:xfrm>
                    <a:prstGeom prst="rect">
                      <a:avLst/>
                    </a:prstGeom>
                    <a:noFill/>
                    <a:ln>
                      <a:noFill/>
                    </a:ln>
                  </pic:spPr>
                </pic:pic>
              </a:graphicData>
            </a:graphic>
          </wp:inline>
        </w:drawing>
      </w:r>
    </w:p>
    <w:p w14:paraId="1ECFF182" w14:textId="5E6280A0" w:rsidR="002750E1" w:rsidRPr="002750E1" w:rsidRDefault="002750E1" w:rsidP="002750E1">
      <w:pPr>
        <w:spacing w:after="0" w:line="240" w:lineRule="auto"/>
        <w:rPr>
          <w:rFonts w:ascii="Cambria" w:eastAsia="MS ??" w:hAnsi="Cambria" w:cs="Times New Roman"/>
          <w:sz w:val="24"/>
          <w:szCs w:val="24"/>
        </w:rPr>
      </w:pPr>
      <w:r w:rsidRPr="002750E1" w:rsidDel="001D63E0">
        <w:rPr>
          <w:rFonts w:ascii="Cambria" w:eastAsia="MS ??" w:hAnsi="Cambria" w:cs="Times New Roman"/>
          <w:sz w:val="24"/>
          <w:szCs w:val="24"/>
        </w:rPr>
        <w:t xml:space="preserve"> </w:t>
      </w:r>
    </w:p>
    <w:p w14:paraId="2A70D64E" w14:textId="3292FD30" w:rsidR="002750E1" w:rsidRPr="002750E1" w:rsidRDefault="002750E1" w:rsidP="002750E1">
      <w:pPr>
        <w:keepLines/>
        <w:spacing w:before="120" w:after="0" w:line="240" w:lineRule="atLeast"/>
        <w:rPr>
          <w:rFonts w:ascii="Times New Roman" w:eastAsia="Times New Roman" w:hAnsi="Times New Roman" w:cs="Times New Roman"/>
          <w:sz w:val="18"/>
          <w:szCs w:val="18"/>
        </w:rPr>
      </w:pPr>
      <w:r w:rsidRPr="002750E1">
        <w:rPr>
          <w:rFonts w:ascii="Times New Roman" w:eastAsiaTheme="minorEastAsia" w:hAnsi="Times New Roman" w:cs="Times New Roman"/>
          <w:sz w:val="18"/>
          <w:szCs w:val="18"/>
        </w:rPr>
        <w:t>HSCT = hematopoietic stem</w:t>
      </w:r>
      <w:r w:rsidR="00DE69CB">
        <w:rPr>
          <w:rFonts w:ascii="Times New Roman" w:eastAsiaTheme="minorEastAsia" w:hAnsi="Times New Roman" w:cs="Times New Roman"/>
          <w:sz w:val="18"/>
          <w:szCs w:val="18"/>
        </w:rPr>
        <w:t xml:space="preserve"> </w:t>
      </w:r>
      <w:r w:rsidRPr="002750E1">
        <w:rPr>
          <w:rFonts w:ascii="Times New Roman" w:eastAsiaTheme="minorEastAsia" w:hAnsi="Times New Roman" w:cs="Times New Roman"/>
          <w:sz w:val="18"/>
          <w:szCs w:val="18"/>
        </w:rPr>
        <w:t>cell transplant; HZ = herpes zoster; IC = immunocompromised; ICER = incremental cost-effectiveness ratio; PHN = postherpetic neuralgia; QALY = quality-adjusted life-year; RZV = recombinant zoster vaccine; US = United States.</w:t>
      </w:r>
    </w:p>
    <w:p w14:paraId="45DA2C27" w14:textId="77777777" w:rsidR="002750E1" w:rsidRPr="002750E1" w:rsidRDefault="002750E1" w:rsidP="002750E1">
      <w:pPr>
        <w:keepLines/>
        <w:spacing w:before="120" w:after="0" w:line="240" w:lineRule="atLeast"/>
        <w:rPr>
          <w:rFonts w:ascii="Times New Roman" w:eastAsia="Times New Roman" w:hAnsi="Times New Roman" w:cs="Times New Roman"/>
          <w:b/>
          <w:bCs/>
          <w:sz w:val="18"/>
          <w:szCs w:val="18"/>
        </w:rPr>
      </w:pPr>
      <w:r w:rsidRPr="002750E1">
        <w:rPr>
          <w:rFonts w:ascii="Times New Roman" w:eastAsiaTheme="minorEastAsia" w:hAnsi="Times New Roman" w:cs="Times New Roman"/>
          <w:sz w:val="18"/>
          <w:szCs w:val="18"/>
        </w:rPr>
        <w:t xml:space="preserve">Note: The base-case input values and input values at the minimum and maximum points considered in this figure are presented in </w:t>
      </w:r>
      <w:r w:rsidRPr="002750E1">
        <w:rPr>
          <w:rFonts w:ascii="Times New Roman" w:eastAsiaTheme="minorEastAsia" w:hAnsi="Times New Roman" w:cs="Times New Roman"/>
          <w:b/>
          <w:bCs/>
          <w:sz w:val="18"/>
          <w:szCs w:val="18"/>
        </w:rPr>
        <w:t>Table A6</w:t>
      </w:r>
      <w:r w:rsidRPr="002750E1">
        <w:rPr>
          <w:rFonts w:ascii="Times New Roman" w:eastAsiaTheme="minorEastAsia" w:hAnsi="Times New Roman" w:cs="Times New Roman"/>
          <w:sz w:val="18"/>
          <w:szCs w:val="18"/>
        </w:rPr>
        <w:t>.</w:t>
      </w:r>
    </w:p>
    <w:p w14:paraId="5DDCA863" w14:textId="77777777" w:rsidR="002750E1" w:rsidRPr="002750E1" w:rsidRDefault="002750E1" w:rsidP="002750E1">
      <w:pPr>
        <w:spacing w:after="0" w:line="240" w:lineRule="auto"/>
        <w:rPr>
          <w:rFonts w:ascii="Cambria" w:eastAsia="MS ??" w:hAnsi="Cambria" w:cs="Times New Roman"/>
          <w:sz w:val="24"/>
          <w:szCs w:val="24"/>
        </w:rPr>
      </w:pPr>
    </w:p>
    <w:p w14:paraId="7534BE18" w14:textId="4C07F7B9" w:rsidR="002750E1" w:rsidRPr="002750E1" w:rsidRDefault="002750E1" w:rsidP="002750E1">
      <w:pPr>
        <w:keepNext/>
        <w:spacing w:after="0" w:line="480" w:lineRule="auto"/>
        <w:contextualSpacing/>
        <w:rPr>
          <w:rFonts w:ascii="Times New Roman" w:eastAsia="MS ??" w:hAnsi="Times New Roman" w:cs="Times New Roman"/>
          <w:b/>
          <w:sz w:val="24"/>
          <w:szCs w:val="24"/>
        </w:rPr>
      </w:pPr>
      <w:bookmarkStart w:id="30" w:name="_Toc112418271"/>
      <w:r w:rsidRPr="002750E1">
        <w:rPr>
          <w:rFonts w:ascii="Times New Roman" w:eastAsia="MS ??" w:hAnsi="Times New Roman" w:cs="Times New Roman"/>
          <w:b/>
          <w:sz w:val="24"/>
          <w:szCs w:val="24"/>
        </w:rPr>
        <w:lastRenderedPageBreak/>
        <w:t xml:space="preserve">Figure </w:t>
      </w:r>
      <w:r w:rsidR="00062475" w:rsidRPr="002750E1">
        <w:rPr>
          <w:rFonts w:ascii="Times New Roman" w:eastAsia="MS ??" w:hAnsi="Times New Roman" w:cs="Times New Roman"/>
          <w:b/>
          <w:sz w:val="24"/>
          <w:szCs w:val="24"/>
        </w:rPr>
        <w:t>A</w:t>
      </w:r>
      <w:r w:rsidR="00062475">
        <w:rPr>
          <w:rFonts w:ascii="Times New Roman" w:eastAsia="MS ??" w:hAnsi="Times New Roman" w:cs="Times New Roman"/>
          <w:b/>
          <w:sz w:val="24"/>
          <w:szCs w:val="24"/>
        </w:rPr>
        <w:t>3</w:t>
      </w:r>
      <w:r w:rsidRPr="002750E1">
        <w:rPr>
          <w:rFonts w:ascii="Times New Roman" w:eastAsia="MS ??" w:hAnsi="Times New Roman" w:cs="Times New Roman"/>
          <w:b/>
          <w:bCs/>
          <w:sz w:val="24"/>
          <w:szCs w:val="24"/>
        </w:rPr>
        <w:t xml:space="preserve">. </w:t>
      </w:r>
      <w:r w:rsidRPr="002750E1">
        <w:rPr>
          <w:rFonts w:ascii="Times New Roman" w:eastAsia="MS ??" w:hAnsi="Times New Roman" w:cs="Times New Roman"/>
          <w:b/>
          <w:sz w:val="24"/>
          <w:szCs w:val="24"/>
        </w:rPr>
        <w:t>RZV efficacy over time in the ZONA IC Model for United States HSCT adults aged 35 years based on base-case efficacy and waning data</w:t>
      </w:r>
      <w:bookmarkEnd w:id="30"/>
    </w:p>
    <w:p w14:paraId="036DA0A6" w14:textId="77777777" w:rsidR="002750E1" w:rsidRPr="002750E1" w:rsidRDefault="002750E1" w:rsidP="002750E1">
      <w:pPr>
        <w:spacing w:after="0" w:line="240" w:lineRule="auto"/>
        <w:rPr>
          <w:rFonts w:ascii="Cambria" w:eastAsia="MS ??" w:hAnsi="Cambria" w:cs="Times New Roman"/>
          <w:sz w:val="24"/>
          <w:szCs w:val="24"/>
        </w:rPr>
      </w:pPr>
      <w:r w:rsidRPr="002750E1">
        <w:rPr>
          <w:rFonts w:ascii="Cambria" w:eastAsia="MS ??" w:hAnsi="Cambria" w:cs="Times New Roman"/>
          <w:noProof/>
          <w:sz w:val="24"/>
          <w:szCs w:val="24"/>
        </w:rPr>
        <w:drawing>
          <wp:inline distT="0" distB="0" distL="0" distR="0" wp14:anchorId="2284D1ED" wp14:editId="5C7625C5">
            <wp:extent cx="5165090" cy="3063240"/>
            <wp:effectExtent l="0" t="0" r="0" b="3810"/>
            <wp:docPr id="8" name="Picture 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1B213D3-BA13-4859-AED7-6956F5A4CCE2}"/>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1B213D3-BA13-4859-AED7-6956F5A4CCE2}"/>
                        </a:ext>
                      </a:extLst>
                    </pic:cNvPr>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65090" cy="3063240"/>
                    </a:xfrm>
                    <a:prstGeom prst="rect">
                      <a:avLst/>
                    </a:prstGeom>
                    <a:noFill/>
                    <a:ln>
                      <a:noFill/>
                    </a:ln>
                  </pic:spPr>
                </pic:pic>
              </a:graphicData>
            </a:graphic>
          </wp:inline>
        </w:drawing>
      </w:r>
    </w:p>
    <w:p w14:paraId="1FB8B295" w14:textId="0A4A32B2" w:rsidR="002750E1" w:rsidRDefault="002750E1" w:rsidP="002750E1">
      <w:pPr>
        <w:keepLines/>
        <w:spacing w:before="120" w:after="0" w:line="240" w:lineRule="atLeast"/>
        <w:rPr>
          <w:rFonts w:ascii="Times New Roman" w:eastAsiaTheme="minorEastAsia" w:hAnsi="Times New Roman" w:cs="Times New Roman"/>
          <w:sz w:val="18"/>
          <w:szCs w:val="18"/>
        </w:rPr>
      </w:pPr>
      <w:r w:rsidRPr="002750E1">
        <w:rPr>
          <w:rFonts w:ascii="Times New Roman" w:eastAsiaTheme="minorEastAsia" w:hAnsi="Times New Roman" w:cs="Times New Roman"/>
          <w:sz w:val="18"/>
          <w:szCs w:val="18"/>
        </w:rPr>
        <w:t>HSCT = hematopoietic stem</w:t>
      </w:r>
      <w:r w:rsidR="009B1F06">
        <w:rPr>
          <w:rFonts w:ascii="Times New Roman" w:eastAsiaTheme="minorEastAsia" w:hAnsi="Times New Roman" w:cs="Times New Roman"/>
          <w:sz w:val="18"/>
          <w:szCs w:val="18"/>
        </w:rPr>
        <w:t xml:space="preserve"> </w:t>
      </w:r>
      <w:r w:rsidRPr="002750E1">
        <w:rPr>
          <w:rFonts w:ascii="Times New Roman" w:eastAsiaTheme="minorEastAsia" w:hAnsi="Times New Roman" w:cs="Times New Roman"/>
          <w:sz w:val="18"/>
          <w:szCs w:val="18"/>
        </w:rPr>
        <w:t>cell transplant; HZ = herpes zoster; IC = immunocompromised; RZV = recombinant zoster vaccine; ZONA = Zoster Economic Analysis.</w:t>
      </w:r>
    </w:p>
    <w:p w14:paraId="4F601EC3" w14:textId="77777777" w:rsidR="00226C0F" w:rsidRPr="002750E1" w:rsidRDefault="00226C0F" w:rsidP="002750E1">
      <w:pPr>
        <w:keepLines/>
        <w:spacing w:before="120" w:after="0" w:line="240" w:lineRule="atLeast"/>
        <w:rPr>
          <w:rFonts w:ascii="Times New Roman" w:eastAsia="Times New Roman" w:hAnsi="Times New Roman" w:cs="Times New Roman"/>
          <w:sz w:val="18"/>
          <w:szCs w:val="18"/>
        </w:rPr>
      </w:pPr>
    </w:p>
    <w:p w14:paraId="7690AD2C" w14:textId="5B8797C7" w:rsidR="004067DA" w:rsidRDefault="002750E1">
      <w:pPr>
        <w:rPr>
          <w:rFonts w:ascii="Times New Roman" w:eastAsiaTheme="minorEastAsia" w:hAnsi="Times New Roman" w:cs="Times New Roman"/>
          <w:sz w:val="18"/>
          <w:szCs w:val="18"/>
        </w:rPr>
      </w:pPr>
      <w:r w:rsidRPr="002750E1">
        <w:rPr>
          <w:rFonts w:ascii="Times New Roman" w:eastAsiaTheme="minorEastAsia" w:hAnsi="Times New Roman" w:cs="Times New Roman"/>
          <w:sz w:val="18"/>
          <w:szCs w:val="18"/>
        </w:rPr>
        <w:t>Note: The shaded region represents the IC status duration. The origin for the x-axis corresponds to the population starting age for the base-case analysis. The ZONA IC Model calculates efficacy at the midpoint of each year.</w:t>
      </w:r>
      <w:r w:rsidR="004067DA">
        <w:rPr>
          <w:rFonts w:ascii="Times New Roman" w:eastAsiaTheme="minorEastAsia" w:hAnsi="Times New Roman" w:cs="Times New Roman"/>
          <w:sz w:val="18"/>
          <w:szCs w:val="18"/>
        </w:rPr>
        <w:br w:type="page"/>
      </w:r>
    </w:p>
    <w:p w14:paraId="4408BC7D" w14:textId="686AB789" w:rsidR="004067DA" w:rsidRPr="003A1943" w:rsidRDefault="004067DA" w:rsidP="004067DA">
      <w:pPr>
        <w:keepNext/>
        <w:spacing w:after="0" w:line="480" w:lineRule="auto"/>
        <w:contextualSpacing/>
        <w:rPr>
          <w:rFonts w:ascii="Times New Roman" w:eastAsia="MS ??" w:hAnsi="Times New Roman" w:cs="Times New Roman"/>
          <w:b/>
          <w:sz w:val="24"/>
          <w:szCs w:val="24"/>
        </w:rPr>
      </w:pPr>
      <w:bookmarkStart w:id="31" w:name="_Toc112418272"/>
      <w:r w:rsidRPr="003A1943">
        <w:rPr>
          <w:rFonts w:ascii="Times New Roman" w:eastAsia="MS ??" w:hAnsi="Times New Roman" w:cs="Times New Roman"/>
          <w:b/>
          <w:sz w:val="24"/>
          <w:szCs w:val="24"/>
        </w:rPr>
        <w:lastRenderedPageBreak/>
        <w:t>Figure A</w:t>
      </w:r>
      <w:r>
        <w:rPr>
          <w:rFonts w:ascii="Times New Roman" w:eastAsia="MS ??" w:hAnsi="Times New Roman" w:cs="Times New Roman"/>
          <w:b/>
          <w:sz w:val="24"/>
          <w:szCs w:val="24"/>
        </w:rPr>
        <w:t>4</w:t>
      </w:r>
      <w:r w:rsidRPr="003A1943">
        <w:rPr>
          <w:rFonts w:ascii="Times New Roman" w:eastAsia="MS ??" w:hAnsi="Times New Roman" w:cs="Times New Roman"/>
          <w:b/>
          <w:sz w:val="24"/>
          <w:szCs w:val="24"/>
        </w:rPr>
        <w:t>. RZV efficacy over time in the ZONA IC Model for United States adults with other immunocompromised conditions</w:t>
      </w:r>
      <w:bookmarkEnd w:id="31"/>
    </w:p>
    <w:p w14:paraId="1E33DE1B" w14:textId="77777777" w:rsidR="004067DA" w:rsidRPr="003A1943" w:rsidRDefault="004067DA" w:rsidP="004067DA">
      <w:pPr>
        <w:spacing w:after="0" w:line="240" w:lineRule="auto"/>
        <w:rPr>
          <w:rFonts w:ascii="Times New Roman" w:eastAsia="MS ??" w:hAnsi="Times New Roman" w:cs="Times New Roman"/>
          <w:sz w:val="24"/>
          <w:szCs w:val="24"/>
        </w:rPr>
      </w:pPr>
      <w:r w:rsidRPr="003A1943">
        <w:rPr>
          <w:rFonts w:ascii="Times New Roman" w:eastAsia="MS ??" w:hAnsi="Times New Roman" w:cs="Times New Roman"/>
          <w:noProof/>
          <w:sz w:val="24"/>
          <w:szCs w:val="24"/>
        </w:rPr>
        <w:drawing>
          <wp:inline distT="0" distB="0" distL="0" distR="0" wp14:anchorId="2AB557D6" wp14:editId="09F7713B">
            <wp:extent cx="5270500" cy="3123565"/>
            <wp:effectExtent l="0" t="0" r="6350" b="635"/>
            <wp:docPr id="9" name="Picture 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FD1E460-A8E7-459B-865F-09587DFC2F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FD1E460-A8E7-459B-865F-09587DFC2F2C}"/>
                        </a:ext>
                      </a:extLst>
                    </pic:cNvPr>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0500" cy="3123565"/>
                    </a:xfrm>
                    <a:prstGeom prst="rect">
                      <a:avLst/>
                    </a:prstGeom>
                    <a:noFill/>
                    <a:ln>
                      <a:noFill/>
                    </a:ln>
                  </pic:spPr>
                </pic:pic>
              </a:graphicData>
            </a:graphic>
          </wp:inline>
        </w:drawing>
      </w:r>
    </w:p>
    <w:p w14:paraId="46DC6B5A" w14:textId="77777777" w:rsidR="004067DA" w:rsidRPr="003A1943" w:rsidRDefault="004067DA" w:rsidP="004067DA">
      <w:pPr>
        <w:keepLines/>
        <w:spacing w:before="120" w:after="0" w:line="240" w:lineRule="atLeast"/>
        <w:rPr>
          <w:rFonts w:ascii="Times New Roman" w:eastAsia="Times New Roman" w:hAnsi="Times New Roman" w:cs="Times New Roman"/>
          <w:sz w:val="18"/>
          <w:szCs w:val="20"/>
        </w:rPr>
      </w:pPr>
      <w:r w:rsidRPr="003A1943">
        <w:rPr>
          <w:rFonts w:ascii="Times New Roman" w:eastAsiaTheme="minorEastAsia" w:hAnsi="Times New Roman" w:cs="Times New Roman"/>
          <w:sz w:val="18"/>
          <w:szCs w:val="20"/>
        </w:rPr>
        <w:t>HIV = human immunodeficiency virus; HZ = herpes zoster; IC = immunocompromised; RZV = recombinant zoster vaccine; ZONA = Zoster Economic Analysis.</w:t>
      </w:r>
    </w:p>
    <w:p w14:paraId="110F48B8" w14:textId="77777777" w:rsidR="004067DA" w:rsidRPr="003A1943" w:rsidRDefault="004067DA" w:rsidP="004067DA">
      <w:pPr>
        <w:keepLines/>
        <w:spacing w:before="120" w:after="0" w:line="240" w:lineRule="atLeast"/>
        <w:rPr>
          <w:rFonts w:ascii="Times New Roman" w:eastAsia="Times New Roman" w:hAnsi="Times New Roman" w:cs="Times New Roman"/>
          <w:sz w:val="18"/>
          <w:szCs w:val="20"/>
        </w:rPr>
      </w:pPr>
      <w:r w:rsidRPr="003A1943">
        <w:rPr>
          <w:rFonts w:ascii="Times New Roman" w:eastAsiaTheme="minorEastAsia" w:hAnsi="Times New Roman" w:cs="Times New Roman"/>
          <w:sz w:val="18"/>
          <w:szCs w:val="20"/>
        </w:rPr>
        <w:t>Note: The shaded region in each panel represents the IC status duration for the given scenario. The origin for the x-axis corresponds to the population starting age for the given scenario. The ZONA IC Model calculates efficacy at the midpoint of each year.</w:t>
      </w:r>
    </w:p>
    <w:p w14:paraId="12657956" w14:textId="77777777" w:rsidR="004067DA" w:rsidRPr="003A1943" w:rsidRDefault="004067DA" w:rsidP="004067DA">
      <w:pPr>
        <w:spacing w:after="0" w:line="240" w:lineRule="auto"/>
        <w:rPr>
          <w:rFonts w:ascii="Times New Roman" w:eastAsia="MS ??" w:hAnsi="Times New Roman" w:cs="Times New Roman"/>
          <w:sz w:val="28"/>
          <w:szCs w:val="28"/>
        </w:rPr>
      </w:pPr>
      <w:r w:rsidRPr="003A1943">
        <w:rPr>
          <w:rFonts w:ascii="Times New Roman" w:eastAsia="MS ??" w:hAnsi="Times New Roman" w:cs="Times New Roman"/>
          <w:sz w:val="28"/>
          <w:szCs w:val="28"/>
        </w:rPr>
        <w:br w:type="page"/>
      </w:r>
    </w:p>
    <w:p w14:paraId="59EC9E73" w14:textId="550598F4" w:rsidR="004067DA" w:rsidRPr="003A1943" w:rsidRDefault="004067DA" w:rsidP="004067DA">
      <w:pPr>
        <w:keepNext/>
        <w:spacing w:after="0" w:line="480" w:lineRule="auto"/>
        <w:contextualSpacing/>
        <w:rPr>
          <w:rFonts w:ascii="Times New Roman" w:eastAsia="MS ??" w:hAnsi="Times New Roman" w:cs="Times New Roman"/>
          <w:b/>
          <w:sz w:val="24"/>
          <w:szCs w:val="24"/>
          <w:vertAlign w:val="superscript"/>
        </w:rPr>
      </w:pPr>
      <w:bookmarkStart w:id="32" w:name="_Toc112418273"/>
      <w:r w:rsidRPr="003A1943">
        <w:rPr>
          <w:rFonts w:ascii="Times New Roman" w:eastAsia="MS ??" w:hAnsi="Times New Roman" w:cs="Times New Roman"/>
          <w:b/>
          <w:sz w:val="24"/>
          <w:szCs w:val="24"/>
        </w:rPr>
        <w:lastRenderedPageBreak/>
        <w:t>Figure A5. Association between herpes zoster incidence in placebo arm and initial RZV efficacy against herpes zoster and postherpetic neuralgia, based on data from the ZOE-50 (Lal et al., 2015)</w:t>
      </w:r>
      <w:r w:rsidR="00C60E92">
        <w:rPr>
          <w:rFonts w:ascii="Times New Roman" w:eastAsia="MS ??" w:hAnsi="Times New Roman" w:cs="Times New Roman"/>
          <w:b/>
          <w:sz w:val="24"/>
          <w:szCs w:val="24"/>
        </w:rPr>
        <w:t>,</w:t>
      </w:r>
      <w:r w:rsidRPr="003A1943">
        <w:rPr>
          <w:rFonts w:ascii="Times New Roman" w:eastAsia="MS ??" w:hAnsi="Times New Roman" w:cs="Times New Roman"/>
          <w:b/>
          <w:sz w:val="24"/>
          <w:szCs w:val="24"/>
          <w:vertAlign w:val="superscript"/>
        </w:rPr>
        <w:t>2</w:t>
      </w:r>
      <w:r w:rsidR="00D046F8">
        <w:rPr>
          <w:rFonts w:ascii="Times New Roman" w:eastAsia="MS ??" w:hAnsi="Times New Roman" w:cs="Times New Roman"/>
          <w:b/>
          <w:sz w:val="24"/>
          <w:szCs w:val="24"/>
          <w:vertAlign w:val="superscript"/>
        </w:rPr>
        <w:t>5</w:t>
      </w:r>
      <w:r w:rsidRPr="003A1943">
        <w:rPr>
          <w:rFonts w:ascii="Times New Roman" w:eastAsia="MS ??" w:hAnsi="Times New Roman" w:cs="Times New Roman"/>
          <w:b/>
          <w:sz w:val="24"/>
          <w:szCs w:val="24"/>
        </w:rPr>
        <w:t xml:space="preserve"> ZOE-70 (Cunningham et al., 2016)</w:t>
      </w:r>
      <w:r w:rsidR="00C60E92">
        <w:rPr>
          <w:rFonts w:ascii="Times New Roman" w:eastAsia="MS ??" w:hAnsi="Times New Roman" w:cs="Times New Roman"/>
          <w:b/>
          <w:sz w:val="24"/>
          <w:szCs w:val="24"/>
        </w:rPr>
        <w:t>,</w:t>
      </w:r>
      <w:r w:rsidRPr="003A1943">
        <w:rPr>
          <w:rFonts w:ascii="Times New Roman" w:eastAsia="MS ??" w:hAnsi="Times New Roman" w:cs="Times New Roman"/>
          <w:b/>
          <w:sz w:val="24"/>
          <w:szCs w:val="24"/>
          <w:vertAlign w:val="superscript"/>
        </w:rPr>
        <w:t>2</w:t>
      </w:r>
      <w:r w:rsidR="00D046F8">
        <w:rPr>
          <w:rFonts w:ascii="Times New Roman" w:eastAsia="MS ??" w:hAnsi="Times New Roman" w:cs="Times New Roman"/>
          <w:b/>
          <w:sz w:val="24"/>
          <w:szCs w:val="24"/>
          <w:vertAlign w:val="superscript"/>
        </w:rPr>
        <w:t>4</w:t>
      </w:r>
      <w:r w:rsidRPr="003A1943">
        <w:rPr>
          <w:rFonts w:ascii="Times New Roman" w:eastAsia="MS ??" w:hAnsi="Times New Roman" w:cs="Times New Roman"/>
          <w:b/>
          <w:sz w:val="24"/>
          <w:szCs w:val="24"/>
        </w:rPr>
        <w:t xml:space="preserve"> ZOE-HM (Dagnew et al., 2019)</w:t>
      </w:r>
      <w:r w:rsidR="00C60E92">
        <w:rPr>
          <w:rFonts w:ascii="Times New Roman" w:eastAsia="MS ??" w:hAnsi="Times New Roman" w:cs="Times New Roman"/>
          <w:b/>
          <w:sz w:val="24"/>
          <w:szCs w:val="24"/>
        </w:rPr>
        <w:t>,</w:t>
      </w:r>
      <w:r w:rsidR="00D046F8">
        <w:rPr>
          <w:rFonts w:ascii="Times New Roman" w:eastAsia="MS ??" w:hAnsi="Times New Roman" w:cs="Times New Roman"/>
          <w:b/>
          <w:sz w:val="24"/>
          <w:szCs w:val="24"/>
          <w:vertAlign w:val="superscript"/>
        </w:rPr>
        <w:t>20</w:t>
      </w:r>
      <w:r w:rsidR="00C60E92">
        <w:rPr>
          <w:rFonts w:ascii="Times New Roman" w:eastAsia="MS ??" w:hAnsi="Times New Roman" w:cs="Times New Roman"/>
          <w:b/>
          <w:sz w:val="24"/>
          <w:szCs w:val="24"/>
        </w:rPr>
        <w:t xml:space="preserve"> </w:t>
      </w:r>
      <w:r w:rsidRPr="003A1943">
        <w:rPr>
          <w:rFonts w:ascii="Times New Roman" w:eastAsia="MS ??" w:hAnsi="Times New Roman" w:cs="Times New Roman"/>
          <w:b/>
          <w:sz w:val="24"/>
          <w:szCs w:val="24"/>
        </w:rPr>
        <w:t>and ZOE-HSCT (Bastidas et al., 2019)</w:t>
      </w:r>
      <w:r w:rsidRPr="003A1943">
        <w:rPr>
          <w:rFonts w:ascii="Times New Roman" w:eastAsia="MS ??" w:hAnsi="Times New Roman" w:cs="Times New Roman"/>
          <w:b/>
          <w:sz w:val="24"/>
          <w:szCs w:val="24"/>
          <w:vertAlign w:val="superscript"/>
        </w:rPr>
        <w:t>1</w:t>
      </w:r>
      <w:r w:rsidR="00AE259C">
        <w:rPr>
          <w:rFonts w:ascii="Times New Roman" w:eastAsia="MS ??" w:hAnsi="Times New Roman" w:cs="Times New Roman"/>
          <w:b/>
          <w:sz w:val="24"/>
          <w:szCs w:val="24"/>
          <w:vertAlign w:val="superscript"/>
        </w:rPr>
        <w:t>9</w:t>
      </w:r>
      <w:r w:rsidRPr="003A1943">
        <w:rPr>
          <w:rFonts w:ascii="Times New Roman" w:eastAsia="MS ??" w:hAnsi="Times New Roman" w:cs="Times New Roman"/>
          <w:b/>
          <w:sz w:val="24"/>
          <w:szCs w:val="24"/>
        </w:rPr>
        <w:t xml:space="preserve"> clinical trials*</w:t>
      </w:r>
      <w:bookmarkEnd w:id="32"/>
    </w:p>
    <w:p w14:paraId="6587832F" w14:textId="77777777" w:rsidR="004067DA" w:rsidRPr="003A1943" w:rsidRDefault="004067DA" w:rsidP="004067DA">
      <w:pPr>
        <w:spacing w:after="0" w:line="240" w:lineRule="auto"/>
        <w:rPr>
          <w:rFonts w:ascii="Times New Roman" w:eastAsia="MS ??" w:hAnsi="Times New Roman" w:cs="Times New Roman"/>
          <w:sz w:val="24"/>
          <w:szCs w:val="24"/>
        </w:rPr>
      </w:pPr>
      <w:r w:rsidRPr="003A1943">
        <w:rPr>
          <w:rFonts w:ascii="Times New Roman" w:eastAsia="MS ??" w:hAnsi="Times New Roman" w:cs="Times New Roman"/>
          <w:noProof/>
          <w:sz w:val="24"/>
          <w:szCs w:val="24"/>
        </w:rPr>
        <w:drawing>
          <wp:inline distT="0" distB="0" distL="0" distR="0" wp14:anchorId="74BF98A8" wp14:editId="75505605">
            <wp:extent cx="5270500" cy="2726690"/>
            <wp:effectExtent l="0" t="0" r="6350" b="0"/>
            <wp:docPr id="3" name="Picture 6">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DABF46A-C32B-4781-AEF4-7485A09C441D}"/>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DABF46A-C32B-4781-AEF4-7485A09C441D}"/>
                        </a:ext>
                      </a:extLst>
                    </pic:cNvPr>
                    <pic:cNvPicPr/>
                  </pic:nvPicPr>
                  <pic:blipFill>
                    <a:blip r:embed="rId14"/>
                    <a:stretch>
                      <a:fillRect/>
                    </a:stretch>
                  </pic:blipFill>
                  <pic:spPr>
                    <a:xfrm>
                      <a:off x="0" y="0"/>
                      <a:ext cx="5270500" cy="2726690"/>
                    </a:xfrm>
                    <a:prstGeom prst="rect">
                      <a:avLst/>
                    </a:prstGeom>
                  </pic:spPr>
                </pic:pic>
              </a:graphicData>
            </a:graphic>
          </wp:inline>
        </w:drawing>
      </w:r>
    </w:p>
    <w:p w14:paraId="1AC08103" w14:textId="7BC74A69" w:rsidR="004067DA" w:rsidRPr="009D4632" w:rsidRDefault="004067DA" w:rsidP="004067DA">
      <w:pPr>
        <w:keepLines/>
        <w:spacing w:before="120" w:after="0" w:line="240" w:lineRule="atLeast"/>
        <w:rPr>
          <w:rFonts w:ascii="Times New Roman" w:eastAsia="Times New Roman" w:hAnsi="Times New Roman" w:cs="Times New Roman"/>
          <w:sz w:val="18"/>
          <w:szCs w:val="20"/>
        </w:rPr>
      </w:pPr>
      <w:r w:rsidRPr="009D4632">
        <w:rPr>
          <w:rFonts w:ascii="Times New Roman" w:eastAsia="Times New Roman" w:hAnsi="Times New Roman" w:cs="Times New Roman"/>
          <w:sz w:val="18"/>
          <w:szCs w:val="20"/>
        </w:rPr>
        <w:t>HM = hematological malignancy; HSCT = hematopoietic stem</w:t>
      </w:r>
      <w:r w:rsidR="00297997">
        <w:rPr>
          <w:rFonts w:ascii="Times New Roman" w:eastAsia="Times New Roman" w:hAnsi="Times New Roman" w:cs="Times New Roman"/>
          <w:sz w:val="18"/>
          <w:szCs w:val="20"/>
        </w:rPr>
        <w:t xml:space="preserve"> </w:t>
      </w:r>
      <w:r w:rsidRPr="009D4632">
        <w:rPr>
          <w:rFonts w:ascii="Times New Roman" w:eastAsia="Times New Roman" w:hAnsi="Times New Roman" w:cs="Times New Roman"/>
          <w:sz w:val="18"/>
          <w:szCs w:val="20"/>
        </w:rPr>
        <w:t>cell transplant; HZ = herpes zoster; PHN = postherpetic neuralgia; RZV = recombinant zoster vaccine.</w:t>
      </w:r>
    </w:p>
    <w:p w14:paraId="662208E2" w14:textId="77777777" w:rsidR="004067DA" w:rsidRPr="003A1943" w:rsidRDefault="004067DA" w:rsidP="004067DA">
      <w:pPr>
        <w:spacing w:after="0" w:line="240" w:lineRule="auto"/>
        <w:rPr>
          <w:rFonts w:ascii="Times New Roman" w:eastAsia="MS ??" w:hAnsi="Times New Roman" w:cs="Times New Roman"/>
          <w:sz w:val="18"/>
          <w:szCs w:val="18"/>
          <w:lang w:val="en-SG"/>
        </w:rPr>
      </w:pPr>
    </w:p>
    <w:p w14:paraId="42BBBA2A" w14:textId="56B09CF0" w:rsidR="004067DA" w:rsidRPr="003A1943" w:rsidRDefault="004067DA" w:rsidP="004067DA">
      <w:pPr>
        <w:keepLines/>
        <w:spacing w:before="120" w:after="0" w:line="240" w:lineRule="atLeast"/>
        <w:rPr>
          <w:rFonts w:ascii="Times New Roman" w:eastAsia="Times New Roman" w:hAnsi="Times New Roman" w:cs="Times New Roman"/>
          <w:sz w:val="18"/>
          <w:szCs w:val="20"/>
        </w:rPr>
      </w:pPr>
      <w:r w:rsidRPr="009D4632">
        <w:rPr>
          <w:rFonts w:ascii="Times New Roman" w:eastAsia="Times New Roman" w:hAnsi="Times New Roman" w:cs="Times New Roman"/>
          <w:sz w:val="18"/>
          <w:szCs w:val="20"/>
        </w:rPr>
        <w:t xml:space="preserve">* In the absence of vaccine efficacy data for the modeled IC populations other than HSCT recipients and Hodgkin’s lymphoma, assumptions around efficacy and waning were needed. Here, a regression approach was used to estimate efficacy, accounting for expected immune responses based on underlying risk of HZ. This regression equation was based on the association between placebo HZ incidence and initial RZV efficacy in immunocompetent and IC populations from RZV’s ZOE-50, ZOE-70, ZOSTER-002, and ZOSTER-039 clinical trials (Bastidas </w:t>
      </w:r>
      <w:r w:rsidR="00C700CC">
        <w:rPr>
          <w:rFonts w:ascii="Times New Roman" w:eastAsia="Times New Roman" w:hAnsi="Times New Roman" w:cs="Times New Roman"/>
          <w:sz w:val="18"/>
          <w:szCs w:val="20"/>
        </w:rPr>
        <w:t>et al</w:t>
      </w:r>
      <w:r w:rsidR="00675788">
        <w:rPr>
          <w:rFonts w:ascii="Times New Roman" w:eastAsia="Times New Roman" w:hAnsi="Times New Roman" w:cs="Times New Roman"/>
          <w:sz w:val="18"/>
          <w:szCs w:val="20"/>
        </w:rPr>
        <w:t>.</w:t>
      </w:r>
      <w:r w:rsidRPr="009D4632">
        <w:rPr>
          <w:rFonts w:ascii="Times New Roman" w:eastAsia="Times New Roman" w:hAnsi="Times New Roman" w:cs="Times New Roman"/>
          <w:sz w:val="18"/>
          <w:szCs w:val="20"/>
          <w:vertAlign w:val="superscript"/>
        </w:rPr>
        <w:t>1</w:t>
      </w:r>
      <w:r w:rsidR="00AE259C">
        <w:rPr>
          <w:rFonts w:ascii="Times New Roman" w:eastAsia="Times New Roman" w:hAnsi="Times New Roman" w:cs="Times New Roman"/>
          <w:noProof/>
          <w:sz w:val="18"/>
          <w:szCs w:val="20"/>
          <w:vertAlign w:val="superscript"/>
        </w:rPr>
        <w:t>9</w:t>
      </w:r>
      <w:r w:rsidRPr="003A1943">
        <w:rPr>
          <w:rFonts w:ascii="Times New Roman" w:eastAsia="Times New Roman" w:hAnsi="Times New Roman" w:cs="Times New Roman"/>
          <w:sz w:val="18"/>
          <w:szCs w:val="20"/>
        </w:rPr>
        <w:t xml:space="preserve">; Cunningham </w:t>
      </w:r>
      <w:r w:rsidR="00C700CC">
        <w:rPr>
          <w:rFonts w:ascii="Times New Roman" w:eastAsia="Times New Roman" w:hAnsi="Times New Roman" w:cs="Times New Roman"/>
          <w:sz w:val="18"/>
          <w:szCs w:val="20"/>
        </w:rPr>
        <w:t>et al</w:t>
      </w:r>
      <w:r w:rsidR="00675788">
        <w:rPr>
          <w:rFonts w:ascii="Times New Roman" w:eastAsia="Times New Roman" w:hAnsi="Times New Roman" w:cs="Times New Roman"/>
          <w:sz w:val="18"/>
          <w:szCs w:val="20"/>
        </w:rPr>
        <w:t>.</w:t>
      </w:r>
      <w:r w:rsidRPr="003A1943">
        <w:rPr>
          <w:rFonts w:ascii="Times New Roman" w:eastAsia="Times New Roman" w:hAnsi="Times New Roman" w:cs="Times New Roman"/>
          <w:noProof/>
          <w:sz w:val="18"/>
          <w:szCs w:val="20"/>
          <w:vertAlign w:val="superscript"/>
        </w:rPr>
        <w:t>2</w:t>
      </w:r>
      <w:r w:rsidR="0038420D">
        <w:rPr>
          <w:rFonts w:ascii="Times New Roman" w:eastAsia="Times New Roman" w:hAnsi="Times New Roman" w:cs="Times New Roman"/>
          <w:noProof/>
          <w:sz w:val="18"/>
          <w:szCs w:val="20"/>
          <w:vertAlign w:val="superscript"/>
        </w:rPr>
        <w:t>4</w:t>
      </w:r>
      <w:r w:rsidRPr="003A1943">
        <w:rPr>
          <w:rFonts w:ascii="Times New Roman" w:eastAsia="Times New Roman" w:hAnsi="Times New Roman" w:cs="Times New Roman"/>
          <w:sz w:val="18"/>
          <w:szCs w:val="20"/>
        </w:rPr>
        <w:t xml:space="preserve">; Dagnew </w:t>
      </w:r>
      <w:r w:rsidR="00C700CC">
        <w:rPr>
          <w:rFonts w:ascii="Times New Roman" w:eastAsia="Times New Roman" w:hAnsi="Times New Roman" w:cs="Times New Roman"/>
          <w:sz w:val="18"/>
          <w:szCs w:val="20"/>
        </w:rPr>
        <w:t>et al</w:t>
      </w:r>
      <w:r w:rsidR="00675788">
        <w:rPr>
          <w:rFonts w:ascii="Times New Roman" w:eastAsia="Times New Roman" w:hAnsi="Times New Roman" w:cs="Times New Roman"/>
          <w:sz w:val="18"/>
          <w:szCs w:val="20"/>
        </w:rPr>
        <w:t>.</w:t>
      </w:r>
      <w:r w:rsidR="00D046F8">
        <w:rPr>
          <w:rFonts w:ascii="Times New Roman" w:eastAsia="Times New Roman" w:hAnsi="Times New Roman" w:cs="Times New Roman"/>
          <w:noProof/>
          <w:sz w:val="18"/>
          <w:szCs w:val="20"/>
          <w:vertAlign w:val="superscript"/>
        </w:rPr>
        <w:t>20</w:t>
      </w:r>
      <w:r w:rsidRPr="003A1943">
        <w:rPr>
          <w:rFonts w:ascii="Times New Roman" w:eastAsia="Times New Roman" w:hAnsi="Times New Roman" w:cs="Times New Roman"/>
          <w:sz w:val="18"/>
          <w:szCs w:val="20"/>
        </w:rPr>
        <w:t xml:space="preserve">; Lal </w:t>
      </w:r>
      <w:r w:rsidR="00C700CC">
        <w:rPr>
          <w:rFonts w:ascii="Times New Roman" w:eastAsia="Times New Roman" w:hAnsi="Times New Roman" w:cs="Times New Roman"/>
          <w:sz w:val="18"/>
          <w:szCs w:val="20"/>
        </w:rPr>
        <w:t>et al</w:t>
      </w:r>
      <w:r w:rsidR="00675788">
        <w:rPr>
          <w:rFonts w:ascii="Times New Roman" w:eastAsia="Times New Roman" w:hAnsi="Times New Roman" w:cs="Times New Roman"/>
          <w:sz w:val="18"/>
          <w:szCs w:val="20"/>
        </w:rPr>
        <w:t>.</w:t>
      </w:r>
      <w:r w:rsidRPr="003A1943">
        <w:rPr>
          <w:rFonts w:ascii="Times New Roman" w:eastAsia="Times New Roman" w:hAnsi="Times New Roman" w:cs="Times New Roman"/>
          <w:noProof/>
          <w:sz w:val="18"/>
          <w:szCs w:val="20"/>
          <w:vertAlign w:val="superscript"/>
        </w:rPr>
        <w:t>2</w:t>
      </w:r>
      <w:r w:rsidR="00D046F8">
        <w:rPr>
          <w:rFonts w:ascii="Times New Roman" w:eastAsia="Times New Roman" w:hAnsi="Times New Roman" w:cs="Times New Roman"/>
          <w:noProof/>
          <w:sz w:val="18"/>
          <w:szCs w:val="20"/>
          <w:vertAlign w:val="superscript"/>
        </w:rPr>
        <w:t>5</w:t>
      </w:r>
      <w:r w:rsidRPr="003A1943">
        <w:rPr>
          <w:rFonts w:ascii="Times New Roman" w:eastAsia="Times New Roman" w:hAnsi="Times New Roman" w:cs="Times New Roman"/>
          <w:sz w:val="18"/>
          <w:szCs w:val="20"/>
        </w:rPr>
        <w:t xml:space="preserve">). </w:t>
      </w:r>
    </w:p>
    <w:p w14:paraId="36E1C4F6" w14:textId="40D32235" w:rsidR="004067DA" w:rsidRPr="003A1943" w:rsidRDefault="004067DA" w:rsidP="004067DA">
      <w:pPr>
        <w:keepLines/>
        <w:spacing w:before="120" w:after="0" w:line="240" w:lineRule="atLeast"/>
        <w:rPr>
          <w:rFonts w:ascii="Times New Roman" w:eastAsia="Times New Roman" w:hAnsi="Times New Roman" w:cs="Times New Roman"/>
          <w:sz w:val="18"/>
          <w:szCs w:val="20"/>
        </w:rPr>
      </w:pPr>
      <w:r w:rsidRPr="003A1943">
        <w:rPr>
          <w:rFonts w:ascii="Times New Roman" w:eastAsia="Times New Roman" w:hAnsi="Times New Roman" w:cs="Times New Roman"/>
          <w:sz w:val="18"/>
          <w:szCs w:val="20"/>
        </w:rPr>
        <w:t xml:space="preserve">Initial RZV efficacy values against HZ in the RZV trials included the following: ZOE-50: 98.4% at year 1 (vs. 97.2% over mean follow-up period of 3.2 years) (Lal </w:t>
      </w:r>
      <w:r w:rsidR="00675788">
        <w:rPr>
          <w:rFonts w:ascii="Times New Roman" w:eastAsia="Times New Roman" w:hAnsi="Times New Roman" w:cs="Times New Roman"/>
          <w:sz w:val="18"/>
          <w:szCs w:val="20"/>
        </w:rPr>
        <w:t>et al.</w:t>
      </w:r>
      <w:r w:rsidRPr="003A1943">
        <w:rPr>
          <w:rFonts w:ascii="Times New Roman" w:eastAsia="Times New Roman" w:hAnsi="Times New Roman" w:cs="Times New Roman"/>
          <w:noProof/>
          <w:sz w:val="18"/>
          <w:szCs w:val="20"/>
          <w:vertAlign w:val="superscript"/>
        </w:rPr>
        <w:t>2</w:t>
      </w:r>
      <w:r w:rsidR="00D046F8">
        <w:rPr>
          <w:rFonts w:ascii="Times New Roman" w:eastAsia="Times New Roman" w:hAnsi="Times New Roman" w:cs="Times New Roman"/>
          <w:noProof/>
          <w:sz w:val="18"/>
          <w:szCs w:val="20"/>
          <w:vertAlign w:val="superscript"/>
        </w:rPr>
        <w:t>5</w:t>
      </w:r>
      <w:r w:rsidRPr="003A1943">
        <w:rPr>
          <w:rFonts w:ascii="Times New Roman" w:eastAsia="Times New Roman" w:hAnsi="Times New Roman" w:cs="Times New Roman"/>
          <w:sz w:val="18"/>
          <w:szCs w:val="20"/>
        </w:rPr>
        <w:t xml:space="preserve">); ZOE-70: 97.6% at year 1 (vs. 89.8% over mean follow-up period of 3.7 years) (Cunningham </w:t>
      </w:r>
      <w:r w:rsidR="00F56519">
        <w:rPr>
          <w:rFonts w:ascii="Times New Roman" w:eastAsia="Times New Roman" w:hAnsi="Times New Roman" w:cs="Times New Roman"/>
          <w:sz w:val="18"/>
          <w:szCs w:val="20"/>
        </w:rPr>
        <w:t>et al</w:t>
      </w:r>
      <w:r w:rsidR="00675788">
        <w:rPr>
          <w:rFonts w:ascii="Times New Roman" w:eastAsia="Times New Roman" w:hAnsi="Times New Roman" w:cs="Times New Roman"/>
          <w:sz w:val="18"/>
          <w:szCs w:val="20"/>
        </w:rPr>
        <w:t>.</w:t>
      </w:r>
      <w:r w:rsidRPr="003A1943">
        <w:rPr>
          <w:rFonts w:ascii="Times New Roman" w:eastAsia="Times New Roman" w:hAnsi="Times New Roman" w:cs="Times New Roman"/>
          <w:noProof/>
          <w:sz w:val="18"/>
          <w:szCs w:val="20"/>
          <w:vertAlign w:val="superscript"/>
        </w:rPr>
        <w:t>2</w:t>
      </w:r>
      <w:r w:rsidR="00D046F8">
        <w:rPr>
          <w:rFonts w:ascii="Times New Roman" w:eastAsia="Times New Roman" w:hAnsi="Times New Roman" w:cs="Times New Roman"/>
          <w:noProof/>
          <w:sz w:val="18"/>
          <w:szCs w:val="20"/>
          <w:vertAlign w:val="superscript"/>
        </w:rPr>
        <w:t>4</w:t>
      </w:r>
      <w:r w:rsidRPr="003A1943">
        <w:rPr>
          <w:rFonts w:ascii="Times New Roman" w:eastAsia="Times New Roman" w:hAnsi="Times New Roman" w:cs="Times New Roman"/>
          <w:sz w:val="18"/>
          <w:szCs w:val="20"/>
        </w:rPr>
        <w:t>); ZOSTER-002: 72.5% at year 1 (vs. 68.2% over median follow-up period of 21 months) (GSK, 2020</w:t>
      </w:r>
      <w:r w:rsidR="003B70F0">
        <w:rPr>
          <w:rFonts w:ascii="Times New Roman" w:eastAsia="Times New Roman" w:hAnsi="Times New Roman" w:cs="Times New Roman"/>
          <w:noProof/>
          <w:sz w:val="18"/>
          <w:szCs w:val="20"/>
          <w:vertAlign w:val="superscript"/>
        </w:rPr>
        <w:t>46</w:t>
      </w:r>
      <w:r w:rsidRPr="003A1943">
        <w:rPr>
          <w:rFonts w:ascii="Times New Roman" w:eastAsia="Times New Roman" w:hAnsi="Times New Roman" w:cs="Times New Roman"/>
          <w:sz w:val="18"/>
          <w:szCs w:val="20"/>
        </w:rPr>
        <w:t xml:space="preserve">; Bastidas </w:t>
      </w:r>
      <w:r w:rsidR="00675788">
        <w:rPr>
          <w:rFonts w:ascii="Times New Roman" w:eastAsia="Times New Roman" w:hAnsi="Times New Roman" w:cs="Times New Roman"/>
          <w:sz w:val="18"/>
          <w:szCs w:val="20"/>
        </w:rPr>
        <w:t>et al.</w:t>
      </w:r>
      <w:r w:rsidRPr="003A1943">
        <w:rPr>
          <w:rFonts w:ascii="Times New Roman" w:eastAsia="Times New Roman" w:hAnsi="Times New Roman" w:cs="Times New Roman"/>
          <w:sz w:val="18"/>
          <w:szCs w:val="20"/>
          <w:vertAlign w:val="superscript"/>
        </w:rPr>
        <w:t>1</w:t>
      </w:r>
      <w:r w:rsidR="00AE259C">
        <w:rPr>
          <w:rFonts w:ascii="Times New Roman" w:eastAsia="Times New Roman" w:hAnsi="Times New Roman" w:cs="Times New Roman"/>
          <w:noProof/>
          <w:sz w:val="18"/>
          <w:szCs w:val="20"/>
          <w:vertAlign w:val="superscript"/>
        </w:rPr>
        <w:t>9</w:t>
      </w:r>
      <w:r w:rsidRPr="003A1943">
        <w:rPr>
          <w:rFonts w:ascii="Times New Roman" w:eastAsia="Times New Roman" w:hAnsi="Times New Roman" w:cs="Times New Roman"/>
          <w:sz w:val="18"/>
          <w:szCs w:val="20"/>
        </w:rPr>
        <w:t xml:space="preserve">); and ZOSTER-039: 87.2% over median follow-up time of 11.1 months (Dagnew </w:t>
      </w:r>
      <w:r w:rsidR="00306302">
        <w:rPr>
          <w:rFonts w:ascii="Times New Roman" w:eastAsia="Times New Roman" w:hAnsi="Times New Roman" w:cs="Times New Roman"/>
          <w:sz w:val="18"/>
          <w:szCs w:val="20"/>
        </w:rPr>
        <w:t>et al</w:t>
      </w:r>
      <w:r w:rsidR="007028D3">
        <w:rPr>
          <w:rFonts w:ascii="Times New Roman" w:eastAsia="Times New Roman" w:hAnsi="Times New Roman" w:cs="Times New Roman"/>
          <w:sz w:val="18"/>
          <w:szCs w:val="20"/>
        </w:rPr>
        <w:t>.</w:t>
      </w:r>
      <w:r w:rsidR="00D046F8">
        <w:rPr>
          <w:rFonts w:ascii="Times New Roman" w:eastAsia="Times New Roman" w:hAnsi="Times New Roman" w:cs="Times New Roman"/>
          <w:noProof/>
          <w:sz w:val="18"/>
          <w:szCs w:val="20"/>
          <w:vertAlign w:val="superscript"/>
        </w:rPr>
        <w:t>20</w:t>
      </w:r>
      <w:r w:rsidRPr="003A1943">
        <w:rPr>
          <w:rFonts w:ascii="Times New Roman" w:eastAsia="Times New Roman" w:hAnsi="Times New Roman" w:cs="Times New Roman"/>
          <w:sz w:val="18"/>
          <w:szCs w:val="20"/>
        </w:rPr>
        <w:t>).</w:t>
      </w:r>
    </w:p>
    <w:p w14:paraId="0E4DD3D5" w14:textId="28401782" w:rsidR="004067DA" w:rsidRPr="009D4632" w:rsidRDefault="004067DA" w:rsidP="004067DA">
      <w:pPr>
        <w:keepLines/>
        <w:spacing w:before="120" w:after="0" w:line="240" w:lineRule="atLeast"/>
        <w:rPr>
          <w:rFonts w:ascii="Times New Roman" w:eastAsia="Times New Roman" w:hAnsi="Times New Roman" w:cs="Times New Roman"/>
          <w:sz w:val="16"/>
          <w:szCs w:val="18"/>
        </w:rPr>
      </w:pPr>
      <w:r w:rsidRPr="003A1943">
        <w:rPr>
          <w:rFonts w:ascii="Times New Roman" w:eastAsia="Times New Roman" w:hAnsi="Times New Roman" w:cs="Times New Roman"/>
          <w:sz w:val="18"/>
          <w:szCs w:val="20"/>
        </w:rPr>
        <w:t xml:space="preserve">The placebo HZ incidence values used to estimate efficacy from the regression equation for the IC conditions included the following: ZOE-50: 9.1 per 1,000 person-years (Lal </w:t>
      </w:r>
      <w:r w:rsidR="007028D3">
        <w:rPr>
          <w:rFonts w:ascii="Times New Roman" w:eastAsia="Times New Roman" w:hAnsi="Times New Roman" w:cs="Times New Roman"/>
          <w:sz w:val="18"/>
          <w:szCs w:val="20"/>
        </w:rPr>
        <w:t>et al.</w:t>
      </w:r>
      <w:r w:rsidRPr="003A1943">
        <w:rPr>
          <w:rFonts w:ascii="Times New Roman" w:eastAsia="Times New Roman" w:hAnsi="Times New Roman" w:cs="Times New Roman"/>
          <w:noProof/>
          <w:sz w:val="18"/>
          <w:szCs w:val="20"/>
          <w:vertAlign w:val="superscript"/>
        </w:rPr>
        <w:t>2</w:t>
      </w:r>
      <w:r w:rsidR="00D046F8">
        <w:rPr>
          <w:rFonts w:ascii="Times New Roman" w:eastAsia="Times New Roman" w:hAnsi="Times New Roman" w:cs="Times New Roman"/>
          <w:noProof/>
          <w:sz w:val="18"/>
          <w:szCs w:val="20"/>
          <w:vertAlign w:val="superscript"/>
        </w:rPr>
        <w:t>5</w:t>
      </w:r>
      <w:r w:rsidRPr="003A1943">
        <w:rPr>
          <w:rFonts w:ascii="Times New Roman" w:eastAsia="Times New Roman" w:hAnsi="Times New Roman" w:cs="Times New Roman"/>
          <w:sz w:val="18"/>
          <w:szCs w:val="20"/>
        </w:rPr>
        <w:t xml:space="preserve">); ZOE-70: 9.3 per 1,000 person-years (Cunningham </w:t>
      </w:r>
      <w:r w:rsidR="00681765">
        <w:rPr>
          <w:rFonts w:ascii="Times New Roman" w:eastAsia="Times New Roman" w:hAnsi="Times New Roman" w:cs="Times New Roman"/>
          <w:sz w:val="18"/>
          <w:szCs w:val="20"/>
        </w:rPr>
        <w:t>et al</w:t>
      </w:r>
      <w:r w:rsidR="00D614FC">
        <w:rPr>
          <w:rFonts w:ascii="Times New Roman" w:eastAsia="Times New Roman" w:hAnsi="Times New Roman" w:cs="Times New Roman"/>
          <w:sz w:val="18"/>
          <w:szCs w:val="20"/>
        </w:rPr>
        <w:t>.</w:t>
      </w:r>
      <w:r w:rsidRPr="003A1943">
        <w:rPr>
          <w:rFonts w:ascii="Times New Roman" w:eastAsia="Times New Roman" w:hAnsi="Times New Roman" w:cs="Times New Roman"/>
          <w:noProof/>
          <w:sz w:val="18"/>
          <w:szCs w:val="20"/>
          <w:vertAlign w:val="superscript"/>
        </w:rPr>
        <w:t>2</w:t>
      </w:r>
      <w:r w:rsidR="00D046F8">
        <w:rPr>
          <w:rFonts w:ascii="Times New Roman" w:eastAsia="Times New Roman" w:hAnsi="Times New Roman" w:cs="Times New Roman"/>
          <w:noProof/>
          <w:sz w:val="18"/>
          <w:szCs w:val="20"/>
          <w:vertAlign w:val="superscript"/>
        </w:rPr>
        <w:t>4</w:t>
      </w:r>
      <w:r w:rsidRPr="003A1943">
        <w:rPr>
          <w:rFonts w:ascii="Times New Roman" w:eastAsia="Times New Roman" w:hAnsi="Times New Roman" w:cs="Times New Roman"/>
          <w:sz w:val="18"/>
          <w:szCs w:val="20"/>
        </w:rPr>
        <w:t xml:space="preserve">); ZOSTER-002 (HSCT): 94.3 per 1,000 person-years (Bastidas </w:t>
      </w:r>
      <w:r w:rsidR="006847C2">
        <w:rPr>
          <w:rFonts w:ascii="Times New Roman" w:eastAsia="Times New Roman" w:hAnsi="Times New Roman" w:cs="Times New Roman"/>
          <w:sz w:val="18"/>
          <w:szCs w:val="20"/>
        </w:rPr>
        <w:t>et al</w:t>
      </w:r>
      <w:r w:rsidR="00D614FC">
        <w:rPr>
          <w:rFonts w:ascii="Times New Roman" w:eastAsia="Times New Roman" w:hAnsi="Times New Roman" w:cs="Times New Roman"/>
          <w:sz w:val="18"/>
          <w:szCs w:val="20"/>
        </w:rPr>
        <w:t>.</w:t>
      </w:r>
      <w:r w:rsidRPr="003A1943">
        <w:rPr>
          <w:rFonts w:ascii="Times New Roman" w:eastAsia="Times New Roman" w:hAnsi="Times New Roman" w:cs="Times New Roman"/>
          <w:noProof/>
          <w:sz w:val="18"/>
          <w:szCs w:val="20"/>
          <w:vertAlign w:val="superscript"/>
        </w:rPr>
        <w:t>1</w:t>
      </w:r>
      <w:r w:rsidR="00AE259C">
        <w:rPr>
          <w:rFonts w:ascii="Times New Roman" w:eastAsia="Times New Roman" w:hAnsi="Times New Roman" w:cs="Times New Roman"/>
          <w:noProof/>
          <w:sz w:val="18"/>
          <w:szCs w:val="20"/>
          <w:vertAlign w:val="superscript"/>
        </w:rPr>
        <w:t>9</w:t>
      </w:r>
      <w:r w:rsidRPr="003A1943">
        <w:rPr>
          <w:rFonts w:ascii="Times New Roman" w:eastAsia="Times New Roman" w:hAnsi="Times New Roman" w:cs="Times New Roman"/>
          <w:sz w:val="18"/>
          <w:szCs w:val="20"/>
        </w:rPr>
        <w:t xml:space="preserve">); ZOSTER-039 (hematologic malignancy): 66.2 per 1,000 person-years (Dagnew </w:t>
      </w:r>
      <w:r w:rsidR="006847C2">
        <w:rPr>
          <w:rFonts w:ascii="Times New Roman" w:eastAsia="Times New Roman" w:hAnsi="Times New Roman" w:cs="Times New Roman"/>
          <w:sz w:val="18"/>
          <w:szCs w:val="20"/>
        </w:rPr>
        <w:t>et al</w:t>
      </w:r>
      <w:r w:rsidR="00D614FC">
        <w:rPr>
          <w:rFonts w:ascii="Times New Roman" w:eastAsia="Times New Roman" w:hAnsi="Times New Roman" w:cs="Times New Roman"/>
          <w:sz w:val="18"/>
          <w:szCs w:val="20"/>
        </w:rPr>
        <w:t>.</w:t>
      </w:r>
      <w:r w:rsidR="00D046F8">
        <w:rPr>
          <w:rFonts w:ascii="Times New Roman" w:eastAsia="Times New Roman" w:hAnsi="Times New Roman" w:cs="Times New Roman"/>
          <w:noProof/>
          <w:sz w:val="18"/>
          <w:szCs w:val="20"/>
          <w:vertAlign w:val="superscript"/>
        </w:rPr>
        <w:t>20</w:t>
      </w:r>
      <w:r w:rsidRPr="003A1943">
        <w:rPr>
          <w:rFonts w:ascii="Times New Roman" w:eastAsia="Times New Roman" w:hAnsi="Times New Roman" w:cs="Times New Roman"/>
          <w:sz w:val="18"/>
          <w:szCs w:val="20"/>
        </w:rPr>
        <w:t xml:space="preserve">); HIV: 9.3 per 1,000 person-years (derived from Blank </w:t>
      </w:r>
      <w:r w:rsidR="006847C2">
        <w:rPr>
          <w:rFonts w:ascii="Times New Roman" w:eastAsia="Times New Roman" w:hAnsi="Times New Roman" w:cs="Times New Roman"/>
          <w:sz w:val="18"/>
          <w:szCs w:val="20"/>
        </w:rPr>
        <w:t>et al</w:t>
      </w:r>
      <w:r w:rsidR="00D614FC">
        <w:rPr>
          <w:rFonts w:ascii="Times New Roman" w:eastAsia="Times New Roman" w:hAnsi="Times New Roman" w:cs="Times New Roman"/>
          <w:sz w:val="18"/>
          <w:szCs w:val="20"/>
        </w:rPr>
        <w:t>.</w:t>
      </w:r>
      <w:r w:rsidR="00F60FC3">
        <w:rPr>
          <w:rFonts w:ascii="Times New Roman" w:eastAsia="Times New Roman" w:hAnsi="Times New Roman" w:cs="Times New Roman"/>
          <w:noProof/>
          <w:sz w:val="18"/>
          <w:szCs w:val="20"/>
          <w:vertAlign w:val="superscript"/>
        </w:rPr>
        <w:t>3</w:t>
      </w:r>
      <w:r w:rsidR="005E034E">
        <w:rPr>
          <w:rFonts w:ascii="Times New Roman" w:eastAsia="Times New Roman" w:hAnsi="Times New Roman" w:cs="Times New Roman"/>
          <w:noProof/>
          <w:sz w:val="18"/>
          <w:szCs w:val="20"/>
          <w:vertAlign w:val="superscript"/>
        </w:rPr>
        <w:t>8</w:t>
      </w:r>
      <w:r w:rsidRPr="003A1943">
        <w:rPr>
          <w:rFonts w:ascii="Times New Roman" w:eastAsia="Times New Roman" w:hAnsi="Times New Roman" w:cs="Times New Roman"/>
          <w:sz w:val="18"/>
          <w:szCs w:val="20"/>
        </w:rPr>
        <w:t xml:space="preserve">); Renal transplant: 24.4 per 1,000 person-years (Pergam </w:t>
      </w:r>
      <w:r w:rsidR="006847C2">
        <w:rPr>
          <w:rFonts w:ascii="Times New Roman" w:eastAsia="Times New Roman" w:hAnsi="Times New Roman" w:cs="Times New Roman"/>
          <w:sz w:val="18"/>
          <w:szCs w:val="20"/>
        </w:rPr>
        <w:t>et al</w:t>
      </w:r>
      <w:r w:rsidR="00D614FC">
        <w:rPr>
          <w:rFonts w:ascii="Times New Roman" w:eastAsia="Times New Roman" w:hAnsi="Times New Roman" w:cs="Times New Roman"/>
          <w:sz w:val="18"/>
          <w:szCs w:val="20"/>
        </w:rPr>
        <w:t>.</w:t>
      </w:r>
      <w:r w:rsidR="003B70F0">
        <w:rPr>
          <w:rFonts w:ascii="Times New Roman" w:eastAsia="Times New Roman" w:hAnsi="Times New Roman" w:cs="Times New Roman"/>
          <w:noProof/>
          <w:sz w:val="18"/>
          <w:szCs w:val="20"/>
          <w:vertAlign w:val="superscript"/>
        </w:rPr>
        <w:t>4</w:t>
      </w:r>
      <w:r w:rsidR="005E034E">
        <w:rPr>
          <w:rFonts w:ascii="Times New Roman" w:eastAsia="Times New Roman" w:hAnsi="Times New Roman" w:cs="Times New Roman"/>
          <w:noProof/>
          <w:sz w:val="18"/>
          <w:szCs w:val="20"/>
          <w:vertAlign w:val="superscript"/>
        </w:rPr>
        <w:t>2</w:t>
      </w:r>
      <w:r w:rsidRPr="003A1943">
        <w:rPr>
          <w:rFonts w:ascii="Times New Roman" w:eastAsia="Times New Roman" w:hAnsi="Times New Roman" w:cs="Times New Roman"/>
          <w:sz w:val="18"/>
          <w:szCs w:val="20"/>
        </w:rPr>
        <w:t xml:space="preserve">); and Breast cancer: 17.1 per 1,000 person-years (derived from Habel </w:t>
      </w:r>
      <w:r w:rsidR="00741FC2">
        <w:rPr>
          <w:rFonts w:ascii="Times New Roman" w:eastAsia="Times New Roman" w:hAnsi="Times New Roman" w:cs="Times New Roman"/>
          <w:sz w:val="18"/>
          <w:szCs w:val="20"/>
        </w:rPr>
        <w:t>et al</w:t>
      </w:r>
      <w:r w:rsidR="00D614FC">
        <w:rPr>
          <w:rFonts w:ascii="Times New Roman" w:eastAsia="Times New Roman" w:hAnsi="Times New Roman" w:cs="Times New Roman"/>
          <w:sz w:val="18"/>
          <w:szCs w:val="20"/>
        </w:rPr>
        <w:t>.</w:t>
      </w:r>
      <w:r w:rsidRPr="003A1943">
        <w:rPr>
          <w:rFonts w:ascii="Times New Roman" w:eastAsia="Times New Roman" w:hAnsi="Times New Roman" w:cs="Times New Roman"/>
          <w:noProof/>
          <w:sz w:val="18"/>
          <w:szCs w:val="20"/>
          <w:vertAlign w:val="superscript"/>
        </w:rPr>
        <w:t>1</w:t>
      </w:r>
      <w:r w:rsidR="00D046F8">
        <w:rPr>
          <w:rFonts w:ascii="Times New Roman" w:eastAsia="Times New Roman" w:hAnsi="Times New Roman" w:cs="Times New Roman"/>
          <w:noProof/>
          <w:sz w:val="18"/>
          <w:szCs w:val="20"/>
          <w:vertAlign w:val="superscript"/>
        </w:rPr>
        <w:t>8</w:t>
      </w:r>
      <w:r w:rsidRPr="003A1943">
        <w:rPr>
          <w:rFonts w:ascii="Times New Roman" w:eastAsia="Times New Roman" w:hAnsi="Times New Roman" w:cs="Times New Roman"/>
          <w:sz w:val="18"/>
          <w:szCs w:val="20"/>
        </w:rPr>
        <w:t>).</w:t>
      </w:r>
      <w:r w:rsidRPr="009D4632">
        <w:rPr>
          <w:rFonts w:ascii="Times New Roman" w:eastAsia="Times New Roman" w:hAnsi="Times New Roman" w:cs="Times New Roman"/>
          <w:sz w:val="16"/>
          <w:szCs w:val="18"/>
        </w:rPr>
        <w:br w:type="page"/>
      </w:r>
    </w:p>
    <w:p w14:paraId="5AC44A46" w14:textId="51364306" w:rsidR="004067DA" w:rsidRPr="003A1943" w:rsidRDefault="004067DA" w:rsidP="004067DA">
      <w:pPr>
        <w:keepNext/>
        <w:spacing w:after="0" w:line="480" w:lineRule="auto"/>
        <w:contextualSpacing/>
        <w:rPr>
          <w:rFonts w:ascii="Times New Roman" w:eastAsia="MS ??" w:hAnsi="Times New Roman" w:cs="Times New Roman"/>
          <w:b/>
          <w:sz w:val="24"/>
          <w:szCs w:val="24"/>
        </w:rPr>
      </w:pPr>
      <w:bookmarkStart w:id="33" w:name="_Toc112418274"/>
      <w:r w:rsidRPr="00F37FBA">
        <w:rPr>
          <w:rFonts w:ascii="Times New Roman" w:eastAsia="MS ??" w:hAnsi="Times New Roman" w:cs="Times New Roman"/>
          <w:b/>
          <w:sz w:val="24"/>
          <w:szCs w:val="24"/>
        </w:rPr>
        <w:lastRenderedPageBreak/>
        <w:t>Figure A6</w:t>
      </w:r>
      <w:r w:rsidRPr="00F37FBA">
        <w:rPr>
          <w:rFonts w:ascii="Times New Roman" w:eastAsia="MS ??" w:hAnsi="Times New Roman" w:cs="Times New Roman"/>
          <w:b/>
          <w:bCs/>
          <w:sz w:val="24"/>
          <w:szCs w:val="24"/>
        </w:rPr>
        <w:t xml:space="preserve">. </w:t>
      </w:r>
      <w:r w:rsidRPr="00F37FBA">
        <w:rPr>
          <w:rFonts w:ascii="Times New Roman" w:eastAsia="MS ??" w:hAnsi="Times New Roman" w:cs="Times New Roman"/>
          <w:b/>
          <w:sz w:val="24"/>
          <w:szCs w:val="24"/>
        </w:rPr>
        <w:t>Association between herpes zoster incidence in placebo arm and waning of RZV efficacy against herpes zoster and postherpetic neuralgia, based on data from the ZOE-50 (Lal et al., 2015)</w:t>
      </w:r>
      <w:r w:rsidR="00451D17">
        <w:rPr>
          <w:rFonts w:ascii="Times New Roman" w:eastAsia="MS ??" w:hAnsi="Times New Roman" w:cs="Times New Roman"/>
          <w:b/>
          <w:sz w:val="24"/>
          <w:szCs w:val="24"/>
        </w:rPr>
        <w:t>,</w:t>
      </w:r>
      <w:r w:rsidRPr="00F37FBA">
        <w:rPr>
          <w:rFonts w:ascii="Times New Roman" w:eastAsia="MS ??" w:hAnsi="Times New Roman" w:cs="Times New Roman"/>
          <w:b/>
          <w:sz w:val="24"/>
          <w:szCs w:val="24"/>
          <w:vertAlign w:val="superscript"/>
        </w:rPr>
        <w:t>2</w:t>
      </w:r>
      <w:r w:rsidR="00D046F8">
        <w:rPr>
          <w:rFonts w:ascii="Times New Roman" w:eastAsia="MS ??" w:hAnsi="Times New Roman" w:cs="Times New Roman"/>
          <w:b/>
          <w:sz w:val="24"/>
          <w:szCs w:val="24"/>
          <w:vertAlign w:val="superscript"/>
        </w:rPr>
        <w:t>5</w:t>
      </w:r>
      <w:r w:rsidRPr="00F37FBA">
        <w:rPr>
          <w:rFonts w:ascii="Times New Roman" w:eastAsia="MS ??" w:hAnsi="Times New Roman" w:cs="Times New Roman"/>
          <w:b/>
          <w:sz w:val="24"/>
          <w:szCs w:val="24"/>
        </w:rPr>
        <w:t xml:space="preserve"> ZOE-70 (Cunningham et al., 2016)</w:t>
      </w:r>
      <w:r w:rsidR="00451D17">
        <w:rPr>
          <w:rFonts w:ascii="Times New Roman" w:eastAsia="MS ??" w:hAnsi="Times New Roman" w:cs="Times New Roman"/>
          <w:b/>
          <w:sz w:val="24"/>
          <w:szCs w:val="24"/>
        </w:rPr>
        <w:t>,</w:t>
      </w:r>
      <w:r w:rsidRPr="00F37FBA">
        <w:rPr>
          <w:rFonts w:ascii="Times New Roman" w:eastAsia="MS ??" w:hAnsi="Times New Roman" w:cs="Times New Roman"/>
          <w:b/>
          <w:sz w:val="24"/>
          <w:szCs w:val="24"/>
          <w:vertAlign w:val="superscript"/>
        </w:rPr>
        <w:t>2</w:t>
      </w:r>
      <w:r w:rsidR="00D046F8">
        <w:rPr>
          <w:rFonts w:ascii="Times New Roman" w:eastAsia="MS ??" w:hAnsi="Times New Roman" w:cs="Times New Roman"/>
          <w:b/>
          <w:sz w:val="24"/>
          <w:szCs w:val="24"/>
          <w:vertAlign w:val="superscript"/>
        </w:rPr>
        <w:t>4</w:t>
      </w:r>
      <w:r w:rsidRPr="003A1943">
        <w:rPr>
          <w:rFonts w:ascii="Times New Roman" w:eastAsia="MS ??" w:hAnsi="Times New Roman" w:cs="Times New Roman"/>
          <w:b/>
          <w:sz w:val="24"/>
          <w:szCs w:val="24"/>
        </w:rPr>
        <w:t xml:space="preserve"> and ZOE-HSCT (Bastidas et al., 2019)</w:t>
      </w:r>
      <w:r w:rsidRPr="003A1943">
        <w:rPr>
          <w:rFonts w:ascii="Times New Roman" w:eastAsia="MS ??" w:hAnsi="Times New Roman" w:cs="Times New Roman"/>
          <w:b/>
          <w:sz w:val="24"/>
          <w:szCs w:val="24"/>
          <w:vertAlign w:val="superscript"/>
        </w:rPr>
        <w:t>1</w:t>
      </w:r>
      <w:r w:rsidR="00AE259C">
        <w:rPr>
          <w:rFonts w:ascii="Times New Roman" w:eastAsia="MS ??" w:hAnsi="Times New Roman" w:cs="Times New Roman"/>
          <w:b/>
          <w:sz w:val="24"/>
          <w:szCs w:val="24"/>
          <w:vertAlign w:val="superscript"/>
        </w:rPr>
        <w:t>9</w:t>
      </w:r>
      <w:r w:rsidRPr="003A1943">
        <w:rPr>
          <w:rFonts w:ascii="Times New Roman" w:eastAsia="MS ??" w:hAnsi="Times New Roman" w:cs="Times New Roman"/>
          <w:b/>
          <w:sz w:val="24"/>
          <w:szCs w:val="24"/>
        </w:rPr>
        <w:t xml:space="preserve"> clinical trials*</w:t>
      </w:r>
      <w:bookmarkEnd w:id="33"/>
    </w:p>
    <w:p w14:paraId="37624C9A" w14:textId="77777777" w:rsidR="004067DA" w:rsidRPr="00F37FBA" w:rsidRDefault="004067DA" w:rsidP="004067DA">
      <w:pPr>
        <w:keepLines/>
        <w:spacing w:before="120" w:after="0" w:line="240" w:lineRule="atLeast"/>
        <w:rPr>
          <w:rFonts w:ascii="Times New Roman" w:eastAsia="Times New Roman" w:hAnsi="Times New Roman" w:cs="Times New Roman"/>
          <w:sz w:val="16"/>
          <w:szCs w:val="18"/>
        </w:rPr>
      </w:pPr>
      <w:r w:rsidRPr="00F37FBA">
        <w:rPr>
          <w:rFonts w:ascii="Times New Roman" w:eastAsia="Times New Roman" w:hAnsi="Times New Roman" w:cs="Times New Roman"/>
          <w:noProof/>
          <w:sz w:val="16"/>
          <w:szCs w:val="18"/>
        </w:rPr>
        <w:drawing>
          <wp:inline distT="0" distB="0" distL="0" distR="0" wp14:anchorId="2600FAB9" wp14:editId="0E9F5D42">
            <wp:extent cx="5270500" cy="2222500"/>
            <wp:effectExtent l="0" t="0" r="6350" b="6350"/>
            <wp:docPr id="4" name="Picture 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D37BE40-F841-4342-B5C3-FB35F1EF4169}"/>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D37BE40-F841-4342-B5C3-FB35F1EF4169}"/>
                        </a:ext>
                      </a:extLst>
                    </pic:cNvPr>
                    <pic:cNvPicPr/>
                  </pic:nvPicPr>
                  <pic:blipFill>
                    <a:blip r:embed="rId15"/>
                    <a:stretch>
                      <a:fillRect/>
                    </a:stretch>
                  </pic:blipFill>
                  <pic:spPr>
                    <a:xfrm>
                      <a:off x="0" y="0"/>
                      <a:ext cx="5270500" cy="2222500"/>
                    </a:xfrm>
                    <a:prstGeom prst="rect">
                      <a:avLst/>
                    </a:prstGeom>
                  </pic:spPr>
                </pic:pic>
              </a:graphicData>
            </a:graphic>
          </wp:inline>
        </w:drawing>
      </w:r>
    </w:p>
    <w:p w14:paraId="51217C5F" w14:textId="19FFC62E" w:rsidR="004067DA" w:rsidRPr="00F37FBA" w:rsidRDefault="004067DA" w:rsidP="004067DA">
      <w:pPr>
        <w:keepLines/>
        <w:spacing w:before="120" w:after="0" w:line="240" w:lineRule="atLeast"/>
        <w:rPr>
          <w:rFonts w:ascii="Times New Roman" w:eastAsia="Times New Roman" w:hAnsi="Times New Roman" w:cs="Times New Roman"/>
          <w:sz w:val="18"/>
          <w:szCs w:val="20"/>
        </w:rPr>
      </w:pPr>
      <w:r w:rsidRPr="00F37FBA">
        <w:rPr>
          <w:rFonts w:ascii="Times New Roman" w:eastAsiaTheme="minorEastAsia" w:hAnsi="Times New Roman" w:cs="Times New Roman"/>
          <w:sz w:val="18"/>
          <w:szCs w:val="20"/>
        </w:rPr>
        <w:t>HM = hematological malignancy; HSCT = hematopoietic stem</w:t>
      </w:r>
      <w:r w:rsidR="0020618B">
        <w:rPr>
          <w:rFonts w:ascii="Times New Roman" w:eastAsiaTheme="minorEastAsia" w:hAnsi="Times New Roman" w:cs="Times New Roman"/>
          <w:sz w:val="18"/>
          <w:szCs w:val="20"/>
        </w:rPr>
        <w:t xml:space="preserve"> </w:t>
      </w:r>
      <w:r w:rsidRPr="00F37FBA">
        <w:rPr>
          <w:rFonts w:ascii="Times New Roman" w:eastAsiaTheme="minorEastAsia" w:hAnsi="Times New Roman" w:cs="Times New Roman"/>
          <w:sz w:val="18"/>
          <w:szCs w:val="20"/>
        </w:rPr>
        <w:t>cell transplant; HZ = herpes zoster; PHN = postherpetic neuralgia; RZV = recombinant zoster vaccine.</w:t>
      </w:r>
      <w:r w:rsidRPr="00F37FBA">
        <w:rPr>
          <w:rFonts w:ascii="Times New Roman" w:eastAsia="Times New Roman" w:hAnsi="Times New Roman" w:cs="Times New Roman"/>
          <w:sz w:val="18"/>
          <w:szCs w:val="20"/>
        </w:rPr>
        <w:t xml:space="preserve"> </w:t>
      </w:r>
    </w:p>
    <w:p w14:paraId="0CAD2CD8" w14:textId="171AD26E" w:rsidR="004067DA" w:rsidRPr="003A1943" w:rsidRDefault="004067DA" w:rsidP="004067DA">
      <w:pPr>
        <w:keepLines/>
        <w:spacing w:before="120" w:after="0" w:line="240" w:lineRule="atLeast"/>
        <w:rPr>
          <w:rFonts w:ascii="Times New Roman" w:eastAsia="Times New Roman" w:hAnsi="Times New Roman" w:cs="Times New Roman"/>
          <w:sz w:val="18"/>
          <w:szCs w:val="20"/>
        </w:rPr>
      </w:pPr>
      <w:r w:rsidRPr="00F37FBA">
        <w:rPr>
          <w:rFonts w:ascii="Times New Roman" w:eastAsia="Times New Roman" w:hAnsi="Times New Roman" w:cs="Times New Roman"/>
          <w:sz w:val="18"/>
          <w:szCs w:val="20"/>
        </w:rPr>
        <w:t xml:space="preserve">*In the absence of vaccine efficacy data for the other modeled IC populations, assumptions around waning were needed. Here, a regression approach was used to estimate waning, accounting for expected immune responses based on underlying risk of HZ. Similar to the base-case analysis, the initial efficacy values begin waning immediately in each modeled population. This regression equation was based on the association between placebo HZ incidence and initial RZV efficacy in immunocompetent and IC populations from RZV’s ZOE-50, ZOE-70, ZOSTER-002, and ZOSTER-039 clinical trials (Bastidas </w:t>
      </w:r>
      <w:r w:rsidR="00EC5E0B">
        <w:rPr>
          <w:rFonts w:ascii="Times New Roman" w:eastAsia="Times New Roman" w:hAnsi="Times New Roman" w:cs="Times New Roman"/>
          <w:sz w:val="18"/>
          <w:szCs w:val="20"/>
        </w:rPr>
        <w:t>et al.</w:t>
      </w:r>
      <w:r w:rsidRPr="00F37FBA">
        <w:rPr>
          <w:rFonts w:ascii="Times New Roman" w:eastAsia="Times New Roman" w:hAnsi="Times New Roman" w:cs="Times New Roman"/>
          <w:noProof/>
          <w:sz w:val="18"/>
          <w:szCs w:val="20"/>
          <w:vertAlign w:val="superscript"/>
        </w:rPr>
        <w:t>1</w:t>
      </w:r>
      <w:r w:rsidR="00AE259C">
        <w:rPr>
          <w:rFonts w:ascii="Times New Roman" w:eastAsia="Times New Roman" w:hAnsi="Times New Roman" w:cs="Times New Roman"/>
          <w:noProof/>
          <w:sz w:val="18"/>
          <w:szCs w:val="20"/>
          <w:vertAlign w:val="superscript"/>
        </w:rPr>
        <w:t>9</w:t>
      </w:r>
      <w:r w:rsidRPr="003A1943">
        <w:rPr>
          <w:rFonts w:ascii="Times New Roman" w:eastAsia="Times New Roman" w:hAnsi="Times New Roman" w:cs="Times New Roman"/>
          <w:sz w:val="18"/>
          <w:szCs w:val="20"/>
        </w:rPr>
        <w:t xml:space="preserve">; Cunningham </w:t>
      </w:r>
      <w:r w:rsidR="00EC5E0B">
        <w:rPr>
          <w:rFonts w:ascii="Times New Roman" w:eastAsia="Times New Roman" w:hAnsi="Times New Roman" w:cs="Times New Roman"/>
          <w:sz w:val="18"/>
          <w:szCs w:val="20"/>
        </w:rPr>
        <w:t>et al.</w:t>
      </w:r>
      <w:r w:rsidRPr="003A1943">
        <w:rPr>
          <w:rFonts w:ascii="Times New Roman" w:eastAsia="Times New Roman" w:hAnsi="Times New Roman" w:cs="Times New Roman"/>
          <w:noProof/>
          <w:sz w:val="18"/>
          <w:szCs w:val="20"/>
          <w:vertAlign w:val="superscript"/>
        </w:rPr>
        <w:t>2</w:t>
      </w:r>
      <w:r w:rsidR="00D046F8">
        <w:rPr>
          <w:rFonts w:ascii="Times New Roman" w:eastAsia="Times New Roman" w:hAnsi="Times New Roman" w:cs="Times New Roman"/>
          <w:noProof/>
          <w:sz w:val="18"/>
          <w:szCs w:val="20"/>
          <w:vertAlign w:val="superscript"/>
        </w:rPr>
        <w:t>4</w:t>
      </w:r>
      <w:r w:rsidRPr="003A1943">
        <w:rPr>
          <w:rFonts w:ascii="Times New Roman" w:eastAsia="Times New Roman" w:hAnsi="Times New Roman" w:cs="Times New Roman"/>
          <w:sz w:val="18"/>
          <w:szCs w:val="20"/>
        </w:rPr>
        <w:t xml:space="preserve">; Dagnew </w:t>
      </w:r>
      <w:r w:rsidR="006476D7">
        <w:rPr>
          <w:rFonts w:ascii="Times New Roman" w:eastAsia="Times New Roman" w:hAnsi="Times New Roman" w:cs="Times New Roman"/>
          <w:sz w:val="18"/>
          <w:szCs w:val="20"/>
        </w:rPr>
        <w:t>et al.</w:t>
      </w:r>
      <w:r w:rsidR="00D046F8">
        <w:rPr>
          <w:rFonts w:ascii="Times New Roman" w:eastAsia="Times New Roman" w:hAnsi="Times New Roman" w:cs="Times New Roman"/>
          <w:noProof/>
          <w:sz w:val="18"/>
          <w:szCs w:val="20"/>
          <w:vertAlign w:val="superscript"/>
        </w:rPr>
        <w:t>20</w:t>
      </w:r>
      <w:r w:rsidRPr="003A1943">
        <w:rPr>
          <w:rFonts w:ascii="Times New Roman" w:eastAsia="Times New Roman" w:hAnsi="Times New Roman" w:cs="Times New Roman"/>
          <w:sz w:val="18"/>
          <w:szCs w:val="20"/>
        </w:rPr>
        <w:t xml:space="preserve">; Lal </w:t>
      </w:r>
      <w:r w:rsidR="00830476">
        <w:rPr>
          <w:rFonts w:ascii="Times New Roman" w:eastAsia="Times New Roman" w:hAnsi="Times New Roman" w:cs="Times New Roman"/>
          <w:sz w:val="18"/>
          <w:szCs w:val="20"/>
        </w:rPr>
        <w:t>et al.</w:t>
      </w:r>
      <w:r w:rsidRPr="003A1943">
        <w:rPr>
          <w:rFonts w:ascii="Times New Roman" w:eastAsia="Times New Roman" w:hAnsi="Times New Roman" w:cs="Times New Roman"/>
          <w:noProof/>
          <w:sz w:val="18"/>
          <w:szCs w:val="20"/>
          <w:vertAlign w:val="superscript"/>
        </w:rPr>
        <w:t>2</w:t>
      </w:r>
      <w:r w:rsidR="00D046F8">
        <w:rPr>
          <w:rFonts w:ascii="Times New Roman" w:eastAsia="Times New Roman" w:hAnsi="Times New Roman" w:cs="Times New Roman"/>
          <w:noProof/>
          <w:sz w:val="18"/>
          <w:szCs w:val="20"/>
          <w:vertAlign w:val="superscript"/>
        </w:rPr>
        <w:t>5</w:t>
      </w:r>
      <w:r w:rsidRPr="003A1943">
        <w:rPr>
          <w:rFonts w:ascii="Times New Roman" w:eastAsia="Times New Roman" w:hAnsi="Times New Roman" w:cs="Times New Roman"/>
          <w:sz w:val="18"/>
          <w:szCs w:val="20"/>
        </w:rPr>
        <w:t xml:space="preserve">). </w:t>
      </w:r>
    </w:p>
    <w:p w14:paraId="6A9E1642" w14:textId="3DD2A101" w:rsidR="004067DA" w:rsidRPr="003A1943" w:rsidRDefault="004067DA" w:rsidP="004067DA">
      <w:pPr>
        <w:keepLines/>
        <w:spacing w:before="120" w:after="0" w:line="240" w:lineRule="atLeast"/>
        <w:rPr>
          <w:rFonts w:ascii="Times New Roman" w:eastAsia="Times New Roman" w:hAnsi="Times New Roman" w:cs="Times New Roman"/>
          <w:sz w:val="18"/>
          <w:szCs w:val="20"/>
        </w:rPr>
      </w:pPr>
      <w:r w:rsidRPr="003A1943">
        <w:rPr>
          <w:rFonts w:ascii="Times New Roman" w:eastAsia="Times New Roman" w:hAnsi="Times New Roman" w:cs="Times New Roman"/>
          <w:b/>
          <w:bCs/>
          <w:sz w:val="18"/>
          <w:szCs w:val="20"/>
        </w:rPr>
        <w:t>Renal transplant:</w:t>
      </w:r>
      <w:r w:rsidRPr="003A1943">
        <w:rPr>
          <w:rFonts w:ascii="Times New Roman" w:eastAsia="Times New Roman" w:hAnsi="Times New Roman" w:cs="Times New Roman"/>
          <w:sz w:val="18"/>
          <w:szCs w:val="20"/>
        </w:rPr>
        <w:t xml:space="preserve"> The placebo HZ incidence for the renal transplant population used to estimate RZV efficacy against HZ was obtained from Pergam et al.</w:t>
      </w:r>
      <w:r w:rsidR="00712915">
        <w:rPr>
          <w:rFonts w:ascii="Times New Roman" w:eastAsia="Times New Roman" w:hAnsi="Times New Roman" w:cs="Times New Roman"/>
          <w:noProof/>
          <w:sz w:val="18"/>
          <w:szCs w:val="20"/>
          <w:vertAlign w:val="superscript"/>
        </w:rPr>
        <w:t>4</w:t>
      </w:r>
      <w:r w:rsidR="007F2D48">
        <w:rPr>
          <w:rFonts w:ascii="Times New Roman" w:eastAsia="Times New Roman" w:hAnsi="Times New Roman" w:cs="Times New Roman"/>
          <w:noProof/>
          <w:sz w:val="18"/>
          <w:szCs w:val="20"/>
          <w:vertAlign w:val="superscript"/>
        </w:rPr>
        <w:t>2</w:t>
      </w:r>
      <w:r w:rsidRPr="003A1943">
        <w:rPr>
          <w:rFonts w:ascii="Times New Roman" w:eastAsia="Times New Roman" w:hAnsi="Times New Roman" w:cs="Times New Roman"/>
          <w:sz w:val="18"/>
          <w:szCs w:val="20"/>
        </w:rPr>
        <w:t>, which reported an annual incidence of HZ of 24.4 per 1,000 person-years among patients that received kidney transplants between 1995 and 2007. Therefore, waning of two-dose efficacy against HZ and PHN was estimated as (2.9294 × ln(24.4)) – 4.2068 = 5.15% based on the logarithmic regression equation above. For one-dose waning, a 100% relative increase from two-dose waning was assumed.</w:t>
      </w:r>
    </w:p>
    <w:p w14:paraId="4DC8E03B" w14:textId="68B0B085" w:rsidR="004067DA" w:rsidRPr="003A1943" w:rsidRDefault="004067DA" w:rsidP="004067DA">
      <w:pPr>
        <w:keepLines/>
        <w:spacing w:before="120" w:after="0" w:line="240" w:lineRule="atLeast"/>
        <w:rPr>
          <w:rFonts w:ascii="Times New Roman" w:eastAsia="Times New Roman" w:hAnsi="Times New Roman" w:cs="Times New Roman"/>
          <w:sz w:val="18"/>
          <w:szCs w:val="20"/>
        </w:rPr>
      </w:pPr>
      <w:r w:rsidRPr="003A1943">
        <w:rPr>
          <w:rFonts w:ascii="Times New Roman" w:eastAsia="Times New Roman" w:hAnsi="Times New Roman" w:cs="Times New Roman"/>
          <w:b/>
          <w:bCs/>
          <w:sz w:val="18"/>
          <w:szCs w:val="20"/>
        </w:rPr>
        <w:t>Hodgkin’s lymphoma:</w:t>
      </w:r>
      <w:r w:rsidRPr="003A1943">
        <w:rPr>
          <w:rFonts w:ascii="Times New Roman" w:eastAsia="Times New Roman" w:hAnsi="Times New Roman" w:cs="Times New Roman"/>
          <w:sz w:val="18"/>
          <w:szCs w:val="20"/>
        </w:rPr>
        <w:t xml:space="preserve"> The placebo HZ incidence for the Hodgkin’s lymphoma population used to estimate RZV efficacy against HZ was derived from Habel et al.</w:t>
      </w:r>
      <w:r w:rsidRPr="003A1943">
        <w:rPr>
          <w:rFonts w:ascii="Times New Roman" w:eastAsia="Times New Roman" w:hAnsi="Times New Roman" w:cs="Times New Roman"/>
          <w:noProof/>
          <w:sz w:val="18"/>
          <w:szCs w:val="20"/>
          <w:vertAlign w:val="superscript"/>
        </w:rPr>
        <w:t>1</w:t>
      </w:r>
      <w:r w:rsidR="00E4190B">
        <w:rPr>
          <w:rFonts w:ascii="Times New Roman" w:eastAsia="Times New Roman" w:hAnsi="Times New Roman" w:cs="Times New Roman"/>
          <w:noProof/>
          <w:sz w:val="18"/>
          <w:szCs w:val="20"/>
          <w:vertAlign w:val="superscript"/>
        </w:rPr>
        <w:t>8</w:t>
      </w:r>
      <w:r w:rsidRPr="003A1943">
        <w:rPr>
          <w:rFonts w:ascii="Times New Roman" w:eastAsia="Times New Roman" w:hAnsi="Times New Roman" w:cs="Times New Roman"/>
          <w:sz w:val="18"/>
          <w:szCs w:val="20"/>
        </w:rPr>
        <w:t>, which reported the annual incidence rate of HZ among adults with hematologic malignancies from 2001 to 2006. Therefore, waning of two-dose efficacy against HZ and PHN was estimated as (2.9294 × ln(33.6)) – 4.2068 = 6.09% based on the logarithmic regression equation above. For one-dose waning, a 100% relative increase from two-dose waning was assumed.</w:t>
      </w:r>
    </w:p>
    <w:p w14:paraId="2E4F13BF" w14:textId="5D70DCDE" w:rsidR="004067DA" w:rsidRPr="003A1943" w:rsidRDefault="004067DA" w:rsidP="004067DA">
      <w:pPr>
        <w:keepLines/>
        <w:spacing w:before="120" w:after="0" w:line="240" w:lineRule="atLeast"/>
        <w:rPr>
          <w:rFonts w:ascii="Times New Roman" w:eastAsia="Times New Roman" w:hAnsi="Times New Roman" w:cs="Times New Roman"/>
          <w:sz w:val="18"/>
          <w:szCs w:val="20"/>
        </w:rPr>
      </w:pPr>
      <w:r w:rsidRPr="003A1943">
        <w:rPr>
          <w:rFonts w:ascii="Times New Roman" w:eastAsia="Times New Roman" w:hAnsi="Times New Roman" w:cs="Times New Roman"/>
          <w:b/>
          <w:bCs/>
          <w:sz w:val="18"/>
          <w:szCs w:val="20"/>
        </w:rPr>
        <w:t>Breast cancer:</w:t>
      </w:r>
      <w:r w:rsidRPr="003A1943">
        <w:rPr>
          <w:rFonts w:ascii="Times New Roman" w:eastAsia="Times New Roman" w:hAnsi="Times New Roman" w:cs="Times New Roman"/>
          <w:sz w:val="18"/>
          <w:szCs w:val="20"/>
        </w:rPr>
        <w:t xml:space="preserve"> The placebo HZ incidence for the breast cancer population used to estimate RZV efficacy against HZ was derived from Habel et al.</w:t>
      </w:r>
      <w:r w:rsidRPr="003A1943">
        <w:rPr>
          <w:rFonts w:ascii="Times New Roman" w:eastAsia="Times New Roman" w:hAnsi="Times New Roman" w:cs="Times New Roman"/>
          <w:noProof/>
          <w:sz w:val="18"/>
          <w:szCs w:val="20"/>
          <w:vertAlign w:val="superscript"/>
        </w:rPr>
        <w:t>1</w:t>
      </w:r>
      <w:r w:rsidR="00D046F8">
        <w:rPr>
          <w:rFonts w:ascii="Times New Roman" w:eastAsia="Times New Roman" w:hAnsi="Times New Roman" w:cs="Times New Roman"/>
          <w:noProof/>
          <w:sz w:val="18"/>
          <w:szCs w:val="20"/>
          <w:vertAlign w:val="superscript"/>
        </w:rPr>
        <w:t>8</w:t>
      </w:r>
      <w:r w:rsidRPr="003A1943">
        <w:rPr>
          <w:rFonts w:ascii="Times New Roman" w:eastAsia="Times New Roman" w:hAnsi="Times New Roman" w:cs="Times New Roman"/>
          <w:sz w:val="18"/>
          <w:szCs w:val="20"/>
        </w:rPr>
        <w:t>, which reported the annual incidence rate of HZ among adults with solid tumors from 2001 to 2006. Therefore, waning of two-dose efficacy against HZ and PHN was estimated as (2.9294 × ln(33.6)) – 4.2068 = 4.11% based on the logarithmic regression equation above. For one-dose waning, a 100% relative increase from two-dose waning was assumed.</w:t>
      </w:r>
    </w:p>
    <w:p w14:paraId="51331090" w14:textId="77777777" w:rsidR="004067DA" w:rsidRPr="00F37FBA" w:rsidRDefault="004067DA" w:rsidP="002750E1">
      <w:pPr>
        <w:keepLines/>
        <w:spacing w:before="120" w:after="0" w:line="240" w:lineRule="atLeast"/>
        <w:rPr>
          <w:rFonts w:ascii="Times New Roman" w:eastAsia="Times New Roman" w:hAnsi="Times New Roman" w:cs="Times New Roman"/>
          <w:sz w:val="20"/>
          <w:szCs w:val="20"/>
        </w:rPr>
      </w:pPr>
    </w:p>
    <w:bookmarkEnd w:id="0"/>
    <w:p w14:paraId="33DDF265" w14:textId="77777777" w:rsidR="00DB3E90" w:rsidRPr="003A1943" w:rsidRDefault="00DB3E90" w:rsidP="003A1943">
      <w:pPr>
        <w:keepLines/>
        <w:spacing w:before="120" w:after="0" w:line="240" w:lineRule="atLeast"/>
        <w:rPr>
          <w:rFonts w:ascii="Times New Roman" w:hAnsi="Times New Roman" w:cs="Times New Roman"/>
        </w:rPr>
      </w:pPr>
    </w:p>
    <w:sectPr w:rsidR="00DB3E90" w:rsidRPr="003A1943" w:rsidSect="00947E4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4048F2" w14:textId="77777777" w:rsidR="00AC779C" w:rsidRDefault="007F656F">
      <w:pPr>
        <w:spacing w:after="0" w:line="240" w:lineRule="auto"/>
      </w:pPr>
      <w:r>
        <w:separator/>
      </w:r>
    </w:p>
  </w:endnote>
  <w:endnote w:type="continuationSeparator" w:id="0">
    <w:p w14:paraId="78FBD286" w14:textId="77777777" w:rsidR="00AC779C" w:rsidRDefault="007F6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Yu Gothic"/>
    <w:panose1 w:val="00000000000000000000"/>
    <w:charset w:val="80"/>
    <w:family w:val="auto"/>
    <w:notTrueType/>
    <w:pitch w:val="variable"/>
    <w:sig w:usb0="00000000" w:usb1="08070000" w:usb2="00000010" w:usb3="00000000" w:csb0="00020000" w:csb1="00000000"/>
  </w:font>
  <w:font w:name="Minion Pro">
    <w:altName w:val="Cambria"/>
    <w:panose1 w:val="00000000000000000000"/>
    <w:charset w:val="00"/>
    <w:family w:val="roman"/>
    <w:notTrueType/>
    <w:pitch w:val="variable"/>
    <w:sig w:usb0="E00002AF"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6CC59D" w14:textId="77777777" w:rsidR="00363839" w:rsidRPr="0027267D" w:rsidRDefault="00947E43" w:rsidP="0027267D">
    <w:pPr>
      <w:pStyle w:val="Footer"/>
      <w:jc w:val="right"/>
      <w:rPr>
        <w:rFonts w:ascii="Tahoma" w:hAnsi="Tahoma" w:cs="Tahoma"/>
        <w:sz w:val="20"/>
      </w:rPr>
    </w:pPr>
  </w:p>
  <w:p w14:paraId="6EE5F398" w14:textId="77777777" w:rsidR="00363839" w:rsidRDefault="00947E43" w:rsidP="0027267D">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A199F3" w14:textId="77777777" w:rsidR="00AC779C" w:rsidRDefault="007F656F">
      <w:pPr>
        <w:spacing w:after="0" w:line="240" w:lineRule="auto"/>
      </w:pPr>
      <w:r>
        <w:separator/>
      </w:r>
    </w:p>
  </w:footnote>
  <w:footnote w:type="continuationSeparator" w:id="0">
    <w:p w14:paraId="7AAF1D17" w14:textId="77777777" w:rsidR="00AC779C" w:rsidRDefault="007F65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4424089"/>
      <w:docPartObj>
        <w:docPartGallery w:val="Page Numbers (Top of Page)"/>
        <w:docPartUnique/>
      </w:docPartObj>
    </w:sdtPr>
    <w:sdtEndPr>
      <w:rPr>
        <w:noProof/>
      </w:rPr>
    </w:sdtEndPr>
    <w:sdtContent>
      <w:p w14:paraId="3B93EB01" w14:textId="77777777" w:rsidR="00285E75" w:rsidRDefault="002750E1">
        <w:pPr>
          <w:pStyle w:val="Header"/>
          <w:jc w:val="right"/>
        </w:pPr>
        <w:r>
          <w:fldChar w:fldCharType="begin"/>
        </w:r>
        <w:r>
          <w:instrText xml:space="preserve"> PAGE   \* MERGEFORMAT </w:instrText>
        </w:r>
        <w:r>
          <w:fldChar w:fldCharType="separate"/>
        </w:r>
        <w:r w:rsidR="00947E43">
          <w:rPr>
            <w:noProof/>
          </w:rPr>
          <w:t>1</w:t>
        </w:r>
        <w:r>
          <w:rPr>
            <w:noProof/>
          </w:rPr>
          <w:fldChar w:fldCharType="end"/>
        </w:r>
      </w:p>
    </w:sdtContent>
  </w:sdt>
  <w:p w14:paraId="34AB698B" w14:textId="77777777" w:rsidR="00363839" w:rsidRPr="0027267D" w:rsidRDefault="00947E43" w:rsidP="00285E75">
    <w:pPr>
      <w:pStyle w:val="Header"/>
      <w:tabs>
        <w:tab w:val="clear" w:pos="4513"/>
        <w:tab w:val="clear" w:pos="9026"/>
        <w:tab w:val="left" w:pos="12166"/>
      </w:tabs>
      <w:rPr>
        <w:rFonts w:ascii="Tahoma" w:hAnsi="Tahoma" w:cs="Tahoma"/>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C251F"/>
    <w:multiLevelType w:val="hybridMultilevel"/>
    <w:tmpl w:val="D50CDBF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7F184F"/>
    <w:multiLevelType w:val="hybridMultilevel"/>
    <w:tmpl w:val="77684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595715"/>
    <w:multiLevelType w:val="hybridMultilevel"/>
    <w:tmpl w:val="F7AC47C4"/>
    <w:lvl w:ilvl="0" w:tplc="AB2C51A2">
      <w:start w:val="1"/>
      <w:numFmt w:val="bullet"/>
      <w:lvlText w:val="–"/>
      <w:lvlJc w:val="left"/>
      <w:pPr>
        <w:tabs>
          <w:tab w:val="num" w:pos="720"/>
        </w:tabs>
        <w:ind w:left="720" w:hanging="360"/>
      </w:pPr>
      <w:rPr>
        <w:rFonts w:ascii="Arial" w:hAnsi="Arial" w:hint="default"/>
      </w:rPr>
    </w:lvl>
    <w:lvl w:ilvl="1" w:tplc="1AE2D8DA" w:tentative="1">
      <w:start w:val="1"/>
      <w:numFmt w:val="bullet"/>
      <w:lvlText w:val="–"/>
      <w:lvlJc w:val="left"/>
      <w:pPr>
        <w:tabs>
          <w:tab w:val="num" w:pos="1440"/>
        </w:tabs>
        <w:ind w:left="1440" w:hanging="360"/>
      </w:pPr>
      <w:rPr>
        <w:rFonts w:ascii="Arial" w:hAnsi="Arial" w:hint="default"/>
      </w:rPr>
    </w:lvl>
    <w:lvl w:ilvl="2" w:tplc="AD4A893E" w:tentative="1">
      <w:start w:val="1"/>
      <w:numFmt w:val="bullet"/>
      <w:lvlText w:val="–"/>
      <w:lvlJc w:val="left"/>
      <w:pPr>
        <w:tabs>
          <w:tab w:val="num" w:pos="2160"/>
        </w:tabs>
        <w:ind w:left="2160" w:hanging="360"/>
      </w:pPr>
      <w:rPr>
        <w:rFonts w:ascii="Arial" w:hAnsi="Arial" w:hint="default"/>
      </w:rPr>
    </w:lvl>
    <w:lvl w:ilvl="3" w:tplc="A208A3F0" w:tentative="1">
      <w:start w:val="1"/>
      <w:numFmt w:val="bullet"/>
      <w:lvlText w:val="–"/>
      <w:lvlJc w:val="left"/>
      <w:pPr>
        <w:tabs>
          <w:tab w:val="num" w:pos="2880"/>
        </w:tabs>
        <w:ind w:left="2880" w:hanging="360"/>
      </w:pPr>
      <w:rPr>
        <w:rFonts w:ascii="Arial" w:hAnsi="Arial" w:hint="default"/>
      </w:rPr>
    </w:lvl>
    <w:lvl w:ilvl="4" w:tplc="D63068CC" w:tentative="1">
      <w:start w:val="1"/>
      <w:numFmt w:val="bullet"/>
      <w:lvlText w:val="–"/>
      <w:lvlJc w:val="left"/>
      <w:pPr>
        <w:tabs>
          <w:tab w:val="num" w:pos="3600"/>
        </w:tabs>
        <w:ind w:left="3600" w:hanging="360"/>
      </w:pPr>
      <w:rPr>
        <w:rFonts w:ascii="Arial" w:hAnsi="Arial" w:hint="default"/>
      </w:rPr>
    </w:lvl>
    <w:lvl w:ilvl="5" w:tplc="C512DFB0" w:tentative="1">
      <w:start w:val="1"/>
      <w:numFmt w:val="bullet"/>
      <w:lvlText w:val="–"/>
      <w:lvlJc w:val="left"/>
      <w:pPr>
        <w:tabs>
          <w:tab w:val="num" w:pos="4320"/>
        </w:tabs>
        <w:ind w:left="4320" w:hanging="360"/>
      </w:pPr>
      <w:rPr>
        <w:rFonts w:ascii="Arial" w:hAnsi="Arial" w:hint="default"/>
      </w:rPr>
    </w:lvl>
    <w:lvl w:ilvl="6" w:tplc="1DFA7306" w:tentative="1">
      <w:start w:val="1"/>
      <w:numFmt w:val="bullet"/>
      <w:lvlText w:val="–"/>
      <w:lvlJc w:val="left"/>
      <w:pPr>
        <w:tabs>
          <w:tab w:val="num" w:pos="5040"/>
        </w:tabs>
        <w:ind w:left="5040" w:hanging="360"/>
      </w:pPr>
      <w:rPr>
        <w:rFonts w:ascii="Arial" w:hAnsi="Arial" w:hint="default"/>
      </w:rPr>
    </w:lvl>
    <w:lvl w:ilvl="7" w:tplc="2C564BD0" w:tentative="1">
      <w:start w:val="1"/>
      <w:numFmt w:val="bullet"/>
      <w:lvlText w:val="–"/>
      <w:lvlJc w:val="left"/>
      <w:pPr>
        <w:tabs>
          <w:tab w:val="num" w:pos="5760"/>
        </w:tabs>
        <w:ind w:left="5760" w:hanging="360"/>
      </w:pPr>
      <w:rPr>
        <w:rFonts w:ascii="Arial" w:hAnsi="Arial" w:hint="default"/>
      </w:rPr>
    </w:lvl>
    <w:lvl w:ilvl="8" w:tplc="EBDC15B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56C1277"/>
    <w:multiLevelType w:val="hybridMultilevel"/>
    <w:tmpl w:val="03845AE2"/>
    <w:lvl w:ilvl="0" w:tplc="08090001">
      <w:start w:val="1"/>
      <w:numFmt w:val="bullet"/>
      <w:lvlText w:val=""/>
      <w:lvlJc w:val="left"/>
      <w:pPr>
        <w:ind w:left="720" w:hanging="360"/>
      </w:pPr>
      <w:rPr>
        <w:rFonts w:ascii="Symbol" w:hAnsi="Symbol" w:hint="default"/>
      </w:rPr>
    </w:lvl>
    <w:lvl w:ilvl="1" w:tplc="0C82270A">
      <w:numFmt w:val="bullet"/>
      <w:lvlText w:val="•"/>
      <w:lvlJc w:val="left"/>
      <w:pPr>
        <w:ind w:left="1800" w:hanging="720"/>
      </w:pPr>
      <w:rPr>
        <w:rFonts w:ascii="Verdana" w:eastAsia="Times New Roman" w:hAnsi="Verdana"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747E05"/>
    <w:multiLevelType w:val="hybridMultilevel"/>
    <w:tmpl w:val="939C4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0831EC"/>
    <w:multiLevelType w:val="hybridMultilevel"/>
    <w:tmpl w:val="B4A25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EF3FAC"/>
    <w:multiLevelType w:val="multilevel"/>
    <w:tmpl w:val="BD168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1460A8"/>
    <w:multiLevelType w:val="hybridMultilevel"/>
    <w:tmpl w:val="906A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162B53"/>
    <w:multiLevelType w:val="hybridMultilevel"/>
    <w:tmpl w:val="71682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CA2A7B"/>
    <w:multiLevelType w:val="hybridMultilevel"/>
    <w:tmpl w:val="F5B855D4"/>
    <w:lvl w:ilvl="0" w:tplc="2338698E">
      <w:start w:val="1"/>
      <w:numFmt w:val="bullet"/>
      <w:pStyle w:val="3ThirdBullet"/>
      <w:lvlText w:val=""/>
      <w:lvlJc w:val="left"/>
      <w:pPr>
        <w:ind w:left="1721" w:hanging="360"/>
      </w:pPr>
      <w:rPr>
        <w:rFonts w:ascii="Symbol" w:hAnsi="Symbol" w:hint="default"/>
        <w:b w:val="0"/>
        <w:i w:val="0"/>
        <w:color w:val="44546A" w:themeColor="text2"/>
        <w:w w:val="100"/>
        <w:sz w:val="20"/>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0" w15:restartNumberingAfterBreak="0">
    <w:nsid w:val="39AE02BB"/>
    <w:multiLevelType w:val="hybridMultilevel"/>
    <w:tmpl w:val="CAFCBD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973719"/>
    <w:multiLevelType w:val="hybridMultilevel"/>
    <w:tmpl w:val="1624CDDA"/>
    <w:lvl w:ilvl="0" w:tplc="B570095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FC53F7"/>
    <w:multiLevelType w:val="multilevel"/>
    <w:tmpl w:val="F356D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3218D4"/>
    <w:multiLevelType w:val="hybridMultilevel"/>
    <w:tmpl w:val="C1F44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DB3316"/>
    <w:multiLevelType w:val="multilevel"/>
    <w:tmpl w:val="23DE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546EBF"/>
    <w:multiLevelType w:val="hybridMultilevel"/>
    <w:tmpl w:val="812AB0D8"/>
    <w:lvl w:ilvl="0" w:tplc="DE0872E0">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8F3CC6"/>
    <w:multiLevelType w:val="hybridMultilevel"/>
    <w:tmpl w:val="8C4E152E"/>
    <w:lvl w:ilvl="0" w:tplc="E1786B4E">
      <w:start w:val="1"/>
      <w:numFmt w:val="bullet"/>
      <w:pStyle w:val="Manuscriptbodytex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AF07AE"/>
    <w:multiLevelType w:val="hybridMultilevel"/>
    <w:tmpl w:val="53F67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BF51B7"/>
    <w:multiLevelType w:val="hybridMultilevel"/>
    <w:tmpl w:val="545A8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2335A1"/>
    <w:multiLevelType w:val="hybridMultilevel"/>
    <w:tmpl w:val="B3F696F4"/>
    <w:lvl w:ilvl="0" w:tplc="8F9A7082">
      <w:start w:val="1"/>
      <w:numFmt w:val="bullet"/>
      <w:pStyle w:val="2SecondBullet"/>
      <w:lvlText w:val="̶"/>
      <w:lvlJc w:val="left"/>
      <w:pPr>
        <w:ind w:left="870" w:hanging="360"/>
      </w:pPr>
      <w:rPr>
        <w:rFonts w:ascii="Tahoma" w:hAnsi="Tahoma" w:hint="default"/>
        <w:b/>
        <w:i w:val="0"/>
        <w:color w:val="ED7D31" w:themeColor="accent2"/>
        <w:w w:val="100"/>
        <w:sz w:val="20"/>
      </w:rPr>
    </w:lvl>
    <w:lvl w:ilvl="1" w:tplc="08090003">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0" w15:restartNumberingAfterBreak="0">
    <w:nsid w:val="6DD54076"/>
    <w:multiLevelType w:val="hybridMultilevel"/>
    <w:tmpl w:val="98E63090"/>
    <w:lvl w:ilvl="0" w:tplc="D68C621E">
      <w:start w:val="1"/>
      <w:numFmt w:val="bullet"/>
      <w:pStyle w:val="Style2"/>
      <w:lvlText w:val=""/>
      <w:lvlJc w:val="left"/>
      <w:pPr>
        <w:ind w:left="720" w:hanging="360"/>
      </w:pPr>
      <w:rPr>
        <w:rFonts w:ascii="Symbol" w:hAnsi="Symbol" w:hint="default"/>
      </w:rPr>
    </w:lvl>
    <w:lvl w:ilvl="1" w:tplc="C5FAAF94">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2A0332"/>
    <w:multiLevelType w:val="hybridMultilevel"/>
    <w:tmpl w:val="3FF653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C722F2"/>
    <w:multiLevelType w:val="hybridMultilevel"/>
    <w:tmpl w:val="8B9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5B7D77"/>
    <w:multiLevelType w:val="hybridMultilevel"/>
    <w:tmpl w:val="E8C46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F80EE9"/>
    <w:multiLevelType w:val="hybridMultilevel"/>
    <w:tmpl w:val="4DF65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A15AC9"/>
    <w:multiLevelType w:val="hybridMultilevel"/>
    <w:tmpl w:val="2E7831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10"/>
  </w:num>
  <w:num w:numId="3">
    <w:abstractNumId w:val="20"/>
  </w:num>
  <w:num w:numId="4">
    <w:abstractNumId w:val="21"/>
  </w:num>
  <w:num w:numId="5">
    <w:abstractNumId w:val="0"/>
  </w:num>
  <w:num w:numId="6">
    <w:abstractNumId w:val="12"/>
  </w:num>
  <w:num w:numId="7">
    <w:abstractNumId w:val="17"/>
  </w:num>
  <w:num w:numId="8">
    <w:abstractNumId w:val="7"/>
  </w:num>
  <w:num w:numId="9">
    <w:abstractNumId w:val="13"/>
  </w:num>
  <w:num w:numId="10">
    <w:abstractNumId w:val="6"/>
  </w:num>
  <w:num w:numId="11">
    <w:abstractNumId w:val="14"/>
  </w:num>
  <w:num w:numId="12">
    <w:abstractNumId w:val="3"/>
  </w:num>
  <w:num w:numId="13">
    <w:abstractNumId w:val="1"/>
  </w:num>
  <w:num w:numId="14">
    <w:abstractNumId w:val="24"/>
  </w:num>
  <w:num w:numId="15">
    <w:abstractNumId w:val="19"/>
  </w:num>
  <w:num w:numId="16">
    <w:abstractNumId w:val="22"/>
  </w:num>
  <w:num w:numId="17">
    <w:abstractNumId w:val="15"/>
  </w:num>
  <w:num w:numId="18">
    <w:abstractNumId w:val="8"/>
  </w:num>
  <w:num w:numId="19">
    <w:abstractNumId w:val="4"/>
  </w:num>
  <w:num w:numId="20">
    <w:abstractNumId w:val="23"/>
  </w:num>
  <w:num w:numId="21">
    <w:abstractNumId w:val="9"/>
  </w:num>
  <w:num w:numId="22">
    <w:abstractNumId w:val="2"/>
  </w:num>
  <w:num w:numId="23">
    <w:abstractNumId w:val="18"/>
  </w:num>
  <w:num w:numId="24">
    <w:abstractNumId w:val="5"/>
  </w:num>
  <w:num w:numId="25">
    <w:abstractNumId w:val="1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0E1"/>
    <w:rsid w:val="00021A9D"/>
    <w:rsid w:val="00045B15"/>
    <w:rsid w:val="00051403"/>
    <w:rsid w:val="00060752"/>
    <w:rsid w:val="00062475"/>
    <w:rsid w:val="0006252D"/>
    <w:rsid w:val="000703A8"/>
    <w:rsid w:val="000929CA"/>
    <w:rsid w:val="000B42BF"/>
    <w:rsid w:val="000C3B9E"/>
    <w:rsid w:val="000D5D68"/>
    <w:rsid w:val="000E4BB1"/>
    <w:rsid w:val="000F2C61"/>
    <w:rsid w:val="00100B57"/>
    <w:rsid w:val="001204E2"/>
    <w:rsid w:val="0013159D"/>
    <w:rsid w:val="0015493F"/>
    <w:rsid w:val="001800EB"/>
    <w:rsid w:val="00196581"/>
    <w:rsid w:val="001C1585"/>
    <w:rsid w:val="0020272F"/>
    <w:rsid w:val="0020618B"/>
    <w:rsid w:val="00207CC7"/>
    <w:rsid w:val="0021299E"/>
    <w:rsid w:val="00226C0F"/>
    <w:rsid w:val="002750E1"/>
    <w:rsid w:val="00292985"/>
    <w:rsid w:val="00297997"/>
    <w:rsid w:val="002B0C8D"/>
    <w:rsid w:val="002B6AE0"/>
    <w:rsid w:val="002D787B"/>
    <w:rsid w:val="002F74B3"/>
    <w:rsid w:val="00300312"/>
    <w:rsid w:val="00303A46"/>
    <w:rsid w:val="00306302"/>
    <w:rsid w:val="00324250"/>
    <w:rsid w:val="00373F30"/>
    <w:rsid w:val="003758FD"/>
    <w:rsid w:val="003808A7"/>
    <w:rsid w:val="0038420D"/>
    <w:rsid w:val="00397FE2"/>
    <w:rsid w:val="003A1943"/>
    <w:rsid w:val="003A375F"/>
    <w:rsid w:val="003B70F0"/>
    <w:rsid w:val="003E3659"/>
    <w:rsid w:val="00401C2D"/>
    <w:rsid w:val="004067DA"/>
    <w:rsid w:val="00412E6F"/>
    <w:rsid w:val="0043245A"/>
    <w:rsid w:val="00447652"/>
    <w:rsid w:val="00451D17"/>
    <w:rsid w:val="00462D9C"/>
    <w:rsid w:val="00471DFD"/>
    <w:rsid w:val="0049706E"/>
    <w:rsid w:val="004B4071"/>
    <w:rsid w:val="004B4C9C"/>
    <w:rsid w:val="004B7E0C"/>
    <w:rsid w:val="004C3FBF"/>
    <w:rsid w:val="004D5965"/>
    <w:rsid w:val="005354CB"/>
    <w:rsid w:val="00537DC8"/>
    <w:rsid w:val="0059271F"/>
    <w:rsid w:val="005B3C04"/>
    <w:rsid w:val="005E034E"/>
    <w:rsid w:val="005E1468"/>
    <w:rsid w:val="005E49BB"/>
    <w:rsid w:val="005F1C42"/>
    <w:rsid w:val="006060CA"/>
    <w:rsid w:val="006476D7"/>
    <w:rsid w:val="00653931"/>
    <w:rsid w:val="00653D46"/>
    <w:rsid w:val="00675788"/>
    <w:rsid w:val="00681765"/>
    <w:rsid w:val="006847C2"/>
    <w:rsid w:val="00690EAB"/>
    <w:rsid w:val="006A01C2"/>
    <w:rsid w:val="006C0026"/>
    <w:rsid w:val="007028D3"/>
    <w:rsid w:val="00710D35"/>
    <w:rsid w:val="00712915"/>
    <w:rsid w:val="00720FA2"/>
    <w:rsid w:val="00727E78"/>
    <w:rsid w:val="0073288B"/>
    <w:rsid w:val="00741FC2"/>
    <w:rsid w:val="00746FFF"/>
    <w:rsid w:val="007943F8"/>
    <w:rsid w:val="00796A79"/>
    <w:rsid w:val="007C4381"/>
    <w:rsid w:val="007E2CBD"/>
    <w:rsid w:val="007F2D48"/>
    <w:rsid w:val="007F656F"/>
    <w:rsid w:val="00805A6B"/>
    <w:rsid w:val="00820B44"/>
    <w:rsid w:val="00824288"/>
    <w:rsid w:val="00830476"/>
    <w:rsid w:val="00830E0C"/>
    <w:rsid w:val="00871EBD"/>
    <w:rsid w:val="00872FA8"/>
    <w:rsid w:val="00874D19"/>
    <w:rsid w:val="008776C8"/>
    <w:rsid w:val="0087770A"/>
    <w:rsid w:val="008853D3"/>
    <w:rsid w:val="00897051"/>
    <w:rsid w:val="008B6782"/>
    <w:rsid w:val="008B7CC8"/>
    <w:rsid w:val="008C58EC"/>
    <w:rsid w:val="008D2BEC"/>
    <w:rsid w:val="008E638D"/>
    <w:rsid w:val="008F5280"/>
    <w:rsid w:val="00915E16"/>
    <w:rsid w:val="00920F3B"/>
    <w:rsid w:val="009263B2"/>
    <w:rsid w:val="00941638"/>
    <w:rsid w:val="009454A6"/>
    <w:rsid w:val="00947E43"/>
    <w:rsid w:val="00963C30"/>
    <w:rsid w:val="009B1F06"/>
    <w:rsid w:val="009D1E3F"/>
    <w:rsid w:val="009D2960"/>
    <w:rsid w:val="009D4632"/>
    <w:rsid w:val="009F70FF"/>
    <w:rsid w:val="00A23347"/>
    <w:rsid w:val="00A35686"/>
    <w:rsid w:val="00A35767"/>
    <w:rsid w:val="00A859ED"/>
    <w:rsid w:val="00AB4AB2"/>
    <w:rsid w:val="00AC779C"/>
    <w:rsid w:val="00AD58BA"/>
    <w:rsid w:val="00AE259C"/>
    <w:rsid w:val="00B06AE2"/>
    <w:rsid w:val="00B1307A"/>
    <w:rsid w:val="00B13116"/>
    <w:rsid w:val="00B17B3F"/>
    <w:rsid w:val="00B47895"/>
    <w:rsid w:val="00B5513E"/>
    <w:rsid w:val="00B60C7E"/>
    <w:rsid w:val="00B66D46"/>
    <w:rsid w:val="00BD4BDF"/>
    <w:rsid w:val="00C220A2"/>
    <w:rsid w:val="00C24E17"/>
    <w:rsid w:val="00C45CAE"/>
    <w:rsid w:val="00C57B48"/>
    <w:rsid w:val="00C60E92"/>
    <w:rsid w:val="00C640C0"/>
    <w:rsid w:val="00C67CB2"/>
    <w:rsid w:val="00C700CC"/>
    <w:rsid w:val="00C97772"/>
    <w:rsid w:val="00CA4BE2"/>
    <w:rsid w:val="00CB20FB"/>
    <w:rsid w:val="00CD61C4"/>
    <w:rsid w:val="00CF5675"/>
    <w:rsid w:val="00D046F8"/>
    <w:rsid w:val="00D05A98"/>
    <w:rsid w:val="00D2280F"/>
    <w:rsid w:val="00D41E0A"/>
    <w:rsid w:val="00D4683E"/>
    <w:rsid w:val="00D56DA8"/>
    <w:rsid w:val="00D614FC"/>
    <w:rsid w:val="00D85E0A"/>
    <w:rsid w:val="00D87145"/>
    <w:rsid w:val="00DA2644"/>
    <w:rsid w:val="00DB3E90"/>
    <w:rsid w:val="00DB6F49"/>
    <w:rsid w:val="00DC7A0A"/>
    <w:rsid w:val="00DE69CB"/>
    <w:rsid w:val="00E0052D"/>
    <w:rsid w:val="00E00896"/>
    <w:rsid w:val="00E03ABD"/>
    <w:rsid w:val="00E266FE"/>
    <w:rsid w:val="00E4190B"/>
    <w:rsid w:val="00E466FF"/>
    <w:rsid w:val="00E94F13"/>
    <w:rsid w:val="00EA080F"/>
    <w:rsid w:val="00EA2A9C"/>
    <w:rsid w:val="00EB1183"/>
    <w:rsid w:val="00EC4AA4"/>
    <w:rsid w:val="00EC5E0B"/>
    <w:rsid w:val="00ED0196"/>
    <w:rsid w:val="00EE6F9C"/>
    <w:rsid w:val="00F128FF"/>
    <w:rsid w:val="00F37FBA"/>
    <w:rsid w:val="00F4798D"/>
    <w:rsid w:val="00F56519"/>
    <w:rsid w:val="00F60FC3"/>
    <w:rsid w:val="00F67E72"/>
    <w:rsid w:val="00F8037F"/>
    <w:rsid w:val="00FA0D7F"/>
    <w:rsid w:val="00FB0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8A3FF"/>
  <w15:chartTrackingRefBased/>
  <w15:docId w15:val="{3107EC85-C5AD-40F3-B85D-4BDEB0EAF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rsid w:val="002750E1"/>
    <w:pPr>
      <w:keepNext/>
      <w:keepLines/>
      <w:spacing w:before="480" w:after="0" w:line="240" w:lineRule="auto"/>
      <w:outlineLvl w:val="0"/>
    </w:pPr>
    <w:rPr>
      <w:rFonts w:asciiTheme="majorHAnsi" w:eastAsiaTheme="majorEastAsia" w:hAnsiTheme="majorHAnsi" w:cstheme="majorBidi"/>
      <w:b/>
      <w:bCs/>
      <w:color w:val="2F5496" w:themeColor="accent1" w:themeShade="BF"/>
      <w:sz w:val="28"/>
      <w:szCs w:val="28"/>
      <w:lang w:val="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50E1"/>
    <w:rPr>
      <w:rFonts w:asciiTheme="majorHAnsi" w:eastAsiaTheme="majorEastAsia" w:hAnsiTheme="majorHAnsi" w:cstheme="majorBidi"/>
      <w:b/>
      <w:bCs/>
      <w:color w:val="2F5496" w:themeColor="accent1" w:themeShade="BF"/>
      <w:sz w:val="28"/>
      <w:szCs w:val="28"/>
      <w:lang w:val="en-SG"/>
    </w:rPr>
  </w:style>
  <w:style w:type="numbering" w:customStyle="1" w:styleId="NoList1">
    <w:name w:val="No List1"/>
    <w:next w:val="NoList"/>
    <w:uiPriority w:val="99"/>
    <w:semiHidden/>
    <w:unhideWhenUsed/>
    <w:rsid w:val="002750E1"/>
  </w:style>
  <w:style w:type="table" w:styleId="TableGrid">
    <w:name w:val="Table Grid"/>
    <w:basedOn w:val="TableNormal"/>
    <w:uiPriority w:val="99"/>
    <w:rsid w:val="002750E1"/>
    <w:pPr>
      <w:spacing w:after="0" w:line="240" w:lineRule="auto"/>
    </w:pPr>
    <w:rPr>
      <w:rFonts w:ascii="Cambria" w:eastAsia="MS ??" w:hAnsi="Cambria"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2750E1"/>
    <w:rPr>
      <w:rFonts w:cs="Times New Roman"/>
      <w:color w:val="0000FF"/>
      <w:u w:val="single"/>
    </w:rPr>
  </w:style>
  <w:style w:type="paragraph" w:styleId="BalloonText">
    <w:name w:val="Balloon Text"/>
    <w:basedOn w:val="Normal"/>
    <w:link w:val="BalloonTextChar"/>
    <w:uiPriority w:val="99"/>
    <w:semiHidden/>
    <w:rsid w:val="002750E1"/>
    <w:pPr>
      <w:spacing w:after="0" w:line="240" w:lineRule="auto"/>
    </w:pPr>
    <w:rPr>
      <w:rFonts w:ascii="Tahoma" w:eastAsia="MS ??" w:hAnsi="Tahoma" w:cs="Tahoma"/>
      <w:sz w:val="16"/>
      <w:szCs w:val="16"/>
      <w:lang w:val="en-SG"/>
    </w:rPr>
  </w:style>
  <w:style w:type="character" w:customStyle="1" w:styleId="BalloonTextChar">
    <w:name w:val="Balloon Text Char"/>
    <w:basedOn w:val="DefaultParagraphFont"/>
    <w:link w:val="BalloonText"/>
    <w:uiPriority w:val="99"/>
    <w:semiHidden/>
    <w:rsid w:val="002750E1"/>
    <w:rPr>
      <w:rFonts w:ascii="Tahoma" w:eastAsia="MS ??" w:hAnsi="Tahoma" w:cs="Tahoma"/>
      <w:sz w:val="16"/>
      <w:szCs w:val="16"/>
      <w:lang w:val="en-SG"/>
    </w:rPr>
  </w:style>
  <w:style w:type="character" w:styleId="CommentReference">
    <w:name w:val="annotation reference"/>
    <w:basedOn w:val="DefaultParagraphFont"/>
    <w:uiPriority w:val="99"/>
    <w:semiHidden/>
    <w:rsid w:val="002750E1"/>
    <w:rPr>
      <w:rFonts w:cs="Times New Roman"/>
      <w:sz w:val="16"/>
      <w:szCs w:val="16"/>
    </w:rPr>
  </w:style>
  <w:style w:type="paragraph" w:styleId="CommentText">
    <w:name w:val="annotation text"/>
    <w:basedOn w:val="Normal"/>
    <w:link w:val="CommentTextChar"/>
    <w:uiPriority w:val="99"/>
    <w:rsid w:val="002750E1"/>
    <w:pPr>
      <w:spacing w:after="0" w:line="240" w:lineRule="auto"/>
    </w:pPr>
    <w:rPr>
      <w:rFonts w:ascii="Cambria" w:eastAsia="MS ??" w:hAnsi="Cambria" w:cs="Times New Roman"/>
      <w:sz w:val="20"/>
      <w:szCs w:val="20"/>
      <w:lang w:val="en-SG"/>
    </w:rPr>
  </w:style>
  <w:style w:type="character" w:customStyle="1" w:styleId="CommentTextChar">
    <w:name w:val="Comment Text Char"/>
    <w:basedOn w:val="DefaultParagraphFont"/>
    <w:link w:val="CommentText"/>
    <w:uiPriority w:val="99"/>
    <w:rsid w:val="002750E1"/>
    <w:rPr>
      <w:rFonts w:ascii="Cambria" w:eastAsia="MS ??" w:hAnsi="Cambria" w:cs="Times New Roman"/>
      <w:sz w:val="20"/>
      <w:szCs w:val="20"/>
      <w:lang w:val="en-SG"/>
    </w:rPr>
  </w:style>
  <w:style w:type="paragraph" w:styleId="CommentSubject">
    <w:name w:val="annotation subject"/>
    <w:basedOn w:val="CommentText"/>
    <w:next w:val="CommentText"/>
    <w:link w:val="CommentSubjectChar"/>
    <w:uiPriority w:val="99"/>
    <w:semiHidden/>
    <w:rsid w:val="002750E1"/>
    <w:rPr>
      <w:b/>
      <w:bCs/>
    </w:rPr>
  </w:style>
  <w:style w:type="character" w:customStyle="1" w:styleId="CommentSubjectChar">
    <w:name w:val="Comment Subject Char"/>
    <w:basedOn w:val="CommentTextChar"/>
    <w:link w:val="CommentSubject"/>
    <w:uiPriority w:val="99"/>
    <w:semiHidden/>
    <w:rsid w:val="002750E1"/>
    <w:rPr>
      <w:rFonts w:ascii="Cambria" w:eastAsia="MS ??" w:hAnsi="Cambria" w:cs="Times New Roman"/>
      <w:b/>
      <w:bCs/>
      <w:sz w:val="20"/>
      <w:szCs w:val="20"/>
      <w:lang w:val="en-SG"/>
    </w:rPr>
  </w:style>
  <w:style w:type="paragraph" w:styleId="Revision">
    <w:name w:val="Revision"/>
    <w:hidden/>
    <w:uiPriority w:val="99"/>
    <w:semiHidden/>
    <w:rsid w:val="002750E1"/>
    <w:pPr>
      <w:spacing w:after="0" w:line="240" w:lineRule="auto"/>
    </w:pPr>
    <w:rPr>
      <w:rFonts w:ascii="Cambria" w:eastAsia="MS ??" w:hAnsi="Cambria" w:cs="Times New Roman"/>
      <w:sz w:val="24"/>
      <w:szCs w:val="24"/>
      <w:lang w:val="en-GB"/>
    </w:rPr>
  </w:style>
  <w:style w:type="paragraph" w:styleId="ListParagraph">
    <w:name w:val="List Paragraph"/>
    <w:basedOn w:val="Normal"/>
    <w:uiPriority w:val="99"/>
    <w:rsid w:val="002750E1"/>
    <w:pPr>
      <w:spacing w:after="0" w:line="240" w:lineRule="auto"/>
      <w:ind w:left="720"/>
      <w:contextualSpacing/>
    </w:pPr>
    <w:rPr>
      <w:rFonts w:ascii="Cambria" w:eastAsia="MS ??" w:hAnsi="Cambria" w:cs="Times New Roman"/>
      <w:sz w:val="24"/>
      <w:szCs w:val="24"/>
      <w:lang w:val="en-SG"/>
    </w:rPr>
  </w:style>
  <w:style w:type="paragraph" w:customStyle="1" w:styleId="Manuscriptbodytext">
    <w:name w:val="Manuscript body text"/>
    <w:basedOn w:val="Normal"/>
    <w:link w:val="ManuscriptbodytextChar"/>
    <w:rsid w:val="002750E1"/>
    <w:pPr>
      <w:numPr>
        <w:numId w:val="1"/>
      </w:numPr>
      <w:spacing w:after="0" w:line="480" w:lineRule="auto"/>
      <w:outlineLvl w:val="0"/>
    </w:pPr>
    <w:rPr>
      <w:rFonts w:ascii="Tahoma" w:eastAsia="MS ??" w:hAnsi="Tahoma" w:cs="Tahoma"/>
    </w:rPr>
  </w:style>
  <w:style w:type="character" w:customStyle="1" w:styleId="ManuscriptbodytextChar">
    <w:name w:val="Manuscript body text Char"/>
    <w:basedOn w:val="DefaultParagraphFont"/>
    <w:link w:val="Manuscriptbodytext"/>
    <w:rsid w:val="002750E1"/>
    <w:rPr>
      <w:rFonts w:ascii="Tahoma" w:eastAsia="MS ??" w:hAnsi="Tahoma" w:cs="Tahoma"/>
    </w:rPr>
  </w:style>
  <w:style w:type="paragraph" w:styleId="NormalWeb">
    <w:name w:val="Normal (Web)"/>
    <w:basedOn w:val="Normal"/>
    <w:link w:val="NormalWebChar"/>
    <w:uiPriority w:val="99"/>
    <w:unhideWhenUsed/>
    <w:rsid w:val="002750E1"/>
    <w:pPr>
      <w:spacing w:before="100" w:beforeAutospacing="1" w:after="100" w:afterAutospacing="1" w:line="240" w:lineRule="auto"/>
    </w:pPr>
    <w:rPr>
      <w:rFonts w:ascii="Times New Roman" w:eastAsia="Times New Roman" w:hAnsi="Times New Roman" w:cs="Times New Roman"/>
      <w:sz w:val="24"/>
      <w:szCs w:val="24"/>
      <w:lang w:val="en-SG" w:eastAsia="en-GB"/>
    </w:rPr>
  </w:style>
  <w:style w:type="paragraph" w:styleId="Caption">
    <w:name w:val="caption"/>
    <w:basedOn w:val="ListParagraph"/>
    <w:next w:val="Normal"/>
    <w:uiPriority w:val="99"/>
    <w:unhideWhenUsed/>
    <w:qFormat/>
    <w:rsid w:val="002750E1"/>
    <w:pPr>
      <w:keepNext/>
      <w:spacing w:line="480" w:lineRule="auto"/>
      <w:ind w:left="0"/>
    </w:pPr>
    <w:rPr>
      <w:rFonts w:ascii="Tahoma" w:hAnsi="Tahoma" w:cs="Tahoma"/>
      <w:b/>
      <w:sz w:val="22"/>
      <w:szCs w:val="22"/>
      <w:lang w:val="en-US"/>
    </w:rPr>
  </w:style>
  <w:style w:type="paragraph" w:styleId="Header">
    <w:name w:val="header"/>
    <w:basedOn w:val="Normal"/>
    <w:link w:val="HeaderChar"/>
    <w:uiPriority w:val="99"/>
    <w:unhideWhenUsed/>
    <w:rsid w:val="002750E1"/>
    <w:pPr>
      <w:tabs>
        <w:tab w:val="center" w:pos="4513"/>
        <w:tab w:val="right" w:pos="9026"/>
      </w:tabs>
      <w:spacing w:after="0" w:line="240" w:lineRule="auto"/>
    </w:pPr>
    <w:rPr>
      <w:rFonts w:ascii="Cambria" w:eastAsia="MS ??" w:hAnsi="Cambria" w:cs="Times New Roman"/>
      <w:sz w:val="24"/>
      <w:szCs w:val="24"/>
      <w:lang w:val="en-SG"/>
    </w:rPr>
  </w:style>
  <w:style w:type="character" w:customStyle="1" w:styleId="HeaderChar">
    <w:name w:val="Header Char"/>
    <w:basedOn w:val="DefaultParagraphFont"/>
    <w:link w:val="Header"/>
    <w:uiPriority w:val="99"/>
    <w:rsid w:val="002750E1"/>
    <w:rPr>
      <w:rFonts w:ascii="Cambria" w:eastAsia="MS ??" w:hAnsi="Cambria" w:cs="Times New Roman"/>
      <w:sz w:val="24"/>
      <w:szCs w:val="24"/>
      <w:lang w:val="en-SG"/>
    </w:rPr>
  </w:style>
  <w:style w:type="paragraph" w:styleId="Footer">
    <w:name w:val="footer"/>
    <w:basedOn w:val="Normal"/>
    <w:link w:val="FooterChar"/>
    <w:uiPriority w:val="99"/>
    <w:unhideWhenUsed/>
    <w:rsid w:val="002750E1"/>
    <w:pPr>
      <w:tabs>
        <w:tab w:val="center" w:pos="4513"/>
        <w:tab w:val="right" w:pos="9026"/>
      </w:tabs>
      <w:spacing w:after="0" w:line="240" w:lineRule="auto"/>
    </w:pPr>
    <w:rPr>
      <w:rFonts w:ascii="Cambria" w:eastAsia="MS ??" w:hAnsi="Cambria" w:cs="Times New Roman"/>
      <w:sz w:val="24"/>
      <w:szCs w:val="24"/>
      <w:lang w:val="en-SG"/>
    </w:rPr>
  </w:style>
  <w:style w:type="character" w:customStyle="1" w:styleId="FooterChar">
    <w:name w:val="Footer Char"/>
    <w:basedOn w:val="DefaultParagraphFont"/>
    <w:link w:val="Footer"/>
    <w:uiPriority w:val="99"/>
    <w:rsid w:val="002750E1"/>
    <w:rPr>
      <w:rFonts w:ascii="Cambria" w:eastAsia="MS ??" w:hAnsi="Cambria" w:cs="Times New Roman"/>
      <w:sz w:val="24"/>
      <w:szCs w:val="24"/>
      <w:lang w:val="en-SG"/>
    </w:rPr>
  </w:style>
  <w:style w:type="paragraph" w:customStyle="1" w:styleId="Default">
    <w:name w:val="Default"/>
    <w:uiPriority w:val="99"/>
    <w:rsid w:val="002750E1"/>
    <w:pPr>
      <w:autoSpaceDE w:val="0"/>
      <w:autoSpaceDN w:val="0"/>
      <w:adjustRightInd w:val="0"/>
      <w:spacing w:after="0" w:line="240" w:lineRule="auto"/>
    </w:pPr>
    <w:rPr>
      <w:rFonts w:ascii="Minion Pro" w:eastAsia="MS ??" w:hAnsi="Minion Pro" w:cs="Minion Pro"/>
      <w:color w:val="000000"/>
      <w:sz w:val="24"/>
      <w:szCs w:val="24"/>
      <w:lang w:val="en-GB" w:eastAsia="de-DE"/>
    </w:rPr>
  </w:style>
  <w:style w:type="character" w:customStyle="1" w:styleId="A12">
    <w:name w:val="A12"/>
    <w:uiPriority w:val="99"/>
    <w:rsid w:val="002750E1"/>
    <w:rPr>
      <w:rFonts w:cs="Minion Pro"/>
      <w:color w:val="221E1F"/>
      <w:sz w:val="11"/>
      <w:szCs w:val="11"/>
    </w:rPr>
  </w:style>
  <w:style w:type="paragraph" w:customStyle="1" w:styleId="Style2">
    <w:name w:val="Style2"/>
    <w:basedOn w:val="ListParagraph"/>
    <w:link w:val="Style2Char"/>
    <w:uiPriority w:val="99"/>
    <w:rsid w:val="002750E1"/>
    <w:pPr>
      <w:numPr>
        <w:numId w:val="3"/>
      </w:numPr>
      <w:autoSpaceDE w:val="0"/>
      <w:autoSpaceDN w:val="0"/>
      <w:adjustRightInd w:val="0"/>
      <w:spacing w:line="360" w:lineRule="auto"/>
    </w:pPr>
    <w:rPr>
      <w:rFonts w:ascii="Tahoma" w:eastAsia="Times New Roman" w:hAnsi="Tahoma" w:cs="Tahoma"/>
      <w:bCs/>
      <w:sz w:val="20"/>
      <w:szCs w:val="22"/>
      <w:lang w:val="en-US"/>
    </w:rPr>
  </w:style>
  <w:style w:type="character" w:customStyle="1" w:styleId="Style2Char">
    <w:name w:val="Style2 Char"/>
    <w:link w:val="Style2"/>
    <w:uiPriority w:val="99"/>
    <w:rsid w:val="002750E1"/>
    <w:rPr>
      <w:rFonts w:ascii="Tahoma" w:eastAsia="Times New Roman" w:hAnsi="Tahoma" w:cs="Tahoma"/>
      <w:bCs/>
      <w:sz w:val="20"/>
    </w:rPr>
  </w:style>
  <w:style w:type="paragraph" w:styleId="DocumentMap">
    <w:name w:val="Document Map"/>
    <w:basedOn w:val="Normal"/>
    <w:link w:val="DocumentMapChar"/>
    <w:uiPriority w:val="99"/>
    <w:semiHidden/>
    <w:unhideWhenUsed/>
    <w:rsid w:val="002750E1"/>
    <w:pPr>
      <w:spacing w:after="0" w:line="240" w:lineRule="auto"/>
    </w:pPr>
    <w:rPr>
      <w:rFonts w:ascii="Tahoma" w:eastAsia="MS ??" w:hAnsi="Tahoma" w:cs="Tahoma"/>
      <w:sz w:val="16"/>
      <w:szCs w:val="16"/>
      <w:lang w:val="en-SG"/>
    </w:rPr>
  </w:style>
  <w:style w:type="character" w:customStyle="1" w:styleId="DocumentMapChar">
    <w:name w:val="Document Map Char"/>
    <w:basedOn w:val="DefaultParagraphFont"/>
    <w:link w:val="DocumentMap"/>
    <w:uiPriority w:val="99"/>
    <w:semiHidden/>
    <w:rsid w:val="002750E1"/>
    <w:rPr>
      <w:rFonts w:ascii="Tahoma" w:eastAsia="MS ??" w:hAnsi="Tahoma" w:cs="Tahoma"/>
      <w:sz w:val="16"/>
      <w:szCs w:val="16"/>
      <w:lang w:val="en-SG"/>
    </w:rPr>
  </w:style>
  <w:style w:type="paragraph" w:customStyle="1" w:styleId="Manuscripttitle">
    <w:name w:val="Manuscript title"/>
    <w:basedOn w:val="Heading1"/>
    <w:link w:val="ManuscripttitleChar"/>
    <w:qFormat/>
    <w:rsid w:val="002750E1"/>
    <w:pPr>
      <w:spacing w:line="360" w:lineRule="auto"/>
    </w:pPr>
    <w:rPr>
      <w:rFonts w:ascii="Tahoma" w:eastAsia="Times New Roman" w:hAnsi="Tahoma" w:cs="Tahoma"/>
      <w:bCs w:val="0"/>
    </w:rPr>
  </w:style>
  <w:style w:type="paragraph" w:customStyle="1" w:styleId="Manuscriptbody">
    <w:name w:val="Manuscript body"/>
    <w:basedOn w:val="NormalWeb"/>
    <w:link w:val="ManuscriptbodyChar"/>
    <w:qFormat/>
    <w:rsid w:val="002750E1"/>
    <w:pPr>
      <w:spacing w:before="0" w:beforeAutospacing="0" w:line="360" w:lineRule="auto"/>
    </w:pPr>
    <w:rPr>
      <w:rFonts w:ascii="Tahoma" w:hAnsi="Tahoma"/>
      <w:lang w:eastAsia="ja-JP"/>
    </w:rPr>
  </w:style>
  <w:style w:type="character" w:customStyle="1" w:styleId="ManuscripttitleChar">
    <w:name w:val="Manuscript title Char"/>
    <w:basedOn w:val="Heading1Char"/>
    <w:link w:val="Manuscripttitle"/>
    <w:rsid w:val="002750E1"/>
    <w:rPr>
      <w:rFonts w:ascii="Tahoma" w:eastAsia="Times New Roman" w:hAnsi="Tahoma" w:cs="Tahoma"/>
      <w:b/>
      <w:bCs w:val="0"/>
      <w:color w:val="2F5496" w:themeColor="accent1" w:themeShade="BF"/>
      <w:sz w:val="28"/>
      <w:szCs w:val="28"/>
      <w:lang w:val="en-SG"/>
    </w:rPr>
  </w:style>
  <w:style w:type="paragraph" w:customStyle="1" w:styleId="Manuscriptbodytitle">
    <w:name w:val="Manuscript body title"/>
    <w:basedOn w:val="Manuscriptbodytext"/>
    <w:next w:val="Manuscriptbody"/>
    <w:link w:val="ManuscriptbodytitleChar"/>
    <w:qFormat/>
    <w:rsid w:val="002750E1"/>
    <w:pPr>
      <w:numPr>
        <w:numId w:val="0"/>
      </w:numPr>
    </w:pPr>
    <w:rPr>
      <w:b/>
    </w:rPr>
  </w:style>
  <w:style w:type="character" w:customStyle="1" w:styleId="NormalWebChar">
    <w:name w:val="Normal (Web) Char"/>
    <w:basedOn w:val="DefaultParagraphFont"/>
    <w:link w:val="NormalWeb"/>
    <w:uiPriority w:val="99"/>
    <w:rsid w:val="002750E1"/>
    <w:rPr>
      <w:rFonts w:ascii="Times New Roman" w:eastAsia="Times New Roman" w:hAnsi="Times New Roman" w:cs="Times New Roman"/>
      <w:sz w:val="24"/>
      <w:szCs w:val="24"/>
      <w:lang w:val="en-SG" w:eastAsia="en-GB"/>
    </w:rPr>
  </w:style>
  <w:style w:type="character" w:customStyle="1" w:styleId="ManuscriptbodyChar">
    <w:name w:val="Manuscript body Char"/>
    <w:basedOn w:val="NormalWebChar"/>
    <w:link w:val="Manuscriptbody"/>
    <w:rsid w:val="002750E1"/>
    <w:rPr>
      <w:rFonts w:ascii="Tahoma" w:eastAsia="Times New Roman" w:hAnsi="Tahoma" w:cs="Times New Roman"/>
      <w:sz w:val="24"/>
      <w:szCs w:val="24"/>
      <w:lang w:val="en-SG" w:eastAsia="ja-JP"/>
    </w:rPr>
  </w:style>
  <w:style w:type="character" w:customStyle="1" w:styleId="ManuscriptbodytitleChar">
    <w:name w:val="Manuscript body title Char"/>
    <w:basedOn w:val="ManuscriptbodytextChar"/>
    <w:link w:val="Manuscriptbodytitle"/>
    <w:rsid w:val="002750E1"/>
    <w:rPr>
      <w:rFonts w:ascii="Tahoma" w:eastAsia="MS ??" w:hAnsi="Tahoma" w:cs="Tahoma"/>
      <w:b/>
    </w:rPr>
  </w:style>
  <w:style w:type="character" w:styleId="LineNumber">
    <w:name w:val="line number"/>
    <w:basedOn w:val="DefaultParagraphFont"/>
    <w:uiPriority w:val="99"/>
    <w:semiHidden/>
    <w:unhideWhenUsed/>
    <w:rsid w:val="002750E1"/>
  </w:style>
  <w:style w:type="character" w:customStyle="1" w:styleId="UnresolvedMention">
    <w:name w:val="Unresolved Mention"/>
    <w:basedOn w:val="DefaultParagraphFont"/>
    <w:uiPriority w:val="99"/>
    <w:semiHidden/>
    <w:unhideWhenUsed/>
    <w:rsid w:val="002750E1"/>
    <w:rPr>
      <w:color w:val="808080"/>
      <w:shd w:val="clear" w:color="auto" w:fill="E6E6E6"/>
    </w:rPr>
  </w:style>
  <w:style w:type="character" w:styleId="FollowedHyperlink">
    <w:name w:val="FollowedHyperlink"/>
    <w:basedOn w:val="DefaultParagraphFont"/>
    <w:uiPriority w:val="99"/>
    <w:semiHidden/>
    <w:unhideWhenUsed/>
    <w:rsid w:val="002750E1"/>
    <w:rPr>
      <w:color w:val="954F72" w:themeColor="followedHyperlink"/>
      <w:u w:val="single"/>
    </w:rPr>
  </w:style>
  <w:style w:type="character" w:styleId="Emphasis">
    <w:name w:val="Emphasis"/>
    <w:basedOn w:val="DefaultParagraphFont"/>
    <w:uiPriority w:val="20"/>
    <w:qFormat/>
    <w:rsid w:val="002750E1"/>
    <w:rPr>
      <w:i/>
      <w:iCs/>
    </w:rPr>
  </w:style>
  <w:style w:type="paragraph" w:customStyle="1" w:styleId="2SecondBullet">
    <w:name w:val="2. Second Bullet"/>
    <w:basedOn w:val="ListParagraph"/>
    <w:link w:val="2SecondBulletChar"/>
    <w:uiPriority w:val="7"/>
    <w:qFormat/>
    <w:rsid w:val="002750E1"/>
    <w:pPr>
      <w:numPr>
        <w:numId w:val="15"/>
      </w:numPr>
      <w:spacing w:after="80" w:line="252" w:lineRule="auto"/>
      <w:ind w:left="794" w:hanging="227"/>
      <w:contextualSpacing w:val="0"/>
    </w:pPr>
    <w:rPr>
      <w:rFonts w:asciiTheme="minorHAnsi" w:eastAsiaTheme="minorEastAsia" w:hAnsiTheme="minorHAnsi" w:cstheme="minorBidi"/>
      <w:sz w:val="20"/>
      <w:szCs w:val="22"/>
      <w:lang w:val="en-GB"/>
    </w:rPr>
  </w:style>
  <w:style w:type="character" w:customStyle="1" w:styleId="2SecondBulletChar">
    <w:name w:val="2. Second Bullet Char"/>
    <w:basedOn w:val="DefaultParagraphFont"/>
    <w:link w:val="2SecondBullet"/>
    <w:uiPriority w:val="7"/>
    <w:rsid w:val="002750E1"/>
    <w:rPr>
      <w:rFonts w:eastAsiaTheme="minorEastAsia"/>
      <w:sz w:val="20"/>
      <w:lang w:val="en-GB"/>
    </w:rPr>
  </w:style>
  <w:style w:type="paragraph" w:customStyle="1" w:styleId="Clientparagraphnormal">
    <w:name w:val="Client paragraph normal"/>
    <w:basedOn w:val="BodyText"/>
    <w:uiPriority w:val="1"/>
    <w:qFormat/>
    <w:rsid w:val="002750E1"/>
    <w:pPr>
      <w:spacing w:before="2" w:after="0"/>
      <w:ind w:left="101"/>
    </w:pPr>
    <w:rPr>
      <w:rFonts w:ascii="Times New Roman" w:eastAsia="Times New Roman" w:hAnsi="Times New Roman"/>
      <w:lang w:val="en-US"/>
    </w:rPr>
  </w:style>
  <w:style w:type="paragraph" w:styleId="BodyText">
    <w:name w:val="Body Text"/>
    <w:basedOn w:val="Normal"/>
    <w:link w:val="BodyTextChar"/>
    <w:uiPriority w:val="99"/>
    <w:semiHidden/>
    <w:unhideWhenUsed/>
    <w:rsid w:val="002750E1"/>
    <w:pPr>
      <w:spacing w:after="120" w:line="240" w:lineRule="auto"/>
    </w:pPr>
    <w:rPr>
      <w:rFonts w:ascii="Cambria" w:eastAsia="MS ??" w:hAnsi="Cambria" w:cs="Times New Roman"/>
      <w:sz w:val="24"/>
      <w:szCs w:val="24"/>
      <w:lang w:val="en-SG"/>
    </w:rPr>
  </w:style>
  <w:style w:type="character" w:customStyle="1" w:styleId="BodyTextChar">
    <w:name w:val="Body Text Char"/>
    <w:basedOn w:val="DefaultParagraphFont"/>
    <w:link w:val="BodyText"/>
    <w:uiPriority w:val="99"/>
    <w:semiHidden/>
    <w:rsid w:val="002750E1"/>
    <w:rPr>
      <w:rFonts w:ascii="Cambria" w:eastAsia="MS ??" w:hAnsi="Cambria" w:cs="Times New Roman"/>
      <w:sz w:val="24"/>
      <w:szCs w:val="24"/>
      <w:lang w:val="en-SG"/>
    </w:rPr>
  </w:style>
  <w:style w:type="paragraph" w:customStyle="1" w:styleId="EndNoteBibliographyTitle">
    <w:name w:val="EndNote Bibliography Title"/>
    <w:basedOn w:val="Normal"/>
    <w:link w:val="EndNoteBibliographyTitleChar"/>
    <w:rsid w:val="002750E1"/>
    <w:pPr>
      <w:spacing w:after="0" w:line="240" w:lineRule="auto"/>
      <w:jc w:val="center"/>
    </w:pPr>
    <w:rPr>
      <w:rFonts w:ascii="Cambria" w:eastAsia="MS ??" w:hAnsi="Cambria" w:cs="Times New Roman"/>
      <w:noProof/>
      <w:sz w:val="24"/>
      <w:szCs w:val="24"/>
      <w:lang w:val="en-SG" w:eastAsia="ja-JP"/>
    </w:rPr>
  </w:style>
  <w:style w:type="character" w:customStyle="1" w:styleId="EndNoteBibliographyTitleChar">
    <w:name w:val="EndNote Bibliography Title Char"/>
    <w:basedOn w:val="ManuscriptbodyChar"/>
    <w:link w:val="EndNoteBibliographyTitle"/>
    <w:rsid w:val="002750E1"/>
    <w:rPr>
      <w:rFonts w:ascii="Cambria" w:eastAsia="MS ??" w:hAnsi="Cambria" w:cs="Times New Roman"/>
      <w:noProof/>
      <w:sz w:val="24"/>
      <w:szCs w:val="24"/>
      <w:lang w:val="en-SG" w:eastAsia="ja-JP"/>
    </w:rPr>
  </w:style>
  <w:style w:type="paragraph" w:customStyle="1" w:styleId="EndNoteBibliography">
    <w:name w:val="EndNote Bibliography"/>
    <w:basedOn w:val="Normal"/>
    <w:link w:val="EndNoteBibliographyChar"/>
    <w:rsid w:val="002750E1"/>
    <w:pPr>
      <w:spacing w:after="0" w:line="240" w:lineRule="auto"/>
    </w:pPr>
    <w:rPr>
      <w:rFonts w:ascii="Cambria" w:eastAsia="MS ??" w:hAnsi="Cambria" w:cs="Times New Roman"/>
      <w:noProof/>
      <w:sz w:val="24"/>
      <w:szCs w:val="24"/>
      <w:lang w:val="en-SG" w:eastAsia="ja-JP"/>
    </w:rPr>
  </w:style>
  <w:style w:type="character" w:customStyle="1" w:styleId="EndNoteBibliographyChar">
    <w:name w:val="EndNote Bibliography Char"/>
    <w:basedOn w:val="ManuscriptbodyChar"/>
    <w:link w:val="EndNoteBibliography"/>
    <w:rsid w:val="002750E1"/>
    <w:rPr>
      <w:rFonts w:ascii="Cambria" w:eastAsia="MS ??" w:hAnsi="Cambria" w:cs="Times New Roman"/>
      <w:noProof/>
      <w:sz w:val="24"/>
      <w:szCs w:val="24"/>
      <w:lang w:val="en-SG" w:eastAsia="ja-JP"/>
    </w:rPr>
  </w:style>
  <w:style w:type="paragraph" w:customStyle="1" w:styleId="tabfignote">
    <w:name w:val="tab/fig note"/>
    <w:basedOn w:val="Normal"/>
    <w:qFormat/>
    <w:rsid w:val="002750E1"/>
    <w:pPr>
      <w:keepLines/>
      <w:spacing w:before="120" w:after="0" w:line="240" w:lineRule="atLeast"/>
    </w:pPr>
    <w:rPr>
      <w:rFonts w:ascii="Verdana" w:eastAsia="Times New Roman" w:hAnsi="Verdana" w:cs="Courier New"/>
      <w:sz w:val="16"/>
      <w:szCs w:val="18"/>
    </w:rPr>
  </w:style>
  <w:style w:type="paragraph" w:customStyle="1" w:styleId="3ThirdBullet">
    <w:name w:val="3. Third Bullet"/>
    <w:basedOn w:val="2SecondBullet"/>
    <w:link w:val="3ThirdBulletChar"/>
    <w:uiPriority w:val="8"/>
    <w:qFormat/>
    <w:rsid w:val="002750E1"/>
    <w:pPr>
      <w:numPr>
        <w:numId w:val="21"/>
      </w:numPr>
      <w:ind w:left="1021" w:hanging="227"/>
    </w:pPr>
  </w:style>
  <w:style w:type="character" w:customStyle="1" w:styleId="3ThirdBulletChar">
    <w:name w:val="3. Third Bullet Char"/>
    <w:basedOn w:val="2SecondBulletChar"/>
    <w:link w:val="3ThirdBullet"/>
    <w:uiPriority w:val="8"/>
    <w:rsid w:val="002750E1"/>
    <w:rPr>
      <w:rFonts w:eastAsiaTheme="minorEastAsia"/>
      <w:sz w:val="20"/>
      <w:lang w:val="en-GB"/>
    </w:rPr>
  </w:style>
  <w:style w:type="paragraph" w:customStyle="1" w:styleId="Tabletext">
    <w:name w:val="Table text"/>
    <w:basedOn w:val="Normal"/>
    <w:link w:val="TabletextChar"/>
    <w:qFormat/>
    <w:rsid w:val="002750E1"/>
    <w:pPr>
      <w:spacing w:before="40" w:after="40" w:line="240" w:lineRule="atLeast"/>
    </w:pPr>
    <w:rPr>
      <w:rFonts w:ascii="Verdana" w:eastAsia="Times New Roman" w:hAnsi="Verdana" w:cs="Courier New"/>
      <w:sz w:val="17"/>
      <w:szCs w:val="18"/>
    </w:rPr>
  </w:style>
  <w:style w:type="character" w:customStyle="1" w:styleId="TabletextChar">
    <w:name w:val="Table text Char"/>
    <w:basedOn w:val="DefaultParagraphFont"/>
    <w:link w:val="Tabletext"/>
    <w:locked/>
    <w:rsid w:val="002750E1"/>
    <w:rPr>
      <w:rFonts w:ascii="Verdana" w:eastAsia="Times New Roman" w:hAnsi="Verdana" w:cs="Courier New"/>
      <w:sz w:val="17"/>
      <w:szCs w:val="18"/>
    </w:rPr>
  </w:style>
  <w:style w:type="paragraph" w:customStyle="1" w:styleId="Tableheadings">
    <w:name w:val="Table headings"/>
    <w:basedOn w:val="Normal"/>
    <w:rsid w:val="002750E1"/>
    <w:pPr>
      <w:keepNext/>
      <w:spacing w:before="160" w:after="0" w:line="320" w:lineRule="exact"/>
      <w:jc w:val="center"/>
    </w:pPr>
    <w:rPr>
      <w:rFonts w:ascii="Verdana" w:eastAsia="Times New Roman" w:hAnsi="Verdana" w:cs="Courier New"/>
      <w:b/>
      <w:sz w:val="17"/>
      <w:szCs w:val="18"/>
    </w:rPr>
  </w:style>
  <w:style w:type="paragraph" w:customStyle="1" w:styleId="Tabletextindented">
    <w:name w:val="Table text indented"/>
    <w:basedOn w:val="Tabletext"/>
    <w:rsid w:val="002750E1"/>
    <w:pPr>
      <w:ind w:left="187"/>
    </w:pPr>
  </w:style>
  <w:style w:type="paragraph" w:customStyle="1" w:styleId="Tabletextrowheading">
    <w:name w:val="Table text row heading"/>
    <w:basedOn w:val="Tabletext"/>
    <w:rsid w:val="002750E1"/>
    <w:pPr>
      <w:keepNext/>
    </w:pPr>
    <w:rPr>
      <w:b/>
    </w:rPr>
  </w:style>
  <w:style w:type="paragraph" w:styleId="TableofFigures">
    <w:name w:val="table of figures"/>
    <w:basedOn w:val="Normal"/>
    <w:next w:val="Normal"/>
    <w:uiPriority w:val="99"/>
    <w:unhideWhenUsed/>
    <w:rsid w:val="002750E1"/>
    <w:pPr>
      <w:spacing w:after="0" w:line="240" w:lineRule="auto"/>
    </w:pPr>
    <w:rPr>
      <w:rFonts w:ascii="Cambria" w:eastAsia="MS ??" w:hAnsi="Cambria" w:cs="Times New Roman"/>
      <w:sz w:val="24"/>
      <w:szCs w:val="24"/>
      <w:lang w:val="en-SG"/>
    </w:rPr>
  </w:style>
  <w:style w:type="paragraph" w:styleId="NoSpacing">
    <w:name w:val="No Spacing"/>
    <w:link w:val="NoSpacingChar"/>
    <w:uiPriority w:val="1"/>
    <w:unhideWhenUsed/>
    <w:qFormat/>
    <w:rsid w:val="002750E1"/>
    <w:pPr>
      <w:spacing w:after="0" w:line="240" w:lineRule="auto"/>
    </w:pPr>
    <w:rPr>
      <w:sz w:val="20"/>
      <w:lang w:val="en-GB"/>
    </w:rPr>
  </w:style>
  <w:style w:type="character" w:customStyle="1" w:styleId="NoSpacingChar">
    <w:name w:val="No Spacing Char"/>
    <w:basedOn w:val="DefaultParagraphFont"/>
    <w:link w:val="NoSpacing"/>
    <w:uiPriority w:val="1"/>
    <w:rsid w:val="002750E1"/>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26</Pages>
  <Words>6417</Words>
  <Characters>36577</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Katz</dc:creator>
  <cp:keywords/>
  <dc:description/>
  <cp:lastModifiedBy>Amala Gracy M.</cp:lastModifiedBy>
  <cp:revision>5</cp:revision>
  <dcterms:created xsi:type="dcterms:W3CDTF">2023-08-23T16:50:00Z</dcterms:created>
  <dcterms:modified xsi:type="dcterms:W3CDTF">2023-09-04T05:48:00Z</dcterms:modified>
</cp:coreProperties>
</file>